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14:paraId="02F4521E" w14:textId="19F67544" w:rsidR="007E1CED" w:rsidRPr="008D7606" w:rsidRDefault="00827182" w:rsidP="008D7606">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618F58E2">
                <wp:simplePos x="0" y="0"/>
                <wp:positionH relativeFrom="margin">
                  <wp:posOffset>0</wp:posOffset>
                </wp:positionH>
                <wp:positionV relativeFrom="margin">
                  <wp:posOffset>2882900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4D06EF" w:rsidRPr="00880CC5" w:rsidRDefault="004D06EF"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99F7EE" id="_x0000_t202" coordsize="21600,21600" o:spt="202" path="m,l,21600r21600,l21600,xe">
                <v:stroke joinstyle="miter"/>
                <v:path gradientshapeok="t" o:connecttype="rect"/>
              </v:shapetype>
              <v:shape id="Text Box 2" o:spid="_x0000_s1026" type="#_x0000_t202" style="position:absolute;left:0;text-align:left;margin-left:0;margin-top:227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8CwMAALY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" filled="f" stroked="f" strokecolor="black [0]" insetpen="t">
                <v:textbox inset="2.88pt,2.88pt,2.88pt,2.88pt">
                  <w:txbxContent>
                    <w:p w14:paraId="5420C728" w14:textId="76B8B189" w:rsidR="004D06EF" w:rsidRPr="00880CC5" w:rsidRDefault="004D06EF"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556BEFB6">
                <wp:simplePos x="0" y="0"/>
                <wp:positionH relativeFrom="margin">
                  <wp:posOffset>3175</wp:posOffset>
                </wp:positionH>
                <wp:positionV relativeFrom="margin">
                  <wp:posOffset>5436235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4D06EF" w:rsidRDefault="004D06EF" w:rsidP="00827182">
                            <w:pPr>
                              <w:pStyle w:val="NoParagraphStyle"/>
                              <w:jc w:val="right"/>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4D06EF" w:rsidRDefault="004D06EF" w:rsidP="00827182">
                            <w:pPr>
                              <w:pStyle w:val="NoParagraphStyle"/>
                              <w:spacing w:line="213" w:lineRule="auto"/>
                              <w:jc w:val="right"/>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4D06EF" w:rsidRDefault="004D06EF" w:rsidP="00827182">
                            <w:pPr>
                              <w:pStyle w:val="NoParagraphStyle"/>
                              <w:spacing w:line="213" w:lineRule="auto"/>
                              <w:jc w:val="right"/>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4D06EF" w:rsidRDefault="004D06EF"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4D06EF" w:rsidRDefault="004D06EF" w:rsidP="00827182">
                            <w:pPr>
                              <w:pStyle w:val="NoParagraphStyle"/>
                              <w:jc w:val="right"/>
                              <w:rPr>
                                <w:rFonts w:ascii="FbSfaradi Regular" w:hAnsi="FbSfaradi Regular" w:cs="FbSfaradi Regular"/>
                                <w:rtl/>
                              </w:rPr>
                            </w:pPr>
                            <w:r w:rsidRPr="00827182">
                              <w:rPr>
                                <w:rFonts w:ascii="FbSfaradi Bold" w:hAnsi="FbSfaradi Bold" w:cs="FbSfaradi Bold"/>
                                <w:spacing w:val="-5"/>
                                <w:rtl/>
                              </w:rPr>
                              <w:t>שנת חמשת אלפים שבע מאות שבעים ותשע לבריאה</w:t>
                            </w:r>
                            <w:r>
                              <w:rPr>
                                <w:rFonts w:ascii="FbSfaradi Regular" w:hAnsi="FbSfaradi Regular" w:cs="FbSfaradi Regular"/>
                                <w:spacing w:val="-5"/>
                                <w:rtl/>
                              </w:rPr>
                              <w:br/>
                            </w:r>
                            <w:r w:rsidRPr="00827182">
                              <w:rPr>
                                <w:rFonts w:ascii="FbSfaradi Bold" w:hAnsi="FbSfaradi Bold" w:cs="FbSfaradi Bold"/>
                                <w:spacing w:val="-5"/>
                                <w:rtl/>
                              </w:rPr>
                              <w:t>מאה ו</w:t>
                            </w:r>
                            <w:r w:rsidRPr="00827182">
                              <w:rPr>
                                <w:rFonts w:ascii="FbSfaradi Bold" w:hAnsi="FbSfaradi Bold" w:cs="FbSfaradi Bold" w:hint="cs"/>
                                <w:spacing w:val="-5"/>
                                <w:rtl/>
                              </w:rPr>
                              <w:t xml:space="preserve">שש </w:t>
                            </w:r>
                            <w:r w:rsidRPr="00827182">
                              <w:rPr>
                                <w:rFonts w:ascii="FbSfaradi Bold" w:hAnsi="FbSfaradi Bold" w:cs="FbSfaradi Bold"/>
                                <w:spacing w:val="-5"/>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7" type="#_x0000_t202" style="position:absolute;left:0;text-align:left;margin-left:.25pt;margin-top:428.0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" filled="f" stroked="f" strokecolor="black [0]" insetpen="t">
                <v:textbox inset="2.88pt,2.88pt,2.88pt,2.88pt">
                  <w:txbxContent>
                    <w:p w14:paraId="53A17732" w14:textId="77777777" w:rsidR="004D06EF" w:rsidRDefault="004D06EF" w:rsidP="00827182">
                      <w:pPr>
                        <w:pStyle w:val="NoParagraphStyle"/>
                        <w:jc w:val="right"/>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4D06EF" w:rsidRDefault="004D06EF" w:rsidP="00827182">
                      <w:pPr>
                        <w:pStyle w:val="NoParagraphStyle"/>
                        <w:spacing w:line="213" w:lineRule="auto"/>
                        <w:jc w:val="right"/>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4D06EF" w:rsidRDefault="004D06EF" w:rsidP="00827182">
                      <w:pPr>
                        <w:pStyle w:val="NoParagraphStyle"/>
                        <w:spacing w:line="213" w:lineRule="auto"/>
                        <w:jc w:val="right"/>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4D06EF" w:rsidRDefault="004D06EF"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4D06EF" w:rsidRDefault="004D06EF" w:rsidP="00827182">
                      <w:pPr>
                        <w:pStyle w:val="NoParagraphStyle"/>
                        <w:jc w:val="right"/>
                        <w:rPr>
                          <w:rFonts w:ascii="FbSfaradi Regular" w:hAnsi="FbSfaradi Regular" w:cs="FbSfaradi Regular"/>
                          <w:rtl/>
                        </w:rPr>
                      </w:pPr>
                      <w:r w:rsidRPr="00827182">
                        <w:rPr>
                          <w:rFonts w:ascii="FbSfaradi Bold" w:hAnsi="FbSfaradi Bold" w:cs="FbSfaradi Bold"/>
                          <w:spacing w:val="-5"/>
                          <w:rtl/>
                        </w:rPr>
                        <w:t>שנת חמשת אלפים שבע מאות שבעים ותשע לבריאה</w:t>
                      </w:r>
                      <w:r>
                        <w:rPr>
                          <w:rFonts w:ascii="FbSfaradi Regular" w:hAnsi="FbSfaradi Regular" w:cs="FbSfaradi Regular"/>
                          <w:spacing w:val="-5"/>
                          <w:rtl/>
                        </w:rPr>
                        <w:br/>
                      </w:r>
                      <w:r w:rsidRPr="00827182">
                        <w:rPr>
                          <w:rFonts w:ascii="FbSfaradi Bold" w:hAnsi="FbSfaradi Bold" w:cs="FbSfaradi Bold"/>
                          <w:spacing w:val="-5"/>
                          <w:rtl/>
                        </w:rPr>
                        <w:t>מאה ו</w:t>
                      </w:r>
                      <w:r w:rsidRPr="00827182">
                        <w:rPr>
                          <w:rFonts w:ascii="FbSfaradi Bold" w:hAnsi="FbSfaradi Bold" w:cs="FbSfaradi Bold" w:hint="cs"/>
                          <w:spacing w:val="-5"/>
                          <w:rtl/>
                        </w:rPr>
                        <w:t xml:space="preserve">שש </w:t>
                      </w:r>
                      <w:r w:rsidRPr="00827182">
                        <w:rPr>
                          <w:rFonts w:ascii="FbSfaradi Bold" w:hAnsi="FbSfaradi Bold" w:cs="FbSfaradi Bold"/>
                          <w:spacing w:val="-5"/>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4203C7D9">
                <wp:simplePos x="0" y="0"/>
                <wp:positionH relativeFrom="margin">
                  <wp:posOffset>0</wp:posOffset>
                </wp:positionH>
                <wp:positionV relativeFrom="margin">
                  <wp:posOffset>3860800</wp:posOffset>
                </wp:positionV>
                <wp:extent cx="3032760" cy="13335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4D06EF" w:rsidRPr="008A2DB0" w:rsidRDefault="004D06EF"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1FFF4580" w:rsidR="004D06EF" w:rsidRPr="008A2DB0" w:rsidRDefault="004D06EF" w:rsidP="008A2DB0">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sidRPr="008A2DB0">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קנה</w:t>
                            </w:r>
                            <w:r w:rsidRPr="008A2DB0">
                              <w:rPr>
                                <w:rFonts w:ascii="FbSfaradi Regular" w:hAnsi="FbSfaradi Regular" w:cs="PFT_Vilna"/>
                                <w:sz w:val="28"/>
                                <w:szCs w:val="28"/>
                                <w:rtl/>
                              </w:rPr>
                              <w:t>]</w:t>
                            </w:r>
                          </w:p>
                          <w:p w14:paraId="4ECF806B" w14:textId="29B70C47" w:rsidR="004D06EF" w:rsidRPr="008A2DB0" w:rsidRDefault="004D06EF" w:rsidP="008A2DB0">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יום הבהיר י"ד - י"ט כסלו - פרשת וישב</w:t>
                            </w:r>
                          </w:p>
                          <w:p w14:paraId="097E572D" w14:textId="77777777" w:rsidR="004D06EF" w:rsidRPr="008A2DB0" w:rsidRDefault="004D06EF"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8" type="#_x0000_t202" style="position:absolute;left:0;text-align:left;margin-left:0;margin-top:304pt;width:238.8pt;height:105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" filled="f" stroked="f" strokecolor="black [0]" insetpen="t">
                <v:textbox inset="2.88pt,2.88pt,2.88pt,2.88pt">
                  <w:txbxContent>
                    <w:p w14:paraId="68A2CE28" w14:textId="77777777" w:rsidR="004D06EF" w:rsidRPr="008A2DB0" w:rsidRDefault="004D06EF"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1FFF4580" w:rsidR="004D06EF" w:rsidRPr="008A2DB0" w:rsidRDefault="004D06EF" w:rsidP="008A2DB0">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sidRPr="008A2DB0">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קנה</w:t>
                      </w:r>
                      <w:r w:rsidRPr="008A2DB0">
                        <w:rPr>
                          <w:rFonts w:ascii="FbSfaradi Regular" w:hAnsi="FbSfaradi Regular" w:cs="PFT_Vilna"/>
                          <w:sz w:val="28"/>
                          <w:szCs w:val="28"/>
                          <w:rtl/>
                        </w:rPr>
                        <w:t>]</w:t>
                      </w:r>
                    </w:p>
                    <w:p w14:paraId="4ECF806B" w14:textId="29B70C47" w:rsidR="004D06EF" w:rsidRPr="008A2DB0" w:rsidRDefault="004D06EF" w:rsidP="008A2DB0">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יום הבהיר י"ד - י"ט כסלו - פרשת וישב</w:t>
                      </w:r>
                    </w:p>
                    <w:p w14:paraId="097E572D" w14:textId="77777777" w:rsidR="004D06EF" w:rsidRPr="008A2DB0" w:rsidRDefault="004D06EF"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41BE8AC2">
                <wp:simplePos x="0" y="0"/>
                <wp:positionH relativeFrom="margin">
                  <wp:posOffset>0</wp:posOffset>
                </wp:positionH>
                <wp:positionV relativeFrom="margin">
                  <wp:posOffset>-198120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4D06EF" w:rsidRDefault="004D06EF" w:rsidP="004E6CD8">
                            <w:pPr>
                              <w:widowControl w:val="0"/>
                              <w:bidi/>
                              <w:spacing w:line="156" w:lineRule="auto"/>
                              <w:jc w:val="center"/>
                              <w:rPr>
                                <w:rFonts w:ascii="FbSfaradi Regular" w:hAnsi="FbSfaradi Regular" w:cs="FbSfaradi Regular"/>
                                <w:sz w:val="26"/>
                                <w:szCs w:val="26"/>
                                <w:rtl/>
                              </w:rPr>
                            </w:pPr>
                          </w:p>
                          <w:p w14:paraId="483A4320" w14:textId="03D4C189" w:rsidR="004D06EF" w:rsidRPr="00827182" w:rsidRDefault="004D06EF"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4D06EF" w:rsidRPr="00E967C0" w:rsidRDefault="004D06EF" w:rsidP="00827182">
                            <w:pPr>
                              <w:widowControl w:val="0"/>
                              <w:bidi/>
                              <w:spacing w:line="240" w:lineRule="auto"/>
                              <w:jc w:val="center"/>
                              <w:rPr>
                                <w:rFonts w:ascii="FbSfaradi Regular" w:hAnsi="FbSfaradi Regular" w:cs="FbSfaradi Regular"/>
                                <w:sz w:val="2"/>
                                <w:szCs w:val="2"/>
                                <w:rtl/>
                              </w:rPr>
                            </w:pPr>
                          </w:p>
                          <w:p w14:paraId="7F38909B" w14:textId="77777777" w:rsidR="004D06EF" w:rsidRPr="0041359D" w:rsidRDefault="004D06EF"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4D06EF" w:rsidRPr="0041359D" w:rsidRDefault="004D06EF" w:rsidP="0041359D">
                            <w:pPr>
                              <w:widowControl w:val="0"/>
                              <w:bidi/>
                              <w:spacing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4D06EF" w:rsidRPr="00827182" w:rsidRDefault="004D06EF"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4D06EF" w:rsidRPr="0041359D" w:rsidRDefault="004D06EF"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9" type="#_x0000_t202" style="position:absolute;left:0;text-align:left;margin-left:0;margin-top:-15.6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" filled="f" stroked="f" strokecolor="black [0]" insetpen="t">
                <v:textbox inset="2.88pt,2.88pt,2.88pt,2.88pt">
                  <w:txbxContent>
                    <w:p w14:paraId="765EB89B" w14:textId="77777777" w:rsidR="004D06EF" w:rsidRDefault="004D06EF" w:rsidP="004E6CD8">
                      <w:pPr>
                        <w:widowControl w:val="0"/>
                        <w:bidi/>
                        <w:spacing w:line="156" w:lineRule="auto"/>
                        <w:jc w:val="center"/>
                        <w:rPr>
                          <w:rFonts w:ascii="FbSfaradi Regular" w:hAnsi="FbSfaradi Regular" w:cs="FbSfaradi Regular"/>
                          <w:sz w:val="26"/>
                          <w:szCs w:val="26"/>
                          <w:rtl/>
                        </w:rPr>
                      </w:pPr>
                    </w:p>
                    <w:p w14:paraId="483A4320" w14:textId="03D4C189" w:rsidR="004D06EF" w:rsidRPr="00827182" w:rsidRDefault="004D06EF"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4D06EF" w:rsidRPr="00E967C0" w:rsidRDefault="004D06EF" w:rsidP="00827182">
                      <w:pPr>
                        <w:widowControl w:val="0"/>
                        <w:bidi/>
                        <w:spacing w:line="240" w:lineRule="auto"/>
                        <w:jc w:val="center"/>
                        <w:rPr>
                          <w:rFonts w:ascii="FbSfaradi Regular" w:hAnsi="FbSfaradi Regular" w:cs="FbSfaradi Regular"/>
                          <w:sz w:val="2"/>
                          <w:szCs w:val="2"/>
                          <w:rtl/>
                        </w:rPr>
                      </w:pPr>
                    </w:p>
                    <w:p w14:paraId="7F38909B" w14:textId="77777777" w:rsidR="004D06EF" w:rsidRPr="0041359D" w:rsidRDefault="004D06EF"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4D06EF" w:rsidRPr="0041359D" w:rsidRDefault="004D06EF" w:rsidP="0041359D">
                      <w:pPr>
                        <w:widowControl w:val="0"/>
                        <w:bidi/>
                        <w:spacing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w:t>
                      </w:r>
                      <w:bookmarkStart w:id="2" w:name="_GoBack"/>
                      <w:bookmarkEnd w:id="2"/>
                      <w:r w:rsidRPr="0041359D">
                        <w:rPr>
                          <w:rFonts w:ascii="FbSfaradi Bold" w:hAnsi="FbSfaradi Bold" w:cs="AAd_Ashcnazi"/>
                          <w:sz w:val="146"/>
                          <w:szCs w:val="146"/>
                          <w:rtl/>
                        </w:rPr>
                        <w:t>ים</w:t>
                      </w:r>
                    </w:p>
                    <w:p w14:paraId="2150425F" w14:textId="77777777" w:rsidR="004D06EF" w:rsidRPr="00827182" w:rsidRDefault="004D06EF"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4D06EF" w:rsidRPr="0041359D" w:rsidRDefault="004D06EF"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0A5E292C" w:rsidR="00C63C03" w:rsidRPr="004F6AB2" w:rsidRDefault="00DC54CC" w:rsidP="00D50EFC">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יום הבהיר </w:t>
      </w:r>
      <w:r w:rsidR="00140022">
        <w:rPr>
          <w:rFonts w:ascii="FbFRealBelet Bold" w:hAnsi="FbFRealBelet Bold" w:cs="FbFRealBelet Bold" w:hint="cs"/>
          <w:b/>
          <w:bCs/>
          <w:sz w:val="32"/>
          <w:szCs w:val="32"/>
          <w:rtl/>
        </w:rPr>
        <w:t xml:space="preserve">י"ד </w:t>
      </w:r>
      <w:r w:rsidR="00140022">
        <w:rPr>
          <w:rFonts w:ascii="FbFRealBelet Bold" w:hAnsi="FbFRealBelet Bold" w:cs="FbFRealBelet Bold"/>
          <w:b/>
          <w:bCs/>
          <w:sz w:val="32"/>
          <w:szCs w:val="32"/>
          <w:rtl/>
        </w:rPr>
        <w:t>–</w:t>
      </w:r>
      <w:r w:rsidR="00140022">
        <w:rPr>
          <w:rFonts w:ascii="FbFRealBelet Bold" w:hAnsi="FbFRealBelet Bold" w:cs="FbFRealBelet Bold" w:hint="cs"/>
          <w:b/>
          <w:bCs/>
          <w:sz w:val="32"/>
          <w:szCs w:val="32"/>
          <w:rtl/>
        </w:rPr>
        <w:t xml:space="preserve"> י"ט</w:t>
      </w:r>
      <w:r>
        <w:rPr>
          <w:rFonts w:ascii="FbFRealBelet Bold" w:hAnsi="FbFRealBelet Bold" w:cs="FbFRealBelet Bold" w:hint="cs"/>
          <w:b/>
          <w:bCs/>
          <w:sz w:val="32"/>
          <w:szCs w:val="32"/>
          <w:rtl/>
        </w:rPr>
        <w:t xml:space="preserve"> כסלו - </w:t>
      </w:r>
      <w:r w:rsidR="00C45C4C">
        <w:rPr>
          <w:rFonts w:ascii="FbFRealBelet Bold" w:hAnsi="FbFRealBelet Bold" w:cs="FbFRealBelet Bold" w:hint="cs"/>
          <w:b/>
          <w:bCs/>
          <w:sz w:val="32"/>
          <w:szCs w:val="32"/>
          <w:rtl/>
        </w:rPr>
        <w:t xml:space="preserve">פרשת </w:t>
      </w:r>
      <w:r w:rsidR="00140022">
        <w:rPr>
          <w:rFonts w:ascii="FbFRealBelet Bold" w:hAnsi="FbFRealBelet Bold" w:cs="FbFRealBelet Bold" w:hint="cs"/>
          <w:b/>
          <w:bCs/>
          <w:sz w:val="32"/>
          <w:szCs w:val="32"/>
          <w:rtl/>
        </w:rPr>
        <w:t>וישב</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140022">
        <w:rPr>
          <w:rFonts w:ascii="FbFRealBelet Bold" w:hAnsi="FbFRealBelet Bold" w:cs="FbFRealBelet Bold" w:hint="cs"/>
          <w:b/>
          <w:bCs/>
          <w:sz w:val="32"/>
          <w:szCs w:val="32"/>
          <w:rtl/>
        </w:rPr>
        <w:t>ו</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140022">
        <w:rPr>
          <w:rFonts w:ascii="FbFRealBelet Bold" w:hAnsi="FbFRealBelet Bold" w:cs="FbFRealBelet Bold" w:hint="cs"/>
          <w:b/>
          <w:bCs/>
          <w:sz w:val="32"/>
          <w:szCs w:val="32"/>
          <w:rtl/>
        </w:rPr>
        <w:t>ה</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3AC3A62" w14:textId="73CB44F8" w:rsidR="004D06EF" w:rsidRDefault="00DC501D" w:rsidP="004D06EF">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31140340" w:history="1">
            <w:r w:rsidR="004D06EF" w:rsidRPr="00DD33D4">
              <w:rPr>
                <w:rStyle w:val="Hyperlink"/>
                <w:rFonts w:hint="eastAsia"/>
                <w:rtl/>
              </w:rPr>
              <w:t>עניני</w:t>
            </w:r>
            <w:r w:rsidR="004D06EF" w:rsidRPr="00DD33D4">
              <w:rPr>
                <w:rStyle w:val="Hyperlink"/>
                <w:rtl/>
              </w:rPr>
              <w:t xml:space="preserve"> </w:t>
            </w:r>
            <w:r w:rsidR="004D06EF" w:rsidRPr="00DD33D4">
              <w:rPr>
                <w:rStyle w:val="Hyperlink"/>
                <w:rFonts w:hint="eastAsia"/>
                <w:rtl/>
              </w:rPr>
              <w:t>משיח</w:t>
            </w:r>
            <w:r w:rsidR="004D06EF" w:rsidRPr="00DD33D4">
              <w:rPr>
                <w:rStyle w:val="Hyperlink"/>
                <w:rtl/>
              </w:rPr>
              <w:t xml:space="preserve"> </w:t>
            </w:r>
            <w:r w:rsidR="004D06EF" w:rsidRPr="00DD33D4">
              <w:rPr>
                <w:rStyle w:val="Hyperlink"/>
                <w:rFonts w:hint="eastAsia"/>
                <w:rtl/>
              </w:rPr>
              <w:t>וגאולה</w:t>
            </w:r>
          </w:hyperlink>
        </w:p>
        <w:p w14:paraId="41488EA1" w14:textId="77777777" w:rsidR="004D06EF" w:rsidRDefault="00A41789" w:rsidP="004D06EF">
          <w:pPr>
            <w:pStyle w:val="TOC2"/>
            <w:rPr>
              <w:rFonts w:asciiTheme="minorHAnsi" w:eastAsiaTheme="minorEastAsia" w:hAnsiTheme="minorHAnsi" w:cstheme="minorBidi"/>
            </w:rPr>
          </w:pPr>
          <w:hyperlink w:anchor="_Toc531140341" w:history="1">
            <w:r w:rsidR="004D06EF" w:rsidRPr="00DD33D4">
              <w:rPr>
                <w:rStyle w:val="Hyperlink"/>
                <w:rFonts w:hint="eastAsia"/>
                <w:rtl/>
              </w:rPr>
              <w:t>הברכות</w:t>
            </w:r>
            <w:r w:rsidR="004D06EF" w:rsidRPr="00DD33D4">
              <w:rPr>
                <w:rStyle w:val="Hyperlink"/>
                <w:rtl/>
              </w:rPr>
              <w:t xml:space="preserve"> </w:t>
            </w:r>
            <w:r w:rsidR="004D06EF" w:rsidRPr="00DD33D4">
              <w:rPr>
                <w:rStyle w:val="Hyperlink"/>
                <w:rFonts w:hint="eastAsia"/>
                <w:rtl/>
              </w:rPr>
              <w:t>שנברך</w:t>
            </w:r>
            <w:r w:rsidR="004D06EF" w:rsidRPr="00DD33D4">
              <w:rPr>
                <w:rStyle w:val="Hyperlink"/>
                <w:rtl/>
              </w:rPr>
              <w:t xml:space="preserve"> </w:t>
            </w:r>
            <w:r w:rsidR="004D06EF" w:rsidRPr="00DD33D4">
              <w:rPr>
                <w:rStyle w:val="Hyperlink"/>
                <w:rFonts w:hint="eastAsia"/>
                <w:rtl/>
              </w:rPr>
              <w:t>בראיית</w:t>
            </w:r>
            <w:r w:rsidR="004D06EF" w:rsidRPr="00DD33D4">
              <w:rPr>
                <w:rStyle w:val="Hyperlink"/>
                <w:rtl/>
              </w:rPr>
              <w:t xml:space="preserve"> </w:t>
            </w:r>
            <w:r w:rsidR="004D06EF" w:rsidRPr="00DD33D4">
              <w:rPr>
                <w:rStyle w:val="Hyperlink"/>
                <w:rFonts w:hint="eastAsia"/>
                <w:rtl/>
              </w:rPr>
              <w:t>משיח</w:t>
            </w:r>
            <w:r w:rsidR="004D06EF" w:rsidRPr="00DD33D4">
              <w:rPr>
                <w:rStyle w:val="Hyperlink"/>
                <w:rtl/>
              </w:rPr>
              <w:t xml:space="preserve"> </w:t>
            </w:r>
            <w:r w:rsidR="004D06EF" w:rsidRPr="00DD33D4">
              <w:rPr>
                <w:rStyle w:val="Hyperlink"/>
                <w:rFonts w:hint="eastAsia"/>
                <w:rtl/>
              </w:rPr>
              <w:t>בב</w:t>
            </w:r>
            <w:r w:rsidR="004D06EF" w:rsidRPr="00DD33D4">
              <w:rPr>
                <w:rStyle w:val="Hyperlink"/>
                <w:rtl/>
              </w:rPr>
              <w:t>"</w:t>
            </w:r>
            <w:r w:rsidR="004D06EF" w:rsidRPr="00DD33D4">
              <w:rPr>
                <w:rStyle w:val="Hyperlink"/>
                <w:rFonts w:hint="eastAsia"/>
                <w:rtl/>
              </w:rPr>
              <w:t>א</w:t>
            </w:r>
            <w:r w:rsidR="004D06EF">
              <w:rPr>
                <w:webHidden/>
              </w:rPr>
              <w:tab/>
            </w:r>
            <w:r w:rsidR="004D06EF">
              <w:rPr>
                <w:webHidden/>
              </w:rPr>
              <w:fldChar w:fldCharType="begin"/>
            </w:r>
            <w:r w:rsidR="004D06EF">
              <w:rPr>
                <w:webHidden/>
              </w:rPr>
              <w:instrText xml:space="preserve"> PAGEREF _Toc531140341 \h </w:instrText>
            </w:r>
            <w:r w:rsidR="004D06EF">
              <w:rPr>
                <w:webHidden/>
              </w:rPr>
            </w:r>
            <w:r w:rsidR="004D06EF">
              <w:rPr>
                <w:webHidden/>
              </w:rPr>
              <w:fldChar w:fldCharType="separate"/>
            </w:r>
            <w:r w:rsidR="00BE6663">
              <w:rPr>
                <w:webHidden/>
                <w:rtl/>
              </w:rPr>
              <w:t>7</w:t>
            </w:r>
            <w:r w:rsidR="004D06EF">
              <w:rPr>
                <w:webHidden/>
              </w:rPr>
              <w:fldChar w:fldCharType="end"/>
            </w:r>
          </w:hyperlink>
        </w:p>
        <w:p w14:paraId="179485D7" w14:textId="4AFCAC48" w:rsidR="004D06EF" w:rsidRDefault="00A41789" w:rsidP="004D06EF">
          <w:pPr>
            <w:pStyle w:val="TOC3"/>
            <w:rPr>
              <w:rFonts w:asciiTheme="minorHAnsi" w:eastAsiaTheme="minorEastAsia" w:hAnsiTheme="minorHAnsi" w:cstheme="minorBidi"/>
              <w:sz w:val="22"/>
              <w:szCs w:val="22"/>
              <w:lang w:val="en-US"/>
            </w:rPr>
          </w:pPr>
          <w:hyperlink w:anchor="_Toc531140342"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אברהם</w:t>
            </w:r>
            <w:r w:rsidR="004D06EF" w:rsidRPr="00DD33D4">
              <w:rPr>
                <w:rStyle w:val="Hyperlink"/>
                <w:rtl/>
              </w:rPr>
              <w:t xml:space="preserve"> </w:t>
            </w:r>
            <w:r w:rsidR="004D06EF" w:rsidRPr="00DD33D4">
              <w:rPr>
                <w:rStyle w:val="Hyperlink"/>
                <w:rFonts w:hint="eastAsia"/>
                <w:rtl/>
              </w:rPr>
              <w:t>יצחק</w:t>
            </w:r>
            <w:r w:rsidR="004D06EF" w:rsidRPr="00DD33D4">
              <w:rPr>
                <w:rStyle w:val="Hyperlink"/>
                <w:rtl/>
              </w:rPr>
              <w:t xml:space="preserve"> </w:t>
            </w:r>
            <w:r w:rsidR="004D06EF" w:rsidRPr="00DD33D4">
              <w:rPr>
                <w:rStyle w:val="Hyperlink"/>
                <w:rFonts w:hint="eastAsia"/>
                <w:rtl/>
              </w:rPr>
              <w:t>ברוך</w:t>
            </w:r>
            <w:r w:rsidR="004D06EF" w:rsidRPr="00DD33D4">
              <w:rPr>
                <w:rStyle w:val="Hyperlink"/>
                <w:rtl/>
              </w:rPr>
              <w:t xml:space="preserve"> </w:t>
            </w:r>
            <w:r w:rsidR="004D06EF" w:rsidRPr="00DD33D4">
              <w:rPr>
                <w:rStyle w:val="Hyperlink"/>
                <w:rFonts w:hint="eastAsia"/>
                <w:rtl/>
              </w:rPr>
              <w:t>גערליצקי</w:t>
            </w:r>
            <w:r w:rsidR="004D06EF" w:rsidRPr="00DD33D4">
              <w:rPr>
                <w:rStyle w:val="Hyperlink"/>
                <w:rtl/>
              </w:rPr>
              <w:t xml:space="preserve"> </w:t>
            </w:r>
            <w:r w:rsidR="004D06EF" w:rsidRPr="00DD33D4">
              <w:rPr>
                <w:rStyle w:val="Hyperlink"/>
                <w:rFonts w:hint="eastAsia"/>
                <w:rtl/>
              </w:rPr>
              <w:t>שליט</w:t>
            </w:r>
            <w:r w:rsidR="004D06EF" w:rsidRPr="00DD33D4">
              <w:rPr>
                <w:rStyle w:val="Hyperlink"/>
                <w:lang w:bidi="ar-SA"/>
              </w:rPr>
              <w:t>"</w:t>
            </w:r>
            <w:r w:rsidR="004D06EF" w:rsidRPr="00DD33D4">
              <w:rPr>
                <w:rStyle w:val="Hyperlink"/>
                <w:rFonts w:hint="eastAsia"/>
                <w:rtl/>
              </w:rPr>
              <w:t>א</w:t>
            </w:r>
          </w:hyperlink>
        </w:p>
        <w:p w14:paraId="37DF4A4B" w14:textId="77777777" w:rsidR="004D06EF" w:rsidRDefault="00A41789" w:rsidP="004D06EF">
          <w:pPr>
            <w:pStyle w:val="TOC2"/>
            <w:rPr>
              <w:rFonts w:asciiTheme="minorHAnsi" w:eastAsiaTheme="minorEastAsia" w:hAnsiTheme="minorHAnsi" w:cstheme="minorBidi"/>
            </w:rPr>
          </w:pPr>
          <w:hyperlink w:anchor="_Toc531140343" w:history="1">
            <w:r w:rsidR="004D06EF" w:rsidRPr="00DD33D4">
              <w:rPr>
                <w:rStyle w:val="Hyperlink"/>
                <w:rFonts w:hint="eastAsia"/>
                <w:rtl/>
              </w:rPr>
              <w:t>בענין</w:t>
            </w:r>
            <w:r w:rsidR="004D06EF" w:rsidRPr="00DD33D4">
              <w:rPr>
                <w:rStyle w:val="Hyperlink"/>
                <w:lang w:bidi="ar-SA"/>
              </w:rPr>
              <w:t xml:space="preserve"> </w:t>
            </w:r>
            <w:r w:rsidR="004D06EF" w:rsidRPr="00DD33D4">
              <w:rPr>
                <w:rStyle w:val="Hyperlink"/>
                <w:rFonts w:hint="eastAsia"/>
                <w:rtl/>
              </w:rPr>
              <w:t>אין</w:t>
            </w:r>
            <w:r w:rsidR="004D06EF" w:rsidRPr="00DD33D4">
              <w:rPr>
                <w:rStyle w:val="Hyperlink"/>
                <w:lang w:bidi="ar-SA"/>
              </w:rPr>
              <w:t xml:space="preserve"> </w:t>
            </w:r>
            <w:r w:rsidR="004D06EF" w:rsidRPr="00DD33D4">
              <w:rPr>
                <w:rStyle w:val="Hyperlink"/>
                <w:rFonts w:hint="eastAsia"/>
                <w:rtl/>
              </w:rPr>
              <w:t>מקבלים</w:t>
            </w:r>
            <w:r w:rsidR="004D06EF" w:rsidRPr="00DD33D4">
              <w:rPr>
                <w:rStyle w:val="Hyperlink"/>
                <w:lang w:bidi="ar-SA"/>
              </w:rPr>
              <w:t xml:space="preserve"> </w:t>
            </w:r>
            <w:r w:rsidR="004D06EF" w:rsidRPr="00DD33D4">
              <w:rPr>
                <w:rStyle w:val="Hyperlink"/>
                <w:rFonts w:hint="eastAsia"/>
                <w:rtl/>
              </w:rPr>
              <w:t>גרים</w:t>
            </w:r>
            <w:r w:rsidR="004D06EF" w:rsidRPr="00DD33D4">
              <w:rPr>
                <w:rStyle w:val="Hyperlink"/>
                <w:lang w:bidi="ar-SA"/>
              </w:rPr>
              <w:t xml:space="preserve"> </w:t>
            </w:r>
            <w:r w:rsidR="004D06EF" w:rsidRPr="00DD33D4">
              <w:rPr>
                <w:rStyle w:val="Hyperlink"/>
                <w:rFonts w:hint="eastAsia"/>
                <w:rtl/>
              </w:rPr>
              <w:t>לע</w:t>
            </w:r>
            <w:r w:rsidR="004D06EF" w:rsidRPr="00DD33D4">
              <w:rPr>
                <w:rStyle w:val="Hyperlink"/>
                <w:lang w:bidi="ar-SA"/>
              </w:rPr>
              <w:t>"</w:t>
            </w:r>
            <w:r w:rsidR="004D06EF" w:rsidRPr="00DD33D4">
              <w:rPr>
                <w:rStyle w:val="Hyperlink"/>
                <w:rFonts w:hint="eastAsia"/>
                <w:rtl/>
              </w:rPr>
              <w:t>ל</w:t>
            </w:r>
            <w:r w:rsidR="004D06EF">
              <w:rPr>
                <w:webHidden/>
              </w:rPr>
              <w:tab/>
            </w:r>
            <w:r w:rsidR="004D06EF">
              <w:rPr>
                <w:webHidden/>
              </w:rPr>
              <w:fldChar w:fldCharType="begin"/>
            </w:r>
            <w:r w:rsidR="004D06EF">
              <w:rPr>
                <w:webHidden/>
              </w:rPr>
              <w:instrText xml:space="preserve"> PAGEREF _Toc531140343 \h </w:instrText>
            </w:r>
            <w:r w:rsidR="004D06EF">
              <w:rPr>
                <w:webHidden/>
              </w:rPr>
            </w:r>
            <w:r w:rsidR="004D06EF">
              <w:rPr>
                <w:webHidden/>
              </w:rPr>
              <w:fldChar w:fldCharType="separate"/>
            </w:r>
            <w:r w:rsidR="00BE6663">
              <w:rPr>
                <w:webHidden/>
                <w:rtl/>
              </w:rPr>
              <w:t>12</w:t>
            </w:r>
            <w:r w:rsidR="004D06EF">
              <w:rPr>
                <w:webHidden/>
              </w:rPr>
              <w:fldChar w:fldCharType="end"/>
            </w:r>
          </w:hyperlink>
        </w:p>
        <w:p w14:paraId="0C31FA23" w14:textId="01EC5E21" w:rsidR="004D06EF" w:rsidRDefault="00A41789" w:rsidP="004D06EF">
          <w:pPr>
            <w:pStyle w:val="TOC3"/>
            <w:rPr>
              <w:rFonts w:asciiTheme="minorHAnsi" w:eastAsiaTheme="minorEastAsia" w:hAnsiTheme="minorHAnsi" w:cstheme="minorBidi"/>
              <w:sz w:val="22"/>
              <w:szCs w:val="22"/>
              <w:lang w:val="en-US"/>
            </w:rPr>
          </w:pPr>
          <w:hyperlink w:anchor="_Toc531140344"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שלום</w:t>
            </w:r>
            <w:r w:rsidR="004D06EF" w:rsidRPr="00DD33D4">
              <w:rPr>
                <w:rStyle w:val="Hyperlink"/>
                <w:rtl/>
              </w:rPr>
              <w:t xml:space="preserve"> </w:t>
            </w:r>
            <w:r w:rsidR="004D06EF" w:rsidRPr="00DD33D4">
              <w:rPr>
                <w:rStyle w:val="Hyperlink"/>
                <w:rFonts w:hint="eastAsia"/>
                <w:rtl/>
              </w:rPr>
              <w:t>צירקינד</w:t>
            </w:r>
          </w:hyperlink>
        </w:p>
        <w:p w14:paraId="7455D0DA" w14:textId="1DA616A0" w:rsidR="004D06EF" w:rsidRDefault="00A41789" w:rsidP="004D06EF">
          <w:pPr>
            <w:pStyle w:val="TOC1"/>
            <w:rPr>
              <w:rFonts w:asciiTheme="minorHAnsi" w:eastAsiaTheme="minorEastAsia" w:hAnsiTheme="minorHAnsi" w:cstheme="minorBidi"/>
              <w:sz w:val="22"/>
              <w:szCs w:val="22"/>
            </w:rPr>
          </w:pPr>
          <w:hyperlink w:anchor="_Toc531140345" w:history="1">
            <w:r w:rsidR="004D06EF" w:rsidRPr="00DD33D4">
              <w:rPr>
                <w:rStyle w:val="Hyperlink"/>
                <w:rFonts w:hint="eastAsia"/>
                <w:rtl/>
              </w:rPr>
              <w:t>תורת</w:t>
            </w:r>
            <w:r w:rsidR="004D06EF" w:rsidRPr="00DD33D4">
              <w:rPr>
                <w:rStyle w:val="Hyperlink"/>
                <w:rtl/>
              </w:rPr>
              <w:t xml:space="preserve"> </w:t>
            </w:r>
            <w:r w:rsidR="004D06EF" w:rsidRPr="00DD33D4">
              <w:rPr>
                <w:rStyle w:val="Hyperlink"/>
                <w:rFonts w:hint="eastAsia"/>
                <w:rtl/>
              </w:rPr>
              <w:t>רבינו</w:t>
            </w:r>
          </w:hyperlink>
        </w:p>
        <w:p w14:paraId="1B3A279E" w14:textId="77777777" w:rsidR="004D06EF" w:rsidRDefault="00A41789" w:rsidP="004D06EF">
          <w:pPr>
            <w:pStyle w:val="TOC2"/>
            <w:rPr>
              <w:rFonts w:asciiTheme="minorHAnsi" w:eastAsiaTheme="minorEastAsia" w:hAnsiTheme="minorHAnsi" w:cstheme="minorBidi"/>
            </w:rPr>
          </w:pPr>
          <w:hyperlink w:anchor="_Toc531140346" w:history="1">
            <w:r w:rsidR="004D06EF" w:rsidRPr="00DD33D4">
              <w:rPr>
                <w:rStyle w:val="Hyperlink"/>
                <w:rFonts w:hint="eastAsia"/>
                <w:rtl/>
              </w:rPr>
              <w:t>היטב</w:t>
            </w:r>
            <w:r w:rsidR="004D06EF" w:rsidRPr="00DD33D4">
              <w:rPr>
                <w:rStyle w:val="Hyperlink"/>
                <w:rtl/>
              </w:rPr>
              <w:t xml:space="preserve"> </w:t>
            </w:r>
            <w:r w:rsidR="004D06EF" w:rsidRPr="00DD33D4">
              <w:rPr>
                <w:rStyle w:val="Hyperlink"/>
                <w:rFonts w:hint="eastAsia"/>
                <w:rtl/>
              </w:rPr>
              <w:t>איטיב</w:t>
            </w:r>
            <w:r w:rsidR="004D06EF" w:rsidRPr="00DD33D4">
              <w:rPr>
                <w:rStyle w:val="Hyperlink"/>
                <w:rtl/>
              </w:rPr>
              <w:t xml:space="preserve"> </w:t>
            </w:r>
            <w:r w:rsidR="004D06EF" w:rsidRPr="00DD33D4">
              <w:rPr>
                <w:rStyle w:val="Hyperlink"/>
                <w:rFonts w:hint="eastAsia"/>
                <w:rtl/>
              </w:rPr>
              <w:t>עמך</w:t>
            </w:r>
            <w:r w:rsidR="004D06EF">
              <w:rPr>
                <w:webHidden/>
              </w:rPr>
              <w:tab/>
            </w:r>
            <w:r w:rsidR="004D06EF">
              <w:rPr>
                <w:webHidden/>
              </w:rPr>
              <w:fldChar w:fldCharType="begin"/>
            </w:r>
            <w:r w:rsidR="004D06EF">
              <w:rPr>
                <w:webHidden/>
              </w:rPr>
              <w:instrText xml:space="preserve"> PAGEREF _Toc531140346 \h </w:instrText>
            </w:r>
            <w:r w:rsidR="004D06EF">
              <w:rPr>
                <w:webHidden/>
              </w:rPr>
            </w:r>
            <w:r w:rsidR="004D06EF">
              <w:rPr>
                <w:webHidden/>
              </w:rPr>
              <w:fldChar w:fldCharType="separate"/>
            </w:r>
            <w:r w:rsidR="00BE6663">
              <w:rPr>
                <w:webHidden/>
                <w:rtl/>
              </w:rPr>
              <w:t>15</w:t>
            </w:r>
            <w:r w:rsidR="004D06EF">
              <w:rPr>
                <w:webHidden/>
              </w:rPr>
              <w:fldChar w:fldCharType="end"/>
            </w:r>
          </w:hyperlink>
        </w:p>
        <w:p w14:paraId="210EABF2" w14:textId="226F3D9C" w:rsidR="004D06EF" w:rsidRDefault="00A41789" w:rsidP="00756517">
          <w:pPr>
            <w:pStyle w:val="TOC3"/>
            <w:rPr>
              <w:rFonts w:asciiTheme="minorHAnsi" w:eastAsiaTheme="minorEastAsia" w:hAnsiTheme="minorHAnsi" w:cstheme="minorBidi"/>
              <w:sz w:val="22"/>
              <w:szCs w:val="22"/>
              <w:lang w:val="en-US"/>
            </w:rPr>
          </w:pPr>
          <w:hyperlink w:anchor="_Toc531140347"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חנ</w:t>
            </w:r>
            <w:r w:rsidR="00756517">
              <w:rPr>
                <w:rStyle w:val="Hyperlink"/>
                <w:rFonts w:hint="cs"/>
                <w:rtl/>
              </w:rPr>
              <w:t xml:space="preserve">ני' </w:t>
            </w:r>
            <w:r w:rsidR="004D06EF" w:rsidRPr="00DD33D4">
              <w:rPr>
                <w:rStyle w:val="Hyperlink"/>
                <w:rFonts w:hint="eastAsia"/>
                <w:rtl/>
              </w:rPr>
              <w:t>יוסף</w:t>
            </w:r>
            <w:r w:rsidR="004D06EF" w:rsidRPr="00DD33D4">
              <w:rPr>
                <w:rStyle w:val="Hyperlink"/>
                <w:rtl/>
              </w:rPr>
              <w:t xml:space="preserve"> </w:t>
            </w:r>
            <w:r w:rsidR="004D06EF" w:rsidRPr="00DD33D4">
              <w:rPr>
                <w:rStyle w:val="Hyperlink"/>
                <w:rFonts w:hint="eastAsia"/>
                <w:rtl/>
              </w:rPr>
              <w:t>אייזנבך</w:t>
            </w:r>
          </w:hyperlink>
        </w:p>
        <w:p w14:paraId="4AE72AB2" w14:textId="77777777" w:rsidR="004D06EF" w:rsidRDefault="00A41789" w:rsidP="004D06EF">
          <w:pPr>
            <w:pStyle w:val="TOC2"/>
            <w:rPr>
              <w:rFonts w:asciiTheme="minorHAnsi" w:eastAsiaTheme="minorEastAsia" w:hAnsiTheme="minorHAnsi" w:cstheme="minorBidi"/>
            </w:rPr>
          </w:pPr>
          <w:hyperlink w:anchor="_Toc531140348" w:history="1">
            <w:r w:rsidR="004D06EF" w:rsidRPr="00DD33D4">
              <w:rPr>
                <w:rStyle w:val="Hyperlink"/>
                <w:rFonts w:hint="eastAsia"/>
                <w:rtl/>
              </w:rPr>
              <w:t>שני</w:t>
            </w:r>
            <w:r w:rsidR="004D06EF" w:rsidRPr="00DD33D4">
              <w:rPr>
                <w:rStyle w:val="Hyperlink"/>
                <w:rtl/>
              </w:rPr>
              <w:t xml:space="preserve"> </w:t>
            </w:r>
            <w:r w:rsidR="004D06EF" w:rsidRPr="00DD33D4">
              <w:rPr>
                <w:rStyle w:val="Hyperlink"/>
                <w:rFonts w:hint="eastAsia"/>
                <w:rtl/>
              </w:rPr>
              <w:t>דינים</w:t>
            </w:r>
            <w:r w:rsidR="004D06EF" w:rsidRPr="00DD33D4">
              <w:rPr>
                <w:rStyle w:val="Hyperlink"/>
                <w:rtl/>
              </w:rPr>
              <w:t xml:space="preserve"> </w:t>
            </w:r>
            <w:r w:rsidR="004D06EF" w:rsidRPr="00DD33D4">
              <w:rPr>
                <w:rStyle w:val="Hyperlink"/>
                <w:rFonts w:hint="eastAsia"/>
                <w:rtl/>
              </w:rPr>
              <w:t>בקדשים</w:t>
            </w:r>
            <w:r w:rsidR="004D06EF">
              <w:rPr>
                <w:webHidden/>
              </w:rPr>
              <w:tab/>
            </w:r>
            <w:r w:rsidR="004D06EF">
              <w:rPr>
                <w:webHidden/>
              </w:rPr>
              <w:fldChar w:fldCharType="begin"/>
            </w:r>
            <w:r w:rsidR="004D06EF">
              <w:rPr>
                <w:webHidden/>
              </w:rPr>
              <w:instrText xml:space="preserve"> PAGEREF _Toc531140348 \h </w:instrText>
            </w:r>
            <w:r w:rsidR="004D06EF">
              <w:rPr>
                <w:webHidden/>
              </w:rPr>
            </w:r>
            <w:r w:rsidR="004D06EF">
              <w:rPr>
                <w:webHidden/>
              </w:rPr>
              <w:fldChar w:fldCharType="separate"/>
            </w:r>
            <w:r w:rsidR="00BE6663">
              <w:rPr>
                <w:webHidden/>
                <w:rtl/>
              </w:rPr>
              <w:t>19</w:t>
            </w:r>
            <w:r w:rsidR="004D06EF">
              <w:rPr>
                <w:webHidden/>
              </w:rPr>
              <w:fldChar w:fldCharType="end"/>
            </w:r>
          </w:hyperlink>
        </w:p>
        <w:p w14:paraId="215DC8F4" w14:textId="5FCCF7A8" w:rsidR="004D06EF" w:rsidRDefault="00A41789" w:rsidP="004D06EF">
          <w:pPr>
            <w:pStyle w:val="TOC3"/>
            <w:rPr>
              <w:rFonts w:asciiTheme="minorHAnsi" w:eastAsiaTheme="minorEastAsia" w:hAnsiTheme="minorHAnsi" w:cstheme="minorBidi"/>
              <w:sz w:val="22"/>
              <w:szCs w:val="22"/>
              <w:lang w:val="en-US"/>
            </w:rPr>
          </w:pPr>
          <w:hyperlink w:anchor="_Toc531140349"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אליהו</w:t>
            </w:r>
            <w:r w:rsidR="004D06EF" w:rsidRPr="00DD33D4">
              <w:rPr>
                <w:rStyle w:val="Hyperlink"/>
                <w:rtl/>
              </w:rPr>
              <w:t xml:space="preserve"> </w:t>
            </w:r>
            <w:r w:rsidR="004D06EF" w:rsidRPr="00DD33D4">
              <w:rPr>
                <w:rStyle w:val="Hyperlink"/>
                <w:rFonts w:hint="eastAsia"/>
                <w:rtl/>
              </w:rPr>
              <w:t>נתן</w:t>
            </w:r>
            <w:r w:rsidR="004D06EF" w:rsidRPr="00DD33D4">
              <w:rPr>
                <w:rStyle w:val="Hyperlink"/>
                <w:rtl/>
              </w:rPr>
              <w:t xml:space="preserve"> </w:t>
            </w:r>
            <w:r w:rsidR="004D06EF" w:rsidRPr="00DD33D4">
              <w:rPr>
                <w:rStyle w:val="Hyperlink"/>
                <w:rFonts w:hint="eastAsia"/>
                <w:rtl/>
              </w:rPr>
              <w:t>הכהן</w:t>
            </w:r>
            <w:r w:rsidR="004D06EF" w:rsidRPr="00DD33D4">
              <w:rPr>
                <w:rStyle w:val="Hyperlink"/>
                <w:rtl/>
              </w:rPr>
              <w:t xml:space="preserve"> </w:t>
            </w:r>
            <w:r w:rsidR="004D06EF" w:rsidRPr="00DD33D4">
              <w:rPr>
                <w:rStyle w:val="Hyperlink"/>
                <w:rFonts w:hint="eastAsia"/>
                <w:rtl/>
              </w:rPr>
              <w:t>סילבערבערג</w:t>
            </w:r>
          </w:hyperlink>
        </w:p>
        <w:p w14:paraId="25F30DC3" w14:textId="77777777" w:rsidR="004D06EF" w:rsidRDefault="00A41789" w:rsidP="004D06EF">
          <w:pPr>
            <w:pStyle w:val="TOC2"/>
            <w:rPr>
              <w:rFonts w:asciiTheme="minorHAnsi" w:eastAsiaTheme="minorEastAsia" w:hAnsiTheme="minorHAnsi" w:cstheme="minorBidi"/>
            </w:rPr>
          </w:pPr>
          <w:hyperlink w:anchor="_Toc531140350" w:history="1">
            <w:r w:rsidR="004D06EF" w:rsidRPr="00DD33D4">
              <w:rPr>
                <w:rStyle w:val="Hyperlink"/>
                <w:rFonts w:hint="eastAsia"/>
                <w:rtl/>
              </w:rPr>
              <w:t>נענש</w:t>
            </w:r>
            <w:r w:rsidR="004D06EF" w:rsidRPr="00DD33D4">
              <w:rPr>
                <w:rStyle w:val="Hyperlink"/>
                <w:rtl/>
              </w:rPr>
              <w:t xml:space="preserve"> </w:t>
            </w:r>
            <w:r w:rsidR="004D06EF" w:rsidRPr="00DD33D4">
              <w:rPr>
                <w:rStyle w:val="Hyperlink"/>
                <w:rFonts w:hint="eastAsia"/>
                <w:rtl/>
              </w:rPr>
              <w:t>יעקב</w:t>
            </w:r>
            <w:r w:rsidR="004D06EF" w:rsidRPr="00DD33D4">
              <w:rPr>
                <w:rStyle w:val="Hyperlink"/>
                <w:rtl/>
              </w:rPr>
              <w:t xml:space="preserve"> </w:t>
            </w:r>
            <w:r w:rsidR="004D06EF" w:rsidRPr="00DD33D4">
              <w:rPr>
                <w:rStyle w:val="Hyperlink"/>
                <w:rFonts w:hint="eastAsia"/>
                <w:rtl/>
              </w:rPr>
              <w:t>שמנעה</w:t>
            </w:r>
            <w:r w:rsidR="004D06EF" w:rsidRPr="00DD33D4">
              <w:rPr>
                <w:rStyle w:val="Hyperlink"/>
                <w:rtl/>
              </w:rPr>
              <w:t xml:space="preserve"> </w:t>
            </w:r>
            <w:r w:rsidR="004D06EF" w:rsidRPr="00DD33D4">
              <w:rPr>
                <w:rStyle w:val="Hyperlink"/>
                <w:rFonts w:hint="eastAsia"/>
                <w:rtl/>
              </w:rPr>
              <w:t>מאחיו</w:t>
            </w:r>
            <w:r w:rsidR="004D06EF" w:rsidRPr="00DD33D4">
              <w:rPr>
                <w:rStyle w:val="Hyperlink"/>
                <w:rtl/>
              </w:rPr>
              <w:t xml:space="preserve"> </w:t>
            </w:r>
            <w:r w:rsidR="004D06EF" w:rsidRPr="00DD33D4">
              <w:rPr>
                <w:rStyle w:val="Hyperlink"/>
                <w:rFonts w:hint="eastAsia"/>
                <w:rtl/>
              </w:rPr>
              <w:t>שמא</w:t>
            </w:r>
            <w:r w:rsidR="004D06EF" w:rsidRPr="00DD33D4">
              <w:rPr>
                <w:rStyle w:val="Hyperlink"/>
                <w:rtl/>
              </w:rPr>
              <w:t xml:space="preserve"> </w:t>
            </w:r>
            <w:r w:rsidR="004D06EF" w:rsidRPr="00DD33D4">
              <w:rPr>
                <w:rStyle w:val="Hyperlink"/>
                <w:rFonts w:hint="eastAsia"/>
                <w:rtl/>
              </w:rPr>
              <w:t>תחזירנו</w:t>
            </w:r>
            <w:r w:rsidR="004D06EF" w:rsidRPr="00DD33D4">
              <w:rPr>
                <w:rStyle w:val="Hyperlink"/>
                <w:rtl/>
              </w:rPr>
              <w:t xml:space="preserve"> </w:t>
            </w:r>
            <w:r w:rsidR="004D06EF" w:rsidRPr="00DD33D4">
              <w:rPr>
                <w:rStyle w:val="Hyperlink"/>
                <w:rFonts w:hint="eastAsia"/>
                <w:rtl/>
              </w:rPr>
              <w:t>למוטב</w:t>
            </w:r>
            <w:r w:rsidR="004D06EF">
              <w:rPr>
                <w:webHidden/>
              </w:rPr>
              <w:tab/>
            </w:r>
            <w:r w:rsidR="004D06EF">
              <w:rPr>
                <w:webHidden/>
              </w:rPr>
              <w:fldChar w:fldCharType="begin"/>
            </w:r>
            <w:r w:rsidR="004D06EF">
              <w:rPr>
                <w:webHidden/>
              </w:rPr>
              <w:instrText xml:space="preserve"> PAGEREF _Toc531140350 \h </w:instrText>
            </w:r>
            <w:r w:rsidR="004D06EF">
              <w:rPr>
                <w:webHidden/>
              </w:rPr>
            </w:r>
            <w:r w:rsidR="004D06EF">
              <w:rPr>
                <w:webHidden/>
              </w:rPr>
              <w:fldChar w:fldCharType="separate"/>
            </w:r>
            <w:r w:rsidR="00BE6663">
              <w:rPr>
                <w:webHidden/>
                <w:rtl/>
              </w:rPr>
              <w:t>26</w:t>
            </w:r>
            <w:r w:rsidR="004D06EF">
              <w:rPr>
                <w:webHidden/>
              </w:rPr>
              <w:fldChar w:fldCharType="end"/>
            </w:r>
          </w:hyperlink>
        </w:p>
        <w:p w14:paraId="7863B280" w14:textId="7FF81070" w:rsidR="004D06EF" w:rsidRDefault="00A41789" w:rsidP="004D06EF">
          <w:pPr>
            <w:pStyle w:val="TOC3"/>
            <w:rPr>
              <w:rFonts w:asciiTheme="minorHAnsi" w:eastAsiaTheme="minorEastAsia" w:hAnsiTheme="minorHAnsi" w:cstheme="minorBidi"/>
              <w:sz w:val="22"/>
              <w:szCs w:val="22"/>
              <w:lang w:val="en-US"/>
            </w:rPr>
          </w:pPr>
          <w:hyperlink w:anchor="_Toc531140351"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ישכר</w:t>
            </w:r>
            <w:r w:rsidR="004D06EF" w:rsidRPr="00DD33D4">
              <w:rPr>
                <w:rStyle w:val="Hyperlink"/>
                <w:rtl/>
              </w:rPr>
              <w:t xml:space="preserve"> </w:t>
            </w:r>
            <w:r w:rsidR="004D06EF" w:rsidRPr="00DD33D4">
              <w:rPr>
                <w:rStyle w:val="Hyperlink"/>
                <w:rFonts w:hint="eastAsia"/>
                <w:rtl/>
              </w:rPr>
              <w:t>דוד</w:t>
            </w:r>
            <w:r w:rsidR="004D06EF" w:rsidRPr="00DD33D4">
              <w:rPr>
                <w:rStyle w:val="Hyperlink"/>
                <w:rtl/>
              </w:rPr>
              <w:t xml:space="preserve"> </w:t>
            </w:r>
            <w:r w:rsidR="004D06EF" w:rsidRPr="00DD33D4">
              <w:rPr>
                <w:rStyle w:val="Hyperlink"/>
                <w:rFonts w:hint="eastAsia"/>
                <w:rtl/>
              </w:rPr>
              <w:t>קלויזנר</w:t>
            </w:r>
          </w:hyperlink>
        </w:p>
        <w:p w14:paraId="23C3CF57" w14:textId="77777777" w:rsidR="004D06EF" w:rsidRDefault="00A41789" w:rsidP="004D06EF">
          <w:pPr>
            <w:pStyle w:val="TOC2"/>
            <w:rPr>
              <w:rFonts w:asciiTheme="minorHAnsi" w:eastAsiaTheme="minorEastAsia" w:hAnsiTheme="minorHAnsi" w:cstheme="minorBidi"/>
            </w:rPr>
          </w:pPr>
          <w:hyperlink w:anchor="_Toc531140352" w:history="1">
            <w:r w:rsidR="004D06EF" w:rsidRPr="00DD33D4">
              <w:rPr>
                <w:rStyle w:val="Hyperlink"/>
                <w:rFonts w:hint="eastAsia"/>
                <w:rtl/>
              </w:rPr>
              <w:t>הטעם</w:t>
            </w:r>
            <w:r w:rsidR="004D06EF" w:rsidRPr="00DD33D4">
              <w:rPr>
                <w:rStyle w:val="Hyperlink"/>
                <w:rtl/>
              </w:rPr>
              <w:t xml:space="preserve"> </w:t>
            </w:r>
            <w:r w:rsidR="004D06EF" w:rsidRPr="00DD33D4">
              <w:rPr>
                <w:rStyle w:val="Hyperlink"/>
                <w:rFonts w:hint="eastAsia"/>
                <w:rtl/>
              </w:rPr>
              <w:t>שלא</w:t>
            </w:r>
            <w:r w:rsidR="004D06EF" w:rsidRPr="00DD33D4">
              <w:rPr>
                <w:rStyle w:val="Hyperlink"/>
                <w:rtl/>
              </w:rPr>
              <w:t xml:space="preserve"> </w:t>
            </w:r>
            <w:r w:rsidR="004D06EF" w:rsidRPr="00DD33D4">
              <w:rPr>
                <w:rStyle w:val="Hyperlink"/>
                <w:rFonts w:hint="eastAsia"/>
                <w:rtl/>
              </w:rPr>
              <w:t>נשא</w:t>
            </w:r>
            <w:r w:rsidR="004D06EF" w:rsidRPr="00DD33D4">
              <w:rPr>
                <w:rStyle w:val="Hyperlink"/>
                <w:rtl/>
              </w:rPr>
              <w:t xml:space="preserve"> </w:t>
            </w:r>
            <w:r w:rsidR="004D06EF" w:rsidRPr="00DD33D4">
              <w:rPr>
                <w:rStyle w:val="Hyperlink"/>
                <w:rFonts w:hint="eastAsia"/>
                <w:rtl/>
              </w:rPr>
              <w:t>יצחק</w:t>
            </w:r>
            <w:r w:rsidR="004D06EF" w:rsidRPr="00DD33D4">
              <w:rPr>
                <w:rStyle w:val="Hyperlink"/>
                <w:rtl/>
              </w:rPr>
              <w:t xml:space="preserve"> </w:t>
            </w:r>
            <w:r w:rsidR="004D06EF" w:rsidRPr="00DD33D4">
              <w:rPr>
                <w:rStyle w:val="Hyperlink"/>
                <w:rFonts w:hint="eastAsia"/>
                <w:rtl/>
              </w:rPr>
              <w:t>אשה</w:t>
            </w:r>
            <w:r w:rsidR="004D06EF" w:rsidRPr="00DD33D4">
              <w:rPr>
                <w:rStyle w:val="Hyperlink"/>
                <w:rtl/>
              </w:rPr>
              <w:t xml:space="preserve"> </w:t>
            </w:r>
            <w:r w:rsidR="004D06EF" w:rsidRPr="00DD33D4">
              <w:rPr>
                <w:rStyle w:val="Hyperlink"/>
                <w:rFonts w:hint="eastAsia"/>
                <w:rtl/>
              </w:rPr>
              <w:t>מבנות</w:t>
            </w:r>
            <w:r w:rsidR="004D06EF" w:rsidRPr="00DD33D4">
              <w:rPr>
                <w:rStyle w:val="Hyperlink"/>
                <w:rtl/>
              </w:rPr>
              <w:t xml:space="preserve"> </w:t>
            </w:r>
            <w:r w:rsidR="004D06EF" w:rsidRPr="00DD33D4">
              <w:rPr>
                <w:rStyle w:val="Hyperlink"/>
                <w:rFonts w:hint="eastAsia"/>
                <w:rtl/>
              </w:rPr>
              <w:t>ישמעאל</w:t>
            </w:r>
            <w:r w:rsidR="004D06EF" w:rsidRPr="00DD33D4">
              <w:rPr>
                <w:rStyle w:val="Hyperlink"/>
                <w:rtl/>
              </w:rPr>
              <w:t xml:space="preserve"> </w:t>
            </w:r>
            <w:r w:rsidR="004D06EF" w:rsidRPr="00DD33D4">
              <w:rPr>
                <w:rStyle w:val="Hyperlink"/>
                <w:rFonts w:hint="eastAsia"/>
                <w:rtl/>
              </w:rPr>
              <w:t>ולוט</w:t>
            </w:r>
            <w:r w:rsidR="004D06EF">
              <w:rPr>
                <w:webHidden/>
              </w:rPr>
              <w:tab/>
            </w:r>
            <w:r w:rsidR="004D06EF">
              <w:rPr>
                <w:webHidden/>
              </w:rPr>
              <w:fldChar w:fldCharType="begin"/>
            </w:r>
            <w:r w:rsidR="004D06EF">
              <w:rPr>
                <w:webHidden/>
              </w:rPr>
              <w:instrText xml:space="preserve"> PAGEREF _Toc531140352 \h </w:instrText>
            </w:r>
            <w:r w:rsidR="004D06EF">
              <w:rPr>
                <w:webHidden/>
              </w:rPr>
            </w:r>
            <w:r w:rsidR="004D06EF">
              <w:rPr>
                <w:webHidden/>
              </w:rPr>
              <w:fldChar w:fldCharType="separate"/>
            </w:r>
            <w:r w:rsidR="00BE6663">
              <w:rPr>
                <w:webHidden/>
                <w:rtl/>
              </w:rPr>
              <w:t>27</w:t>
            </w:r>
            <w:r w:rsidR="004D06EF">
              <w:rPr>
                <w:webHidden/>
              </w:rPr>
              <w:fldChar w:fldCharType="end"/>
            </w:r>
          </w:hyperlink>
        </w:p>
        <w:p w14:paraId="29F5F361" w14:textId="6FF37A58" w:rsidR="004D06EF" w:rsidRDefault="00A41789" w:rsidP="00756517">
          <w:pPr>
            <w:pStyle w:val="TOC3"/>
            <w:rPr>
              <w:rFonts w:asciiTheme="minorHAnsi" w:eastAsiaTheme="minorEastAsia" w:hAnsiTheme="minorHAnsi" w:cstheme="minorBidi"/>
              <w:sz w:val="22"/>
              <w:szCs w:val="22"/>
              <w:lang w:val="en-US"/>
            </w:rPr>
          </w:pPr>
          <w:hyperlink w:anchor="_Toc531140353" w:history="1">
            <w:r w:rsidR="00756517">
              <w:rPr>
                <w:rStyle w:val="Hyperlink"/>
                <w:rFonts w:hint="cs"/>
                <w:rtl/>
              </w:rPr>
              <w:t xml:space="preserve">הת' </w:t>
            </w:r>
            <w:r w:rsidR="004D06EF" w:rsidRPr="00DD33D4">
              <w:rPr>
                <w:rStyle w:val="Hyperlink"/>
                <w:rFonts w:hint="eastAsia"/>
                <w:rtl/>
              </w:rPr>
              <w:t>שמואל</w:t>
            </w:r>
            <w:r w:rsidR="004D06EF" w:rsidRPr="00DD33D4">
              <w:rPr>
                <w:rStyle w:val="Hyperlink"/>
                <w:rtl/>
              </w:rPr>
              <w:t xml:space="preserve"> </w:t>
            </w:r>
            <w:r w:rsidR="004D06EF" w:rsidRPr="00DD33D4">
              <w:rPr>
                <w:rStyle w:val="Hyperlink"/>
                <w:rFonts w:hint="eastAsia"/>
                <w:rtl/>
              </w:rPr>
              <w:t>יוסף</w:t>
            </w:r>
            <w:r w:rsidR="004D06EF" w:rsidRPr="00DD33D4">
              <w:rPr>
                <w:rStyle w:val="Hyperlink"/>
                <w:rtl/>
              </w:rPr>
              <w:t xml:space="preserve"> </w:t>
            </w:r>
            <w:r w:rsidR="004D06EF" w:rsidRPr="00DD33D4">
              <w:rPr>
                <w:rStyle w:val="Hyperlink"/>
                <w:rFonts w:hint="eastAsia"/>
                <w:rtl/>
              </w:rPr>
              <w:t>גרינבוים</w:t>
            </w:r>
          </w:hyperlink>
        </w:p>
        <w:p w14:paraId="5B86A19C" w14:textId="77777777" w:rsidR="004D06EF" w:rsidRDefault="00A41789" w:rsidP="004D06EF">
          <w:pPr>
            <w:pStyle w:val="TOC2"/>
            <w:rPr>
              <w:rFonts w:asciiTheme="minorHAnsi" w:eastAsiaTheme="minorEastAsia" w:hAnsiTheme="minorHAnsi" w:cstheme="minorBidi"/>
            </w:rPr>
          </w:pPr>
          <w:hyperlink w:anchor="_Toc531140354" w:history="1">
            <w:r w:rsidR="004D06EF" w:rsidRPr="00DD33D4">
              <w:rPr>
                <w:rStyle w:val="Hyperlink"/>
                <w:rFonts w:hint="eastAsia"/>
                <w:rtl/>
              </w:rPr>
              <w:t>הספק</w:t>
            </w:r>
            <w:r w:rsidR="004D06EF" w:rsidRPr="00DD33D4">
              <w:rPr>
                <w:rStyle w:val="Hyperlink"/>
                <w:rtl/>
              </w:rPr>
              <w:t xml:space="preserve"> </w:t>
            </w:r>
            <w:r w:rsidR="004D06EF" w:rsidRPr="00DD33D4">
              <w:rPr>
                <w:rStyle w:val="Hyperlink"/>
                <w:rFonts w:hint="eastAsia"/>
                <w:rtl/>
              </w:rPr>
              <w:t>בסוכה</w:t>
            </w:r>
            <w:r w:rsidR="004D06EF" w:rsidRPr="00DD33D4">
              <w:rPr>
                <w:rStyle w:val="Hyperlink"/>
                <w:rtl/>
              </w:rPr>
              <w:t xml:space="preserve"> </w:t>
            </w:r>
            <w:r w:rsidR="004D06EF" w:rsidRPr="00DD33D4">
              <w:rPr>
                <w:rStyle w:val="Hyperlink"/>
                <w:rFonts w:hint="eastAsia"/>
                <w:rtl/>
              </w:rPr>
              <w:t>תחת</w:t>
            </w:r>
            <w:r w:rsidR="004D06EF" w:rsidRPr="00DD33D4">
              <w:rPr>
                <w:rStyle w:val="Hyperlink"/>
                <w:rtl/>
              </w:rPr>
              <w:t xml:space="preserve"> </w:t>
            </w:r>
            <w:r w:rsidR="004D06EF" w:rsidRPr="00DD33D4">
              <w:rPr>
                <w:rStyle w:val="Hyperlink"/>
                <w:rFonts w:hint="eastAsia"/>
                <w:rtl/>
              </w:rPr>
              <w:t>האילן</w:t>
            </w:r>
            <w:r w:rsidR="004D06EF">
              <w:rPr>
                <w:webHidden/>
              </w:rPr>
              <w:tab/>
            </w:r>
            <w:r w:rsidR="004D06EF">
              <w:rPr>
                <w:webHidden/>
              </w:rPr>
              <w:fldChar w:fldCharType="begin"/>
            </w:r>
            <w:r w:rsidR="004D06EF">
              <w:rPr>
                <w:webHidden/>
              </w:rPr>
              <w:instrText xml:space="preserve"> PAGEREF _Toc531140354 \h </w:instrText>
            </w:r>
            <w:r w:rsidR="004D06EF">
              <w:rPr>
                <w:webHidden/>
              </w:rPr>
            </w:r>
            <w:r w:rsidR="004D06EF">
              <w:rPr>
                <w:webHidden/>
              </w:rPr>
              <w:fldChar w:fldCharType="separate"/>
            </w:r>
            <w:r w:rsidR="00BE6663">
              <w:rPr>
                <w:webHidden/>
                <w:rtl/>
              </w:rPr>
              <w:t>29</w:t>
            </w:r>
            <w:r w:rsidR="004D06EF">
              <w:rPr>
                <w:webHidden/>
              </w:rPr>
              <w:fldChar w:fldCharType="end"/>
            </w:r>
          </w:hyperlink>
        </w:p>
        <w:p w14:paraId="56F2C18D" w14:textId="6020162A" w:rsidR="004D06EF" w:rsidRDefault="00A41789" w:rsidP="00756517">
          <w:pPr>
            <w:pStyle w:val="TOC3"/>
            <w:rPr>
              <w:rFonts w:asciiTheme="minorHAnsi" w:eastAsiaTheme="minorEastAsia" w:hAnsiTheme="minorHAnsi" w:cstheme="minorBidi"/>
              <w:sz w:val="22"/>
              <w:szCs w:val="22"/>
              <w:lang w:val="en-US"/>
            </w:rPr>
          </w:pPr>
          <w:hyperlink w:anchor="_Toc531140355" w:history="1">
            <w:r w:rsidR="004D06EF" w:rsidRPr="00DD33D4">
              <w:rPr>
                <w:rStyle w:val="Hyperlink"/>
                <w:rFonts w:hint="eastAsia"/>
                <w:rtl/>
              </w:rPr>
              <w:t>הת</w:t>
            </w:r>
            <w:r w:rsidR="00756517">
              <w:rPr>
                <w:rStyle w:val="Hyperlink"/>
                <w:rFonts w:hint="cs"/>
                <w:rtl/>
              </w:rPr>
              <w:t xml:space="preserve">' </w:t>
            </w:r>
            <w:r w:rsidR="004D06EF" w:rsidRPr="00DD33D4">
              <w:rPr>
                <w:rStyle w:val="Hyperlink"/>
                <w:rFonts w:hint="eastAsia"/>
                <w:rtl/>
              </w:rPr>
              <w:t>שמואל</w:t>
            </w:r>
            <w:r w:rsidR="004D06EF" w:rsidRPr="00DD33D4">
              <w:rPr>
                <w:rStyle w:val="Hyperlink"/>
                <w:rtl/>
              </w:rPr>
              <w:t xml:space="preserve"> </w:t>
            </w:r>
            <w:r w:rsidR="004D06EF" w:rsidRPr="00DD33D4">
              <w:rPr>
                <w:rStyle w:val="Hyperlink"/>
                <w:rFonts w:hint="eastAsia"/>
                <w:rtl/>
              </w:rPr>
              <w:t>קאפלאן</w:t>
            </w:r>
          </w:hyperlink>
        </w:p>
        <w:p w14:paraId="39F81CEF" w14:textId="5F01C0EC" w:rsidR="004D06EF" w:rsidRDefault="00A41789" w:rsidP="004D06EF">
          <w:pPr>
            <w:pStyle w:val="TOC1"/>
            <w:rPr>
              <w:rFonts w:asciiTheme="minorHAnsi" w:eastAsiaTheme="minorEastAsia" w:hAnsiTheme="minorHAnsi" w:cstheme="minorBidi"/>
              <w:sz w:val="22"/>
              <w:szCs w:val="22"/>
            </w:rPr>
          </w:pPr>
          <w:hyperlink w:anchor="_Toc531140356" w:history="1">
            <w:r w:rsidR="004D06EF" w:rsidRPr="00DD33D4">
              <w:rPr>
                <w:rStyle w:val="Hyperlink"/>
                <w:rFonts w:hint="eastAsia"/>
                <w:rtl/>
              </w:rPr>
              <w:t>אגרות</w:t>
            </w:r>
            <w:r w:rsidR="004D06EF" w:rsidRPr="00DD33D4">
              <w:rPr>
                <w:rStyle w:val="Hyperlink"/>
                <w:rtl/>
              </w:rPr>
              <w:t xml:space="preserve"> </w:t>
            </w:r>
            <w:r w:rsidR="004D06EF" w:rsidRPr="00DD33D4">
              <w:rPr>
                <w:rStyle w:val="Hyperlink"/>
                <w:rFonts w:hint="eastAsia"/>
                <w:rtl/>
              </w:rPr>
              <w:t>קודש</w:t>
            </w:r>
          </w:hyperlink>
        </w:p>
        <w:p w14:paraId="7E7AC713" w14:textId="77777777" w:rsidR="004D06EF" w:rsidRDefault="00A41789" w:rsidP="004D06EF">
          <w:pPr>
            <w:pStyle w:val="TOC2"/>
            <w:rPr>
              <w:rFonts w:asciiTheme="minorHAnsi" w:eastAsiaTheme="minorEastAsia" w:hAnsiTheme="minorHAnsi" w:cstheme="minorBidi"/>
            </w:rPr>
          </w:pPr>
          <w:hyperlink w:anchor="_Toc531140357" w:history="1">
            <w:r w:rsidR="004D06EF" w:rsidRPr="00DD33D4">
              <w:rPr>
                <w:rStyle w:val="Hyperlink"/>
                <w:rFonts w:hint="eastAsia"/>
                <w:rtl/>
              </w:rPr>
              <w:t>חובת</w:t>
            </w:r>
            <w:r w:rsidR="004D06EF" w:rsidRPr="00DD33D4">
              <w:rPr>
                <w:rStyle w:val="Hyperlink"/>
                <w:rtl/>
              </w:rPr>
              <w:t xml:space="preserve"> </w:t>
            </w:r>
            <w:r w:rsidR="004D06EF" w:rsidRPr="00DD33D4">
              <w:rPr>
                <w:rStyle w:val="Hyperlink"/>
                <w:rFonts w:hint="eastAsia"/>
                <w:rtl/>
              </w:rPr>
              <w:t>החיסונים</w:t>
            </w:r>
            <w:r w:rsidR="004D06EF" w:rsidRPr="00DD33D4">
              <w:rPr>
                <w:rStyle w:val="Hyperlink"/>
                <w:rtl/>
              </w:rPr>
              <w:t xml:space="preserve"> </w:t>
            </w:r>
            <w:r w:rsidR="004D06EF" w:rsidRPr="00DD33D4">
              <w:rPr>
                <w:rStyle w:val="Hyperlink"/>
                <w:rFonts w:hint="eastAsia"/>
                <w:rtl/>
              </w:rPr>
              <w:t>לילדים</w:t>
            </w:r>
            <w:r w:rsidR="004D06EF">
              <w:rPr>
                <w:webHidden/>
              </w:rPr>
              <w:tab/>
            </w:r>
            <w:r w:rsidR="004D06EF">
              <w:rPr>
                <w:webHidden/>
              </w:rPr>
              <w:fldChar w:fldCharType="begin"/>
            </w:r>
            <w:r w:rsidR="004D06EF">
              <w:rPr>
                <w:webHidden/>
              </w:rPr>
              <w:instrText xml:space="preserve"> PAGEREF _Toc531140357 \h </w:instrText>
            </w:r>
            <w:r w:rsidR="004D06EF">
              <w:rPr>
                <w:webHidden/>
              </w:rPr>
            </w:r>
            <w:r w:rsidR="004D06EF">
              <w:rPr>
                <w:webHidden/>
              </w:rPr>
              <w:fldChar w:fldCharType="separate"/>
            </w:r>
            <w:r w:rsidR="00BE6663">
              <w:rPr>
                <w:webHidden/>
                <w:rtl/>
              </w:rPr>
              <w:t>30</w:t>
            </w:r>
            <w:r w:rsidR="004D06EF">
              <w:rPr>
                <w:webHidden/>
              </w:rPr>
              <w:fldChar w:fldCharType="end"/>
            </w:r>
          </w:hyperlink>
        </w:p>
        <w:p w14:paraId="47342454" w14:textId="555F05EF" w:rsidR="004D06EF" w:rsidRDefault="00A41789" w:rsidP="004D06EF">
          <w:pPr>
            <w:pStyle w:val="TOC3"/>
            <w:rPr>
              <w:rFonts w:asciiTheme="minorHAnsi" w:eastAsiaTheme="minorEastAsia" w:hAnsiTheme="minorHAnsi" w:cstheme="minorBidi"/>
              <w:sz w:val="22"/>
              <w:szCs w:val="22"/>
              <w:lang w:val="en-US"/>
            </w:rPr>
          </w:pPr>
          <w:hyperlink w:anchor="_Toc531140358"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ברוך</w:t>
            </w:r>
            <w:r w:rsidR="004D06EF" w:rsidRPr="00DD33D4">
              <w:rPr>
                <w:rStyle w:val="Hyperlink"/>
                <w:rtl/>
              </w:rPr>
              <w:t xml:space="preserve"> </w:t>
            </w:r>
            <w:r w:rsidR="004D06EF" w:rsidRPr="00DD33D4">
              <w:rPr>
                <w:rStyle w:val="Hyperlink"/>
                <w:rFonts w:hint="eastAsia"/>
                <w:rtl/>
              </w:rPr>
              <w:t>אבערלאנדער</w:t>
            </w:r>
          </w:hyperlink>
        </w:p>
        <w:p w14:paraId="3662913E" w14:textId="77777777" w:rsidR="004D06EF" w:rsidRDefault="00A41789" w:rsidP="004D06EF">
          <w:pPr>
            <w:pStyle w:val="TOC2"/>
            <w:rPr>
              <w:rFonts w:asciiTheme="minorHAnsi" w:eastAsiaTheme="minorEastAsia" w:hAnsiTheme="minorHAnsi" w:cstheme="minorBidi"/>
            </w:rPr>
          </w:pPr>
          <w:hyperlink w:anchor="_Toc531140359" w:history="1">
            <w:r w:rsidR="004D06EF" w:rsidRPr="00DD33D4">
              <w:rPr>
                <w:rStyle w:val="Hyperlink"/>
                <w:rFonts w:hint="eastAsia"/>
                <w:rtl/>
              </w:rPr>
              <w:t>בעיה</w:t>
            </w:r>
            <w:r w:rsidR="004D06EF" w:rsidRPr="00DD33D4">
              <w:rPr>
                <w:rStyle w:val="Hyperlink"/>
                <w:rtl/>
              </w:rPr>
              <w:t xml:space="preserve"> </w:t>
            </w:r>
            <w:r w:rsidR="004D06EF" w:rsidRPr="00DD33D4">
              <w:rPr>
                <w:rStyle w:val="Hyperlink"/>
                <w:rFonts w:hint="eastAsia"/>
                <w:rtl/>
              </w:rPr>
              <w:t>קשה</w:t>
            </w:r>
            <w:r w:rsidR="004D06EF" w:rsidRPr="00DD33D4">
              <w:rPr>
                <w:rStyle w:val="Hyperlink"/>
                <w:rtl/>
              </w:rPr>
              <w:t xml:space="preserve"> </w:t>
            </w:r>
            <w:r w:rsidR="004D06EF" w:rsidRPr="00DD33D4">
              <w:rPr>
                <w:rStyle w:val="Hyperlink"/>
                <w:rFonts w:hint="eastAsia"/>
                <w:rtl/>
              </w:rPr>
              <w:t>בהפרשת</w:t>
            </w:r>
            <w:r w:rsidR="004D06EF" w:rsidRPr="00DD33D4">
              <w:rPr>
                <w:rStyle w:val="Hyperlink"/>
                <w:rtl/>
              </w:rPr>
              <w:t xml:space="preserve"> </w:t>
            </w:r>
            <w:r w:rsidR="004D06EF" w:rsidRPr="00DD33D4">
              <w:rPr>
                <w:rStyle w:val="Hyperlink"/>
                <w:rFonts w:hint="eastAsia"/>
                <w:rtl/>
              </w:rPr>
              <w:t>תרומות</w:t>
            </w:r>
            <w:r w:rsidR="004D06EF" w:rsidRPr="00DD33D4">
              <w:rPr>
                <w:rStyle w:val="Hyperlink"/>
                <w:rtl/>
              </w:rPr>
              <w:t xml:space="preserve"> </w:t>
            </w:r>
            <w:r w:rsidR="004D06EF" w:rsidRPr="00DD33D4">
              <w:rPr>
                <w:rStyle w:val="Hyperlink"/>
                <w:rFonts w:hint="eastAsia"/>
                <w:rtl/>
              </w:rPr>
              <w:t>ומעשרות</w:t>
            </w:r>
            <w:r w:rsidR="004D06EF" w:rsidRPr="00DD33D4">
              <w:rPr>
                <w:rStyle w:val="Hyperlink"/>
              </w:rPr>
              <w:t xml:space="preserve"> </w:t>
            </w:r>
            <w:r w:rsidR="004D06EF" w:rsidRPr="00DD33D4">
              <w:rPr>
                <w:rStyle w:val="Hyperlink"/>
                <w:rFonts w:hint="eastAsia"/>
                <w:rtl/>
              </w:rPr>
              <w:t>בימינו</w:t>
            </w:r>
            <w:r w:rsidR="004D06EF">
              <w:rPr>
                <w:webHidden/>
              </w:rPr>
              <w:tab/>
            </w:r>
            <w:r w:rsidR="004D06EF">
              <w:rPr>
                <w:webHidden/>
              </w:rPr>
              <w:fldChar w:fldCharType="begin"/>
            </w:r>
            <w:r w:rsidR="004D06EF">
              <w:rPr>
                <w:webHidden/>
              </w:rPr>
              <w:instrText xml:space="preserve"> PAGEREF _Toc531140359 \h </w:instrText>
            </w:r>
            <w:r w:rsidR="004D06EF">
              <w:rPr>
                <w:webHidden/>
              </w:rPr>
            </w:r>
            <w:r w:rsidR="004D06EF">
              <w:rPr>
                <w:webHidden/>
              </w:rPr>
              <w:fldChar w:fldCharType="separate"/>
            </w:r>
            <w:r w:rsidR="00BE6663">
              <w:rPr>
                <w:webHidden/>
                <w:rtl/>
              </w:rPr>
              <w:t>36</w:t>
            </w:r>
            <w:r w:rsidR="004D06EF">
              <w:rPr>
                <w:webHidden/>
              </w:rPr>
              <w:fldChar w:fldCharType="end"/>
            </w:r>
          </w:hyperlink>
        </w:p>
        <w:p w14:paraId="7E6AD27C" w14:textId="754F6B6E" w:rsidR="004D06EF" w:rsidRDefault="00A41789" w:rsidP="004D06EF">
          <w:pPr>
            <w:pStyle w:val="TOC3"/>
            <w:rPr>
              <w:rFonts w:asciiTheme="minorHAnsi" w:eastAsiaTheme="minorEastAsia" w:hAnsiTheme="minorHAnsi" w:cstheme="minorBidi"/>
              <w:sz w:val="22"/>
              <w:szCs w:val="22"/>
              <w:lang w:val="en-US"/>
            </w:rPr>
          </w:pPr>
          <w:hyperlink w:anchor="_Toc531140360"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שלום</w:t>
            </w:r>
            <w:r w:rsidR="004D06EF" w:rsidRPr="00DD33D4">
              <w:rPr>
                <w:rStyle w:val="Hyperlink"/>
                <w:rtl/>
              </w:rPr>
              <w:t xml:space="preserve"> </w:t>
            </w:r>
            <w:r w:rsidR="004D06EF" w:rsidRPr="00DD33D4">
              <w:rPr>
                <w:rStyle w:val="Hyperlink"/>
                <w:rFonts w:hint="eastAsia"/>
                <w:rtl/>
              </w:rPr>
              <w:t>דובער</w:t>
            </w:r>
            <w:r w:rsidR="004D06EF" w:rsidRPr="00DD33D4">
              <w:rPr>
                <w:rStyle w:val="Hyperlink"/>
                <w:rtl/>
              </w:rPr>
              <w:t xml:space="preserve"> </w:t>
            </w:r>
            <w:r w:rsidR="004D06EF" w:rsidRPr="00DD33D4">
              <w:rPr>
                <w:rStyle w:val="Hyperlink"/>
                <w:rFonts w:hint="eastAsia"/>
                <w:rtl/>
              </w:rPr>
              <w:t>הלוי</w:t>
            </w:r>
            <w:r w:rsidR="004D06EF" w:rsidRPr="00DD33D4">
              <w:rPr>
                <w:rStyle w:val="Hyperlink"/>
                <w:rtl/>
              </w:rPr>
              <w:t xml:space="preserve"> </w:t>
            </w:r>
            <w:r w:rsidR="004D06EF" w:rsidRPr="00DD33D4">
              <w:rPr>
                <w:rStyle w:val="Hyperlink"/>
                <w:rFonts w:hint="eastAsia"/>
                <w:rtl/>
              </w:rPr>
              <w:t>וולפא</w:t>
            </w:r>
          </w:hyperlink>
        </w:p>
        <w:p w14:paraId="6319CC84" w14:textId="72799038" w:rsidR="004D06EF" w:rsidRDefault="00A41789" w:rsidP="004D06EF">
          <w:pPr>
            <w:pStyle w:val="TOC1"/>
            <w:rPr>
              <w:rFonts w:asciiTheme="minorHAnsi" w:eastAsiaTheme="minorEastAsia" w:hAnsiTheme="minorHAnsi" w:cstheme="minorBidi"/>
              <w:sz w:val="22"/>
              <w:szCs w:val="22"/>
            </w:rPr>
          </w:pPr>
          <w:hyperlink w:anchor="_Toc531140361" w:history="1">
            <w:r w:rsidR="004D06EF" w:rsidRPr="00DD33D4">
              <w:rPr>
                <w:rStyle w:val="Hyperlink"/>
                <w:rFonts w:hint="eastAsia"/>
                <w:rtl/>
              </w:rPr>
              <w:t>חסידות</w:t>
            </w:r>
          </w:hyperlink>
        </w:p>
        <w:p w14:paraId="6FC7CC53" w14:textId="77777777" w:rsidR="004D06EF" w:rsidRDefault="00A41789" w:rsidP="004D06EF">
          <w:pPr>
            <w:pStyle w:val="TOC2"/>
            <w:rPr>
              <w:rFonts w:asciiTheme="minorHAnsi" w:eastAsiaTheme="minorEastAsia" w:hAnsiTheme="minorHAnsi" w:cstheme="minorBidi"/>
            </w:rPr>
          </w:pPr>
          <w:hyperlink w:anchor="_Toc531140362" w:history="1">
            <w:r w:rsidR="004D06EF" w:rsidRPr="00DD33D4">
              <w:rPr>
                <w:rStyle w:val="Hyperlink"/>
                <w:rFonts w:hint="eastAsia"/>
                <w:rtl/>
              </w:rPr>
              <w:t>מה</w:t>
            </w:r>
            <w:r w:rsidR="004D06EF" w:rsidRPr="00DD33D4">
              <w:rPr>
                <w:rStyle w:val="Hyperlink"/>
                <w:rtl/>
              </w:rPr>
              <w:t xml:space="preserve"> </w:t>
            </w:r>
            <w:r w:rsidR="004D06EF" w:rsidRPr="00DD33D4">
              <w:rPr>
                <w:rStyle w:val="Hyperlink"/>
                <w:rFonts w:hint="eastAsia"/>
                <w:rtl/>
              </w:rPr>
              <w:t>ניתן</w:t>
            </w:r>
            <w:r w:rsidR="004D06EF" w:rsidRPr="00DD33D4">
              <w:rPr>
                <w:rStyle w:val="Hyperlink"/>
                <w:rtl/>
              </w:rPr>
              <w:t xml:space="preserve"> </w:t>
            </w:r>
            <w:r w:rsidR="004D06EF" w:rsidRPr="00DD33D4">
              <w:rPr>
                <w:rStyle w:val="Hyperlink"/>
                <w:rFonts w:hint="eastAsia"/>
                <w:rtl/>
              </w:rPr>
              <w:t>עם</w:t>
            </w:r>
            <w:r w:rsidR="004D06EF" w:rsidRPr="00DD33D4">
              <w:rPr>
                <w:rStyle w:val="Hyperlink"/>
                <w:rtl/>
              </w:rPr>
              <w:t xml:space="preserve"> </w:t>
            </w:r>
            <w:r w:rsidR="004D06EF" w:rsidRPr="00DD33D4">
              <w:rPr>
                <w:rStyle w:val="Hyperlink"/>
                <w:rFonts w:hint="eastAsia"/>
                <w:rtl/>
              </w:rPr>
              <w:t>לוחות</w:t>
            </w:r>
            <w:r w:rsidR="004D06EF" w:rsidRPr="00DD33D4">
              <w:rPr>
                <w:rStyle w:val="Hyperlink"/>
                <w:rtl/>
              </w:rPr>
              <w:t xml:space="preserve"> </w:t>
            </w:r>
            <w:r w:rsidR="004D06EF" w:rsidRPr="00DD33D4">
              <w:rPr>
                <w:rStyle w:val="Hyperlink"/>
                <w:rFonts w:hint="eastAsia"/>
                <w:rtl/>
              </w:rPr>
              <w:t>הראשונות</w:t>
            </w:r>
            <w:r w:rsidR="004D06EF" w:rsidRPr="00DD33D4">
              <w:rPr>
                <w:rStyle w:val="Hyperlink"/>
              </w:rPr>
              <w:t>?</w:t>
            </w:r>
            <w:r w:rsidR="004D06EF">
              <w:rPr>
                <w:webHidden/>
              </w:rPr>
              <w:tab/>
            </w:r>
            <w:r w:rsidR="004D06EF">
              <w:rPr>
                <w:webHidden/>
              </w:rPr>
              <w:fldChar w:fldCharType="begin"/>
            </w:r>
            <w:r w:rsidR="004D06EF">
              <w:rPr>
                <w:webHidden/>
              </w:rPr>
              <w:instrText xml:space="preserve"> PAGEREF _Toc531140362 \h </w:instrText>
            </w:r>
            <w:r w:rsidR="004D06EF">
              <w:rPr>
                <w:webHidden/>
              </w:rPr>
            </w:r>
            <w:r w:rsidR="004D06EF">
              <w:rPr>
                <w:webHidden/>
              </w:rPr>
              <w:fldChar w:fldCharType="separate"/>
            </w:r>
            <w:r w:rsidR="00BE6663">
              <w:rPr>
                <w:webHidden/>
                <w:rtl/>
              </w:rPr>
              <w:t>42</w:t>
            </w:r>
            <w:r w:rsidR="004D06EF">
              <w:rPr>
                <w:webHidden/>
              </w:rPr>
              <w:fldChar w:fldCharType="end"/>
            </w:r>
          </w:hyperlink>
        </w:p>
        <w:p w14:paraId="5EF68D54" w14:textId="4BA16D93" w:rsidR="004D06EF" w:rsidRDefault="00A41789" w:rsidP="00756517">
          <w:pPr>
            <w:pStyle w:val="TOC3"/>
            <w:rPr>
              <w:rFonts w:asciiTheme="minorHAnsi" w:eastAsiaTheme="minorEastAsia" w:hAnsiTheme="minorHAnsi" w:cstheme="minorBidi"/>
              <w:sz w:val="22"/>
              <w:szCs w:val="22"/>
              <w:lang w:val="en-US"/>
            </w:rPr>
          </w:pPr>
          <w:hyperlink w:anchor="_Toc531140363"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יוסף</w:t>
            </w:r>
            <w:r w:rsidR="004D06EF" w:rsidRPr="00DD33D4">
              <w:rPr>
                <w:rStyle w:val="Hyperlink"/>
                <w:lang w:bidi="ar-SA"/>
              </w:rPr>
              <w:t xml:space="preserve"> </w:t>
            </w:r>
            <w:r w:rsidR="004D06EF" w:rsidRPr="00DD33D4">
              <w:rPr>
                <w:rStyle w:val="Hyperlink"/>
                <w:rFonts w:hint="eastAsia"/>
                <w:rtl/>
              </w:rPr>
              <w:t>ארי</w:t>
            </w:r>
            <w:r w:rsidR="00756517">
              <w:rPr>
                <w:rStyle w:val="Hyperlink"/>
                <w:rFonts w:hint="cs"/>
                <w:rtl/>
              </w:rPr>
              <w:t xml:space="preserve">' </w:t>
            </w:r>
            <w:r w:rsidR="004D06EF" w:rsidRPr="00DD33D4">
              <w:rPr>
                <w:rStyle w:val="Hyperlink"/>
                <w:rFonts w:hint="eastAsia"/>
                <w:rtl/>
              </w:rPr>
              <w:t>רונס</w:t>
            </w:r>
          </w:hyperlink>
        </w:p>
        <w:p w14:paraId="3398AF0D" w14:textId="77777777" w:rsidR="004D06EF" w:rsidRDefault="00A41789" w:rsidP="004D06EF">
          <w:pPr>
            <w:pStyle w:val="TOC2"/>
            <w:rPr>
              <w:rFonts w:asciiTheme="minorHAnsi" w:eastAsiaTheme="minorEastAsia" w:hAnsiTheme="minorHAnsi" w:cstheme="minorBidi"/>
            </w:rPr>
          </w:pPr>
          <w:hyperlink w:anchor="_Toc531140364" w:history="1">
            <w:r w:rsidR="004D06EF" w:rsidRPr="00DD33D4">
              <w:rPr>
                <w:rStyle w:val="Hyperlink"/>
                <w:rFonts w:hint="eastAsia"/>
                <w:rtl/>
              </w:rPr>
              <w:t>מקום</w:t>
            </w:r>
            <w:r w:rsidR="004D06EF" w:rsidRPr="00DD33D4">
              <w:rPr>
                <w:rStyle w:val="Hyperlink"/>
                <w:rtl/>
              </w:rPr>
              <w:t xml:space="preserve"> </w:t>
            </w:r>
            <w:r w:rsidR="004D06EF" w:rsidRPr="00DD33D4">
              <w:rPr>
                <w:rStyle w:val="Hyperlink"/>
                <w:rFonts w:hint="eastAsia"/>
                <w:rtl/>
              </w:rPr>
              <w:t>הארון</w:t>
            </w:r>
            <w:r w:rsidR="004D06EF">
              <w:rPr>
                <w:webHidden/>
              </w:rPr>
              <w:tab/>
            </w:r>
            <w:r w:rsidR="004D06EF">
              <w:rPr>
                <w:webHidden/>
              </w:rPr>
              <w:fldChar w:fldCharType="begin"/>
            </w:r>
            <w:r w:rsidR="004D06EF">
              <w:rPr>
                <w:webHidden/>
              </w:rPr>
              <w:instrText xml:space="preserve"> PAGEREF _Toc531140364 \h </w:instrText>
            </w:r>
            <w:r w:rsidR="004D06EF">
              <w:rPr>
                <w:webHidden/>
              </w:rPr>
            </w:r>
            <w:r w:rsidR="004D06EF">
              <w:rPr>
                <w:webHidden/>
              </w:rPr>
              <w:fldChar w:fldCharType="separate"/>
            </w:r>
            <w:r w:rsidR="00BE6663">
              <w:rPr>
                <w:webHidden/>
                <w:rtl/>
              </w:rPr>
              <w:t>43</w:t>
            </w:r>
            <w:r w:rsidR="004D06EF">
              <w:rPr>
                <w:webHidden/>
              </w:rPr>
              <w:fldChar w:fldCharType="end"/>
            </w:r>
          </w:hyperlink>
        </w:p>
        <w:p w14:paraId="03804FE8" w14:textId="5BCB210A" w:rsidR="004D06EF" w:rsidRDefault="00A41789" w:rsidP="004D06EF">
          <w:pPr>
            <w:pStyle w:val="TOC3"/>
            <w:rPr>
              <w:rFonts w:asciiTheme="minorHAnsi" w:eastAsiaTheme="minorEastAsia" w:hAnsiTheme="minorHAnsi" w:cstheme="minorBidi"/>
              <w:sz w:val="22"/>
              <w:szCs w:val="22"/>
              <w:lang w:val="en-US"/>
            </w:rPr>
          </w:pPr>
          <w:hyperlink w:anchor="_Toc531140365"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tl/>
              </w:rPr>
              <w:t xml:space="preserve"> </w:t>
            </w:r>
            <w:r w:rsidR="004D06EF" w:rsidRPr="00DD33D4">
              <w:rPr>
                <w:rStyle w:val="Hyperlink"/>
                <w:rFonts w:hint="eastAsia"/>
                <w:rtl/>
              </w:rPr>
              <w:t>אלטיין</w:t>
            </w:r>
          </w:hyperlink>
        </w:p>
        <w:p w14:paraId="6C862403" w14:textId="77777777" w:rsidR="004D06EF" w:rsidRDefault="00A41789" w:rsidP="004D06EF">
          <w:pPr>
            <w:pStyle w:val="TOC2"/>
            <w:rPr>
              <w:rFonts w:asciiTheme="minorHAnsi" w:eastAsiaTheme="minorEastAsia" w:hAnsiTheme="minorHAnsi" w:cstheme="minorBidi"/>
            </w:rPr>
          </w:pPr>
          <w:hyperlink w:anchor="_Toc531140366" w:history="1">
            <w:r w:rsidR="004D06EF" w:rsidRPr="00DD33D4">
              <w:rPr>
                <w:rStyle w:val="Hyperlink"/>
                <w:rFonts w:hint="eastAsia"/>
                <w:rtl/>
              </w:rPr>
              <w:t>הערה</w:t>
            </w:r>
            <w:r w:rsidR="004D06EF" w:rsidRPr="00DD33D4">
              <w:rPr>
                <w:rStyle w:val="Hyperlink"/>
              </w:rPr>
              <w:t xml:space="preserve"> </w:t>
            </w:r>
            <w:r w:rsidR="004D06EF" w:rsidRPr="00DD33D4">
              <w:rPr>
                <w:rStyle w:val="Hyperlink"/>
                <w:rFonts w:hint="eastAsia"/>
                <w:rtl/>
              </w:rPr>
              <w:t>במאמר</w:t>
            </w:r>
            <w:r w:rsidR="004D06EF" w:rsidRPr="00DD33D4">
              <w:rPr>
                <w:rStyle w:val="Hyperlink"/>
                <w:rtl/>
              </w:rPr>
              <w:t xml:space="preserve"> </w:t>
            </w:r>
            <w:r w:rsidR="004D06EF" w:rsidRPr="00DD33D4">
              <w:rPr>
                <w:rStyle w:val="Hyperlink"/>
                <w:rFonts w:hint="eastAsia"/>
                <w:rtl/>
              </w:rPr>
              <w:t>ד</w:t>
            </w:r>
            <w:r w:rsidR="004D06EF" w:rsidRPr="00DD33D4">
              <w:rPr>
                <w:rStyle w:val="Hyperlink"/>
                <w:rtl/>
              </w:rPr>
              <w:t>"</w:t>
            </w:r>
            <w:r w:rsidR="004D06EF" w:rsidRPr="00DD33D4">
              <w:rPr>
                <w:rStyle w:val="Hyperlink"/>
                <w:rFonts w:hint="eastAsia"/>
                <w:rtl/>
              </w:rPr>
              <w:t>ה</w:t>
            </w:r>
            <w:r w:rsidR="004D06EF" w:rsidRPr="00DD33D4">
              <w:rPr>
                <w:rStyle w:val="Hyperlink"/>
                <w:rtl/>
              </w:rPr>
              <w:t xml:space="preserve"> </w:t>
            </w:r>
            <w:r w:rsidR="004D06EF" w:rsidRPr="00DD33D4">
              <w:rPr>
                <w:rStyle w:val="Hyperlink"/>
                <w:rFonts w:hint="eastAsia"/>
                <w:rtl/>
              </w:rPr>
              <w:t>פדה</w:t>
            </w:r>
            <w:r w:rsidR="004D06EF" w:rsidRPr="00DD33D4">
              <w:rPr>
                <w:rStyle w:val="Hyperlink"/>
                <w:rtl/>
              </w:rPr>
              <w:t xml:space="preserve"> </w:t>
            </w:r>
            <w:r w:rsidR="004D06EF" w:rsidRPr="00DD33D4">
              <w:rPr>
                <w:rStyle w:val="Hyperlink"/>
                <w:rFonts w:hint="eastAsia"/>
                <w:rtl/>
              </w:rPr>
              <w:t>בשלום</w:t>
            </w:r>
            <w:r w:rsidR="004D06EF" w:rsidRPr="00DD33D4">
              <w:rPr>
                <w:rStyle w:val="Hyperlink"/>
                <w:rtl/>
              </w:rPr>
              <w:t xml:space="preserve"> </w:t>
            </w:r>
            <w:r w:rsidR="004D06EF" w:rsidRPr="00DD33D4">
              <w:rPr>
                <w:rStyle w:val="Hyperlink"/>
                <w:rFonts w:hint="eastAsia"/>
                <w:rtl/>
              </w:rPr>
              <w:t>תשכ</w:t>
            </w:r>
            <w:r w:rsidR="004D06EF" w:rsidRPr="00DD33D4">
              <w:rPr>
                <w:rStyle w:val="Hyperlink"/>
                <w:rtl/>
              </w:rPr>
              <w:t>"</w:t>
            </w:r>
            <w:r w:rsidR="004D06EF" w:rsidRPr="00DD33D4">
              <w:rPr>
                <w:rStyle w:val="Hyperlink"/>
                <w:rFonts w:hint="eastAsia"/>
                <w:rtl/>
              </w:rPr>
              <w:t>ו</w:t>
            </w:r>
            <w:r w:rsidR="004D06EF">
              <w:rPr>
                <w:webHidden/>
              </w:rPr>
              <w:tab/>
            </w:r>
            <w:r w:rsidR="004D06EF">
              <w:rPr>
                <w:webHidden/>
              </w:rPr>
              <w:fldChar w:fldCharType="begin"/>
            </w:r>
            <w:r w:rsidR="004D06EF">
              <w:rPr>
                <w:webHidden/>
              </w:rPr>
              <w:instrText xml:space="preserve"> PAGEREF _Toc531140366 \h </w:instrText>
            </w:r>
            <w:r w:rsidR="004D06EF">
              <w:rPr>
                <w:webHidden/>
              </w:rPr>
            </w:r>
            <w:r w:rsidR="004D06EF">
              <w:rPr>
                <w:webHidden/>
              </w:rPr>
              <w:fldChar w:fldCharType="separate"/>
            </w:r>
            <w:r w:rsidR="00BE6663">
              <w:rPr>
                <w:webHidden/>
                <w:rtl/>
              </w:rPr>
              <w:t>44</w:t>
            </w:r>
            <w:r w:rsidR="004D06EF">
              <w:rPr>
                <w:webHidden/>
              </w:rPr>
              <w:fldChar w:fldCharType="end"/>
            </w:r>
          </w:hyperlink>
        </w:p>
        <w:p w14:paraId="712071C9" w14:textId="6E901D58" w:rsidR="004D06EF" w:rsidRDefault="00A41789" w:rsidP="004D06EF">
          <w:pPr>
            <w:pStyle w:val="TOC3"/>
            <w:rPr>
              <w:rFonts w:asciiTheme="minorHAnsi" w:eastAsiaTheme="minorEastAsia" w:hAnsiTheme="minorHAnsi" w:cstheme="minorBidi"/>
              <w:sz w:val="22"/>
              <w:szCs w:val="22"/>
              <w:lang w:val="en-US"/>
            </w:rPr>
          </w:pPr>
          <w:hyperlink w:anchor="_Toc531140367"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אברהם</w:t>
            </w:r>
            <w:r w:rsidR="004D06EF" w:rsidRPr="00DD33D4">
              <w:rPr>
                <w:rStyle w:val="Hyperlink"/>
                <w:rtl/>
              </w:rPr>
              <w:t xml:space="preserve"> </w:t>
            </w:r>
            <w:r w:rsidR="004D06EF" w:rsidRPr="00DD33D4">
              <w:rPr>
                <w:rStyle w:val="Hyperlink"/>
                <w:rFonts w:hint="eastAsia"/>
                <w:rtl/>
              </w:rPr>
              <w:t>אלטר</w:t>
            </w:r>
            <w:r w:rsidR="004D06EF" w:rsidRPr="00DD33D4">
              <w:rPr>
                <w:rStyle w:val="Hyperlink"/>
                <w:rtl/>
              </w:rPr>
              <w:t xml:space="preserve"> </w:t>
            </w:r>
            <w:r w:rsidR="004D06EF" w:rsidRPr="00DD33D4">
              <w:rPr>
                <w:rStyle w:val="Hyperlink"/>
                <w:rFonts w:hint="eastAsia"/>
                <w:rtl/>
              </w:rPr>
              <w:t>הלוי</w:t>
            </w:r>
            <w:r w:rsidR="004D06EF" w:rsidRPr="00DD33D4">
              <w:rPr>
                <w:rStyle w:val="Hyperlink"/>
                <w:rtl/>
              </w:rPr>
              <w:t xml:space="preserve"> </w:t>
            </w:r>
            <w:r w:rsidR="004D06EF" w:rsidRPr="00DD33D4">
              <w:rPr>
                <w:rStyle w:val="Hyperlink"/>
                <w:rFonts w:hint="eastAsia"/>
                <w:rtl/>
              </w:rPr>
              <w:t>הבר</w:t>
            </w:r>
          </w:hyperlink>
        </w:p>
        <w:p w14:paraId="04BA1F0A" w14:textId="0BB2995B" w:rsidR="004D06EF" w:rsidRDefault="00A41789" w:rsidP="004D06EF">
          <w:pPr>
            <w:pStyle w:val="TOC1"/>
            <w:rPr>
              <w:rFonts w:asciiTheme="minorHAnsi" w:eastAsiaTheme="minorEastAsia" w:hAnsiTheme="minorHAnsi" w:cstheme="minorBidi"/>
              <w:sz w:val="22"/>
              <w:szCs w:val="22"/>
            </w:rPr>
          </w:pPr>
          <w:hyperlink w:anchor="_Toc531140368" w:history="1">
            <w:r w:rsidR="004D06EF" w:rsidRPr="00DD33D4">
              <w:rPr>
                <w:rStyle w:val="Hyperlink"/>
                <w:rFonts w:hint="eastAsia"/>
                <w:rtl/>
              </w:rPr>
              <w:t>נגלה</w:t>
            </w:r>
          </w:hyperlink>
        </w:p>
        <w:p w14:paraId="73456F36" w14:textId="77777777" w:rsidR="004D06EF" w:rsidRDefault="00A41789" w:rsidP="004D06EF">
          <w:pPr>
            <w:pStyle w:val="TOC2"/>
            <w:rPr>
              <w:rFonts w:asciiTheme="minorHAnsi" w:eastAsiaTheme="minorEastAsia" w:hAnsiTheme="minorHAnsi" w:cstheme="minorBidi"/>
            </w:rPr>
          </w:pPr>
          <w:hyperlink w:anchor="_Toc531140369" w:history="1">
            <w:r w:rsidR="004D06EF" w:rsidRPr="00DD33D4">
              <w:rPr>
                <w:rStyle w:val="Hyperlink"/>
                <w:rFonts w:hint="eastAsia"/>
                <w:rtl/>
              </w:rPr>
              <w:t>מסירת</w:t>
            </w:r>
            <w:r w:rsidR="004D06EF" w:rsidRPr="00DD33D4">
              <w:rPr>
                <w:rStyle w:val="Hyperlink"/>
                <w:rtl/>
              </w:rPr>
              <w:t xml:space="preserve"> </w:t>
            </w:r>
            <w:r w:rsidR="004D06EF" w:rsidRPr="00DD33D4">
              <w:rPr>
                <w:rStyle w:val="Hyperlink"/>
                <w:rFonts w:hint="eastAsia"/>
                <w:rtl/>
              </w:rPr>
              <w:t>מפתח</w:t>
            </w:r>
            <w:r w:rsidR="004D06EF">
              <w:rPr>
                <w:webHidden/>
              </w:rPr>
              <w:tab/>
            </w:r>
            <w:r w:rsidR="004D06EF">
              <w:rPr>
                <w:webHidden/>
              </w:rPr>
              <w:fldChar w:fldCharType="begin"/>
            </w:r>
            <w:r w:rsidR="004D06EF">
              <w:rPr>
                <w:webHidden/>
              </w:rPr>
              <w:instrText xml:space="preserve"> PAGEREF _Toc531140369 \h </w:instrText>
            </w:r>
            <w:r w:rsidR="004D06EF">
              <w:rPr>
                <w:webHidden/>
              </w:rPr>
            </w:r>
            <w:r w:rsidR="004D06EF">
              <w:rPr>
                <w:webHidden/>
              </w:rPr>
              <w:fldChar w:fldCharType="separate"/>
            </w:r>
            <w:r w:rsidR="00BE6663">
              <w:rPr>
                <w:webHidden/>
                <w:rtl/>
              </w:rPr>
              <w:t>45</w:t>
            </w:r>
            <w:r w:rsidR="004D06EF">
              <w:rPr>
                <w:webHidden/>
              </w:rPr>
              <w:fldChar w:fldCharType="end"/>
            </w:r>
          </w:hyperlink>
        </w:p>
        <w:p w14:paraId="49C86DBE" w14:textId="1060E2F0" w:rsidR="004D06EF" w:rsidRDefault="00A41789" w:rsidP="004D06EF">
          <w:pPr>
            <w:pStyle w:val="TOC3"/>
            <w:rPr>
              <w:rFonts w:asciiTheme="minorHAnsi" w:eastAsiaTheme="minorEastAsia" w:hAnsiTheme="minorHAnsi" w:cstheme="minorBidi"/>
              <w:sz w:val="22"/>
              <w:szCs w:val="22"/>
              <w:lang w:val="en-US"/>
            </w:rPr>
          </w:pPr>
          <w:hyperlink w:anchor="_Toc531140370"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משה</w:t>
            </w:r>
            <w:r w:rsidR="004D06EF" w:rsidRPr="00DD33D4">
              <w:rPr>
                <w:rStyle w:val="Hyperlink"/>
                <w:rtl/>
              </w:rPr>
              <w:t xml:space="preserve"> </w:t>
            </w:r>
            <w:r w:rsidR="004D06EF" w:rsidRPr="00DD33D4">
              <w:rPr>
                <w:rStyle w:val="Hyperlink"/>
                <w:rFonts w:hint="eastAsia"/>
                <w:rtl/>
              </w:rPr>
              <w:t>בנימין</w:t>
            </w:r>
            <w:r w:rsidR="004D06EF" w:rsidRPr="00DD33D4">
              <w:rPr>
                <w:rStyle w:val="Hyperlink"/>
                <w:rtl/>
              </w:rPr>
              <w:t xml:space="preserve"> </w:t>
            </w:r>
            <w:r w:rsidR="004D06EF" w:rsidRPr="00DD33D4">
              <w:rPr>
                <w:rStyle w:val="Hyperlink"/>
                <w:rFonts w:hint="eastAsia"/>
                <w:rtl/>
              </w:rPr>
              <w:t>פערלשטיין</w:t>
            </w:r>
            <w:r w:rsidR="004D06EF" w:rsidRPr="00DD33D4">
              <w:rPr>
                <w:rStyle w:val="Hyperlink"/>
                <w:rtl/>
              </w:rPr>
              <w:t xml:space="preserve"> </w:t>
            </w:r>
            <w:r w:rsidR="004D06EF" w:rsidRPr="00DD33D4">
              <w:rPr>
                <w:rStyle w:val="Hyperlink"/>
                <w:rFonts w:hint="eastAsia"/>
                <w:rtl/>
              </w:rPr>
              <w:t>שליט</w:t>
            </w:r>
            <w:r w:rsidR="004D06EF" w:rsidRPr="00DD33D4">
              <w:rPr>
                <w:rStyle w:val="Hyperlink"/>
                <w:lang w:bidi="ar-SA"/>
              </w:rPr>
              <w:t>"</w:t>
            </w:r>
            <w:r w:rsidR="004D06EF" w:rsidRPr="00DD33D4">
              <w:rPr>
                <w:rStyle w:val="Hyperlink"/>
                <w:rFonts w:hint="eastAsia"/>
                <w:rtl/>
              </w:rPr>
              <w:t>א</w:t>
            </w:r>
          </w:hyperlink>
        </w:p>
        <w:p w14:paraId="2926E712" w14:textId="77777777" w:rsidR="004D06EF" w:rsidRDefault="00A41789" w:rsidP="004D06EF">
          <w:pPr>
            <w:pStyle w:val="TOC2"/>
            <w:rPr>
              <w:rFonts w:asciiTheme="minorHAnsi" w:eastAsiaTheme="minorEastAsia" w:hAnsiTheme="minorHAnsi" w:cstheme="minorBidi"/>
            </w:rPr>
          </w:pPr>
          <w:hyperlink w:anchor="_Toc531140371" w:history="1">
            <w:r w:rsidR="004D06EF" w:rsidRPr="00DD33D4">
              <w:rPr>
                <w:rStyle w:val="Hyperlink"/>
                <w:rFonts w:hint="eastAsia"/>
                <w:rtl/>
              </w:rPr>
              <w:t>דברי</w:t>
            </w:r>
            <w:r w:rsidR="004D06EF" w:rsidRPr="00DD33D4">
              <w:rPr>
                <w:rStyle w:val="Hyperlink"/>
                <w:rtl/>
              </w:rPr>
              <w:t xml:space="preserve"> </w:t>
            </w:r>
            <w:r w:rsidR="004D06EF" w:rsidRPr="00DD33D4">
              <w:rPr>
                <w:rStyle w:val="Hyperlink"/>
                <w:rFonts w:hint="eastAsia"/>
                <w:rtl/>
              </w:rPr>
              <w:t>אדה</w:t>
            </w:r>
            <w:r w:rsidR="004D06EF" w:rsidRPr="00DD33D4">
              <w:rPr>
                <w:rStyle w:val="Hyperlink"/>
                <w:rtl/>
              </w:rPr>
              <w:t>"</w:t>
            </w:r>
            <w:r w:rsidR="004D06EF" w:rsidRPr="00DD33D4">
              <w:rPr>
                <w:rStyle w:val="Hyperlink"/>
                <w:rFonts w:hint="eastAsia"/>
                <w:rtl/>
              </w:rPr>
              <w:t>ז</w:t>
            </w:r>
            <w:r w:rsidR="004D06EF" w:rsidRPr="00DD33D4">
              <w:rPr>
                <w:rStyle w:val="Hyperlink"/>
                <w:rtl/>
              </w:rPr>
              <w:t xml:space="preserve"> </w:t>
            </w:r>
            <w:r w:rsidR="004D06EF" w:rsidRPr="00DD33D4">
              <w:rPr>
                <w:rStyle w:val="Hyperlink"/>
                <w:rFonts w:hint="eastAsia"/>
                <w:rtl/>
              </w:rPr>
              <w:t>דאיסורי</w:t>
            </w:r>
            <w:r w:rsidR="004D06EF" w:rsidRPr="00DD33D4">
              <w:rPr>
                <w:rStyle w:val="Hyperlink"/>
                <w:rtl/>
              </w:rPr>
              <w:t xml:space="preserve"> </w:t>
            </w:r>
            <w:r w:rsidR="004D06EF" w:rsidRPr="00DD33D4">
              <w:rPr>
                <w:rStyle w:val="Hyperlink"/>
                <w:rFonts w:hint="eastAsia"/>
                <w:rtl/>
              </w:rPr>
              <w:t>הנאה</w:t>
            </w:r>
            <w:r w:rsidR="004D06EF" w:rsidRPr="00DD33D4">
              <w:rPr>
                <w:rStyle w:val="Hyperlink"/>
                <w:rtl/>
              </w:rPr>
              <w:t xml:space="preserve"> </w:t>
            </w:r>
            <w:r w:rsidR="004D06EF" w:rsidRPr="00DD33D4">
              <w:rPr>
                <w:rStyle w:val="Hyperlink"/>
                <w:rFonts w:hint="eastAsia"/>
                <w:rtl/>
              </w:rPr>
              <w:t>אינו</w:t>
            </w:r>
            <w:r w:rsidR="004D06EF" w:rsidRPr="00DD33D4">
              <w:rPr>
                <w:rStyle w:val="Hyperlink"/>
                <w:rtl/>
              </w:rPr>
              <w:t xml:space="preserve"> </w:t>
            </w:r>
            <w:r w:rsidR="004D06EF" w:rsidRPr="00DD33D4">
              <w:rPr>
                <w:rStyle w:val="Hyperlink"/>
                <w:rFonts w:hint="eastAsia"/>
                <w:rtl/>
              </w:rPr>
              <w:t>הפקר</w:t>
            </w:r>
            <w:r w:rsidR="004D06EF" w:rsidRPr="00DD33D4">
              <w:rPr>
                <w:rStyle w:val="Hyperlink"/>
                <w:rtl/>
              </w:rPr>
              <w:t xml:space="preserve"> </w:t>
            </w:r>
            <w:r w:rsidR="004D06EF" w:rsidRPr="00DD33D4">
              <w:rPr>
                <w:rStyle w:val="Hyperlink"/>
                <w:rFonts w:hint="eastAsia"/>
                <w:rtl/>
              </w:rPr>
              <w:t>גמור</w:t>
            </w:r>
            <w:r w:rsidR="004D06EF">
              <w:rPr>
                <w:webHidden/>
              </w:rPr>
              <w:tab/>
            </w:r>
            <w:r w:rsidR="004D06EF">
              <w:rPr>
                <w:webHidden/>
              </w:rPr>
              <w:fldChar w:fldCharType="begin"/>
            </w:r>
            <w:r w:rsidR="004D06EF">
              <w:rPr>
                <w:webHidden/>
              </w:rPr>
              <w:instrText xml:space="preserve"> PAGEREF _Toc531140371 \h </w:instrText>
            </w:r>
            <w:r w:rsidR="004D06EF">
              <w:rPr>
                <w:webHidden/>
              </w:rPr>
            </w:r>
            <w:r w:rsidR="004D06EF">
              <w:rPr>
                <w:webHidden/>
              </w:rPr>
              <w:fldChar w:fldCharType="separate"/>
            </w:r>
            <w:r w:rsidR="00BE6663">
              <w:rPr>
                <w:webHidden/>
                <w:rtl/>
              </w:rPr>
              <w:t>51</w:t>
            </w:r>
            <w:r w:rsidR="004D06EF">
              <w:rPr>
                <w:webHidden/>
              </w:rPr>
              <w:fldChar w:fldCharType="end"/>
            </w:r>
          </w:hyperlink>
        </w:p>
        <w:p w14:paraId="547B573C" w14:textId="3F929126" w:rsidR="004D06EF" w:rsidRDefault="00A41789" w:rsidP="004D06EF">
          <w:pPr>
            <w:pStyle w:val="TOC3"/>
            <w:rPr>
              <w:rFonts w:asciiTheme="minorHAnsi" w:eastAsiaTheme="minorEastAsia" w:hAnsiTheme="minorHAnsi" w:cstheme="minorBidi"/>
              <w:sz w:val="22"/>
              <w:szCs w:val="22"/>
              <w:lang w:val="en-US"/>
            </w:rPr>
          </w:pPr>
          <w:hyperlink w:anchor="_Toc531140372"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אפרים</w:t>
            </w:r>
            <w:r w:rsidR="004D06EF" w:rsidRPr="00DD33D4">
              <w:rPr>
                <w:rStyle w:val="Hyperlink"/>
                <w:rtl/>
              </w:rPr>
              <w:t xml:space="preserve"> </w:t>
            </w:r>
            <w:r w:rsidR="004D06EF" w:rsidRPr="00DD33D4">
              <w:rPr>
                <w:rStyle w:val="Hyperlink"/>
                <w:rFonts w:hint="eastAsia"/>
                <w:rtl/>
              </w:rPr>
              <w:t>פישל</w:t>
            </w:r>
            <w:r w:rsidR="004D06EF" w:rsidRPr="00DD33D4">
              <w:rPr>
                <w:rStyle w:val="Hyperlink"/>
              </w:rPr>
              <w:t xml:space="preserve"> </w:t>
            </w:r>
            <w:r w:rsidR="004D06EF" w:rsidRPr="00DD33D4">
              <w:rPr>
                <w:rStyle w:val="Hyperlink"/>
                <w:rFonts w:hint="eastAsia"/>
                <w:rtl/>
              </w:rPr>
              <w:t>אסטר</w:t>
            </w:r>
          </w:hyperlink>
        </w:p>
        <w:p w14:paraId="1ACE6D65" w14:textId="77777777" w:rsidR="004D06EF" w:rsidRDefault="00A41789" w:rsidP="004D06EF">
          <w:pPr>
            <w:pStyle w:val="TOC2"/>
            <w:rPr>
              <w:rFonts w:asciiTheme="minorHAnsi" w:eastAsiaTheme="minorEastAsia" w:hAnsiTheme="minorHAnsi" w:cstheme="minorBidi"/>
            </w:rPr>
          </w:pPr>
          <w:hyperlink w:anchor="_Toc531140373" w:history="1">
            <w:r w:rsidR="004D06EF" w:rsidRPr="00DD33D4">
              <w:rPr>
                <w:rStyle w:val="Hyperlink"/>
                <w:rFonts w:hint="eastAsia"/>
                <w:rtl/>
              </w:rPr>
              <w:t>איסור</w:t>
            </w:r>
            <w:r w:rsidR="004D06EF" w:rsidRPr="00DD33D4">
              <w:rPr>
                <w:rStyle w:val="Hyperlink"/>
                <w:rtl/>
              </w:rPr>
              <w:t xml:space="preserve"> </w:t>
            </w:r>
            <w:r w:rsidR="004D06EF" w:rsidRPr="00DD33D4">
              <w:rPr>
                <w:rStyle w:val="Hyperlink"/>
                <w:rFonts w:hint="eastAsia"/>
                <w:rtl/>
              </w:rPr>
              <w:t>הנאה</w:t>
            </w:r>
            <w:r w:rsidR="004D06EF" w:rsidRPr="00DD33D4">
              <w:rPr>
                <w:rStyle w:val="Hyperlink"/>
                <w:rtl/>
              </w:rPr>
              <w:t xml:space="preserve"> </w:t>
            </w:r>
            <w:r w:rsidR="004D06EF" w:rsidRPr="00DD33D4">
              <w:rPr>
                <w:rStyle w:val="Hyperlink"/>
                <w:rFonts w:hint="eastAsia"/>
                <w:rtl/>
              </w:rPr>
              <w:t>בחמץ</w:t>
            </w:r>
            <w:r w:rsidR="004D06EF">
              <w:rPr>
                <w:webHidden/>
              </w:rPr>
              <w:tab/>
            </w:r>
            <w:r w:rsidR="004D06EF">
              <w:rPr>
                <w:webHidden/>
              </w:rPr>
              <w:fldChar w:fldCharType="begin"/>
            </w:r>
            <w:r w:rsidR="004D06EF">
              <w:rPr>
                <w:webHidden/>
              </w:rPr>
              <w:instrText xml:space="preserve"> PAGEREF _Toc531140373 \h </w:instrText>
            </w:r>
            <w:r w:rsidR="004D06EF">
              <w:rPr>
                <w:webHidden/>
              </w:rPr>
            </w:r>
            <w:r w:rsidR="004D06EF">
              <w:rPr>
                <w:webHidden/>
              </w:rPr>
              <w:fldChar w:fldCharType="separate"/>
            </w:r>
            <w:r w:rsidR="00BE6663">
              <w:rPr>
                <w:webHidden/>
                <w:rtl/>
              </w:rPr>
              <w:t>53</w:t>
            </w:r>
            <w:r w:rsidR="004D06EF">
              <w:rPr>
                <w:webHidden/>
              </w:rPr>
              <w:fldChar w:fldCharType="end"/>
            </w:r>
          </w:hyperlink>
        </w:p>
        <w:p w14:paraId="7C4771F0" w14:textId="199CAD9C" w:rsidR="004D06EF" w:rsidRDefault="00A41789" w:rsidP="004D06EF">
          <w:pPr>
            <w:pStyle w:val="TOC3"/>
            <w:rPr>
              <w:rFonts w:asciiTheme="minorHAnsi" w:eastAsiaTheme="minorEastAsia" w:hAnsiTheme="minorHAnsi" w:cstheme="minorBidi"/>
              <w:sz w:val="22"/>
              <w:szCs w:val="22"/>
              <w:lang w:val="en-US"/>
            </w:rPr>
          </w:pPr>
          <w:hyperlink w:anchor="_Toc531140374"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מרדכי</w:t>
            </w:r>
            <w:r w:rsidR="004D06EF" w:rsidRPr="00DD33D4">
              <w:rPr>
                <w:rStyle w:val="Hyperlink"/>
                <w:rtl/>
              </w:rPr>
              <w:t xml:space="preserve"> </w:t>
            </w:r>
            <w:r w:rsidR="004D06EF" w:rsidRPr="00DD33D4">
              <w:rPr>
                <w:rStyle w:val="Hyperlink"/>
                <w:rFonts w:hint="eastAsia"/>
                <w:rtl/>
              </w:rPr>
              <w:t>דובער</w:t>
            </w:r>
            <w:r w:rsidR="004D06EF" w:rsidRPr="00DD33D4">
              <w:rPr>
                <w:rStyle w:val="Hyperlink"/>
                <w:rtl/>
              </w:rPr>
              <w:t xml:space="preserve"> </w:t>
            </w:r>
            <w:r w:rsidR="004D06EF" w:rsidRPr="00DD33D4">
              <w:rPr>
                <w:rStyle w:val="Hyperlink"/>
                <w:rFonts w:hint="eastAsia"/>
                <w:rtl/>
              </w:rPr>
              <w:t>ווילהלם</w:t>
            </w:r>
          </w:hyperlink>
        </w:p>
        <w:p w14:paraId="5BEAF182" w14:textId="77777777" w:rsidR="004D06EF" w:rsidRDefault="00A41789" w:rsidP="004D06EF">
          <w:pPr>
            <w:pStyle w:val="TOC2"/>
            <w:rPr>
              <w:rFonts w:asciiTheme="minorHAnsi" w:eastAsiaTheme="minorEastAsia" w:hAnsiTheme="minorHAnsi" w:cstheme="minorBidi"/>
            </w:rPr>
          </w:pPr>
          <w:hyperlink w:anchor="_Toc531140375" w:history="1">
            <w:r w:rsidR="004D06EF" w:rsidRPr="00DD33D4">
              <w:rPr>
                <w:rStyle w:val="Hyperlink"/>
                <w:rFonts w:eastAsia="David Libre" w:hint="eastAsia"/>
                <w:rtl/>
              </w:rPr>
              <w:t>החילוק</w:t>
            </w:r>
            <w:r w:rsidR="004D06EF" w:rsidRPr="00DD33D4">
              <w:rPr>
                <w:rStyle w:val="Hyperlink"/>
                <w:rFonts w:eastAsia="David Libre"/>
                <w:rtl/>
              </w:rPr>
              <w:t xml:space="preserve"> </w:t>
            </w:r>
            <w:r w:rsidR="004D06EF" w:rsidRPr="00DD33D4">
              <w:rPr>
                <w:rStyle w:val="Hyperlink"/>
                <w:rFonts w:eastAsia="David Libre" w:hint="eastAsia"/>
                <w:rtl/>
              </w:rPr>
              <w:t>בין</w:t>
            </w:r>
            <w:r w:rsidR="004D06EF" w:rsidRPr="00DD33D4">
              <w:rPr>
                <w:rStyle w:val="Hyperlink"/>
                <w:rFonts w:eastAsia="David Libre"/>
                <w:rtl/>
              </w:rPr>
              <w:t xml:space="preserve"> </w:t>
            </w:r>
            <w:r w:rsidR="004D06EF" w:rsidRPr="00DD33D4">
              <w:rPr>
                <w:rStyle w:val="Hyperlink"/>
                <w:rFonts w:eastAsia="David Libre" w:hint="eastAsia"/>
                <w:rtl/>
              </w:rPr>
              <w:t>איסור</w:t>
            </w:r>
            <w:r w:rsidR="004D06EF" w:rsidRPr="00DD33D4">
              <w:rPr>
                <w:rStyle w:val="Hyperlink"/>
                <w:rFonts w:eastAsia="David Libre"/>
                <w:rtl/>
              </w:rPr>
              <w:t xml:space="preserve"> </w:t>
            </w:r>
            <w:r w:rsidR="004D06EF" w:rsidRPr="00DD33D4">
              <w:rPr>
                <w:rStyle w:val="Hyperlink"/>
                <w:rFonts w:eastAsia="David Libre" w:hint="eastAsia"/>
                <w:rtl/>
              </w:rPr>
              <w:t>גברא</w:t>
            </w:r>
            <w:r w:rsidR="004D06EF" w:rsidRPr="00DD33D4">
              <w:rPr>
                <w:rStyle w:val="Hyperlink"/>
                <w:rFonts w:eastAsia="David Libre"/>
                <w:rtl/>
              </w:rPr>
              <w:t xml:space="preserve"> </w:t>
            </w:r>
            <w:r w:rsidR="004D06EF" w:rsidRPr="00DD33D4">
              <w:rPr>
                <w:rStyle w:val="Hyperlink"/>
                <w:rFonts w:eastAsia="David Libre" w:hint="eastAsia"/>
                <w:rtl/>
              </w:rPr>
              <w:t>ואיסור</w:t>
            </w:r>
            <w:r w:rsidR="004D06EF" w:rsidRPr="00DD33D4">
              <w:rPr>
                <w:rStyle w:val="Hyperlink"/>
                <w:rFonts w:eastAsia="David Libre"/>
                <w:rtl/>
              </w:rPr>
              <w:t xml:space="preserve"> </w:t>
            </w:r>
            <w:r w:rsidR="004D06EF" w:rsidRPr="00DD33D4">
              <w:rPr>
                <w:rStyle w:val="Hyperlink"/>
                <w:rFonts w:eastAsia="David Libre" w:hint="eastAsia"/>
                <w:rtl/>
              </w:rPr>
              <w:t>חפצא</w:t>
            </w:r>
            <w:r w:rsidR="004D06EF" w:rsidRPr="00DD33D4">
              <w:rPr>
                <w:rStyle w:val="Hyperlink"/>
                <w:rFonts w:eastAsia="David Libre"/>
                <w:rtl/>
              </w:rPr>
              <w:t xml:space="preserve">  </w:t>
            </w:r>
            <w:r w:rsidR="004D06EF" w:rsidRPr="00DD33D4">
              <w:rPr>
                <w:rStyle w:val="Hyperlink"/>
                <w:rFonts w:eastAsia="David Libre" w:hint="eastAsia"/>
                <w:rtl/>
              </w:rPr>
              <w:t>בדין</w:t>
            </w:r>
            <w:r w:rsidR="004D06EF" w:rsidRPr="00DD33D4">
              <w:rPr>
                <w:rStyle w:val="Hyperlink"/>
                <w:rFonts w:eastAsia="David Libre"/>
              </w:rPr>
              <w:t xml:space="preserve">  </w:t>
            </w:r>
            <w:r w:rsidR="004D06EF" w:rsidRPr="00DD33D4">
              <w:rPr>
                <w:rStyle w:val="Hyperlink"/>
                <w:rFonts w:eastAsia="David Libre" w:hint="eastAsia"/>
                <w:rtl/>
              </w:rPr>
              <w:t>זה</w:t>
            </w:r>
            <w:r w:rsidR="004D06EF" w:rsidRPr="00DD33D4">
              <w:rPr>
                <w:rStyle w:val="Hyperlink"/>
                <w:rFonts w:eastAsia="David Libre"/>
                <w:rtl/>
              </w:rPr>
              <w:t xml:space="preserve"> </w:t>
            </w:r>
            <w:r w:rsidR="004D06EF" w:rsidRPr="00DD33D4">
              <w:rPr>
                <w:rStyle w:val="Hyperlink"/>
                <w:rFonts w:eastAsia="David Libre" w:hint="eastAsia"/>
                <w:rtl/>
              </w:rPr>
              <w:t>וזה</w:t>
            </w:r>
            <w:r w:rsidR="004D06EF" w:rsidRPr="00DD33D4">
              <w:rPr>
                <w:rStyle w:val="Hyperlink"/>
                <w:rFonts w:eastAsia="David Libre"/>
                <w:rtl/>
              </w:rPr>
              <w:t xml:space="preserve"> </w:t>
            </w:r>
            <w:r w:rsidR="004D06EF" w:rsidRPr="00DD33D4">
              <w:rPr>
                <w:rStyle w:val="Hyperlink"/>
                <w:rFonts w:eastAsia="David Libre" w:hint="eastAsia"/>
                <w:rtl/>
              </w:rPr>
              <w:t>גורם</w:t>
            </w:r>
            <w:r w:rsidR="004D06EF" w:rsidRPr="00DD33D4">
              <w:rPr>
                <w:rStyle w:val="Hyperlink"/>
                <w:rFonts w:eastAsia="David Libre"/>
              </w:rPr>
              <w:t xml:space="preserve"> </w:t>
            </w:r>
            <w:r w:rsidR="004D06EF" w:rsidRPr="00DD33D4">
              <w:rPr>
                <w:rStyle w:val="Hyperlink"/>
                <w:rFonts w:eastAsia="David Libre" w:hint="eastAsia"/>
                <w:rtl/>
              </w:rPr>
              <w:t>אם</w:t>
            </w:r>
            <w:r w:rsidR="004D06EF" w:rsidRPr="00DD33D4">
              <w:rPr>
                <w:rStyle w:val="Hyperlink"/>
                <w:rFonts w:eastAsia="David Libre"/>
                <w:rtl/>
              </w:rPr>
              <w:t xml:space="preserve"> </w:t>
            </w:r>
            <w:r w:rsidR="004D06EF" w:rsidRPr="00DD33D4">
              <w:rPr>
                <w:rStyle w:val="Hyperlink"/>
                <w:rFonts w:eastAsia="David Libre" w:hint="eastAsia"/>
                <w:rtl/>
              </w:rPr>
              <w:t>אסור</w:t>
            </w:r>
            <w:r w:rsidR="004D06EF">
              <w:rPr>
                <w:webHidden/>
              </w:rPr>
              <w:tab/>
            </w:r>
            <w:r w:rsidR="004D06EF">
              <w:rPr>
                <w:webHidden/>
              </w:rPr>
              <w:fldChar w:fldCharType="begin"/>
            </w:r>
            <w:r w:rsidR="004D06EF">
              <w:rPr>
                <w:webHidden/>
              </w:rPr>
              <w:instrText xml:space="preserve"> PAGEREF _Toc531140375 \h </w:instrText>
            </w:r>
            <w:r w:rsidR="004D06EF">
              <w:rPr>
                <w:webHidden/>
              </w:rPr>
            </w:r>
            <w:r w:rsidR="004D06EF">
              <w:rPr>
                <w:webHidden/>
              </w:rPr>
              <w:fldChar w:fldCharType="separate"/>
            </w:r>
            <w:r w:rsidR="00BE6663">
              <w:rPr>
                <w:webHidden/>
                <w:rtl/>
              </w:rPr>
              <w:t>56</w:t>
            </w:r>
            <w:r w:rsidR="004D06EF">
              <w:rPr>
                <w:webHidden/>
              </w:rPr>
              <w:fldChar w:fldCharType="end"/>
            </w:r>
          </w:hyperlink>
        </w:p>
        <w:p w14:paraId="5F3FE2AA" w14:textId="0FDB5D96" w:rsidR="004D06EF" w:rsidRDefault="00A41789" w:rsidP="004D06EF">
          <w:pPr>
            <w:pStyle w:val="TOC3"/>
            <w:rPr>
              <w:rFonts w:asciiTheme="minorHAnsi" w:eastAsiaTheme="minorEastAsia" w:hAnsiTheme="minorHAnsi" w:cstheme="minorBidi"/>
              <w:sz w:val="22"/>
              <w:szCs w:val="22"/>
              <w:lang w:val="en-US"/>
            </w:rPr>
          </w:pPr>
          <w:hyperlink w:anchor="_Toc531140376" w:history="1">
            <w:r w:rsidR="004D06EF" w:rsidRPr="00DD33D4">
              <w:rPr>
                <w:rStyle w:val="Hyperlink"/>
                <w:rFonts w:hint="eastAsia"/>
                <w:rtl/>
              </w:rPr>
              <w:t>הנ</w:t>
            </w:r>
            <w:r w:rsidR="004D06EF" w:rsidRPr="00DD33D4">
              <w:rPr>
                <w:rStyle w:val="Hyperlink"/>
                <w:lang w:bidi="ar-SA"/>
              </w:rPr>
              <w:t>"</w:t>
            </w:r>
            <w:r w:rsidR="004D06EF" w:rsidRPr="00DD33D4">
              <w:rPr>
                <w:rStyle w:val="Hyperlink"/>
                <w:rFonts w:hint="eastAsia"/>
                <w:rtl/>
              </w:rPr>
              <w:t>ל</w:t>
            </w:r>
          </w:hyperlink>
        </w:p>
        <w:p w14:paraId="30E776D0" w14:textId="77777777" w:rsidR="004D06EF" w:rsidRDefault="00A41789" w:rsidP="004D06EF">
          <w:pPr>
            <w:pStyle w:val="TOC2"/>
            <w:rPr>
              <w:rFonts w:asciiTheme="minorHAnsi" w:eastAsiaTheme="minorEastAsia" w:hAnsiTheme="minorHAnsi" w:cstheme="minorBidi"/>
            </w:rPr>
          </w:pPr>
          <w:hyperlink w:anchor="_Toc531140377" w:history="1">
            <w:r w:rsidR="004D06EF" w:rsidRPr="00DD33D4">
              <w:rPr>
                <w:rStyle w:val="Hyperlink"/>
                <w:rFonts w:hint="eastAsia"/>
                <w:rtl/>
              </w:rPr>
              <w:t>חצי</w:t>
            </w:r>
            <w:r w:rsidR="004D06EF" w:rsidRPr="00DD33D4">
              <w:rPr>
                <w:rStyle w:val="Hyperlink"/>
                <w:rtl/>
              </w:rPr>
              <w:t xml:space="preserve"> </w:t>
            </w:r>
            <w:r w:rsidR="004D06EF" w:rsidRPr="00DD33D4">
              <w:rPr>
                <w:rStyle w:val="Hyperlink"/>
                <w:rFonts w:hint="eastAsia"/>
                <w:rtl/>
              </w:rPr>
              <w:t>לוג</w:t>
            </w:r>
            <w:r w:rsidR="004D06EF" w:rsidRPr="00DD33D4">
              <w:rPr>
                <w:rStyle w:val="Hyperlink"/>
                <w:rtl/>
              </w:rPr>
              <w:t xml:space="preserve"> </w:t>
            </w:r>
            <w:r w:rsidR="004D06EF" w:rsidRPr="00DD33D4">
              <w:rPr>
                <w:rStyle w:val="Hyperlink"/>
                <w:rFonts w:hint="eastAsia"/>
                <w:rtl/>
              </w:rPr>
              <w:t>שמן</w:t>
            </w:r>
            <w:r w:rsidR="004D06EF" w:rsidRPr="00DD33D4">
              <w:rPr>
                <w:rStyle w:val="Hyperlink"/>
                <w:rtl/>
              </w:rPr>
              <w:t xml:space="preserve"> </w:t>
            </w:r>
            <w:r w:rsidR="004D06EF" w:rsidRPr="00DD33D4">
              <w:rPr>
                <w:rStyle w:val="Hyperlink"/>
                <w:rFonts w:hint="eastAsia"/>
                <w:rtl/>
              </w:rPr>
              <w:t>זית</w:t>
            </w:r>
            <w:r w:rsidR="004D06EF" w:rsidRPr="00DD33D4">
              <w:rPr>
                <w:rStyle w:val="Hyperlink"/>
                <w:rtl/>
              </w:rPr>
              <w:t xml:space="preserve"> </w:t>
            </w:r>
            <w:r w:rsidR="004D06EF" w:rsidRPr="00DD33D4">
              <w:rPr>
                <w:rStyle w:val="Hyperlink"/>
                <w:rFonts w:hint="eastAsia"/>
                <w:rtl/>
              </w:rPr>
              <w:t>בנרות</w:t>
            </w:r>
            <w:r w:rsidR="004D06EF" w:rsidRPr="00DD33D4">
              <w:rPr>
                <w:rStyle w:val="Hyperlink"/>
                <w:rtl/>
              </w:rPr>
              <w:t xml:space="preserve"> </w:t>
            </w:r>
            <w:r w:rsidR="004D06EF" w:rsidRPr="00DD33D4">
              <w:rPr>
                <w:rStyle w:val="Hyperlink"/>
                <w:rFonts w:hint="eastAsia"/>
                <w:rtl/>
              </w:rPr>
              <w:t>המנורה</w:t>
            </w:r>
            <w:r w:rsidR="004D06EF">
              <w:rPr>
                <w:webHidden/>
              </w:rPr>
              <w:tab/>
            </w:r>
            <w:r w:rsidR="004D06EF">
              <w:rPr>
                <w:webHidden/>
              </w:rPr>
              <w:fldChar w:fldCharType="begin"/>
            </w:r>
            <w:r w:rsidR="004D06EF">
              <w:rPr>
                <w:webHidden/>
              </w:rPr>
              <w:instrText xml:space="preserve"> PAGEREF _Toc531140377 \h </w:instrText>
            </w:r>
            <w:r w:rsidR="004D06EF">
              <w:rPr>
                <w:webHidden/>
              </w:rPr>
            </w:r>
            <w:r w:rsidR="004D06EF">
              <w:rPr>
                <w:webHidden/>
              </w:rPr>
              <w:fldChar w:fldCharType="separate"/>
            </w:r>
            <w:r w:rsidR="00BE6663">
              <w:rPr>
                <w:webHidden/>
                <w:rtl/>
              </w:rPr>
              <w:t>58</w:t>
            </w:r>
            <w:r w:rsidR="004D06EF">
              <w:rPr>
                <w:webHidden/>
              </w:rPr>
              <w:fldChar w:fldCharType="end"/>
            </w:r>
          </w:hyperlink>
        </w:p>
        <w:p w14:paraId="3AC5E859" w14:textId="705DA23D" w:rsidR="004D06EF" w:rsidRDefault="00A41789" w:rsidP="004D06EF">
          <w:pPr>
            <w:pStyle w:val="TOC3"/>
            <w:rPr>
              <w:rFonts w:asciiTheme="minorHAnsi" w:eastAsiaTheme="minorEastAsia" w:hAnsiTheme="minorHAnsi" w:cstheme="minorBidi"/>
              <w:sz w:val="22"/>
              <w:szCs w:val="22"/>
              <w:lang w:val="en-US"/>
            </w:rPr>
          </w:pPr>
          <w:hyperlink w:anchor="_Toc531140378"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משה</w:t>
            </w:r>
            <w:r w:rsidR="004D06EF" w:rsidRPr="00DD33D4">
              <w:rPr>
                <w:rStyle w:val="Hyperlink"/>
                <w:rtl/>
              </w:rPr>
              <w:t xml:space="preserve"> </w:t>
            </w:r>
            <w:r w:rsidR="004D06EF" w:rsidRPr="00DD33D4">
              <w:rPr>
                <w:rStyle w:val="Hyperlink"/>
                <w:rFonts w:hint="eastAsia"/>
                <w:rtl/>
              </w:rPr>
              <w:t>רבינוביץ</w:t>
            </w:r>
          </w:hyperlink>
        </w:p>
        <w:p w14:paraId="556F6F8E" w14:textId="77777777" w:rsidR="004D06EF" w:rsidRDefault="00A41789" w:rsidP="004D06EF">
          <w:pPr>
            <w:pStyle w:val="TOC2"/>
            <w:rPr>
              <w:rFonts w:asciiTheme="minorHAnsi" w:eastAsiaTheme="minorEastAsia" w:hAnsiTheme="minorHAnsi" w:cstheme="minorBidi"/>
            </w:rPr>
          </w:pPr>
          <w:hyperlink w:anchor="_Toc531140379" w:history="1">
            <w:r w:rsidR="004D06EF" w:rsidRPr="00DD33D4">
              <w:rPr>
                <w:rStyle w:val="Hyperlink"/>
                <w:rFonts w:hint="eastAsia"/>
                <w:rtl/>
              </w:rPr>
              <w:t>בוקר</w:t>
            </w:r>
            <w:r w:rsidR="004D06EF" w:rsidRPr="00DD33D4">
              <w:rPr>
                <w:rStyle w:val="Hyperlink"/>
                <w:rtl/>
              </w:rPr>
              <w:t xml:space="preserve"> </w:t>
            </w:r>
            <w:r w:rsidR="004D06EF" w:rsidRPr="00DD33D4">
              <w:rPr>
                <w:rStyle w:val="Hyperlink"/>
                <w:rFonts w:hint="eastAsia"/>
                <w:rtl/>
              </w:rPr>
              <w:t>הוי</w:t>
            </w:r>
            <w:r w:rsidR="004D06EF" w:rsidRPr="00DD33D4">
              <w:rPr>
                <w:rStyle w:val="Hyperlink"/>
                <w:rtl/>
              </w:rPr>
              <w:t xml:space="preserve"> </w:t>
            </w:r>
            <w:r w:rsidR="004D06EF" w:rsidRPr="00DD33D4">
              <w:rPr>
                <w:rStyle w:val="Hyperlink"/>
                <w:rFonts w:hint="eastAsia"/>
                <w:rtl/>
              </w:rPr>
              <w:t>עד</w:t>
            </w:r>
            <w:r w:rsidR="004D06EF" w:rsidRPr="00DD33D4">
              <w:rPr>
                <w:rStyle w:val="Hyperlink"/>
                <w:rtl/>
              </w:rPr>
              <w:t xml:space="preserve"> </w:t>
            </w:r>
            <w:r w:rsidR="004D06EF" w:rsidRPr="00DD33D4">
              <w:rPr>
                <w:rStyle w:val="Hyperlink"/>
                <w:rFonts w:hint="eastAsia"/>
                <w:rtl/>
              </w:rPr>
              <w:t>שש</w:t>
            </w:r>
            <w:r w:rsidR="004D06EF" w:rsidRPr="00DD33D4">
              <w:rPr>
                <w:rStyle w:val="Hyperlink"/>
                <w:rtl/>
              </w:rPr>
              <w:t xml:space="preserve"> </w:t>
            </w:r>
            <w:r w:rsidR="004D06EF" w:rsidRPr="00DD33D4">
              <w:rPr>
                <w:rStyle w:val="Hyperlink"/>
                <w:rFonts w:hint="eastAsia"/>
                <w:rtl/>
              </w:rPr>
              <w:t>שעות</w:t>
            </w:r>
            <w:r w:rsidR="004D06EF">
              <w:rPr>
                <w:webHidden/>
              </w:rPr>
              <w:tab/>
            </w:r>
            <w:r w:rsidR="004D06EF">
              <w:rPr>
                <w:webHidden/>
              </w:rPr>
              <w:fldChar w:fldCharType="begin"/>
            </w:r>
            <w:r w:rsidR="004D06EF">
              <w:rPr>
                <w:webHidden/>
              </w:rPr>
              <w:instrText xml:space="preserve"> PAGEREF _Toc531140379 \h </w:instrText>
            </w:r>
            <w:r w:rsidR="004D06EF">
              <w:rPr>
                <w:webHidden/>
              </w:rPr>
            </w:r>
            <w:r w:rsidR="004D06EF">
              <w:rPr>
                <w:webHidden/>
              </w:rPr>
              <w:fldChar w:fldCharType="separate"/>
            </w:r>
            <w:r w:rsidR="00BE6663">
              <w:rPr>
                <w:webHidden/>
                <w:rtl/>
              </w:rPr>
              <w:t>62</w:t>
            </w:r>
            <w:r w:rsidR="004D06EF">
              <w:rPr>
                <w:webHidden/>
              </w:rPr>
              <w:fldChar w:fldCharType="end"/>
            </w:r>
          </w:hyperlink>
        </w:p>
        <w:p w14:paraId="2F177088" w14:textId="1FA390B0" w:rsidR="004D06EF" w:rsidRDefault="00A41789" w:rsidP="00756517">
          <w:pPr>
            <w:pStyle w:val="TOC3"/>
            <w:rPr>
              <w:rFonts w:asciiTheme="minorHAnsi" w:eastAsiaTheme="minorEastAsia" w:hAnsiTheme="minorHAnsi" w:cstheme="minorBidi"/>
              <w:sz w:val="22"/>
              <w:szCs w:val="22"/>
              <w:lang w:val="en-US"/>
            </w:rPr>
          </w:pPr>
          <w:hyperlink w:anchor="_Toc531140380" w:history="1">
            <w:r w:rsidR="004D06EF" w:rsidRPr="00DD33D4">
              <w:rPr>
                <w:rStyle w:val="Hyperlink"/>
                <w:rFonts w:hint="eastAsia"/>
                <w:rtl/>
              </w:rPr>
              <w:t>ה</w:t>
            </w:r>
            <w:r w:rsidR="00756517">
              <w:rPr>
                <w:rStyle w:val="Hyperlink"/>
                <w:rFonts w:hint="cs"/>
                <w:rtl/>
              </w:rPr>
              <w:t xml:space="preserve">ת' </w:t>
            </w:r>
            <w:r w:rsidR="004D06EF" w:rsidRPr="00DD33D4">
              <w:rPr>
                <w:rStyle w:val="Hyperlink"/>
                <w:rFonts w:hint="eastAsia"/>
                <w:rtl/>
              </w:rPr>
              <w:t>יוסף</w:t>
            </w:r>
            <w:r w:rsidR="004D06EF" w:rsidRPr="00DD33D4">
              <w:rPr>
                <w:rStyle w:val="Hyperlink"/>
              </w:rPr>
              <w:t xml:space="preserve"> </w:t>
            </w:r>
            <w:r w:rsidR="004D06EF" w:rsidRPr="00DD33D4">
              <w:rPr>
                <w:rStyle w:val="Hyperlink"/>
                <w:rFonts w:hint="eastAsia"/>
                <w:rtl/>
              </w:rPr>
              <w:t>מנחם</w:t>
            </w:r>
            <w:r w:rsidR="004D06EF" w:rsidRPr="00DD33D4">
              <w:rPr>
                <w:rStyle w:val="Hyperlink"/>
              </w:rPr>
              <w:t xml:space="preserve"> </w:t>
            </w:r>
            <w:r w:rsidR="004D06EF" w:rsidRPr="00DD33D4">
              <w:rPr>
                <w:rStyle w:val="Hyperlink"/>
                <w:rFonts w:hint="eastAsia"/>
                <w:rtl/>
              </w:rPr>
              <w:t>מענדל</w:t>
            </w:r>
            <w:r w:rsidR="004D06EF" w:rsidRPr="00DD33D4">
              <w:rPr>
                <w:rStyle w:val="Hyperlink"/>
              </w:rPr>
              <w:t xml:space="preserve"> </w:t>
            </w:r>
            <w:r w:rsidR="004D06EF" w:rsidRPr="00DD33D4">
              <w:rPr>
                <w:rStyle w:val="Hyperlink"/>
                <w:rFonts w:hint="eastAsia"/>
                <w:rtl/>
              </w:rPr>
              <w:t>טענענבוים</w:t>
            </w:r>
          </w:hyperlink>
        </w:p>
        <w:p w14:paraId="3144D1FF" w14:textId="77777777" w:rsidR="004D06EF" w:rsidRDefault="00A41789" w:rsidP="004D06EF">
          <w:pPr>
            <w:pStyle w:val="TOC2"/>
            <w:rPr>
              <w:rFonts w:asciiTheme="minorHAnsi" w:eastAsiaTheme="minorEastAsia" w:hAnsiTheme="minorHAnsi" w:cstheme="minorBidi"/>
            </w:rPr>
          </w:pPr>
          <w:hyperlink w:anchor="_Toc531140381" w:history="1">
            <w:r w:rsidR="004D06EF" w:rsidRPr="00DD33D4">
              <w:rPr>
                <w:rStyle w:val="Hyperlink"/>
                <w:rFonts w:hint="eastAsia"/>
                <w:rtl/>
              </w:rPr>
              <w:t>בענין</w:t>
            </w:r>
            <w:r w:rsidR="004D06EF" w:rsidRPr="00DD33D4">
              <w:rPr>
                <w:rStyle w:val="Hyperlink"/>
                <w:rtl/>
              </w:rPr>
              <w:t xml:space="preserve"> "</w:t>
            </w:r>
            <w:r w:rsidR="004D06EF" w:rsidRPr="00DD33D4">
              <w:rPr>
                <w:rStyle w:val="Hyperlink"/>
                <w:rFonts w:hint="eastAsia"/>
                <w:rtl/>
              </w:rPr>
              <w:t>מלך</w:t>
            </w:r>
            <w:r w:rsidR="004D06EF" w:rsidRPr="00DD33D4">
              <w:rPr>
                <w:rStyle w:val="Hyperlink"/>
                <w:rtl/>
              </w:rPr>
              <w:t xml:space="preserve"> </w:t>
            </w:r>
            <w:r w:rsidR="004D06EF" w:rsidRPr="00DD33D4">
              <w:rPr>
                <w:rStyle w:val="Hyperlink"/>
                <w:rFonts w:hint="eastAsia"/>
                <w:rtl/>
              </w:rPr>
              <w:t>אינו</w:t>
            </w:r>
            <w:r w:rsidR="004D06EF" w:rsidRPr="00DD33D4">
              <w:rPr>
                <w:rStyle w:val="Hyperlink"/>
                <w:rtl/>
              </w:rPr>
              <w:t xml:space="preserve"> </w:t>
            </w:r>
            <w:r w:rsidR="004D06EF" w:rsidRPr="00DD33D4">
              <w:rPr>
                <w:rStyle w:val="Hyperlink"/>
                <w:rFonts w:hint="eastAsia"/>
                <w:rtl/>
              </w:rPr>
              <w:t>מעיד</w:t>
            </w:r>
            <w:r w:rsidR="004D06EF" w:rsidRPr="00DD33D4">
              <w:rPr>
                <w:rStyle w:val="Hyperlink"/>
                <w:rtl/>
              </w:rPr>
              <w:t xml:space="preserve">" </w:t>
            </w:r>
            <w:r w:rsidR="004D06EF" w:rsidRPr="00DD33D4">
              <w:rPr>
                <w:rStyle w:val="Hyperlink"/>
                <w:rFonts w:hint="eastAsia"/>
                <w:rtl/>
              </w:rPr>
              <w:t>במלכי</w:t>
            </w:r>
            <w:r w:rsidR="004D06EF" w:rsidRPr="00DD33D4">
              <w:rPr>
                <w:rStyle w:val="Hyperlink"/>
                <w:rtl/>
              </w:rPr>
              <w:t xml:space="preserve"> </w:t>
            </w:r>
            <w:r w:rsidR="004D06EF" w:rsidRPr="00DD33D4">
              <w:rPr>
                <w:rStyle w:val="Hyperlink"/>
                <w:rFonts w:hint="eastAsia"/>
                <w:rtl/>
              </w:rPr>
              <w:t>ישראל</w:t>
            </w:r>
            <w:r w:rsidR="004D06EF" w:rsidRPr="00DD33D4">
              <w:rPr>
                <w:rStyle w:val="Hyperlink"/>
                <w:rtl/>
              </w:rPr>
              <w:t xml:space="preserve"> </w:t>
            </w:r>
            <w:r w:rsidR="004D06EF" w:rsidRPr="00DD33D4">
              <w:rPr>
                <w:rStyle w:val="Hyperlink"/>
                <w:rFonts w:hint="eastAsia"/>
                <w:rtl/>
              </w:rPr>
              <w:t>ומלכי</w:t>
            </w:r>
            <w:r w:rsidR="004D06EF" w:rsidRPr="00DD33D4">
              <w:rPr>
                <w:rStyle w:val="Hyperlink"/>
                <w:rtl/>
              </w:rPr>
              <w:t xml:space="preserve"> </w:t>
            </w:r>
            <w:r w:rsidR="004D06EF" w:rsidRPr="00DD33D4">
              <w:rPr>
                <w:rStyle w:val="Hyperlink"/>
                <w:rFonts w:hint="eastAsia"/>
                <w:rtl/>
              </w:rPr>
              <w:t>ב</w:t>
            </w:r>
            <w:r w:rsidR="004D06EF" w:rsidRPr="00DD33D4">
              <w:rPr>
                <w:rStyle w:val="Hyperlink"/>
                <w:rtl/>
              </w:rPr>
              <w:t>"</w:t>
            </w:r>
            <w:r w:rsidR="004D06EF" w:rsidRPr="00DD33D4">
              <w:rPr>
                <w:rStyle w:val="Hyperlink"/>
                <w:rFonts w:hint="eastAsia"/>
                <w:rtl/>
              </w:rPr>
              <w:t>ד</w:t>
            </w:r>
            <w:r w:rsidR="004D06EF">
              <w:rPr>
                <w:webHidden/>
              </w:rPr>
              <w:tab/>
            </w:r>
            <w:r w:rsidR="004D06EF">
              <w:rPr>
                <w:webHidden/>
              </w:rPr>
              <w:fldChar w:fldCharType="begin"/>
            </w:r>
            <w:r w:rsidR="004D06EF">
              <w:rPr>
                <w:webHidden/>
              </w:rPr>
              <w:instrText xml:space="preserve"> PAGEREF _Toc531140381 \h </w:instrText>
            </w:r>
            <w:r w:rsidR="004D06EF">
              <w:rPr>
                <w:webHidden/>
              </w:rPr>
            </w:r>
            <w:r w:rsidR="004D06EF">
              <w:rPr>
                <w:webHidden/>
              </w:rPr>
              <w:fldChar w:fldCharType="separate"/>
            </w:r>
            <w:r w:rsidR="00BE6663">
              <w:rPr>
                <w:webHidden/>
                <w:rtl/>
              </w:rPr>
              <w:t>63</w:t>
            </w:r>
            <w:r w:rsidR="004D06EF">
              <w:rPr>
                <w:webHidden/>
              </w:rPr>
              <w:fldChar w:fldCharType="end"/>
            </w:r>
          </w:hyperlink>
        </w:p>
        <w:p w14:paraId="3838ED24" w14:textId="7427771A" w:rsidR="004D06EF" w:rsidRDefault="00A41789" w:rsidP="004D06EF">
          <w:pPr>
            <w:pStyle w:val="TOC3"/>
            <w:rPr>
              <w:rFonts w:asciiTheme="minorHAnsi" w:eastAsiaTheme="minorEastAsia" w:hAnsiTheme="minorHAnsi" w:cstheme="minorBidi"/>
              <w:sz w:val="22"/>
              <w:szCs w:val="22"/>
              <w:lang w:val="en-US"/>
            </w:rPr>
          </w:pPr>
          <w:hyperlink w:anchor="_Toc531140382" w:history="1">
            <w:r w:rsidR="004D06EF" w:rsidRPr="00DD33D4">
              <w:rPr>
                <w:rStyle w:val="Hyperlink"/>
                <w:rFonts w:hint="eastAsia"/>
                <w:rtl/>
              </w:rPr>
              <w:t>הנ</w:t>
            </w:r>
            <w:r w:rsidR="004D06EF" w:rsidRPr="00DD33D4">
              <w:rPr>
                <w:rStyle w:val="Hyperlink"/>
                <w:lang w:bidi="ar-SA"/>
              </w:rPr>
              <w:t>"</w:t>
            </w:r>
            <w:r w:rsidR="004D06EF" w:rsidRPr="00DD33D4">
              <w:rPr>
                <w:rStyle w:val="Hyperlink"/>
                <w:rFonts w:hint="eastAsia"/>
                <w:rtl/>
              </w:rPr>
              <w:t>ל</w:t>
            </w:r>
          </w:hyperlink>
        </w:p>
        <w:p w14:paraId="7AEE5F2F" w14:textId="77777777" w:rsidR="004D06EF" w:rsidRDefault="00A41789" w:rsidP="004D06EF">
          <w:pPr>
            <w:pStyle w:val="TOC2"/>
            <w:rPr>
              <w:rFonts w:asciiTheme="minorHAnsi" w:eastAsiaTheme="minorEastAsia" w:hAnsiTheme="minorHAnsi" w:cstheme="minorBidi"/>
            </w:rPr>
          </w:pPr>
          <w:hyperlink w:anchor="_Toc531140383" w:history="1">
            <w:r w:rsidR="004D06EF" w:rsidRPr="00DD33D4">
              <w:rPr>
                <w:rStyle w:val="Hyperlink"/>
                <w:rFonts w:hint="eastAsia"/>
                <w:rtl/>
              </w:rPr>
              <w:t>בענין</w:t>
            </w:r>
            <w:r w:rsidR="004D06EF" w:rsidRPr="00DD33D4">
              <w:rPr>
                <w:rStyle w:val="Hyperlink"/>
                <w:rtl/>
              </w:rPr>
              <w:t xml:space="preserve"> </w:t>
            </w:r>
            <w:r w:rsidR="004D06EF" w:rsidRPr="00DD33D4">
              <w:rPr>
                <w:rStyle w:val="Hyperlink"/>
                <w:rFonts w:hint="eastAsia"/>
                <w:rtl/>
              </w:rPr>
              <w:t>תנאי</w:t>
            </w:r>
            <w:r w:rsidR="004D06EF" w:rsidRPr="00DD33D4">
              <w:rPr>
                <w:rStyle w:val="Hyperlink"/>
                <w:rtl/>
              </w:rPr>
              <w:t xml:space="preserve"> </w:t>
            </w:r>
            <w:r w:rsidR="004D06EF" w:rsidRPr="00DD33D4">
              <w:rPr>
                <w:rStyle w:val="Hyperlink"/>
                <w:rFonts w:hint="eastAsia"/>
                <w:rtl/>
              </w:rPr>
              <w:t>לאחר</w:t>
            </w:r>
            <w:r w:rsidR="004D06EF" w:rsidRPr="00DD33D4">
              <w:rPr>
                <w:rStyle w:val="Hyperlink"/>
                <w:rtl/>
              </w:rPr>
              <w:t xml:space="preserve"> </w:t>
            </w:r>
            <w:r w:rsidR="004D06EF" w:rsidRPr="00DD33D4">
              <w:rPr>
                <w:rStyle w:val="Hyperlink"/>
                <w:rFonts w:hint="eastAsia"/>
                <w:rtl/>
              </w:rPr>
              <w:t>המעשה</w:t>
            </w:r>
            <w:r w:rsidR="004D06EF">
              <w:rPr>
                <w:webHidden/>
              </w:rPr>
              <w:tab/>
            </w:r>
            <w:r w:rsidR="004D06EF">
              <w:rPr>
                <w:webHidden/>
              </w:rPr>
              <w:fldChar w:fldCharType="begin"/>
            </w:r>
            <w:r w:rsidR="004D06EF">
              <w:rPr>
                <w:webHidden/>
              </w:rPr>
              <w:instrText xml:space="preserve"> PAGEREF _Toc531140383 \h </w:instrText>
            </w:r>
            <w:r w:rsidR="004D06EF">
              <w:rPr>
                <w:webHidden/>
              </w:rPr>
            </w:r>
            <w:r w:rsidR="004D06EF">
              <w:rPr>
                <w:webHidden/>
              </w:rPr>
              <w:fldChar w:fldCharType="separate"/>
            </w:r>
            <w:r w:rsidR="00BE6663">
              <w:rPr>
                <w:webHidden/>
                <w:rtl/>
              </w:rPr>
              <w:t>67</w:t>
            </w:r>
            <w:r w:rsidR="004D06EF">
              <w:rPr>
                <w:webHidden/>
              </w:rPr>
              <w:fldChar w:fldCharType="end"/>
            </w:r>
          </w:hyperlink>
        </w:p>
        <w:p w14:paraId="25C67780" w14:textId="31F31BC9" w:rsidR="004D06EF" w:rsidRDefault="00A41789" w:rsidP="00756517">
          <w:pPr>
            <w:pStyle w:val="TOC3"/>
            <w:rPr>
              <w:rFonts w:asciiTheme="minorHAnsi" w:eastAsiaTheme="minorEastAsia" w:hAnsiTheme="minorHAnsi" w:cstheme="minorBidi"/>
              <w:sz w:val="22"/>
              <w:szCs w:val="22"/>
              <w:lang w:val="en-US"/>
            </w:rPr>
          </w:pPr>
          <w:hyperlink w:anchor="_Toc531140384" w:history="1">
            <w:r w:rsidR="004D06EF" w:rsidRPr="00DD33D4">
              <w:rPr>
                <w:rStyle w:val="Hyperlink"/>
                <w:rFonts w:hint="eastAsia"/>
                <w:rtl/>
              </w:rPr>
              <w:t>ה</w:t>
            </w:r>
            <w:r w:rsidR="00756517">
              <w:rPr>
                <w:rStyle w:val="Hyperlink"/>
                <w:rFonts w:hint="cs"/>
                <w:rtl/>
              </w:rPr>
              <w:t xml:space="preserve">ת'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tl/>
              </w:rPr>
              <w:t xml:space="preserve"> </w:t>
            </w:r>
            <w:r w:rsidR="004D06EF" w:rsidRPr="00DD33D4">
              <w:rPr>
                <w:rStyle w:val="Hyperlink"/>
                <w:rFonts w:hint="eastAsia"/>
                <w:rtl/>
              </w:rPr>
              <w:t>שפירא</w:t>
            </w:r>
          </w:hyperlink>
        </w:p>
        <w:p w14:paraId="49E332DB" w14:textId="77777777" w:rsidR="004D06EF" w:rsidRDefault="00A41789" w:rsidP="004D06EF">
          <w:pPr>
            <w:pStyle w:val="TOC2"/>
            <w:rPr>
              <w:rFonts w:asciiTheme="minorHAnsi" w:eastAsiaTheme="minorEastAsia" w:hAnsiTheme="minorHAnsi" w:cstheme="minorBidi"/>
            </w:rPr>
          </w:pPr>
          <w:hyperlink w:anchor="_Toc531140385" w:history="1">
            <w:r w:rsidR="004D06EF" w:rsidRPr="00DD33D4">
              <w:rPr>
                <w:rStyle w:val="Hyperlink"/>
                <w:rFonts w:hint="eastAsia"/>
                <w:rtl/>
              </w:rPr>
              <w:t>בפירוש</w:t>
            </w:r>
            <w:r w:rsidR="004D06EF" w:rsidRPr="00DD33D4">
              <w:rPr>
                <w:rStyle w:val="Hyperlink"/>
                <w:rtl/>
              </w:rPr>
              <w:t xml:space="preserve"> </w:t>
            </w:r>
            <w:r w:rsidR="004D06EF" w:rsidRPr="00DD33D4">
              <w:rPr>
                <w:rStyle w:val="Hyperlink"/>
                <w:rFonts w:hint="eastAsia"/>
                <w:rtl/>
              </w:rPr>
              <w:t>רש</w:t>
            </w:r>
            <w:r w:rsidR="004D06EF" w:rsidRPr="00DD33D4">
              <w:rPr>
                <w:rStyle w:val="Hyperlink"/>
                <w:rtl/>
              </w:rPr>
              <w:t>"</w:t>
            </w:r>
            <w:r w:rsidR="004D06EF" w:rsidRPr="00DD33D4">
              <w:rPr>
                <w:rStyle w:val="Hyperlink"/>
                <w:rFonts w:hint="eastAsia"/>
                <w:rtl/>
              </w:rPr>
              <w:t>י</w:t>
            </w:r>
            <w:r w:rsidR="004D06EF" w:rsidRPr="00DD33D4">
              <w:rPr>
                <w:rStyle w:val="Hyperlink"/>
                <w:rtl/>
              </w:rPr>
              <w:t xml:space="preserve"> </w:t>
            </w:r>
            <w:r w:rsidR="004D06EF" w:rsidRPr="00DD33D4">
              <w:rPr>
                <w:rStyle w:val="Hyperlink"/>
                <w:rFonts w:hint="eastAsia"/>
                <w:rtl/>
              </w:rPr>
              <w:t>דחס</w:t>
            </w:r>
            <w:r w:rsidR="004D06EF" w:rsidRPr="00DD33D4">
              <w:rPr>
                <w:rStyle w:val="Hyperlink"/>
                <w:rtl/>
              </w:rPr>
              <w:t xml:space="preserve"> </w:t>
            </w:r>
            <w:r w:rsidR="004D06EF" w:rsidRPr="00DD33D4">
              <w:rPr>
                <w:rStyle w:val="Hyperlink"/>
                <w:rFonts w:hint="eastAsia"/>
                <w:rtl/>
              </w:rPr>
              <w:t>עליה</w:t>
            </w:r>
            <w:r w:rsidR="004D06EF" w:rsidRPr="00DD33D4">
              <w:rPr>
                <w:rStyle w:val="Hyperlink"/>
                <w:rtl/>
              </w:rPr>
              <w:t xml:space="preserve"> </w:t>
            </w:r>
            <w:r w:rsidR="004D06EF" w:rsidRPr="00DD33D4">
              <w:rPr>
                <w:rStyle w:val="Hyperlink"/>
                <w:rFonts w:hint="eastAsia"/>
                <w:rtl/>
              </w:rPr>
              <w:t>לשורפה</w:t>
            </w:r>
            <w:r w:rsidR="004D06EF">
              <w:rPr>
                <w:webHidden/>
              </w:rPr>
              <w:tab/>
            </w:r>
            <w:r w:rsidR="004D06EF">
              <w:rPr>
                <w:webHidden/>
              </w:rPr>
              <w:fldChar w:fldCharType="begin"/>
            </w:r>
            <w:r w:rsidR="004D06EF">
              <w:rPr>
                <w:webHidden/>
              </w:rPr>
              <w:instrText xml:space="preserve"> PAGEREF _Toc531140385 \h </w:instrText>
            </w:r>
            <w:r w:rsidR="004D06EF">
              <w:rPr>
                <w:webHidden/>
              </w:rPr>
            </w:r>
            <w:r w:rsidR="004D06EF">
              <w:rPr>
                <w:webHidden/>
              </w:rPr>
              <w:fldChar w:fldCharType="separate"/>
            </w:r>
            <w:r w:rsidR="00BE6663">
              <w:rPr>
                <w:webHidden/>
                <w:rtl/>
              </w:rPr>
              <w:t>68</w:t>
            </w:r>
            <w:r w:rsidR="004D06EF">
              <w:rPr>
                <w:webHidden/>
              </w:rPr>
              <w:fldChar w:fldCharType="end"/>
            </w:r>
          </w:hyperlink>
        </w:p>
        <w:p w14:paraId="2C22CEBB" w14:textId="052C031A" w:rsidR="004D06EF" w:rsidRDefault="00A41789" w:rsidP="004D06EF">
          <w:pPr>
            <w:pStyle w:val="TOC3"/>
            <w:rPr>
              <w:rFonts w:asciiTheme="minorHAnsi" w:eastAsiaTheme="minorEastAsia" w:hAnsiTheme="minorHAnsi" w:cstheme="minorBidi"/>
              <w:sz w:val="22"/>
              <w:szCs w:val="22"/>
              <w:lang w:val="en-US"/>
            </w:rPr>
          </w:pPr>
          <w:hyperlink w:anchor="_Toc531140386" w:history="1">
            <w:r w:rsidR="004D06EF" w:rsidRPr="00DD33D4">
              <w:rPr>
                <w:rStyle w:val="Hyperlink"/>
                <w:rFonts w:hint="eastAsia"/>
                <w:rtl/>
              </w:rPr>
              <w:t>הנ</w:t>
            </w:r>
            <w:r w:rsidR="004D06EF" w:rsidRPr="00DD33D4">
              <w:rPr>
                <w:rStyle w:val="Hyperlink"/>
                <w:lang w:bidi="ar-SA"/>
              </w:rPr>
              <w:t>"</w:t>
            </w:r>
            <w:r w:rsidR="004D06EF" w:rsidRPr="00DD33D4">
              <w:rPr>
                <w:rStyle w:val="Hyperlink"/>
                <w:rFonts w:hint="eastAsia"/>
                <w:rtl/>
              </w:rPr>
              <w:t>ל</w:t>
            </w:r>
          </w:hyperlink>
        </w:p>
        <w:p w14:paraId="4E61A73C" w14:textId="77777777" w:rsidR="004D06EF" w:rsidRDefault="00A41789" w:rsidP="004D06EF">
          <w:pPr>
            <w:pStyle w:val="TOC2"/>
            <w:rPr>
              <w:rFonts w:asciiTheme="minorHAnsi" w:eastAsiaTheme="minorEastAsia" w:hAnsiTheme="minorHAnsi" w:cstheme="minorBidi"/>
            </w:rPr>
          </w:pPr>
          <w:hyperlink w:anchor="_Toc531140387" w:history="1">
            <w:r w:rsidR="004D06EF" w:rsidRPr="00DD33D4">
              <w:rPr>
                <w:rStyle w:val="Hyperlink"/>
                <w:rFonts w:hint="eastAsia"/>
                <w:rtl/>
              </w:rPr>
              <w:t>ב</w:t>
            </w:r>
            <w:r w:rsidR="004D06EF" w:rsidRPr="00DD33D4">
              <w:rPr>
                <w:rStyle w:val="Hyperlink"/>
                <w:rtl/>
              </w:rPr>
              <w:t xml:space="preserve">' </w:t>
            </w:r>
            <w:r w:rsidR="004D06EF" w:rsidRPr="00DD33D4">
              <w:rPr>
                <w:rStyle w:val="Hyperlink"/>
                <w:rFonts w:hint="eastAsia"/>
                <w:rtl/>
              </w:rPr>
              <w:t>ביאורים</w:t>
            </w:r>
            <w:r w:rsidR="004D06EF" w:rsidRPr="00DD33D4">
              <w:rPr>
                <w:rStyle w:val="Hyperlink"/>
                <w:rtl/>
              </w:rPr>
              <w:t xml:space="preserve"> </w:t>
            </w:r>
            <w:r w:rsidR="004D06EF" w:rsidRPr="00DD33D4">
              <w:rPr>
                <w:rStyle w:val="Hyperlink"/>
                <w:rFonts w:hint="eastAsia"/>
                <w:rtl/>
              </w:rPr>
              <w:t>בפרש</w:t>
            </w:r>
            <w:r w:rsidR="004D06EF" w:rsidRPr="00DD33D4">
              <w:rPr>
                <w:rStyle w:val="Hyperlink"/>
                <w:rtl/>
              </w:rPr>
              <w:t>"</w:t>
            </w:r>
            <w:r w:rsidR="004D06EF" w:rsidRPr="00DD33D4">
              <w:rPr>
                <w:rStyle w:val="Hyperlink"/>
                <w:rFonts w:hint="eastAsia"/>
                <w:rtl/>
              </w:rPr>
              <w:t>י</w:t>
            </w:r>
            <w:r w:rsidR="004D06EF" w:rsidRPr="00DD33D4">
              <w:rPr>
                <w:rStyle w:val="Hyperlink"/>
                <w:rtl/>
              </w:rPr>
              <w:t xml:space="preserve"> </w:t>
            </w:r>
            <w:r w:rsidR="004D06EF" w:rsidRPr="00DD33D4">
              <w:rPr>
                <w:rStyle w:val="Hyperlink"/>
                <w:rFonts w:hint="eastAsia"/>
                <w:rtl/>
              </w:rPr>
              <w:t>ד</w:t>
            </w:r>
            <w:r w:rsidR="004D06EF" w:rsidRPr="00DD33D4">
              <w:rPr>
                <w:rStyle w:val="Hyperlink"/>
                <w:rtl/>
              </w:rPr>
              <w:t>"</w:t>
            </w:r>
            <w:r w:rsidR="004D06EF" w:rsidRPr="00DD33D4">
              <w:rPr>
                <w:rStyle w:val="Hyperlink"/>
                <w:rFonts w:hint="eastAsia"/>
                <w:rtl/>
              </w:rPr>
              <w:t>ה</w:t>
            </w:r>
            <w:r w:rsidR="004D06EF" w:rsidRPr="00DD33D4">
              <w:rPr>
                <w:rStyle w:val="Hyperlink"/>
                <w:rtl/>
              </w:rPr>
              <w:t xml:space="preserve"> </w:t>
            </w:r>
            <w:r w:rsidR="004D06EF" w:rsidRPr="00DD33D4">
              <w:rPr>
                <w:rStyle w:val="Hyperlink"/>
                <w:rFonts w:hint="eastAsia"/>
                <w:rtl/>
              </w:rPr>
              <w:t>עושה</w:t>
            </w:r>
            <w:r w:rsidR="004D06EF" w:rsidRPr="00DD33D4">
              <w:rPr>
                <w:rStyle w:val="Hyperlink"/>
                <w:rtl/>
              </w:rPr>
              <w:t xml:space="preserve"> </w:t>
            </w:r>
            <w:r w:rsidR="004D06EF" w:rsidRPr="00DD33D4">
              <w:rPr>
                <w:rStyle w:val="Hyperlink"/>
                <w:rFonts w:hint="eastAsia"/>
                <w:rtl/>
              </w:rPr>
              <w:t>לו</w:t>
            </w:r>
            <w:r w:rsidR="004D06EF">
              <w:rPr>
                <w:webHidden/>
              </w:rPr>
              <w:tab/>
            </w:r>
            <w:r w:rsidR="004D06EF">
              <w:rPr>
                <w:webHidden/>
              </w:rPr>
              <w:fldChar w:fldCharType="begin"/>
            </w:r>
            <w:r w:rsidR="004D06EF">
              <w:rPr>
                <w:webHidden/>
              </w:rPr>
              <w:instrText xml:space="preserve"> PAGEREF _Toc531140387 \h </w:instrText>
            </w:r>
            <w:r w:rsidR="004D06EF">
              <w:rPr>
                <w:webHidden/>
              </w:rPr>
            </w:r>
            <w:r w:rsidR="004D06EF">
              <w:rPr>
                <w:webHidden/>
              </w:rPr>
              <w:fldChar w:fldCharType="separate"/>
            </w:r>
            <w:r w:rsidR="00BE6663">
              <w:rPr>
                <w:webHidden/>
                <w:rtl/>
              </w:rPr>
              <w:t>69</w:t>
            </w:r>
            <w:r w:rsidR="004D06EF">
              <w:rPr>
                <w:webHidden/>
              </w:rPr>
              <w:fldChar w:fldCharType="end"/>
            </w:r>
          </w:hyperlink>
        </w:p>
        <w:p w14:paraId="135997B2" w14:textId="6BD930B9" w:rsidR="004D06EF" w:rsidRDefault="00A41789" w:rsidP="00756517">
          <w:pPr>
            <w:pStyle w:val="TOC3"/>
            <w:rPr>
              <w:rFonts w:asciiTheme="minorHAnsi" w:eastAsiaTheme="minorEastAsia" w:hAnsiTheme="minorHAnsi" w:cstheme="minorBidi"/>
              <w:sz w:val="22"/>
              <w:szCs w:val="22"/>
              <w:lang w:val="en-US"/>
            </w:rPr>
          </w:pPr>
          <w:hyperlink w:anchor="_Toc531140388" w:history="1">
            <w:r w:rsidR="00756517">
              <w:rPr>
                <w:rStyle w:val="Hyperlink"/>
                <w:rFonts w:hint="cs"/>
                <w:rtl/>
              </w:rPr>
              <w:t xml:space="preserve">הת'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Pr>
              <w:t xml:space="preserve"> </w:t>
            </w:r>
            <w:r w:rsidR="004D06EF" w:rsidRPr="00DD33D4">
              <w:rPr>
                <w:rStyle w:val="Hyperlink"/>
                <w:rFonts w:hint="eastAsia"/>
                <w:rtl/>
              </w:rPr>
              <w:t>הכהן</w:t>
            </w:r>
            <w:r w:rsidR="004D06EF" w:rsidRPr="00DD33D4">
              <w:rPr>
                <w:rStyle w:val="Hyperlink"/>
                <w:rtl/>
              </w:rPr>
              <w:t xml:space="preserve"> </w:t>
            </w:r>
            <w:r w:rsidR="004D06EF" w:rsidRPr="00DD33D4">
              <w:rPr>
                <w:rStyle w:val="Hyperlink"/>
                <w:rFonts w:hint="eastAsia"/>
                <w:rtl/>
              </w:rPr>
              <w:t>הענדל</w:t>
            </w:r>
          </w:hyperlink>
        </w:p>
        <w:p w14:paraId="6F1D348B" w14:textId="77777777" w:rsidR="004D06EF" w:rsidRDefault="00A41789" w:rsidP="004D06EF">
          <w:pPr>
            <w:pStyle w:val="TOC2"/>
            <w:rPr>
              <w:rFonts w:asciiTheme="minorHAnsi" w:eastAsiaTheme="minorEastAsia" w:hAnsiTheme="minorHAnsi" w:cstheme="minorBidi"/>
            </w:rPr>
          </w:pPr>
          <w:hyperlink w:anchor="_Toc531140389" w:history="1">
            <w:r w:rsidR="004D06EF" w:rsidRPr="00DD33D4">
              <w:rPr>
                <w:rStyle w:val="Hyperlink"/>
                <w:rFonts w:hint="eastAsia"/>
                <w:rtl/>
              </w:rPr>
              <w:t>שיטת</w:t>
            </w:r>
            <w:r w:rsidR="004D06EF" w:rsidRPr="00DD33D4">
              <w:rPr>
                <w:rStyle w:val="Hyperlink"/>
                <w:rtl/>
              </w:rPr>
              <w:t xml:space="preserve"> </w:t>
            </w:r>
            <w:r w:rsidR="004D06EF" w:rsidRPr="00DD33D4">
              <w:rPr>
                <w:rStyle w:val="Hyperlink"/>
                <w:rFonts w:hint="eastAsia"/>
                <w:rtl/>
              </w:rPr>
              <w:t>אביי</w:t>
            </w:r>
            <w:r w:rsidR="004D06EF" w:rsidRPr="00DD33D4">
              <w:rPr>
                <w:rStyle w:val="Hyperlink"/>
                <w:rtl/>
              </w:rPr>
              <w:t xml:space="preserve"> </w:t>
            </w:r>
            <w:r w:rsidR="004D06EF" w:rsidRPr="00DD33D4">
              <w:rPr>
                <w:rStyle w:val="Hyperlink"/>
                <w:rFonts w:hint="eastAsia"/>
                <w:rtl/>
              </w:rPr>
              <w:t>בנכרי</w:t>
            </w:r>
            <w:r w:rsidR="004D06EF" w:rsidRPr="00DD33D4">
              <w:rPr>
                <w:rStyle w:val="Hyperlink"/>
                <w:rtl/>
              </w:rPr>
              <w:t xml:space="preserve"> </w:t>
            </w:r>
            <w:r w:rsidR="004D06EF" w:rsidRPr="00DD33D4">
              <w:rPr>
                <w:rStyle w:val="Hyperlink"/>
                <w:rFonts w:hint="eastAsia"/>
                <w:rtl/>
              </w:rPr>
              <w:t>שלא</w:t>
            </w:r>
            <w:r w:rsidR="004D06EF" w:rsidRPr="00DD33D4">
              <w:rPr>
                <w:rStyle w:val="Hyperlink"/>
                <w:rtl/>
              </w:rPr>
              <w:t xml:space="preserve"> </w:t>
            </w:r>
            <w:r w:rsidR="004D06EF" w:rsidRPr="00DD33D4">
              <w:rPr>
                <w:rStyle w:val="Hyperlink"/>
                <w:rFonts w:hint="eastAsia"/>
                <w:rtl/>
              </w:rPr>
              <w:t>כיבשתו</w:t>
            </w:r>
            <w:r w:rsidR="004D06EF">
              <w:rPr>
                <w:webHidden/>
              </w:rPr>
              <w:tab/>
            </w:r>
            <w:r w:rsidR="004D06EF">
              <w:rPr>
                <w:webHidden/>
              </w:rPr>
              <w:fldChar w:fldCharType="begin"/>
            </w:r>
            <w:r w:rsidR="004D06EF">
              <w:rPr>
                <w:webHidden/>
              </w:rPr>
              <w:instrText xml:space="preserve"> PAGEREF _Toc531140389 \h </w:instrText>
            </w:r>
            <w:r w:rsidR="004D06EF">
              <w:rPr>
                <w:webHidden/>
              </w:rPr>
            </w:r>
            <w:r w:rsidR="004D06EF">
              <w:rPr>
                <w:webHidden/>
              </w:rPr>
              <w:fldChar w:fldCharType="separate"/>
            </w:r>
            <w:r w:rsidR="00BE6663">
              <w:rPr>
                <w:webHidden/>
                <w:rtl/>
              </w:rPr>
              <w:t>71</w:t>
            </w:r>
            <w:r w:rsidR="004D06EF">
              <w:rPr>
                <w:webHidden/>
              </w:rPr>
              <w:fldChar w:fldCharType="end"/>
            </w:r>
          </w:hyperlink>
        </w:p>
        <w:p w14:paraId="4E75B121" w14:textId="41F567D0" w:rsidR="004D06EF" w:rsidRDefault="00A41789" w:rsidP="00756517">
          <w:pPr>
            <w:pStyle w:val="TOC3"/>
            <w:rPr>
              <w:rFonts w:asciiTheme="minorHAnsi" w:eastAsiaTheme="minorEastAsia" w:hAnsiTheme="minorHAnsi" w:cstheme="minorBidi"/>
              <w:sz w:val="22"/>
              <w:szCs w:val="22"/>
              <w:lang w:val="en-US"/>
            </w:rPr>
          </w:pPr>
          <w:hyperlink w:anchor="_Toc531140390" w:history="1">
            <w:r w:rsidR="00756517">
              <w:rPr>
                <w:rStyle w:val="Hyperlink"/>
                <w:rFonts w:hint="cs"/>
                <w:rtl/>
              </w:rPr>
              <w:t>הת' י</w:t>
            </w:r>
            <w:r w:rsidR="004D06EF" w:rsidRPr="00DD33D4">
              <w:rPr>
                <w:rStyle w:val="Hyperlink"/>
                <w:rFonts w:hint="eastAsia"/>
                <w:rtl/>
              </w:rPr>
              <w:t>וסף</w:t>
            </w:r>
            <w:r w:rsidR="004D06EF" w:rsidRPr="00DD33D4">
              <w:rPr>
                <w:rStyle w:val="Hyperlink"/>
                <w:rtl/>
              </w:rPr>
              <w:t xml:space="preserve"> </w:t>
            </w:r>
            <w:r w:rsidR="004D06EF" w:rsidRPr="00DD33D4">
              <w:rPr>
                <w:rStyle w:val="Hyperlink"/>
                <w:rFonts w:hint="eastAsia"/>
                <w:rtl/>
              </w:rPr>
              <w:t>אברהם</w:t>
            </w:r>
            <w:r w:rsidR="004D06EF" w:rsidRPr="00DD33D4">
              <w:rPr>
                <w:rStyle w:val="Hyperlink"/>
                <w:rtl/>
              </w:rPr>
              <w:t xml:space="preserve"> </w:t>
            </w:r>
            <w:r w:rsidR="004D06EF" w:rsidRPr="00DD33D4">
              <w:rPr>
                <w:rStyle w:val="Hyperlink"/>
                <w:rFonts w:hint="eastAsia"/>
                <w:rtl/>
              </w:rPr>
              <w:t>הלוי</w:t>
            </w:r>
            <w:r w:rsidR="004D06EF" w:rsidRPr="00DD33D4">
              <w:rPr>
                <w:rStyle w:val="Hyperlink"/>
                <w:rtl/>
              </w:rPr>
              <w:t xml:space="preserve"> </w:t>
            </w:r>
            <w:r w:rsidR="004D06EF" w:rsidRPr="00DD33D4">
              <w:rPr>
                <w:rStyle w:val="Hyperlink"/>
                <w:rFonts w:hint="eastAsia"/>
                <w:rtl/>
              </w:rPr>
              <w:t>שטאל</w:t>
            </w:r>
          </w:hyperlink>
        </w:p>
        <w:p w14:paraId="141929EA" w14:textId="44CB8F64" w:rsidR="004D06EF" w:rsidRDefault="00A41789" w:rsidP="004D06EF">
          <w:pPr>
            <w:pStyle w:val="TOC1"/>
            <w:rPr>
              <w:rFonts w:asciiTheme="minorHAnsi" w:eastAsiaTheme="minorEastAsia" w:hAnsiTheme="minorHAnsi" w:cstheme="minorBidi"/>
              <w:sz w:val="22"/>
              <w:szCs w:val="22"/>
            </w:rPr>
          </w:pPr>
          <w:hyperlink w:anchor="_Toc531140391" w:history="1">
            <w:r w:rsidR="004D06EF" w:rsidRPr="00DD33D4">
              <w:rPr>
                <w:rStyle w:val="Hyperlink"/>
                <w:rFonts w:hint="eastAsia"/>
                <w:rtl/>
              </w:rPr>
              <w:t>הלכה</w:t>
            </w:r>
            <w:r w:rsidR="004D06EF" w:rsidRPr="00DD33D4">
              <w:rPr>
                <w:rStyle w:val="Hyperlink"/>
                <w:rtl/>
              </w:rPr>
              <w:t xml:space="preserve"> </w:t>
            </w:r>
            <w:r w:rsidR="004D06EF" w:rsidRPr="00DD33D4">
              <w:rPr>
                <w:rStyle w:val="Hyperlink"/>
                <w:rFonts w:hint="eastAsia"/>
                <w:rtl/>
              </w:rPr>
              <w:t>ומנהג</w:t>
            </w:r>
          </w:hyperlink>
        </w:p>
        <w:p w14:paraId="2469B134" w14:textId="77777777" w:rsidR="004D06EF" w:rsidRDefault="00A41789" w:rsidP="004D06EF">
          <w:pPr>
            <w:pStyle w:val="TOC2"/>
            <w:rPr>
              <w:rFonts w:asciiTheme="minorHAnsi" w:eastAsiaTheme="minorEastAsia" w:hAnsiTheme="minorHAnsi" w:cstheme="minorBidi"/>
            </w:rPr>
          </w:pPr>
          <w:hyperlink w:anchor="_Toc531140392" w:history="1">
            <w:r w:rsidR="004D06EF" w:rsidRPr="00DD33D4">
              <w:rPr>
                <w:rStyle w:val="Hyperlink"/>
                <w:rFonts w:hint="eastAsia"/>
                <w:rtl/>
              </w:rPr>
              <w:t>מתוך</w:t>
            </w:r>
            <w:r w:rsidR="004D06EF" w:rsidRPr="00DD33D4">
              <w:rPr>
                <w:rStyle w:val="Hyperlink"/>
                <w:rtl/>
              </w:rPr>
              <w:t xml:space="preserve"> </w:t>
            </w:r>
            <w:r w:rsidR="004D06EF" w:rsidRPr="00DD33D4">
              <w:rPr>
                <w:rStyle w:val="Hyperlink"/>
                <w:rFonts w:hint="eastAsia"/>
                <w:rtl/>
              </w:rPr>
              <w:t>שהותרה</w:t>
            </w:r>
            <w:r w:rsidR="004D06EF" w:rsidRPr="00DD33D4">
              <w:rPr>
                <w:rStyle w:val="Hyperlink"/>
                <w:rtl/>
              </w:rPr>
              <w:t xml:space="preserve"> </w:t>
            </w:r>
            <w:r w:rsidR="004D06EF" w:rsidRPr="00DD33D4">
              <w:rPr>
                <w:rStyle w:val="Hyperlink"/>
                <w:rFonts w:hint="eastAsia"/>
                <w:rtl/>
              </w:rPr>
              <w:t>לצורך</w:t>
            </w:r>
            <w:r w:rsidR="004D06EF" w:rsidRPr="00DD33D4">
              <w:rPr>
                <w:rStyle w:val="Hyperlink"/>
                <w:rtl/>
              </w:rPr>
              <w:t xml:space="preserve"> </w:t>
            </w:r>
            <w:r w:rsidR="004D06EF" w:rsidRPr="00DD33D4">
              <w:rPr>
                <w:rStyle w:val="Hyperlink"/>
                <w:rFonts w:hint="eastAsia"/>
                <w:rtl/>
              </w:rPr>
              <w:t>הותרה</w:t>
            </w:r>
            <w:r w:rsidR="004D06EF" w:rsidRPr="00DD33D4">
              <w:rPr>
                <w:rStyle w:val="Hyperlink"/>
                <w:rtl/>
              </w:rPr>
              <w:t xml:space="preserve"> </w:t>
            </w:r>
            <w:r w:rsidR="004D06EF" w:rsidRPr="00DD33D4">
              <w:rPr>
                <w:rStyle w:val="Hyperlink"/>
                <w:rFonts w:hint="eastAsia"/>
                <w:rtl/>
              </w:rPr>
              <w:t>שלא</w:t>
            </w:r>
            <w:r w:rsidR="004D06EF" w:rsidRPr="00DD33D4">
              <w:rPr>
                <w:rStyle w:val="Hyperlink"/>
                <w:rtl/>
              </w:rPr>
              <w:t xml:space="preserve"> </w:t>
            </w:r>
            <w:r w:rsidR="004D06EF" w:rsidRPr="00DD33D4">
              <w:rPr>
                <w:rStyle w:val="Hyperlink"/>
                <w:rFonts w:hint="eastAsia"/>
                <w:rtl/>
              </w:rPr>
              <w:t>לצורך</w:t>
            </w:r>
            <w:r w:rsidR="004D06EF">
              <w:rPr>
                <w:webHidden/>
              </w:rPr>
              <w:tab/>
            </w:r>
            <w:r w:rsidR="004D06EF">
              <w:rPr>
                <w:webHidden/>
              </w:rPr>
              <w:fldChar w:fldCharType="begin"/>
            </w:r>
            <w:r w:rsidR="004D06EF">
              <w:rPr>
                <w:webHidden/>
              </w:rPr>
              <w:instrText xml:space="preserve"> PAGEREF _Toc531140392 \h </w:instrText>
            </w:r>
            <w:r w:rsidR="004D06EF">
              <w:rPr>
                <w:webHidden/>
              </w:rPr>
            </w:r>
            <w:r w:rsidR="004D06EF">
              <w:rPr>
                <w:webHidden/>
              </w:rPr>
              <w:fldChar w:fldCharType="separate"/>
            </w:r>
            <w:r w:rsidR="00BE6663">
              <w:rPr>
                <w:webHidden/>
                <w:rtl/>
              </w:rPr>
              <w:t>72</w:t>
            </w:r>
            <w:r w:rsidR="004D06EF">
              <w:rPr>
                <w:webHidden/>
              </w:rPr>
              <w:fldChar w:fldCharType="end"/>
            </w:r>
          </w:hyperlink>
        </w:p>
        <w:p w14:paraId="05BFDE67" w14:textId="40D36443" w:rsidR="004D06EF" w:rsidRDefault="00A41789" w:rsidP="004D06EF">
          <w:pPr>
            <w:pStyle w:val="TOC3"/>
            <w:rPr>
              <w:rFonts w:asciiTheme="minorHAnsi" w:eastAsiaTheme="minorEastAsia" w:hAnsiTheme="minorHAnsi" w:cstheme="minorBidi"/>
              <w:sz w:val="22"/>
              <w:szCs w:val="22"/>
              <w:lang w:val="en-US"/>
            </w:rPr>
          </w:pPr>
          <w:hyperlink w:anchor="_Toc531140393"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אברהם</w:t>
            </w:r>
            <w:r w:rsidR="004D06EF" w:rsidRPr="00DD33D4">
              <w:rPr>
                <w:rStyle w:val="Hyperlink"/>
                <w:rtl/>
              </w:rPr>
              <w:t xml:space="preserve"> </w:t>
            </w:r>
            <w:r w:rsidR="004D06EF" w:rsidRPr="00DD33D4">
              <w:rPr>
                <w:rStyle w:val="Hyperlink"/>
                <w:rFonts w:hint="eastAsia"/>
                <w:rtl/>
              </w:rPr>
              <w:t>הרץ</w:t>
            </w:r>
          </w:hyperlink>
        </w:p>
        <w:p w14:paraId="2CC3C5F9" w14:textId="5FB86B29" w:rsidR="004D06EF" w:rsidRDefault="00A41789" w:rsidP="00756517">
          <w:pPr>
            <w:pStyle w:val="TOC2"/>
            <w:rPr>
              <w:rFonts w:asciiTheme="minorHAnsi" w:eastAsiaTheme="minorEastAsia" w:hAnsiTheme="minorHAnsi" w:cstheme="minorBidi"/>
            </w:rPr>
          </w:pPr>
          <w:hyperlink w:anchor="_Toc531140394" w:history="1">
            <w:r w:rsidR="004D06EF" w:rsidRPr="00DD33D4">
              <w:rPr>
                <w:rStyle w:val="Hyperlink"/>
                <w:rFonts w:hint="eastAsia"/>
                <w:rtl/>
              </w:rPr>
              <w:t>מי</w:t>
            </w:r>
            <w:r w:rsidR="004D06EF" w:rsidRPr="00DD33D4">
              <w:rPr>
                <w:rStyle w:val="Hyperlink"/>
                <w:rtl/>
              </w:rPr>
              <w:t xml:space="preserve"> </w:t>
            </w:r>
            <w:r w:rsidR="004D06EF" w:rsidRPr="00DD33D4">
              <w:rPr>
                <w:rStyle w:val="Hyperlink"/>
                <w:rFonts w:hint="eastAsia"/>
                <w:rtl/>
              </w:rPr>
              <w:t>שנהרג</w:t>
            </w:r>
            <w:r w:rsidR="004D06EF" w:rsidRPr="00DD33D4">
              <w:rPr>
                <w:rStyle w:val="Hyperlink"/>
                <w:rtl/>
              </w:rPr>
              <w:t xml:space="preserve"> </w:t>
            </w:r>
            <w:r w:rsidR="004D06EF" w:rsidRPr="00DD33D4">
              <w:rPr>
                <w:rStyle w:val="Hyperlink"/>
                <w:rFonts w:hint="eastAsia"/>
                <w:rtl/>
              </w:rPr>
              <w:t>מפני</w:t>
            </w:r>
            <w:r w:rsidR="004D06EF" w:rsidRPr="00DD33D4">
              <w:rPr>
                <w:rStyle w:val="Hyperlink"/>
                <w:rtl/>
              </w:rPr>
              <w:t xml:space="preserve"> </w:t>
            </w:r>
            <w:r w:rsidR="004D06EF" w:rsidRPr="00DD33D4">
              <w:rPr>
                <w:rStyle w:val="Hyperlink"/>
                <w:rFonts w:hint="eastAsia"/>
                <w:rtl/>
              </w:rPr>
              <w:t>יהדותו</w:t>
            </w:r>
            <w:r w:rsidR="004D06EF" w:rsidRPr="00DD33D4">
              <w:rPr>
                <w:rStyle w:val="Hyperlink"/>
                <w:rtl/>
              </w:rPr>
              <w:t xml:space="preserve"> </w:t>
            </w:r>
            <w:r w:rsidR="004D06EF" w:rsidRPr="00DD33D4">
              <w:rPr>
                <w:rStyle w:val="Hyperlink"/>
                <w:rFonts w:hint="eastAsia"/>
                <w:rtl/>
              </w:rPr>
              <w:t>הרי</w:t>
            </w:r>
            <w:r w:rsidR="004D06EF" w:rsidRPr="00DD33D4">
              <w:rPr>
                <w:rStyle w:val="Hyperlink"/>
                <w:rtl/>
              </w:rPr>
              <w:t xml:space="preserve"> </w:t>
            </w:r>
            <w:r w:rsidR="004D06EF" w:rsidRPr="00DD33D4">
              <w:rPr>
                <w:rStyle w:val="Hyperlink"/>
                <w:rFonts w:hint="eastAsia"/>
                <w:rtl/>
              </w:rPr>
              <w:t>זה</w:t>
            </w:r>
            <w:r w:rsidR="004D06EF" w:rsidRPr="00DD33D4">
              <w:rPr>
                <w:rStyle w:val="Hyperlink"/>
                <w:rtl/>
              </w:rPr>
              <w:t xml:space="preserve"> </w:t>
            </w:r>
            <w:r w:rsidR="004D06EF" w:rsidRPr="00DD33D4">
              <w:rPr>
                <w:rStyle w:val="Hyperlink"/>
                <w:rFonts w:hint="eastAsia"/>
                <w:rtl/>
              </w:rPr>
              <w:t>נהרג</w:t>
            </w:r>
            <w:r w:rsidR="004D06EF" w:rsidRPr="00DD33D4">
              <w:rPr>
                <w:rStyle w:val="Hyperlink"/>
                <w:rtl/>
              </w:rPr>
              <w:t xml:space="preserve"> </w:t>
            </w:r>
            <w:r w:rsidR="004D06EF" w:rsidRPr="00DD33D4">
              <w:rPr>
                <w:rStyle w:val="Hyperlink"/>
                <w:rFonts w:hint="eastAsia"/>
                <w:rtl/>
              </w:rPr>
              <w:t>על</w:t>
            </w:r>
            <w:r w:rsidR="004D06EF" w:rsidRPr="00DD33D4">
              <w:rPr>
                <w:rStyle w:val="Hyperlink"/>
                <w:rtl/>
              </w:rPr>
              <w:t xml:space="preserve"> </w:t>
            </w:r>
            <w:r w:rsidR="004D06EF" w:rsidRPr="00DD33D4">
              <w:rPr>
                <w:rStyle w:val="Hyperlink"/>
                <w:rFonts w:hint="eastAsia"/>
                <w:rtl/>
              </w:rPr>
              <w:t>קידוש</w:t>
            </w:r>
            <w:r w:rsidR="004D06EF" w:rsidRPr="00DD33D4">
              <w:rPr>
                <w:rStyle w:val="Hyperlink"/>
                <w:rtl/>
              </w:rPr>
              <w:t xml:space="preserve"> </w:t>
            </w:r>
            <w:r w:rsidR="004D06EF" w:rsidRPr="00DD33D4">
              <w:rPr>
                <w:rStyle w:val="Hyperlink"/>
                <w:rFonts w:hint="eastAsia"/>
                <w:rtl/>
              </w:rPr>
              <w:t>השם</w:t>
            </w:r>
            <w:r w:rsidR="004D06EF" w:rsidRPr="00DD33D4">
              <w:rPr>
                <w:rStyle w:val="Hyperlink"/>
                <w:rtl/>
              </w:rPr>
              <w:t xml:space="preserve"> (</w:t>
            </w:r>
            <w:r w:rsidR="004D06EF" w:rsidRPr="00DD33D4">
              <w:rPr>
                <w:rStyle w:val="Hyperlink"/>
                <w:rFonts w:hint="eastAsia"/>
                <w:rtl/>
              </w:rPr>
              <w:t>גליון</w:t>
            </w:r>
            <w:r w:rsidR="00756517">
              <w:rPr>
                <w:rStyle w:val="Hyperlink"/>
                <w:rFonts w:hint="cs"/>
                <w:rtl/>
              </w:rPr>
              <w:t>)</w:t>
            </w:r>
            <w:r w:rsidR="004D06EF">
              <w:rPr>
                <w:webHidden/>
              </w:rPr>
              <w:tab/>
            </w:r>
            <w:r w:rsidR="004D06EF">
              <w:rPr>
                <w:webHidden/>
              </w:rPr>
              <w:fldChar w:fldCharType="begin"/>
            </w:r>
            <w:r w:rsidR="004D06EF">
              <w:rPr>
                <w:webHidden/>
              </w:rPr>
              <w:instrText xml:space="preserve"> PAGEREF _Toc531140394 \h </w:instrText>
            </w:r>
            <w:r w:rsidR="004D06EF">
              <w:rPr>
                <w:webHidden/>
              </w:rPr>
            </w:r>
            <w:r w:rsidR="004D06EF">
              <w:rPr>
                <w:webHidden/>
              </w:rPr>
              <w:fldChar w:fldCharType="separate"/>
            </w:r>
            <w:r w:rsidR="00BE6663">
              <w:rPr>
                <w:webHidden/>
                <w:rtl/>
              </w:rPr>
              <w:t>76</w:t>
            </w:r>
            <w:r w:rsidR="004D06EF">
              <w:rPr>
                <w:webHidden/>
              </w:rPr>
              <w:fldChar w:fldCharType="end"/>
            </w:r>
          </w:hyperlink>
        </w:p>
        <w:p w14:paraId="6D8EAFE8" w14:textId="4F820AEE" w:rsidR="004D06EF" w:rsidRDefault="00A41789" w:rsidP="004D06EF">
          <w:pPr>
            <w:pStyle w:val="TOC3"/>
            <w:rPr>
              <w:rFonts w:asciiTheme="minorHAnsi" w:eastAsiaTheme="minorEastAsia" w:hAnsiTheme="minorHAnsi" w:cstheme="minorBidi"/>
              <w:sz w:val="22"/>
              <w:szCs w:val="22"/>
              <w:lang w:val="en-US"/>
            </w:rPr>
          </w:pPr>
          <w:hyperlink w:anchor="_Toc531140395"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ברוך</w:t>
            </w:r>
            <w:r w:rsidR="004D06EF" w:rsidRPr="00DD33D4">
              <w:rPr>
                <w:rStyle w:val="Hyperlink"/>
                <w:rtl/>
              </w:rPr>
              <w:t xml:space="preserve"> </w:t>
            </w:r>
            <w:r w:rsidR="004D06EF" w:rsidRPr="00DD33D4">
              <w:rPr>
                <w:rStyle w:val="Hyperlink"/>
                <w:rFonts w:hint="eastAsia"/>
                <w:rtl/>
              </w:rPr>
              <w:t>אבערלאנדער</w:t>
            </w:r>
          </w:hyperlink>
        </w:p>
        <w:p w14:paraId="15FF37F1" w14:textId="77777777" w:rsidR="004D06EF" w:rsidRDefault="00A41789" w:rsidP="004D06EF">
          <w:pPr>
            <w:pStyle w:val="TOC2"/>
            <w:rPr>
              <w:rFonts w:asciiTheme="minorHAnsi" w:eastAsiaTheme="minorEastAsia" w:hAnsiTheme="minorHAnsi" w:cstheme="minorBidi"/>
            </w:rPr>
          </w:pPr>
          <w:hyperlink w:anchor="_Toc531140396" w:history="1">
            <w:r w:rsidR="004D06EF" w:rsidRPr="00DD33D4">
              <w:rPr>
                <w:rStyle w:val="Hyperlink"/>
              </w:rPr>
              <w:t>"</w:t>
            </w:r>
            <w:r w:rsidR="004D06EF" w:rsidRPr="00DD33D4">
              <w:rPr>
                <w:rStyle w:val="Hyperlink"/>
                <w:rFonts w:hint="eastAsia"/>
                <w:rtl/>
              </w:rPr>
              <w:t>בשעה</w:t>
            </w:r>
            <w:r w:rsidR="004D06EF" w:rsidRPr="00DD33D4">
              <w:rPr>
                <w:rStyle w:val="Hyperlink"/>
                <w:rtl/>
              </w:rPr>
              <w:t xml:space="preserve"> </w:t>
            </w:r>
            <w:r w:rsidR="004D06EF" w:rsidRPr="00DD33D4">
              <w:rPr>
                <w:rStyle w:val="Hyperlink"/>
                <w:rFonts w:hint="eastAsia"/>
                <w:rtl/>
              </w:rPr>
              <w:t>החמישית</w:t>
            </w:r>
            <w:r w:rsidR="004D06EF" w:rsidRPr="00DD33D4">
              <w:rPr>
                <w:rStyle w:val="Hyperlink"/>
              </w:rPr>
              <w:t>"</w:t>
            </w:r>
            <w:r w:rsidR="004D06EF">
              <w:rPr>
                <w:webHidden/>
              </w:rPr>
              <w:tab/>
            </w:r>
            <w:r w:rsidR="004D06EF">
              <w:rPr>
                <w:webHidden/>
              </w:rPr>
              <w:fldChar w:fldCharType="begin"/>
            </w:r>
            <w:r w:rsidR="004D06EF">
              <w:rPr>
                <w:webHidden/>
              </w:rPr>
              <w:instrText xml:space="preserve"> PAGEREF _Toc531140396 \h </w:instrText>
            </w:r>
            <w:r w:rsidR="004D06EF">
              <w:rPr>
                <w:webHidden/>
              </w:rPr>
            </w:r>
            <w:r w:rsidR="004D06EF">
              <w:rPr>
                <w:webHidden/>
              </w:rPr>
              <w:fldChar w:fldCharType="separate"/>
            </w:r>
            <w:r w:rsidR="00BE6663">
              <w:rPr>
                <w:webHidden/>
                <w:rtl/>
              </w:rPr>
              <w:t>79</w:t>
            </w:r>
            <w:r w:rsidR="004D06EF">
              <w:rPr>
                <w:webHidden/>
              </w:rPr>
              <w:fldChar w:fldCharType="end"/>
            </w:r>
          </w:hyperlink>
        </w:p>
        <w:p w14:paraId="7B11D850" w14:textId="3D3CFCD7" w:rsidR="004D06EF" w:rsidRDefault="00A41789" w:rsidP="00756517">
          <w:pPr>
            <w:pStyle w:val="TOC3"/>
            <w:rPr>
              <w:rFonts w:asciiTheme="minorHAnsi" w:eastAsiaTheme="minorEastAsia" w:hAnsiTheme="minorHAnsi" w:cstheme="minorBidi"/>
              <w:sz w:val="22"/>
              <w:szCs w:val="22"/>
              <w:lang w:val="en-US"/>
            </w:rPr>
          </w:pPr>
          <w:hyperlink w:anchor="_Toc531140397"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חנני</w:t>
            </w:r>
            <w:r w:rsidR="00756517">
              <w:rPr>
                <w:rStyle w:val="Hyperlink"/>
                <w:rFonts w:hint="cs"/>
                <w:rtl/>
              </w:rPr>
              <w:t xml:space="preserve">' </w:t>
            </w:r>
            <w:r w:rsidR="004D06EF" w:rsidRPr="00DD33D4">
              <w:rPr>
                <w:rStyle w:val="Hyperlink"/>
                <w:rFonts w:hint="eastAsia"/>
                <w:rtl/>
              </w:rPr>
              <w:t>יוסף</w:t>
            </w:r>
            <w:r w:rsidR="004D06EF" w:rsidRPr="00DD33D4">
              <w:rPr>
                <w:rStyle w:val="Hyperlink"/>
                <w:rtl/>
              </w:rPr>
              <w:t xml:space="preserve"> </w:t>
            </w:r>
            <w:r w:rsidR="004D06EF" w:rsidRPr="00DD33D4">
              <w:rPr>
                <w:rStyle w:val="Hyperlink"/>
                <w:rFonts w:hint="eastAsia"/>
                <w:rtl/>
              </w:rPr>
              <w:t>אייזנבך</w:t>
            </w:r>
          </w:hyperlink>
        </w:p>
        <w:p w14:paraId="76A46501" w14:textId="77777777" w:rsidR="004D06EF" w:rsidRDefault="00A41789" w:rsidP="004D06EF">
          <w:pPr>
            <w:pStyle w:val="TOC2"/>
            <w:rPr>
              <w:rFonts w:asciiTheme="minorHAnsi" w:eastAsiaTheme="minorEastAsia" w:hAnsiTheme="minorHAnsi" w:cstheme="minorBidi"/>
            </w:rPr>
          </w:pPr>
          <w:hyperlink w:anchor="_Toc531140398" w:history="1">
            <w:r w:rsidR="004D06EF" w:rsidRPr="00DD33D4">
              <w:rPr>
                <w:rStyle w:val="Hyperlink"/>
                <w:rFonts w:hint="eastAsia"/>
                <w:rtl/>
              </w:rPr>
              <w:t>הערות</w:t>
            </w:r>
            <w:r w:rsidR="004D06EF" w:rsidRPr="00DD33D4">
              <w:rPr>
                <w:rStyle w:val="Hyperlink"/>
                <w:rtl/>
              </w:rPr>
              <w:t xml:space="preserve"> </w:t>
            </w:r>
            <w:r w:rsidR="004D06EF" w:rsidRPr="00DD33D4">
              <w:rPr>
                <w:rStyle w:val="Hyperlink"/>
                <w:rFonts w:hint="eastAsia"/>
                <w:rtl/>
              </w:rPr>
              <w:t>במנהגי</w:t>
            </w:r>
            <w:r w:rsidR="004D06EF" w:rsidRPr="00DD33D4">
              <w:rPr>
                <w:rStyle w:val="Hyperlink"/>
                <w:rtl/>
              </w:rPr>
              <w:t xml:space="preserve"> </w:t>
            </w:r>
            <w:r w:rsidR="004D06EF" w:rsidRPr="00DD33D4">
              <w:rPr>
                <w:rStyle w:val="Hyperlink"/>
                <w:rFonts w:hint="eastAsia"/>
                <w:rtl/>
              </w:rPr>
              <w:t>חתונה</w:t>
            </w:r>
            <w:r w:rsidR="004D06EF">
              <w:rPr>
                <w:webHidden/>
              </w:rPr>
              <w:tab/>
            </w:r>
            <w:r w:rsidR="004D06EF">
              <w:rPr>
                <w:webHidden/>
              </w:rPr>
              <w:fldChar w:fldCharType="begin"/>
            </w:r>
            <w:r w:rsidR="004D06EF">
              <w:rPr>
                <w:webHidden/>
              </w:rPr>
              <w:instrText xml:space="preserve"> PAGEREF _Toc531140398 \h </w:instrText>
            </w:r>
            <w:r w:rsidR="004D06EF">
              <w:rPr>
                <w:webHidden/>
              </w:rPr>
            </w:r>
            <w:r w:rsidR="004D06EF">
              <w:rPr>
                <w:webHidden/>
              </w:rPr>
              <w:fldChar w:fldCharType="separate"/>
            </w:r>
            <w:r w:rsidR="00BE6663">
              <w:rPr>
                <w:webHidden/>
                <w:rtl/>
              </w:rPr>
              <w:t>86</w:t>
            </w:r>
            <w:r w:rsidR="004D06EF">
              <w:rPr>
                <w:webHidden/>
              </w:rPr>
              <w:fldChar w:fldCharType="end"/>
            </w:r>
          </w:hyperlink>
        </w:p>
        <w:p w14:paraId="1BC3BF97" w14:textId="779C1DF5" w:rsidR="004D06EF" w:rsidRDefault="00A41789" w:rsidP="004D06EF">
          <w:pPr>
            <w:pStyle w:val="TOC3"/>
            <w:rPr>
              <w:rFonts w:asciiTheme="minorHAnsi" w:eastAsiaTheme="minorEastAsia" w:hAnsiTheme="minorHAnsi" w:cstheme="minorBidi"/>
              <w:sz w:val="22"/>
              <w:szCs w:val="22"/>
              <w:lang w:val="en-US"/>
            </w:rPr>
          </w:pPr>
          <w:hyperlink w:anchor="_Toc531140399"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מרדכי</w:t>
            </w:r>
            <w:r w:rsidR="004D06EF" w:rsidRPr="00DD33D4">
              <w:rPr>
                <w:rStyle w:val="Hyperlink"/>
                <w:rtl/>
              </w:rPr>
              <w:t xml:space="preserve"> </w:t>
            </w:r>
            <w:r w:rsidR="004D06EF" w:rsidRPr="00DD33D4">
              <w:rPr>
                <w:rStyle w:val="Hyperlink"/>
                <w:rFonts w:hint="eastAsia"/>
                <w:rtl/>
              </w:rPr>
              <w:t>פרקש</w:t>
            </w:r>
          </w:hyperlink>
        </w:p>
        <w:p w14:paraId="3F99D0CF" w14:textId="77777777" w:rsidR="004D06EF" w:rsidRDefault="00A41789" w:rsidP="004D06EF">
          <w:pPr>
            <w:pStyle w:val="TOC2"/>
            <w:rPr>
              <w:rFonts w:asciiTheme="minorHAnsi" w:eastAsiaTheme="minorEastAsia" w:hAnsiTheme="minorHAnsi" w:cstheme="minorBidi"/>
            </w:rPr>
          </w:pPr>
          <w:hyperlink w:anchor="_Toc531140400" w:history="1">
            <w:r w:rsidR="004D06EF" w:rsidRPr="00DD33D4">
              <w:rPr>
                <w:rStyle w:val="Hyperlink"/>
                <w:rFonts w:hint="eastAsia"/>
                <w:rtl/>
              </w:rPr>
              <w:t>שיטת</w:t>
            </w:r>
            <w:r w:rsidR="004D06EF" w:rsidRPr="00DD33D4">
              <w:rPr>
                <w:rStyle w:val="Hyperlink"/>
                <w:rtl/>
              </w:rPr>
              <w:t xml:space="preserve"> </w:t>
            </w:r>
            <w:r w:rsidR="004D06EF" w:rsidRPr="00DD33D4">
              <w:rPr>
                <w:rStyle w:val="Hyperlink"/>
                <w:rFonts w:hint="eastAsia"/>
                <w:rtl/>
              </w:rPr>
              <w:t>אדמו</w:t>
            </w:r>
            <w:r w:rsidR="004D06EF" w:rsidRPr="00DD33D4">
              <w:rPr>
                <w:rStyle w:val="Hyperlink"/>
                <w:rtl/>
              </w:rPr>
              <w:t>"</w:t>
            </w:r>
            <w:r w:rsidR="004D06EF" w:rsidRPr="00DD33D4">
              <w:rPr>
                <w:rStyle w:val="Hyperlink"/>
                <w:rFonts w:hint="eastAsia"/>
                <w:rtl/>
              </w:rPr>
              <w:t>ר</w:t>
            </w:r>
            <w:r w:rsidR="004D06EF" w:rsidRPr="00DD33D4">
              <w:rPr>
                <w:rStyle w:val="Hyperlink"/>
                <w:rtl/>
              </w:rPr>
              <w:t xml:space="preserve"> </w:t>
            </w:r>
            <w:r w:rsidR="004D06EF" w:rsidRPr="00DD33D4">
              <w:rPr>
                <w:rStyle w:val="Hyperlink"/>
                <w:rFonts w:hint="eastAsia"/>
                <w:rtl/>
              </w:rPr>
              <w:t>הרש</w:t>
            </w:r>
            <w:r w:rsidR="004D06EF" w:rsidRPr="00DD33D4">
              <w:rPr>
                <w:rStyle w:val="Hyperlink"/>
                <w:rtl/>
              </w:rPr>
              <w:t>"</w:t>
            </w:r>
            <w:r w:rsidR="004D06EF" w:rsidRPr="00DD33D4">
              <w:rPr>
                <w:rStyle w:val="Hyperlink"/>
                <w:rFonts w:hint="eastAsia"/>
                <w:rtl/>
              </w:rPr>
              <w:t>ב</w:t>
            </w:r>
            <w:r w:rsidR="004D06EF" w:rsidRPr="00DD33D4">
              <w:rPr>
                <w:rStyle w:val="Hyperlink"/>
                <w:rtl/>
              </w:rPr>
              <w:t xml:space="preserve"> </w:t>
            </w:r>
            <w:r w:rsidR="004D06EF" w:rsidRPr="00DD33D4">
              <w:rPr>
                <w:rStyle w:val="Hyperlink"/>
                <w:rFonts w:hint="eastAsia"/>
                <w:rtl/>
              </w:rPr>
              <w:t>על</w:t>
            </w:r>
            <w:r w:rsidR="004D06EF" w:rsidRPr="00DD33D4">
              <w:rPr>
                <w:rStyle w:val="Hyperlink"/>
                <w:rtl/>
              </w:rPr>
              <w:t xml:space="preserve"> </w:t>
            </w:r>
            <w:r w:rsidR="004D06EF" w:rsidRPr="00DD33D4">
              <w:rPr>
                <w:rStyle w:val="Hyperlink"/>
                <w:rFonts w:hint="eastAsia"/>
                <w:rtl/>
              </w:rPr>
              <w:t>השימוש</w:t>
            </w:r>
            <w:r w:rsidR="004D06EF" w:rsidRPr="00DD33D4">
              <w:rPr>
                <w:rStyle w:val="Hyperlink"/>
                <w:rtl/>
              </w:rPr>
              <w:t xml:space="preserve"> </w:t>
            </w:r>
            <w:r w:rsidR="004D06EF" w:rsidRPr="00DD33D4">
              <w:rPr>
                <w:rStyle w:val="Hyperlink"/>
                <w:rFonts w:hint="eastAsia"/>
                <w:rtl/>
              </w:rPr>
              <w:t>בגומי</w:t>
            </w:r>
            <w:r w:rsidR="004D06EF" w:rsidRPr="00DD33D4">
              <w:rPr>
                <w:rStyle w:val="Hyperlink"/>
                <w:rtl/>
              </w:rPr>
              <w:t xml:space="preserve"> </w:t>
            </w:r>
            <w:r w:rsidR="004D06EF" w:rsidRPr="00DD33D4">
              <w:rPr>
                <w:rStyle w:val="Hyperlink"/>
                <w:rFonts w:hint="eastAsia"/>
                <w:rtl/>
              </w:rPr>
              <w:t>ופלסטיק</w:t>
            </w:r>
            <w:r w:rsidR="004D06EF" w:rsidRPr="00DD33D4">
              <w:rPr>
                <w:rStyle w:val="Hyperlink"/>
                <w:rtl/>
              </w:rPr>
              <w:t xml:space="preserve"> </w:t>
            </w:r>
            <w:r w:rsidR="004D06EF" w:rsidRPr="00DD33D4">
              <w:rPr>
                <w:rStyle w:val="Hyperlink"/>
                <w:rFonts w:hint="eastAsia"/>
                <w:rtl/>
              </w:rPr>
              <w:t>במקוה</w:t>
            </w:r>
            <w:r w:rsidR="004D06EF">
              <w:rPr>
                <w:webHidden/>
              </w:rPr>
              <w:tab/>
            </w:r>
            <w:r w:rsidR="004D06EF">
              <w:rPr>
                <w:webHidden/>
              </w:rPr>
              <w:fldChar w:fldCharType="begin"/>
            </w:r>
            <w:r w:rsidR="004D06EF">
              <w:rPr>
                <w:webHidden/>
              </w:rPr>
              <w:instrText xml:space="preserve"> PAGEREF _Toc531140400 \h </w:instrText>
            </w:r>
            <w:r w:rsidR="004D06EF">
              <w:rPr>
                <w:webHidden/>
              </w:rPr>
            </w:r>
            <w:r w:rsidR="004D06EF">
              <w:rPr>
                <w:webHidden/>
              </w:rPr>
              <w:fldChar w:fldCharType="separate"/>
            </w:r>
            <w:r w:rsidR="00BE6663">
              <w:rPr>
                <w:webHidden/>
                <w:rtl/>
              </w:rPr>
              <w:t>90</w:t>
            </w:r>
            <w:r w:rsidR="004D06EF">
              <w:rPr>
                <w:webHidden/>
              </w:rPr>
              <w:fldChar w:fldCharType="end"/>
            </w:r>
          </w:hyperlink>
        </w:p>
        <w:p w14:paraId="0AEC5D95" w14:textId="09CA378E" w:rsidR="004D06EF" w:rsidRDefault="00A41789" w:rsidP="004D06EF">
          <w:pPr>
            <w:pStyle w:val="TOC3"/>
            <w:rPr>
              <w:rFonts w:asciiTheme="minorHAnsi" w:eastAsiaTheme="minorEastAsia" w:hAnsiTheme="minorHAnsi" w:cstheme="minorBidi"/>
              <w:sz w:val="22"/>
              <w:szCs w:val="22"/>
              <w:lang w:val="en-US"/>
            </w:rPr>
          </w:pPr>
          <w:hyperlink w:anchor="_Toc531140401" w:history="1">
            <w:r w:rsidR="004D06EF" w:rsidRPr="00DD33D4">
              <w:rPr>
                <w:rStyle w:val="Hyperlink"/>
                <w:rFonts w:hint="eastAsia"/>
                <w:rtl/>
              </w:rPr>
              <w:t>הרב</w:t>
            </w:r>
            <w:r w:rsidR="004D06EF" w:rsidRPr="00DD33D4">
              <w:rPr>
                <w:rStyle w:val="Hyperlink"/>
              </w:rPr>
              <w:t xml:space="preserve">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tl/>
              </w:rPr>
              <w:t xml:space="preserve"> </w:t>
            </w:r>
            <w:r w:rsidR="004D06EF" w:rsidRPr="00DD33D4">
              <w:rPr>
                <w:rStyle w:val="Hyperlink"/>
                <w:rFonts w:hint="eastAsia"/>
                <w:rtl/>
              </w:rPr>
              <w:t>שטראקס</w:t>
            </w:r>
          </w:hyperlink>
        </w:p>
        <w:p w14:paraId="28CEE270" w14:textId="77777777" w:rsidR="004D06EF" w:rsidRDefault="00A41789" w:rsidP="004D06EF">
          <w:pPr>
            <w:pStyle w:val="TOC2"/>
            <w:rPr>
              <w:rFonts w:asciiTheme="minorHAnsi" w:eastAsiaTheme="minorEastAsia" w:hAnsiTheme="minorHAnsi" w:cstheme="minorBidi"/>
            </w:rPr>
          </w:pPr>
          <w:hyperlink w:anchor="_Toc531140402" w:history="1">
            <w:r w:rsidR="004D06EF" w:rsidRPr="00DD33D4">
              <w:rPr>
                <w:rStyle w:val="Hyperlink"/>
                <w:rFonts w:hint="eastAsia"/>
                <w:rtl/>
              </w:rPr>
              <w:t>ראה</w:t>
            </w:r>
            <w:r w:rsidR="004D06EF" w:rsidRPr="00DD33D4">
              <w:rPr>
                <w:rStyle w:val="Hyperlink"/>
                <w:rtl/>
              </w:rPr>
              <w:t xml:space="preserve"> </w:t>
            </w:r>
            <w:r w:rsidR="004D06EF" w:rsidRPr="00DD33D4">
              <w:rPr>
                <w:rStyle w:val="Hyperlink"/>
                <w:rFonts w:hint="eastAsia"/>
                <w:rtl/>
              </w:rPr>
              <w:t>באמצע</w:t>
            </w:r>
            <w:r w:rsidR="004D06EF" w:rsidRPr="00DD33D4">
              <w:rPr>
                <w:rStyle w:val="Hyperlink"/>
                <w:rtl/>
              </w:rPr>
              <w:t xml:space="preserve"> </w:t>
            </w:r>
            <w:r w:rsidR="004D06EF" w:rsidRPr="00DD33D4">
              <w:rPr>
                <w:rStyle w:val="Hyperlink"/>
                <w:rFonts w:hint="eastAsia"/>
                <w:rtl/>
              </w:rPr>
              <w:t>התפילה</w:t>
            </w:r>
            <w:r w:rsidR="004D06EF" w:rsidRPr="00DD33D4">
              <w:rPr>
                <w:rStyle w:val="Hyperlink"/>
                <w:rtl/>
              </w:rPr>
              <w:t xml:space="preserve"> </w:t>
            </w:r>
            <w:r w:rsidR="004D06EF" w:rsidRPr="00DD33D4">
              <w:rPr>
                <w:rStyle w:val="Hyperlink"/>
                <w:rFonts w:hint="eastAsia"/>
                <w:rtl/>
              </w:rPr>
              <w:t>טלפון</w:t>
            </w:r>
            <w:r w:rsidR="004D06EF" w:rsidRPr="00DD33D4">
              <w:rPr>
                <w:rStyle w:val="Hyperlink"/>
                <w:rtl/>
              </w:rPr>
              <w:t xml:space="preserve"> </w:t>
            </w:r>
            <w:r w:rsidR="004D06EF" w:rsidRPr="00DD33D4">
              <w:rPr>
                <w:rStyle w:val="Hyperlink"/>
                <w:rFonts w:hint="eastAsia"/>
                <w:rtl/>
              </w:rPr>
              <w:t>על</w:t>
            </w:r>
            <w:r w:rsidR="004D06EF" w:rsidRPr="00DD33D4">
              <w:rPr>
                <w:rStyle w:val="Hyperlink"/>
                <w:rtl/>
              </w:rPr>
              <w:t xml:space="preserve"> </w:t>
            </w:r>
            <w:r w:rsidR="004D06EF" w:rsidRPr="00DD33D4">
              <w:rPr>
                <w:rStyle w:val="Hyperlink"/>
                <w:rFonts w:hint="eastAsia"/>
                <w:rtl/>
              </w:rPr>
              <w:t>גבי</w:t>
            </w:r>
            <w:r w:rsidR="004D06EF" w:rsidRPr="00DD33D4">
              <w:rPr>
                <w:rStyle w:val="Hyperlink"/>
                <w:rtl/>
              </w:rPr>
              <w:t xml:space="preserve"> </w:t>
            </w:r>
            <w:r w:rsidR="004D06EF" w:rsidRPr="00DD33D4">
              <w:rPr>
                <w:rStyle w:val="Hyperlink"/>
                <w:rFonts w:hint="eastAsia"/>
                <w:rtl/>
              </w:rPr>
              <w:t>ספר</w:t>
            </w:r>
            <w:r w:rsidR="004D06EF" w:rsidRPr="00DD33D4">
              <w:rPr>
                <w:rStyle w:val="Hyperlink"/>
                <w:rtl/>
              </w:rPr>
              <w:t xml:space="preserve"> </w:t>
            </w:r>
            <w:r w:rsidR="004D06EF" w:rsidRPr="00DD33D4">
              <w:rPr>
                <w:rStyle w:val="Hyperlink"/>
                <w:rFonts w:hint="eastAsia"/>
                <w:rtl/>
              </w:rPr>
              <w:t>אם</w:t>
            </w:r>
            <w:r w:rsidR="004D06EF" w:rsidRPr="00DD33D4">
              <w:rPr>
                <w:rStyle w:val="Hyperlink"/>
                <w:rtl/>
              </w:rPr>
              <w:t xml:space="preserve"> </w:t>
            </w:r>
            <w:r w:rsidR="004D06EF" w:rsidRPr="00DD33D4">
              <w:rPr>
                <w:rStyle w:val="Hyperlink"/>
                <w:rFonts w:hint="eastAsia"/>
                <w:rtl/>
              </w:rPr>
              <w:t>יכול</w:t>
            </w:r>
            <w:r w:rsidR="004D06EF" w:rsidRPr="00DD33D4">
              <w:rPr>
                <w:rStyle w:val="Hyperlink"/>
                <w:rtl/>
              </w:rPr>
              <w:t xml:space="preserve"> </w:t>
            </w:r>
            <w:r w:rsidR="004D06EF" w:rsidRPr="00DD33D4">
              <w:rPr>
                <w:rStyle w:val="Hyperlink"/>
                <w:rFonts w:hint="eastAsia"/>
                <w:rtl/>
              </w:rPr>
              <w:t>לעקור</w:t>
            </w:r>
            <w:r w:rsidR="004D06EF" w:rsidRPr="00DD33D4">
              <w:rPr>
                <w:rStyle w:val="Hyperlink"/>
                <w:rtl/>
              </w:rPr>
              <w:t xml:space="preserve"> </w:t>
            </w:r>
            <w:r w:rsidR="004D06EF" w:rsidRPr="00DD33D4">
              <w:rPr>
                <w:rStyle w:val="Hyperlink"/>
                <w:rFonts w:hint="eastAsia"/>
                <w:rtl/>
              </w:rPr>
              <w:t>ממקומו</w:t>
            </w:r>
            <w:r w:rsidR="004D06EF" w:rsidRPr="00DD33D4">
              <w:rPr>
                <w:rStyle w:val="Hyperlink"/>
                <w:rtl/>
              </w:rPr>
              <w:t xml:space="preserve"> </w:t>
            </w:r>
            <w:r w:rsidR="004D06EF" w:rsidRPr="00DD33D4">
              <w:rPr>
                <w:rStyle w:val="Hyperlink"/>
                <w:rFonts w:hint="eastAsia"/>
                <w:rtl/>
              </w:rPr>
              <w:t>ולהסירו</w:t>
            </w:r>
            <w:r w:rsidR="004D06EF" w:rsidRPr="00DD33D4">
              <w:rPr>
                <w:rStyle w:val="Hyperlink"/>
                <w:rtl/>
              </w:rPr>
              <w:t xml:space="preserve"> </w:t>
            </w:r>
            <w:r w:rsidR="004D06EF" w:rsidRPr="00DD33D4">
              <w:rPr>
                <w:rStyle w:val="Hyperlink"/>
                <w:rFonts w:hint="eastAsia"/>
                <w:rtl/>
              </w:rPr>
              <w:t>מעליו</w:t>
            </w:r>
            <w:r w:rsidR="004D06EF">
              <w:rPr>
                <w:webHidden/>
              </w:rPr>
              <w:tab/>
            </w:r>
            <w:r w:rsidR="004D06EF">
              <w:rPr>
                <w:webHidden/>
              </w:rPr>
              <w:fldChar w:fldCharType="begin"/>
            </w:r>
            <w:r w:rsidR="004D06EF">
              <w:rPr>
                <w:webHidden/>
              </w:rPr>
              <w:instrText xml:space="preserve"> PAGEREF _Toc531140402 \h </w:instrText>
            </w:r>
            <w:r w:rsidR="004D06EF">
              <w:rPr>
                <w:webHidden/>
              </w:rPr>
            </w:r>
            <w:r w:rsidR="004D06EF">
              <w:rPr>
                <w:webHidden/>
              </w:rPr>
              <w:fldChar w:fldCharType="separate"/>
            </w:r>
            <w:r w:rsidR="00BE6663">
              <w:rPr>
                <w:webHidden/>
                <w:rtl/>
              </w:rPr>
              <w:t>95</w:t>
            </w:r>
            <w:r w:rsidR="004D06EF">
              <w:rPr>
                <w:webHidden/>
              </w:rPr>
              <w:fldChar w:fldCharType="end"/>
            </w:r>
          </w:hyperlink>
        </w:p>
        <w:p w14:paraId="23D1BD34" w14:textId="765400CF" w:rsidR="004D06EF" w:rsidRDefault="00A41789" w:rsidP="004D06EF">
          <w:pPr>
            <w:pStyle w:val="TOC3"/>
            <w:rPr>
              <w:rFonts w:asciiTheme="minorHAnsi" w:eastAsiaTheme="minorEastAsia" w:hAnsiTheme="minorHAnsi" w:cstheme="minorBidi"/>
              <w:sz w:val="22"/>
              <w:szCs w:val="22"/>
              <w:lang w:val="en-US"/>
            </w:rPr>
          </w:pPr>
          <w:hyperlink w:anchor="_Toc531140403" w:history="1">
            <w:r w:rsidR="004D06EF" w:rsidRPr="00DD33D4">
              <w:rPr>
                <w:rStyle w:val="Hyperlink"/>
                <w:rFonts w:hint="eastAsia"/>
                <w:rtl/>
              </w:rPr>
              <w:t>הרה</w:t>
            </w:r>
            <w:r w:rsidR="004D06EF" w:rsidRPr="00DD33D4">
              <w:rPr>
                <w:rStyle w:val="Hyperlink"/>
                <w:lang w:bidi="ar-SA"/>
              </w:rPr>
              <w:t>"</w:t>
            </w:r>
            <w:r w:rsidR="004D06EF" w:rsidRPr="00DD33D4">
              <w:rPr>
                <w:rStyle w:val="Hyperlink"/>
                <w:rFonts w:hint="eastAsia"/>
                <w:rtl/>
              </w:rPr>
              <w:t>ג</w:t>
            </w:r>
            <w:r w:rsidR="004D06EF" w:rsidRPr="00DD33D4">
              <w:rPr>
                <w:rStyle w:val="Hyperlink"/>
                <w:rtl/>
              </w:rPr>
              <w:t xml:space="preserve"> </w:t>
            </w:r>
            <w:r w:rsidR="004D06EF" w:rsidRPr="00DD33D4">
              <w:rPr>
                <w:rStyle w:val="Hyperlink"/>
                <w:rFonts w:hint="eastAsia"/>
                <w:rtl/>
              </w:rPr>
              <w:t>רבי</w:t>
            </w:r>
            <w:r w:rsidR="004D06EF" w:rsidRPr="00DD33D4">
              <w:rPr>
                <w:rStyle w:val="Hyperlink"/>
                <w:rtl/>
              </w:rPr>
              <w:t xml:space="preserve"> </w:t>
            </w:r>
            <w:r w:rsidR="004D06EF" w:rsidRPr="00DD33D4">
              <w:rPr>
                <w:rStyle w:val="Hyperlink"/>
                <w:rFonts w:hint="eastAsia"/>
                <w:rtl/>
              </w:rPr>
              <w:t>גמליאל</w:t>
            </w:r>
            <w:r w:rsidR="004D06EF" w:rsidRPr="00DD33D4">
              <w:rPr>
                <w:rStyle w:val="Hyperlink"/>
              </w:rPr>
              <w:t xml:space="preserve"> </w:t>
            </w:r>
            <w:r w:rsidR="004D06EF" w:rsidRPr="00DD33D4">
              <w:rPr>
                <w:rStyle w:val="Hyperlink"/>
                <w:rFonts w:hint="eastAsia"/>
                <w:rtl/>
              </w:rPr>
              <w:t>הכהן</w:t>
            </w:r>
            <w:r w:rsidR="004D06EF" w:rsidRPr="00DD33D4">
              <w:rPr>
                <w:rStyle w:val="Hyperlink"/>
                <w:rtl/>
              </w:rPr>
              <w:t xml:space="preserve"> </w:t>
            </w:r>
            <w:r w:rsidR="004D06EF" w:rsidRPr="00DD33D4">
              <w:rPr>
                <w:rStyle w:val="Hyperlink"/>
                <w:rFonts w:hint="eastAsia"/>
                <w:rtl/>
              </w:rPr>
              <w:t>רבינוביץ</w:t>
            </w:r>
            <w:r w:rsidR="004D06EF" w:rsidRPr="00DD33D4">
              <w:rPr>
                <w:rStyle w:val="Hyperlink"/>
                <w:rtl/>
              </w:rPr>
              <w:t xml:space="preserve"> </w:t>
            </w:r>
            <w:r w:rsidR="004D06EF" w:rsidRPr="00DD33D4">
              <w:rPr>
                <w:rStyle w:val="Hyperlink"/>
                <w:rFonts w:hint="eastAsia"/>
                <w:rtl/>
              </w:rPr>
              <w:t>שליט</w:t>
            </w:r>
            <w:r w:rsidR="004D06EF" w:rsidRPr="00DD33D4">
              <w:rPr>
                <w:rStyle w:val="Hyperlink"/>
                <w:lang w:bidi="ar-SA"/>
              </w:rPr>
              <w:t>"</w:t>
            </w:r>
            <w:r w:rsidR="004D06EF" w:rsidRPr="00DD33D4">
              <w:rPr>
                <w:rStyle w:val="Hyperlink"/>
                <w:rFonts w:hint="eastAsia"/>
                <w:rtl/>
              </w:rPr>
              <w:t>א</w:t>
            </w:r>
          </w:hyperlink>
        </w:p>
        <w:p w14:paraId="4054378D" w14:textId="77777777" w:rsidR="004D06EF" w:rsidRDefault="00A41789" w:rsidP="004D06EF">
          <w:pPr>
            <w:pStyle w:val="TOC2"/>
            <w:rPr>
              <w:rFonts w:asciiTheme="minorHAnsi" w:eastAsiaTheme="minorEastAsia" w:hAnsiTheme="minorHAnsi" w:cstheme="minorBidi"/>
            </w:rPr>
          </w:pPr>
          <w:hyperlink w:anchor="_Toc531140404" w:history="1">
            <w:r w:rsidR="004D06EF" w:rsidRPr="00DD33D4">
              <w:rPr>
                <w:rStyle w:val="Hyperlink"/>
                <w:rFonts w:hint="eastAsia"/>
                <w:rtl/>
              </w:rPr>
              <w:t>השותה</w:t>
            </w:r>
            <w:r w:rsidR="004D06EF" w:rsidRPr="00DD33D4">
              <w:rPr>
                <w:rStyle w:val="Hyperlink"/>
                <w:rtl/>
              </w:rPr>
              <w:t xml:space="preserve"> </w:t>
            </w:r>
            <w:r w:rsidR="004D06EF" w:rsidRPr="00DD33D4">
              <w:rPr>
                <w:rStyle w:val="Hyperlink"/>
                <w:rFonts w:hint="eastAsia"/>
                <w:rtl/>
              </w:rPr>
              <w:t>כזית</w:t>
            </w:r>
            <w:r w:rsidR="004D06EF" w:rsidRPr="00DD33D4">
              <w:rPr>
                <w:rStyle w:val="Hyperlink"/>
                <w:rtl/>
              </w:rPr>
              <w:t xml:space="preserve"> </w:t>
            </w:r>
            <w:r w:rsidR="004D06EF" w:rsidRPr="00DD33D4">
              <w:rPr>
                <w:rStyle w:val="Hyperlink"/>
                <w:rFonts w:hint="eastAsia"/>
                <w:rtl/>
              </w:rPr>
              <w:t>חמץ</w:t>
            </w:r>
            <w:r w:rsidR="004D06EF" w:rsidRPr="00DD33D4">
              <w:rPr>
                <w:rStyle w:val="Hyperlink"/>
                <w:rtl/>
              </w:rPr>
              <w:t xml:space="preserve"> </w:t>
            </w:r>
            <w:r w:rsidR="004D06EF" w:rsidRPr="00DD33D4">
              <w:rPr>
                <w:rStyle w:val="Hyperlink"/>
                <w:rFonts w:hint="eastAsia"/>
                <w:rtl/>
              </w:rPr>
              <w:t>שנתערב</w:t>
            </w:r>
            <w:r w:rsidR="004D06EF" w:rsidRPr="00DD33D4">
              <w:rPr>
                <w:rStyle w:val="Hyperlink"/>
                <w:rtl/>
              </w:rPr>
              <w:t xml:space="preserve"> </w:t>
            </w:r>
            <w:r w:rsidR="004D06EF" w:rsidRPr="00DD33D4">
              <w:rPr>
                <w:rStyle w:val="Hyperlink"/>
                <w:rFonts w:hint="eastAsia"/>
                <w:rtl/>
              </w:rPr>
              <w:t>במשקה</w:t>
            </w:r>
            <w:r w:rsidR="004D06EF" w:rsidRPr="00DD33D4">
              <w:rPr>
                <w:rStyle w:val="Hyperlink"/>
                <w:rtl/>
              </w:rPr>
              <w:t xml:space="preserve"> </w:t>
            </w:r>
            <w:r w:rsidR="004D06EF" w:rsidRPr="00DD33D4">
              <w:rPr>
                <w:rStyle w:val="Hyperlink"/>
                <w:rFonts w:hint="eastAsia"/>
                <w:rtl/>
              </w:rPr>
              <w:t>אחר</w:t>
            </w:r>
            <w:r w:rsidR="004D06EF" w:rsidRPr="00DD33D4">
              <w:rPr>
                <w:rStyle w:val="Hyperlink"/>
                <w:rtl/>
              </w:rPr>
              <w:t xml:space="preserve"> </w:t>
            </w:r>
            <w:r w:rsidR="004D06EF" w:rsidRPr="00DD33D4">
              <w:rPr>
                <w:rStyle w:val="Hyperlink"/>
                <w:rFonts w:hint="eastAsia"/>
                <w:rtl/>
              </w:rPr>
              <w:t>ויש</w:t>
            </w:r>
            <w:r w:rsidR="004D06EF" w:rsidRPr="00DD33D4">
              <w:rPr>
                <w:rStyle w:val="Hyperlink"/>
                <w:rtl/>
              </w:rPr>
              <w:t xml:space="preserve"> </w:t>
            </w:r>
            <w:r w:rsidR="004D06EF" w:rsidRPr="00DD33D4">
              <w:rPr>
                <w:rStyle w:val="Hyperlink"/>
                <w:rFonts w:hint="eastAsia"/>
                <w:rtl/>
              </w:rPr>
              <w:t>בזה</w:t>
            </w:r>
            <w:r w:rsidR="004D06EF" w:rsidRPr="00DD33D4">
              <w:rPr>
                <w:rStyle w:val="Hyperlink"/>
                <w:rtl/>
              </w:rPr>
              <w:t xml:space="preserve"> </w:t>
            </w:r>
            <w:r w:rsidR="004D06EF" w:rsidRPr="00DD33D4">
              <w:rPr>
                <w:rStyle w:val="Hyperlink"/>
                <w:rFonts w:hint="eastAsia"/>
                <w:rtl/>
              </w:rPr>
              <w:t>התערובת</w:t>
            </w:r>
            <w:r w:rsidR="004D06EF" w:rsidRPr="00DD33D4">
              <w:rPr>
                <w:rStyle w:val="Hyperlink"/>
              </w:rPr>
              <w:t xml:space="preserve"> </w:t>
            </w:r>
            <w:r w:rsidR="004D06EF" w:rsidRPr="00DD33D4">
              <w:rPr>
                <w:rStyle w:val="Hyperlink"/>
                <w:rFonts w:hint="eastAsia"/>
                <w:rtl/>
              </w:rPr>
              <w:t>יותר</w:t>
            </w:r>
            <w:r w:rsidR="004D06EF" w:rsidRPr="00DD33D4">
              <w:rPr>
                <w:rStyle w:val="Hyperlink"/>
                <w:rtl/>
              </w:rPr>
              <w:t xml:space="preserve"> </w:t>
            </w:r>
            <w:r w:rsidR="004D06EF" w:rsidRPr="00DD33D4">
              <w:rPr>
                <w:rStyle w:val="Hyperlink"/>
                <w:rFonts w:hint="eastAsia"/>
                <w:rtl/>
              </w:rPr>
              <w:t>מכדי</w:t>
            </w:r>
            <w:r w:rsidR="004D06EF" w:rsidRPr="00DD33D4">
              <w:rPr>
                <w:rStyle w:val="Hyperlink"/>
              </w:rPr>
              <w:t xml:space="preserve"> </w:t>
            </w:r>
            <w:r w:rsidR="004D06EF" w:rsidRPr="00DD33D4">
              <w:rPr>
                <w:rStyle w:val="Hyperlink"/>
                <w:rFonts w:hint="eastAsia"/>
                <w:b/>
                <w:rtl/>
              </w:rPr>
              <w:t>שתיית</w:t>
            </w:r>
            <w:r w:rsidR="004D06EF" w:rsidRPr="00DD33D4">
              <w:rPr>
                <w:rStyle w:val="Hyperlink"/>
                <w:b/>
                <w:rtl/>
              </w:rPr>
              <w:t xml:space="preserve"> </w:t>
            </w:r>
            <w:r w:rsidR="004D06EF" w:rsidRPr="00DD33D4">
              <w:rPr>
                <w:rStyle w:val="Hyperlink"/>
                <w:rFonts w:hint="eastAsia"/>
                <w:b/>
                <w:rtl/>
              </w:rPr>
              <w:t>רביעית</w:t>
            </w:r>
            <w:r w:rsidR="004D06EF">
              <w:rPr>
                <w:webHidden/>
              </w:rPr>
              <w:tab/>
            </w:r>
            <w:r w:rsidR="004D06EF">
              <w:rPr>
                <w:webHidden/>
              </w:rPr>
              <w:fldChar w:fldCharType="begin"/>
            </w:r>
            <w:r w:rsidR="004D06EF">
              <w:rPr>
                <w:webHidden/>
              </w:rPr>
              <w:instrText xml:space="preserve"> PAGEREF _Toc531140404 \h </w:instrText>
            </w:r>
            <w:r w:rsidR="004D06EF">
              <w:rPr>
                <w:webHidden/>
              </w:rPr>
            </w:r>
            <w:r w:rsidR="004D06EF">
              <w:rPr>
                <w:webHidden/>
              </w:rPr>
              <w:fldChar w:fldCharType="separate"/>
            </w:r>
            <w:r w:rsidR="00BE6663">
              <w:rPr>
                <w:webHidden/>
                <w:rtl/>
              </w:rPr>
              <w:t>99</w:t>
            </w:r>
            <w:r w:rsidR="004D06EF">
              <w:rPr>
                <w:webHidden/>
              </w:rPr>
              <w:fldChar w:fldCharType="end"/>
            </w:r>
          </w:hyperlink>
        </w:p>
        <w:p w14:paraId="79E3F6E2" w14:textId="39E01B51" w:rsidR="004D06EF" w:rsidRDefault="00A41789" w:rsidP="00756517">
          <w:pPr>
            <w:pStyle w:val="TOC3"/>
            <w:rPr>
              <w:rFonts w:asciiTheme="minorHAnsi" w:eastAsiaTheme="minorEastAsia" w:hAnsiTheme="minorHAnsi" w:cstheme="minorBidi"/>
              <w:sz w:val="22"/>
              <w:szCs w:val="22"/>
              <w:lang w:val="en-US"/>
            </w:rPr>
          </w:pPr>
          <w:hyperlink w:anchor="_Toc531140405" w:history="1">
            <w:r w:rsidR="004D06EF" w:rsidRPr="00DD33D4">
              <w:rPr>
                <w:rStyle w:val="Hyperlink"/>
                <w:rFonts w:hint="eastAsia"/>
                <w:rtl/>
              </w:rPr>
              <w:t>הר</w:t>
            </w:r>
            <w:r w:rsidR="00756517">
              <w:rPr>
                <w:rStyle w:val="Hyperlink"/>
                <w:rFonts w:hint="cs"/>
                <w:rtl/>
              </w:rPr>
              <w:t>ב</w:t>
            </w:r>
            <w:r w:rsidR="004D06EF" w:rsidRPr="00DD33D4">
              <w:rPr>
                <w:rStyle w:val="Hyperlink"/>
                <w:rtl/>
              </w:rPr>
              <w:t xml:space="preserve"> </w:t>
            </w:r>
            <w:r w:rsidR="004D06EF" w:rsidRPr="00DD33D4">
              <w:rPr>
                <w:rStyle w:val="Hyperlink"/>
                <w:rFonts w:hint="eastAsia"/>
                <w:rtl/>
              </w:rPr>
              <w:t>שבתי</w:t>
            </w:r>
            <w:r w:rsidR="004D06EF" w:rsidRPr="00DD33D4">
              <w:rPr>
                <w:rStyle w:val="Hyperlink"/>
                <w:rtl/>
              </w:rPr>
              <w:t xml:space="preserve"> </w:t>
            </w:r>
            <w:r w:rsidR="004D06EF" w:rsidRPr="00DD33D4">
              <w:rPr>
                <w:rStyle w:val="Hyperlink"/>
                <w:rFonts w:hint="eastAsia"/>
                <w:rtl/>
              </w:rPr>
              <w:t>אשר</w:t>
            </w:r>
            <w:r w:rsidR="004D06EF" w:rsidRPr="00DD33D4">
              <w:rPr>
                <w:rStyle w:val="Hyperlink"/>
                <w:rtl/>
              </w:rPr>
              <w:t xml:space="preserve"> </w:t>
            </w:r>
            <w:r w:rsidR="004D06EF" w:rsidRPr="00DD33D4">
              <w:rPr>
                <w:rStyle w:val="Hyperlink"/>
                <w:rFonts w:hint="eastAsia"/>
                <w:rtl/>
              </w:rPr>
              <w:t>טיאר</w:t>
            </w:r>
          </w:hyperlink>
        </w:p>
        <w:p w14:paraId="39833410" w14:textId="77777777" w:rsidR="004D06EF" w:rsidRDefault="00A41789" w:rsidP="004D06EF">
          <w:pPr>
            <w:pStyle w:val="TOC2"/>
            <w:rPr>
              <w:rFonts w:asciiTheme="minorHAnsi" w:eastAsiaTheme="minorEastAsia" w:hAnsiTheme="minorHAnsi" w:cstheme="minorBidi"/>
            </w:rPr>
          </w:pPr>
          <w:hyperlink w:anchor="_Toc531140406" w:history="1">
            <w:r w:rsidR="004D06EF" w:rsidRPr="00DD33D4">
              <w:rPr>
                <w:rStyle w:val="Hyperlink"/>
                <w:rFonts w:hint="eastAsia"/>
                <w:rtl/>
              </w:rPr>
              <w:t>אמירת</w:t>
            </w:r>
            <w:r w:rsidR="004D06EF" w:rsidRPr="00DD33D4">
              <w:rPr>
                <w:rStyle w:val="Hyperlink"/>
                <w:rtl/>
              </w:rPr>
              <w:t xml:space="preserve"> </w:t>
            </w:r>
            <w:r w:rsidR="004D06EF" w:rsidRPr="00DD33D4">
              <w:rPr>
                <w:rStyle w:val="Hyperlink"/>
                <w:rFonts w:hint="eastAsia"/>
                <w:rtl/>
              </w:rPr>
              <w:t>קדיש</w:t>
            </w:r>
            <w:r w:rsidR="004D06EF" w:rsidRPr="00DD33D4">
              <w:rPr>
                <w:rStyle w:val="Hyperlink"/>
                <w:rtl/>
              </w:rPr>
              <w:t xml:space="preserve"> </w:t>
            </w:r>
            <w:r w:rsidR="004D06EF" w:rsidRPr="00DD33D4">
              <w:rPr>
                <w:rStyle w:val="Hyperlink"/>
                <w:rFonts w:hint="eastAsia"/>
                <w:rtl/>
              </w:rPr>
              <w:t>אחר</w:t>
            </w:r>
            <w:r w:rsidR="004D06EF" w:rsidRPr="00DD33D4">
              <w:rPr>
                <w:rStyle w:val="Hyperlink"/>
                <w:rtl/>
              </w:rPr>
              <w:t xml:space="preserve"> </w:t>
            </w:r>
            <w:r w:rsidR="004D06EF" w:rsidRPr="00DD33D4">
              <w:rPr>
                <w:rStyle w:val="Hyperlink"/>
                <w:rFonts w:hint="eastAsia"/>
                <w:rtl/>
              </w:rPr>
              <w:t>קריאת</w:t>
            </w:r>
            <w:r w:rsidR="004D06EF" w:rsidRPr="00DD33D4">
              <w:rPr>
                <w:rStyle w:val="Hyperlink"/>
                <w:rtl/>
              </w:rPr>
              <w:t xml:space="preserve"> </w:t>
            </w:r>
            <w:r w:rsidR="004D06EF" w:rsidRPr="00DD33D4">
              <w:rPr>
                <w:rStyle w:val="Hyperlink"/>
                <w:rFonts w:hint="eastAsia"/>
                <w:rtl/>
              </w:rPr>
              <w:t>התורה</w:t>
            </w:r>
            <w:r w:rsidR="004D06EF">
              <w:rPr>
                <w:webHidden/>
              </w:rPr>
              <w:tab/>
            </w:r>
            <w:r w:rsidR="004D06EF">
              <w:rPr>
                <w:webHidden/>
              </w:rPr>
              <w:fldChar w:fldCharType="begin"/>
            </w:r>
            <w:r w:rsidR="004D06EF">
              <w:rPr>
                <w:webHidden/>
              </w:rPr>
              <w:instrText xml:space="preserve"> PAGEREF _Toc531140406 \h </w:instrText>
            </w:r>
            <w:r w:rsidR="004D06EF">
              <w:rPr>
                <w:webHidden/>
              </w:rPr>
            </w:r>
            <w:r w:rsidR="004D06EF">
              <w:rPr>
                <w:webHidden/>
              </w:rPr>
              <w:fldChar w:fldCharType="separate"/>
            </w:r>
            <w:r w:rsidR="00BE6663">
              <w:rPr>
                <w:webHidden/>
                <w:rtl/>
              </w:rPr>
              <w:t>102</w:t>
            </w:r>
            <w:r w:rsidR="004D06EF">
              <w:rPr>
                <w:webHidden/>
              </w:rPr>
              <w:fldChar w:fldCharType="end"/>
            </w:r>
          </w:hyperlink>
        </w:p>
        <w:p w14:paraId="79711C4E" w14:textId="1610AFD3" w:rsidR="004D06EF" w:rsidRDefault="00A41789" w:rsidP="004D06EF">
          <w:pPr>
            <w:pStyle w:val="TOC3"/>
            <w:rPr>
              <w:rFonts w:asciiTheme="minorHAnsi" w:eastAsiaTheme="minorEastAsia" w:hAnsiTheme="minorHAnsi" w:cstheme="minorBidi"/>
              <w:sz w:val="22"/>
              <w:szCs w:val="22"/>
              <w:lang w:val="en-US"/>
            </w:rPr>
          </w:pPr>
          <w:hyperlink w:anchor="_Toc531140407"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צבי</w:t>
            </w:r>
            <w:r w:rsidR="004D06EF" w:rsidRPr="00DD33D4">
              <w:rPr>
                <w:rStyle w:val="Hyperlink"/>
                <w:rtl/>
              </w:rPr>
              <w:t xml:space="preserve"> </w:t>
            </w:r>
            <w:r w:rsidR="004D06EF" w:rsidRPr="00DD33D4">
              <w:rPr>
                <w:rStyle w:val="Hyperlink"/>
                <w:rFonts w:hint="eastAsia"/>
                <w:rtl/>
              </w:rPr>
              <w:t>רימלער</w:t>
            </w:r>
          </w:hyperlink>
        </w:p>
        <w:p w14:paraId="0357DC05" w14:textId="1139491B" w:rsidR="004D06EF" w:rsidRDefault="00A41789" w:rsidP="00107544">
          <w:pPr>
            <w:pStyle w:val="TOC2"/>
            <w:rPr>
              <w:rFonts w:asciiTheme="minorHAnsi" w:eastAsiaTheme="minorEastAsia" w:hAnsiTheme="minorHAnsi" w:cstheme="minorBidi"/>
            </w:rPr>
          </w:pPr>
          <w:hyperlink w:anchor="_Toc531140408" w:history="1">
            <w:r w:rsidR="004D06EF" w:rsidRPr="00DD33D4">
              <w:rPr>
                <w:rStyle w:val="Hyperlink"/>
                <w:rFonts w:hint="eastAsia"/>
                <w:rtl/>
              </w:rPr>
              <w:t>רשות</w:t>
            </w:r>
            <w:r w:rsidR="004D06EF" w:rsidRPr="00DD33D4">
              <w:rPr>
                <w:rStyle w:val="Hyperlink"/>
                <w:rtl/>
              </w:rPr>
              <w:t xml:space="preserve"> </w:t>
            </w:r>
            <w:r w:rsidR="004D06EF" w:rsidRPr="00DD33D4">
              <w:rPr>
                <w:rStyle w:val="Hyperlink"/>
                <w:rFonts w:hint="eastAsia"/>
                <w:rtl/>
              </w:rPr>
              <w:t>הרבים</w:t>
            </w:r>
            <w:r w:rsidR="004D06EF" w:rsidRPr="00DD33D4">
              <w:rPr>
                <w:rStyle w:val="Hyperlink"/>
                <w:rtl/>
              </w:rPr>
              <w:t xml:space="preserve"> </w:t>
            </w:r>
            <w:r w:rsidR="004D06EF" w:rsidRPr="00DD33D4">
              <w:rPr>
                <w:rStyle w:val="Hyperlink"/>
                <w:rFonts w:hint="eastAsia"/>
                <w:rtl/>
              </w:rPr>
              <w:t>בזמן</w:t>
            </w:r>
            <w:r w:rsidR="004D06EF" w:rsidRPr="00DD33D4">
              <w:rPr>
                <w:rStyle w:val="Hyperlink"/>
                <w:rtl/>
              </w:rPr>
              <w:t xml:space="preserve"> </w:t>
            </w:r>
            <w:r w:rsidR="004D06EF" w:rsidRPr="00DD33D4">
              <w:rPr>
                <w:rStyle w:val="Hyperlink"/>
                <w:rFonts w:hint="eastAsia"/>
                <w:rtl/>
              </w:rPr>
              <w:t>הזה</w:t>
            </w:r>
            <w:r w:rsidR="004D06EF" w:rsidRPr="00DD33D4">
              <w:rPr>
                <w:rStyle w:val="Hyperlink"/>
                <w:rtl/>
              </w:rPr>
              <w:t xml:space="preserve"> (</w:t>
            </w:r>
            <w:r w:rsidR="004D06EF" w:rsidRPr="00DD33D4">
              <w:rPr>
                <w:rStyle w:val="Hyperlink"/>
                <w:rFonts w:hint="eastAsia"/>
                <w:rtl/>
              </w:rPr>
              <w:t>גליון</w:t>
            </w:r>
            <w:r w:rsidR="00107544">
              <w:rPr>
                <w:rStyle w:val="Hyperlink"/>
                <w:rFonts w:hint="cs"/>
                <w:rtl/>
              </w:rPr>
              <w:t>)</w:t>
            </w:r>
            <w:r w:rsidR="004D06EF">
              <w:rPr>
                <w:webHidden/>
              </w:rPr>
              <w:tab/>
            </w:r>
            <w:r w:rsidR="004D06EF">
              <w:rPr>
                <w:webHidden/>
              </w:rPr>
              <w:fldChar w:fldCharType="begin"/>
            </w:r>
            <w:r w:rsidR="004D06EF">
              <w:rPr>
                <w:webHidden/>
              </w:rPr>
              <w:instrText xml:space="preserve"> PAGEREF _Toc531140408 \h </w:instrText>
            </w:r>
            <w:r w:rsidR="004D06EF">
              <w:rPr>
                <w:webHidden/>
              </w:rPr>
            </w:r>
            <w:r w:rsidR="004D06EF">
              <w:rPr>
                <w:webHidden/>
              </w:rPr>
              <w:fldChar w:fldCharType="separate"/>
            </w:r>
            <w:r w:rsidR="00BE6663">
              <w:rPr>
                <w:webHidden/>
                <w:rtl/>
              </w:rPr>
              <w:t>106</w:t>
            </w:r>
            <w:r w:rsidR="004D06EF">
              <w:rPr>
                <w:webHidden/>
              </w:rPr>
              <w:fldChar w:fldCharType="end"/>
            </w:r>
          </w:hyperlink>
        </w:p>
        <w:p w14:paraId="5CA04CB5" w14:textId="13FFFA7F" w:rsidR="004D06EF" w:rsidRDefault="00A41789" w:rsidP="00756517">
          <w:pPr>
            <w:pStyle w:val="TOC3"/>
            <w:rPr>
              <w:rFonts w:asciiTheme="minorHAnsi" w:eastAsiaTheme="minorEastAsia" w:hAnsiTheme="minorHAnsi" w:cstheme="minorBidi"/>
              <w:sz w:val="22"/>
              <w:szCs w:val="22"/>
              <w:lang w:val="en-US"/>
            </w:rPr>
          </w:pPr>
          <w:hyperlink w:anchor="_Toc531140409" w:history="1">
            <w:r w:rsidR="004D06EF" w:rsidRPr="00DD33D4">
              <w:rPr>
                <w:rStyle w:val="Hyperlink"/>
                <w:rFonts w:hint="eastAsia"/>
                <w:rtl/>
              </w:rPr>
              <w:t>ר</w:t>
            </w:r>
            <w:r w:rsidR="00756517">
              <w:rPr>
                <w:rStyle w:val="Hyperlink"/>
                <w:rFonts w:hint="cs"/>
                <w:rtl/>
              </w:rPr>
              <w:t xml:space="preserve">' </w:t>
            </w:r>
            <w:r w:rsidR="004D06EF" w:rsidRPr="00DD33D4">
              <w:rPr>
                <w:rStyle w:val="Hyperlink"/>
                <w:rFonts w:hint="eastAsia"/>
                <w:rtl/>
              </w:rPr>
              <w:t>משה</w:t>
            </w:r>
            <w:r w:rsidR="004D06EF" w:rsidRPr="00DD33D4">
              <w:rPr>
                <w:rStyle w:val="Hyperlink"/>
                <w:rtl/>
              </w:rPr>
              <w:t xml:space="preserve"> </w:t>
            </w:r>
            <w:r w:rsidR="004D06EF" w:rsidRPr="00DD33D4">
              <w:rPr>
                <w:rStyle w:val="Hyperlink"/>
                <w:rFonts w:hint="eastAsia"/>
                <w:rtl/>
              </w:rPr>
              <w:t>מרקוביץ</w:t>
            </w:r>
          </w:hyperlink>
        </w:p>
        <w:p w14:paraId="0CABB1FF" w14:textId="578CD3CE" w:rsidR="004D06EF" w:rsidRDefault="00A41789" w:rsidP="00107544">
          <w:pPr>
            <w:pStyle w:val="TOC2"/>
            <w:rPr>
              <w:rFonts w:asciiTheme="minorHAnsi" w:eastAsiaTheme="minorEastAsia" w:hAnsiTheme="minorHAnsi" w:cstheme="minorBidi"/>
            </w:rPr>
          </w:pPr>
          <w:hyperlink w:anchor="_Toc531140410" w:history="1">
            <w:r w:rsidR="004D06EF" w:rsidRPr="00DD33D4">
              <w:rPr>
                <w:rStyle w:val="Hyperlink"/>
              </w:rPr>
              <w:t>'</w:t>
            </w:r>
            <w:r w:rsidR="004D06EF" w:rsidRPr="00DD33D4">
              <w:rPr>
                <w:rStyle w:val="Hyperlink"/>
                <w:rFonts w:hint="eastAsia"/>
                <w:rtl/>
              </w:rPr>
              <w:t>הואיל</w:t>
            </w:r>
            <w:r w:rsidR="004D06EF" w:rsidRPr="00DD33D4">
              <w:rPr>
                <w:rStyle w:val="Hyperlink"/>
                <w:rtl/>
              </w:rPr>
              <w:t xml:space="preserve"> </w:t>
            </w:r>
            <w:r w:rsidR="004D06EF" w:rsidRPr="00DD33D4">
              <w:rPr>
                <w:rStyle w:val="Hyperlink"/>
                <w:rFonts w:hint="eastAsia"/>
                <w:rtl/>
              </w:rPr>
              <w:t>ואתעביד</w:t>
            </w:r>
            <w:r w:rsidR="004D06EF" w:rsidRPr="00DD33D4">
              <w:rPr>
                <w:rStyle w:val="Hyperlink"/>
                <w:rtl/>
              </w:rPr>
              <w:t xml:space="preserve"> </w:t>
            </w:r>
            <w:r w:rsidR="004D06EF" w:rsidRPr="00DD33D4">
              <w:rPr>
                <w:rStyle w:val="Hyperlink"/>
                <w:rFonts w:hint="eastAsia"/>
                <w:rtl/>
              </w:rPr>
              <w:t>ביה</w:t>
            </w:r>
            <w:r w:rsidR="004D06EF" w:rsidRPr="00DD33D4">
              <w:rPr>
                <w:rStyle w:val="Hyperlink"/>
                <w:rtl/>
              </w:rPr>
              <w:t xml:space="preserve"> </w:t>
            </w:r>
            <w:r w:rsidR="004D06EF" w:rsidRPr="00DD33D4">
              <w:rPr>
                <w:rStyle w:val="Hyperlink"/>
                <w:rFonts w:hint="eastAsia"/>
                <w:rtl/>
              </w:rPr>
              <w:t>חדא</w:t>
            </w:r>
            <w:r w:rsidR="004D06EF" w:rsidRPr="00DD33D4">
              <w:rPr>
                <w:rStyle w:val="Hyperlink"/>
                <w:rtl/>
              </w:rPr>
              <w:t xml:space="preserve"> </w:t>
            </w:r>
            <w:r w:rsidR="004D06EF" w:rsidRPr="00DD33D4">
              <w:rPr>
                <w:rStyle w:val="Hyperlink"/>
                <w:rFonts w:hint="eastAsia"/>
                <w:rtl/>
              </w:rPr>
              <w:t>מצוה׳</w:t>
            </w:r>
            <w:r w:rsidR="004D06EF" w:rsidRPr="00DD33D4">
              <w:rPr>
                <w:rStyle w:val="Hyperlink"/>
              </w:rPr>
              <w:t xml:space="preserve"> </w:t>
            </w:r>
            <w:r w:rsidR="00107544">
              <w:rPr>
                <w:rStyle w:val="Hyperlink"/>
                <w:rFonts w:hint="cs"/>
                <w:rtl/>
              </w:rPr>
              <w:t>(ג')</w:t>
            </w:r>
            <w:r w:rsidR="00107544" w:rsidRPr="00107544">
              <w:rPr>
                <w:rFonts w:hint="eastAsia"/>
                <w:rtl/>
              </w:rPr>
              <w:t xml:space="preserve"> </w:t>
            </w:r>
            <w:r w:rsidR="00107544" w:rsidRPr="00107544">
              <w:rPr>
                <w:rStyle w:val="Hyperlink"/>
                <w:rFonts w:hint="eastAsia"/>
                <w:rtl/>
              </w:rPr>
              <w:t>בענין</w:t>
            </w:r>
            <w:r w:rsidR="00107544" w:rsidRPr="00107544">
              <w:rPr>
                <w:rStyle w:val="Hyperlink"/>
                <w:rtl/>
              </w:rPr>
              <w:t xml:space="preserve"> </w:t>
            </w:r>
            <w:r w:rsidR="00107544" w:rsidRPr="00107544">
              <w:rPr>
                <w:rStyle w:val="Hyperlink"/>
                <w:rFonts w:hint="eastAsia"/>
                <w:rtl/>
              </w:rPr>
              <w:t>׳יש</w:t>
            </w:r>
            <w:r w:rsidR="00107544" w:rsidRPr="00107544">
              <w:rPr>
                <w:rStyle w:val="Hyperlink"/>
                <w:rtl/>
              </w:rPr>
              <w:t xml:space="preserve"> </w:t>
            </w:r>
            <w:r w:rsidR="00107544" w:rsidRPr="00107544">
              <w:rPr>
                <w:rStyle w:val="Hyperlink"/>
                <w:rFonts w:hint="eastAsia"/>
                <w:rtl/>
              </w:rPr>
              <w:t>בעלי</w:t>
            </w:r>
            <w:r w:rsidR="00107544" w:rsidRPr="00107544">
              <w:rPr>
                <w:rStyle w:val="Hyperlink"/>
                <w:rtl/>
              </w:rPr>
              <w:t xml:space="preserve"> </w:t>
            </w:r>
            <w:r w:rsidR="00107544" w:rsidRPr="00107544">
              <w:rPr>
                <w:rStyle w:val="Hyperlink"/>
                <w:rFonts w:hint="eastAsia"/>
                <w:rtl/>
              </w:rPr>
              <w:t>הנפש׳</w:t>
            </w:r>
            <w:r w:rsidR="00107544" w:rsidRPr="00107544">
              <w:rPr>
                <w:rStyle w:val="Hyperlink"/>
                <w:rtl/>
              </w:rPr>
              <w:t xml:space="preserve"> </w:t>
            </w:r>
            <w:r w:rsidR="00107544" w:rsidRPr="00107544">
              <w:rPr>
                <w:rStyle w:val="Hyperlink"/>
                <w:rFonts w:hint="eastAsia"/>
                <w:rtl/>
              </w:rPr>
              <w:t>בשו״ע</w:t>
            </w:r>
            <w:r w:rsidR="00107544" w:rsidRPr="00107544">
              <w:rPr>
                <w:rStyle w:val="Hyperlink"/>
                <w:rtl/>
              </w:rPr>
              <w:t xml:space="preserve"> </w:t>
            </w:r>
            <w:r w:rsidR="00107544" w:rsidRPr="00107544">
              <w:rPr>
                <w:rStyle w:val="Hyperlink"/>
                <w:rFonts w:hint="eastAsia"/>
                <w:rtl/>
              </w:rPr>
              <w:t>רבינו</w:t>
            </w:r>
            <w:r w:rsidR="00107544" w:rsidRPr="00107544">
              <w:rPr>
                <w:rStyle w:val="Hyperlink"/>
                <w:rtl/>
              </w:rPr>
              <w:t xml:space="preserve"> </w:t>
            </w:r>
            <w:r w:rsidR="00107544" w:rsidRPr="00107544">
              <w:rPr>
                <w:rStyle w:val="Hyperlink"/>
                <w:rFonts w:hint="eastAsia"/>
                <w:rtl/>
              </w:rPr>
              <w:t>הזקן</w:t>
            </w:r>
            <w:r w:rsidR="004D06EF">
              <w:rPr>
                <w:webHidden/>
              </w:rPr>
              <w:tab/>
            </w:r>
            <w:r w:rsidR="004D06EF">
              <w:rPr>
                <w:webHidden/>
              </w:rPr>
              <w:fldChar w:fldCharType="begin"/>
            </w:r>
            <w:r w:rsidR="004D06EF">
              <w:rPr>
                <w:webHidden/>
              </w:rPr>
              <w:instrText xml:space="preserve"> PAGEREF _Toc531140410 \h </w:instrText>
            </w:r>
            <w:r w:rsidR="004D06EF">
              <w:rPr>
                <w:webHidden/>
              </w:rPr>
            </w:r>
            <w:r w:rsidR="004D06EF">
              <w:rPr>
                <w:webHidden/>
              </w:rPr>
              <w:fldChar w:fldCharType="separate"/>
            </w:r>
            <w:r w:rsidR="00BE6663">
              <w:rPr>
                <w:webHidden/>
                <w:rtl/>
              </w:rPr>
              <w:t>108</w:t>
            </w:r>
            <w:r w:rsidR="004D06EF">
              <w:rPr>
                <w:webHidden/>
              </w:rPr>
              <w:fldChar w:fldCharType="end"/>
            </w:r>
          </w:hyperlink>
        </w:p>
        <w:p w14:paraId="4CA4FDC7" w14:textId="252BA678" w:rsidR="004D06EF" w:rsidRDefault="00A41789" w:rsidP="004D06EF">
          <w:pPr>
            <w:pStyle w:val="TOC3"/>
            <w:rPr>
              <w:rFonts w:asciiTheme="minorHAnsi" w:eastAsiaTheme="minorEastAsia" w:hAnsiTheme="minorHAnsi" w:cstheme="minorBidi"/>
              <w:sz w:val="22"/>
              <w:szCs w:val="22"/>
              <w:lang w:val="en-US"/>
            </w:rPr>
          </w:pPr>
          <w:hyperlink w:anchor="_Toc531140412"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ישראל</w:t>
            </w:r>
            <w:r w:rsidR="004D06EF" w:rsidRPr="00DD33D4">
              <w:rPr>
                <w:rStyle w:val="Hyperlink"/>
                <w:rtl/>
              </w:rPr>
              <w:t xml:space="preserve"> </w:t>
            </w:r>
            <w:r w:rsidR="004D06EF" w:rsidRPr="00DD33D4">
              <w:rPr>
                <w:rStyle w:val="Hyperlink"/>
                <w:rFonts w:hint="eastAsia"/>
                <w:rtl/>
              </w:rPr>
              <w:t>אליעזר</w:t>
            </w:r>
            <w:r w:rsidR="004D06EF" w:rsidRPr="00DD33D4">
              <w:rPr>
                <w:rStyle w:val="Hyperlink"/>
                <w:rtl/>
              </w:rPr>
              <w:t xml:space="preserve"> </w:t>
            </w:r>
            <w:r w:rsidR="004D06EF" w:rsidRPr="00DD33D4">
              <w:rPr>
                <w:rStyle w:val="Hyperlink"/>
                <w:rFonts w:hint="eastAsia"/>
                <w:rtl/>
              </w:rPr>
              <w:t>רובין</w:t>
            </w:r>
          </w:hyperlink>
        </w:p>
        <w:p w14:paraId="70A8A46A" w14:textId="77777777" w:rsidR="004D06EF" w:rsidRDefault="00A41789" w:rsidP="004D06EF">
          <w:pPr>
            <w:pStyle w:val="TOC2"/>
            <w:rPr>
              <w:rFonts w:asciiTheme="minorHAnsi" w:eastAsiaTheme="minorEastAsia" w:hAnsiTheme="minorHAnsi" w:cstheme="minorBidi"/>
            </w:rPr>
          </w:pPr>
          <w:hyperlink w:anchor="_Toc531140413" w:history="1">
            <w:r w:rsidR="004D06EF" w:rsidRPr="00DD33D4">
              <w:rPr>
                <w:rStyle w:val="Hyperlink"/>
                <w:rFonts w:eastAsia="SBL Hebrew" w:hint="eastAsia"/>
                <w:rtl/>
                <w:lang w:bidi="he"/>
              </w:rPr>
              <w:t>כללי</w:t>
            </w:r>
            <w:r w:rsidR="004D06EF" w:rsidRPr="00DD33D4">
              <w:rPr>
                <w:rStyle w:val="Hyperlink"/>
                <w:rFonts w:eastAsia="SBL Hebrew"/>
                <w:rtl/>
                <w:lang w:bidi="he"/>
              </w:rPr>
              <w:t xml:space="preserve"> </w:t>
            </w:r>
            <w:r w:rsidR="004D06EF" w:rsidRPr="00DD33D4">
              <w:rPr>
                <w:rStyle w:val="Hyperlink"/>
                <w:rFonts w:eastAsia="SBL Hebrew" w:hint="eastAsia"/>
                <w:rtl/>
                <w:lang w:bidi="he"/>
              </w:rPr>
              <w:t>היתר</w:t>
            </w:r>
            <w:r w:rsidR="004D06EF" w:rsidRPr="00DD33D4">
              <w:rPr>
                <w:rStyle w:val="Hyperlink"/>
                <w:rFonts w:eastAsia="SBL Hebrew"/>
                <w:rtl/>
                <w:lang w:bidi="he"/>
              </w:rPr>
              <w:t xml:space="preserve"> </w:t>
            </w:r>
            <w:r w:rsidR="004D06EF" w:rsidRPr="00DD33D4">
              <w:rPr>
                <w:rStyle w:val="Hyperlink"/>
                <w:rFonts w:eastAsia="SBL Hebrew" w:hint="eastAsia"/>
                <w:rtl/>
                <w:lang w:bidi="he"/>
              </w:rPr>
              <w:t>לאמירה</w:t>
            </w:r>
            <w:r w:rsidR="004D06EF" w:rsidRPr="00DD33D4">
              <w:rPr>
                <w:rStyle w:val="Hyperlink"/>
                <w:rFonts w:eastAsia="SBL Hebrew"/>
                <w:rtl/>
                <w:lang w:bidi="he"/>
              </w:rPr>
              <w:t xml:space="preserve"> </w:t>
            </w:r>
            <w:r w:rsidR="004D06EF" w:rsidRPr="00DD33D4">
              <w:rPr>
                <w:rStyle w:val="Hyperlink"/>
                <w:rFonts w:eastAsia="SBL Hebrew" w:hint="eastAsia"/>
                <w:rtl/>
                <w:lang w:bidi="he"/>
              </w:rPr>
              <w:t>לנכרי</w:t>
            </w:r>
            <w:r w:rsidR="004D06EF" w:rsidRPr="00DD33D4">
              <w:rPr>
                <w:rStyle w:val="Hyperlink"/>
                <w:rFonts w:eastAsia="SBL Hebrew"/>
                <w:rtl/>
                <w:lang w:bidi="he"/>
              </w:rPr>
              <w:t xml:space="preserve"> </w:t>
            </w:r>
            <w:r w:rsidR="004D06EF" w:rsidRPr="00DD33D4">
              <w:rPr>
                <w:rStyle w:val="Hyperlink"/>
                <w:rFonts w:eastAsia="SBL Hebrew" w:hint="eastAsia"/>
                <w:rtl/>
                <w:lang w:bidi="he"/>
              </w:rPr>
              <w:t>בשבת</w:t>
            </w:r>
            <w:r w:rsidR="004D06EF">
              <w:rPr>
                <w:webHidden/>
              </w:rPr>
              <w:tab/>
            </w:r>
            <w:r w:rsidR="004D06EF">
              <w:rPr>
                <w:webHidden/>
              </w:rPr>
              <w:fldChar w:fldCharType="begin"/>
            </w:r>
            <w:r w:rsidR="004D06EF">
              <w:rPr>
                <w:webHidden/>
              </w:rPr>
              <w:instrText xml:space="preserve"> PAGEREF _Toc531140413 \h </w:instrText>
            </w:r>
            <w:r w:rsidR="004D06EF">
              <w:rPr>
                <w:webHidden/>
              </w:rPr>
            </w:r>
            <w:r w:rsidR="004D06EF">
              <w:rPr>
                <w:webHidden/>
              </w:rPr>
              <w:fldChar w:fldCharType="separate"/>
            </w:r>
            <w:r w:rsidR="00BE6663">
              <w:rPr>
                <w:webHidden/>
                <w:rtl/>
              </w:rPr>
              <w:t>112</w:t>
            </w:r>
            <w:r w:rsidR="004D06EF">
              <w:rPr>
                <w:webHidden/>
              </w:rPr>
              <w:fldChar w:fldCharType="end"/>
            </w:r>
          </w:hyperlink>
        </w:p>
        <w:p w14:paraId="10B870A5" w14:textId="4B783689" w:rsidR="004D06EF" w:rsidRDefault="00A41789" w:rsidP="004D06EF">
          <w:pPr>
            <w:pStyle w:val="TOC3"/>
            <w:rPr>
              <w:rFonts w:asciiTheme="minorHAnsi" w:eastAsiaTheme="minorEastAsia" w:hAnsiTheme="minorHAnsi" w:cstheme="minorBidi"/>
              <w:sz w:val="22"/>
              <w:szCs w:val="22"/>
              <w:lang w:val="en-US"/>
            </w:rPr>
          </w:pPr>
          <w:hyperlink w:anchor="_Toc531140414"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מאיר</w:t>
            </w:r>
            <w:r w:rsidR="004D06EF" w:rsidRPr="00DD33D4">
              <w:rPr>
                <w:rStyle w:val="Hyperlink"/>
                <w:rtl/>
              </w:rPr>
              <w:t xml:space="preserve"> </w:t>
            </w:r>
            <w:r w:rsidR="004D06EF" w:rsidRPr="00DD33D4">
              <w:rPr>
                <w:rStyle w:val="Hyperlink"/>
                <w:rFonts w:hint="eastAsia"/>
                <w:rtl/>
              </w:rPr>
              <w:t>צירקינד</w:t>
            </w:r>
          </w:hyperlink>
        </w:p>
        <w:p w14:paraId="77EF3082" w14:textId="77777777" w:rsidR="004D06EF" w:rsidRDefault="00A41789" w:rsidP="004D06EF">
          <w:pPr>
            <w:pStyle w:val="TOC2"/>
            <w:rPr>
              <w:rFonts w:asciiTheme="minorHAnsi" w:eastAsiaTheme="minorEastAsia" w:hAnsiTheme="minorHAnsi" w:cstheme="minorBidi"/>
            </w:rPr>
          </w:pPr>
          <w:hyperlink w:anchor="_Toc531140417" w:history="1">
            <w:r w:rsidR="004D06EF" w:rsidRPr="00DD33D4">
              <w:rPr>
                <w:rStyle w:val="Hyperlink"/>
                <w:rFonts w:hint="eastAsia"/>
                <w:rtl/>
              </w:rPr>
              <w:t>שָמַש</w:t>
            </w:r>
            <w:r w:rsidR="004D06EF" w:rsidRPr="00DD33D4">
              <w:rPr>
                <w:rStyle w:val="Hyperlink"/>
                <w:rtl/>
              </w:rPr>
              <w:t xml:space="preserve"> </w:t>
            </w:r>
            <w:r w:rsidR="004D06EF" w:rsidRPr="00DD33D4">
              <w:rPr>
                <w:rStyle w:val="Hyperlink"/>
                <w:rFonts w:hint="eastAsia"/>
                <w:rtl/>
              </w:rPr>
              <w:t>ושימוש</w:t>
            </w:r>
            <w:r w:rsidR="004D06EF" w:rsidRPr="00DD33D4">
              <w:rPr>
                <w:rStyle w:val="Hyperlink"/>
                <w:rtl/>
              </w:rPr>
              <w:t xml:space="preserve"> </w:t>
            </w:r>
            <w:r w:rsidR="004D06EF" w:rsidRPr="00DD33D4">
              <w:rPr>
                <w:rStyle w:val="Hyperlink"/>
                <w:rFonts w:hint="eastAsia"/>
                <w:rtl/>
              </w:rPr>
              <w:t>בנר</w:t>
            </w:r>
            <w:r w:rsidR="004D06EF" w:rsidRPr="00DD33D4">
              <w:rPr>
                <w:rStyle w:val="Hyperlink"/>
                <w:rtl/>
              </w:rPr>
              <w:t xml:space="preserve"> </w:t>
            </w:r>
            <w:r w:rsidR="004D06EF" w:rsidRPr="00DD33D4">
              <w:rPr>
                <w:rStyle w:val="Hyperlink"/>
                <w:rFonts w:hint="eastAsia"/>
                <w:rtl/>
              </w:rPr>
              <w:t>חנוכה</w:t>
            </w:r>
            <w:r w:rsidR="004D06EF">
              <w:rPr>
                <w:webHidden/>
              </w:rPr>
              <w:tab/>
            </w:r>
            <w:r w:rsidR="004D06EF">
              <w:rPr>
                <w:webHidden/>
              </w:rPr>
              <w:fldChar w:fldCharType="begin"/>
            </w:r>
            <w:r w:rsidR="004D06EF">
              <w:rPr>
                <w:webHidden/>
              </w:rPr>
              <w:instrText xml:space="preserve"> PAGEREF _Toc531140417 \h </w:instrText>
            </w:r>
            <w:r w:rsidR="004D06EF">
              <w:rPr>
                <w:webHidden/>
              </w:rPr>
            </w:r>
            <w:r w:rsidR="004D06EF">
              <w:rPr>
                <w:webHidden/>
              </w:rPr>
              <w:fldChar w:fldCharType="separate"/>
            </w:r>
            <w:r w:rsidR="00BE6663">
              <w:rPr>
                <w:webHidden/>
                <w:rtl/>
              </w:rPr>
              <w:t>119</w:t>
            </w:r>
            <w:r w:rsidR="004D06EF">
              <w:rPr>
                <w:webHidden/>
              </w:rPr>
              <w:fldChar w:fldCharType="end"/>
            </w:r>
          </w:hyperlink>
        </w:p>
        <w:p w14:paraId="2E24EECD" w14:textId="2662540C" w:rsidR="004D06EF" w:rsidRDefault="00A41789" w:rsidP="004D06EF">
          <w:pPr>
            <w:pStyle w:val="TOC3"/>
            <w:rPr>
              <w:rFonts w:asciiTheme="minorHAnsi" w:eastAsiaTheme="minorEastAsia" w:hAnsiTheme="minorHAnsi" w:cstheme="minorBidi"/>
              <w:sz w:val="22"/>
              <w:szCs w:val="22"/>
              <w:lang w:val="en-US"/>
            </w:rPr>
          </w:pPr>
          <w:hyperlink w:anchor="_Toc531140418"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צבי</w:t>
            </w:r>
            <w:r w:rsidR="004D06EF" w:rsidRPr="00DD33D4">
              <w:rPr>
                <w:rStyle w:val="Hyperlink"/>
                <w:rtl/>
              </w:rPr>
              <w:t xml:space="preserve"> </w:t>
            </w:r>
            <w:r w:rsidR="004D06EF" w:rsidRPr="00DD33D4">
              <w:rPr>
                <w:rStyle w:val="Hyperlink"/>
                <w:rFonts w:hint="eastAsia"/>
                <w:rtl/>
              </w:rPr>
              <w:t>רייזמן</w:t>
            </w:r>
          </w:hyperlink>
        </w:p>
        <w:p w14:paraId="59EA06D0" w14:textId="77777777" w:rsidR="004D06EF" w:rsidRDefault="00A41789" w:rsidP="004D06EF">
          <w:pPr>
            <w:pStyle w:val="TOC2"/>
            <w:rPr>
              <w:rFonts w:asciiTheme="minorHAnsi" w:eastAsiaTheme="minorEastAsia" w:hAnsiTheme="minorHAnsi" w:cstheme="minorBidi"/>
            </w:rPr>
          </w:pPr>
          <w:hyperlink w:anchor="_Toc531140419" w:history="1">
            <w:r w:rsidR="004D06EF" w:rsidRPr="00DD33D4">
              <w:rPr>
                <w:rStyle w:val="Hyperlink"/>
                <w:rFonts w:hint="eastAsia"/>
                <w:rtl/>
              </w:rPr>
              <w:t>הזמנה</w:t>
            </w:r>
            <w:r w:rsidR="004D06EF" w:rsidRPr="00DD33D4">
              <w:rPr>
                <w:rStyle w:val="Hyperlink"/>
                <w:rtl/>
              </w:rPr>
              <w:t xml:space="preserve"> </w:t>
            </w:r>
            <w:r w:rsidR="004D06EF" w:rsidRPr="00DD33D4">
              <w:rPr>
                <w:rStyle w:val="Hyperlink"/>
                <w:rFonts w:hint="eastAsia"/>
                <w:rtl/>
              </w:rPr>
              <w:t>לחתונה</w:t>
            </w:r>
            <w:r w:rsidR="004D06EF">
              <w:rPr>
                <w:webHidden/>
              </w:rPr>
              <w:tab/>
            </w:r>
            <w:r w:rsidR="004D06EF">
              <w:rPr>
                <w:webHidden/>
              </w:rPr>
              <w:fldChar w:fldCharType="begin"/>
            </w:r>
            <w:r w:rsidR="004D06EF">
              <w:rPr>
                <w:webHidden/>
              </w:rPr>
              <w:instrText xml:space="preserve"> PAGEREF _Toc531140419 \h </w:instrText>
            </w:r>
            <w:r w:rsidR="004D06EF">
              <w:rPr>
                <w:webHidden/>
              </w:rPr>
            </w:r>
            <w:r w:rsidR="004D06EF">
              <w:rPr>
                <w:webHidden/>
              </w:rPr>
              <w:fldChar w:fldCharType="separate"/>
            </w:r>
            <w:r w:rsidR="00BE6663">
              <w:rPr>
                <w:webHidden/>
                <w:rtl/>
              </w:rPr>
              <w:t>135</w:t>
            </w:r>
            <w:r w:rsidR="004D06EF">
              <w:rPr>
                <w:webHidden/>
              </w:rPr>
              <w:fldChar w:fldCharType="end"/>
            </w:r>
          </w:hyperlink>
        </w:p>
        <w:p w14:paraId="02143953" w14:textId="30415AF3" w:rsidR="004D06EF" w:rsidRDefault="00A41789" w:rsidP="00756517">
          <w:pPr>
            <w:pStyle w:val="TOC3"/>
            <w:rPr>
              <w:rFonts w:asciiTheme="minorHAnsi" w:eastAsiaTheme="minorEastAsia" w:hAnsiTheme="minorHAnsi" w:cstheme="minorBidi"/>
              <w:sz w:val="22"/>
              <w:szCs w:val="22"/>
              <w:lang w:val="en-US"/>
            </w:rPr>
          </w:pPr>
          <w:hyperlink w:anchor="_Toc531140420" w:history="1">
            <w:r w:rsidR="004D06EF" w:rsidRPr="00DD33D4">
              <w:rPr>
                <w:rStyle w:val="Hyperlink"/>
                <w:rFonts w:hint="eastAsia"/>
                <w:rtl/>
              </w:rPr>
              <w:t>ה</w:t>
            </w:r>
            <w:r w:rsidR="00756517">
              <w:rPr>
                <w:rStyle w:val="Hyperlink"/>
                <w:rFonts w:hint="cs"/>
                <w:rtl/>
              </w:rPr>
              <w:t xml:space="preserve">ת'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tl/>
              </w:rPr>
              <w:t xml:space="preserve"> </w:t>
            </w:r>
            <w:r w:rsidR="004D06EF" w:rsidRPr="00DD33D4">
              <w:rPr>
                <w:rStyle w:val="Hyperlink"/>
                <w:rFonts w:hint="eastAsia"/>
                <w:rtl/>
              </w:rPr>
              <w:t>רייטפארט</w:t>
            </w:r>
          </w:hyperlink>
        </w:p>
        <w:p w14:paraId="5CE7DDDF" w14:textId="640DCB82" w:rsidR="004D06EF" w:rsidRDefault="00A41789" w:rsidP="004D06EF">
          <w:pPr>
            <w:pStyle w:val="TOC1"/>
            <w:rPr>
              <w:rFonts w:asciiTheme="minorHAnsi" w:eastAsiaTheme="minorEastAsia" w:hAnsiTheme="minorHAnsi" w:cstheme="minorBidi"/>
              <w:sz w:val="22"/>
              <w:szCs w:val="22"/>
            </w:rPr>
          </w:pPr>
          <w:hyperlink w:anchor="_Toc531140421" w:history="1">
            <w:r w:rsidR="004D06EF" w:rsidRPr="00DD33D4">
              <w:rPr>
                <w:rStyle w:val="Hyperlink"/>
                <w:rFonts w:hint="eastAsia"/>
                <w:rtl/>
              </w:rPr>
              <w:t>פשוטו</w:t>
            </w:r>
            <w:r w:rsidR="004D06EF" w:rsidRPr="00DD33D4">
              <w:rPr>
                <w:rStyle w:val="Hyperlink"/>
                <w:rtl/>
              </w:rPr>
              <w:t xml:space="preserve"> </w:t>
            </w:r>
            <w:r w:rsidR="004D06EF" w:rsidRPr="00DD33D4">
              <w:rPr>
                <w:rStyle w:val="Hyperlink"/>
                <w:rFonts w:hint="eastAsia"/>
                <w:rtl/>
              </w:rPr>
              <w:t>של</w:t>
            </w:r>
            <w:r w:rsidR="004D06EF" w:rsidRPr="00DD33D4">
              <w:rPr>
                <w:rStyle w:val="Hyperlink"/>
                <w:rtl/>
              </w:rPr>
              <w:t xml:space="preserve"> </w:t>
            </w:r>
            <w:r w:rsidR="004D06EF" w:rsidRPr="00DD33D4">
              <w:rPr>
                <w:rStyle w:val="Hyperlink"/>
                <w:rFonts w:hint="eastAsia"/>
                <w:rtl/>
              </w:rPr>
              <w:t>מקרא</w:t>
            </w:r>
          </w:hyperlink>
        </w:p>
        <w:p w14:paraId="4637A11C" w14:textId="70D7C48D" w:rsidR="004D06EF" w:rsidRDefault="00A41789" w:rsidP="00756517">
          <w:pPr>
            <w:pStyle w:val="TOC2"/>
            <w:rPr>
              <w:rFonts w:asciiTheme="minorHAnsi" w:eastAsiaTheme="minorEastAsia" w:hAnsiTheme="minorHAnsi" w:cstheme="minorBidi"/>
            </w:rPr>
          </w:pPr>
          <w:hyperlink w:anchor="_Toc531140422" w:history="1">
            <w:r w:rsidR="004D06EF" w:rsidRPr="00DD33D4">
              <w:rPr>
                <w:rStyle w:val="Hyperlink"/>
                <w:rFonts w:hint="eastAsia"/>
                <w:rtl/>
              </w:rPr>
              <w:t>בפירש</w:t>
            </w:r>
            <w:r w:rsidR="004D06EF" w:rsidRPr="00DD33D4">
              <w:rPr>
                <w:rStyle w:val="Hyperlink"/>
                <w:rtl/>
              </w:rPr>
              <w:t>"</w:t>
            </w:r>
            <w:r w:rsidR="004D06EF" w:rsidRPr="00DD33D4">
              <w:rPr>
                <w:rStyle w:val="Hyperlink"/>
                <w:rFonts w:hint="eastAsia"/>
                <w:rtl/>
              </w:rPr>
              <w:t>י</w:t>
            </w:r>
            <w:r w:rsidR="004D06EF" w:rsidRPr="00DD33D4">
              <w:rPr>
                <w:rStyle w:val="Hyperlink"/>
              </w:rPr>
              <w:t xml:space="preserve"> </w:t>
            </w:r>
            <w:r w:rsidR="004D06EF" w:rsidRPr="00DD33D4">
              <w:rPr>
                <w:rStyle w:val="Hyperlink"/>
                <w:rFonts w:hint="eastAsia"/>
                <w:rtl/>
              </w:rPr>
              <w:t>ד</w:t>
            </w:r>
            <w:r w:rsidR="004D06EF" w:rsidRPr="00DD33D4">
              <w:rPr>
                <w:rStyle w:val="Hyperlink"/>
                <w:rtl/>
              </w:rPr>
              <w:t>"</w:t>
            </w:r>
            <w:r w:rsidR="004D06EF" w:rsidRPr="00DD33D4">
              <w:rPr>
                <w:rStyle w:val="Hyperlink"/>
                <w:rFonts w:hint="eastAsia"/>
                <w:rtl/>
              </w:rPr>
              <w:t>ה</w:t>
            </w:r>
            <w:r w:rsidR="00756517">
              <w:rPr>
                <w:rStyle w:val="Hyperlink"/>
                <w:rFonts w:hint="cs"/>
                <w:rtl/>
              </w:rPr>
              <w:t xml:space="preserve"> "</w:t>
            </w:r>
            <w:r w:rsidR="004D06EF" w:rsidRPr="00DD33D4">
              <w:rPr>
                <w:rStyle w:val="Hyperlink"/>
                <w:rFonts w:hint="eastAsia"/>
                <w:rtl/>
              </w:rPr>
              <w:t>פסים</w:t>
            </w:r>
            <w:r w:rsidR="004D06EF" w:rsidRPr="00DD33D4">
              <w:rPr>
                <w:rStyle w:val="Hyperlink"/>
              </w:rPr>
              <w:t>"</w:t>
            </w:r>
            <w:r w:rsidR="004D06EF">
              <w:rPr>
                <w:webHidden/>
              </w:rPr>
              <w:tab/>
            </w:r>
            <w:r w:rsidR="004D06EF">
              <w:rPr>
                <w:webHidden/>
              </w:rPr>
              <w:fldChar w:fldCharType="begin"/>
            </w:r>
            <w:r w:rsidR="004D06EF">
              <w:rPr>
                <w:webHidden/>
              </w:rPr>
              <w:instrText xml:space="preserve"> PAGEREF _Toc531140422 \h </w:instrText>
            </w:r>
            <w:r w:rsidR="004D06EF">
              <w:rPr>
                <w:webHidden/>
              </w:rPr>
            </w:r>
            <w:r w:rsidR="004D06EF">
              <w:rPr>
                <w:webHidden/>
              </w:rPr>
              <w:fldChar w:fldCharType="separate"/>
            </w:r>
            <w:r w:rsidR="00BE6663">
              <w:rPr>
                <w:webHidden/>
                <w:rtl/>
              </w:rPr>
              <w:t>138</w:t>
            </w:r>
            <w:r w:rsidR="004D06EF">
              <w:rPr>
                <w:webHidden/>
              </w:rPr>
              <w:fldChar w:fldCharType="end"/>
            </w:r>
          </w:hyperlink>
        </w:p>
        <w:p w14:paraId="5F2C8BA2" w14:textId="34BDDE2C" w:rsidR="004D06EF" w:rsidRDefault="00A41789" w:rsidP="004D06EF">
          <w:pPr>
            <w:pStyle w:val="TOC3"/>
            <w:rPr>
              <w:rFonts w:asciiTheme="minorHAnsi" w:eastAsiaTheme="minorEastAsia" w:hAnsiTheme="minorHAnsi" w:cstheme="minorBidi"/>
              <w:sz w:val="22"/>
              <w:szCs w:val="22"/>
              <w:lang w:val="en-US"/>
            </w:rPr>
          </w:pPr>
          <w:hyperlink w:anchor="_Toc531140423"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שרגא</w:t>
            </w:r>
            <w:r w:rsidR="004D06EF" w:rsidRPr="00DD33D4">
              <w:rPr>
                <w:rStyle w:val="Hyperlink"/>
                <w:rtl/>
              </w:rPr>
              <w:t xml:space="preserve"> </w:t>
            </w:r>
            <w:r w:rsidR="004D06EF" w:rsidRPr="00DD33D4">
              <w:rPr>
                <w:rStyle w:val="Hyperlink"/>
                <w:rFonts w:hint="eastAsia"/>
                <w:rtl/>
              </w:rPr>
              <w:t>פייוויל</w:t>
            </w:r>
            <w:r w:rsidR="004D06EF" w:rsidRPr="00DD33D4">
              <w:rPr>
                <w:rStyle w:val="Hyperlink"/>
                <w:rtl/>
              </w:rPr>
              <w:t xml:space="preserve"> </w:t>
            </w:r>
            <w:r w:rsidR="004D06EF" w:rsidRPr="00DD33D4">
              <w:rPr>
                <w:rStyle w:val="Hyperlink"/>
                <w:rFonts w:hint="eastAsia"/>
                <w:rtl/>
              </w:rPr>
              <w:t>רימלער</w:t>
            </w:r>
          </w:hyperlink>
        </w:p>
        <w:p w14:paraId="4AF5A53C" w14:textId="77777777" w:rsidR="004D06EF" w:rsidRDefault="00A41789" w:rsidP="004D06EF">
          <w:pPr>
            <w:pStyle w:val="TOC2"/>
            <w:rPr>
              <w:rFonts w:asciiTheme="minorHAnsi" w:eastAsiaTheme="minorEastAsia" w:hAnsiTheme="minorHAnsi" w:cstheme="minorBidi"/>
            </w:rPr>
          </w:pPr>
          <w:hyperlink w:anchor="_Toc531140424" w:history="1">
            <w:r w:rsidR="004D06EF" w:rsidRPr="00DD33D4">
              <w:rPr>
                <w:rStyle w:val="Hyperlink"/>
                <w:rFonts w:hint="eastAsia"/>
                <w:rtl/>
              </w:rPr>
              <w:t>למה</w:t>
            </w:r>
            <w:r w:rsidR="004D06EF" w:rsidRPr="00DD33D4">
              <w:rPr>
                <w:rStyle w:val="Hyperlink"/>
                <w:rtl/>
              </w:rPr>
              <w:t xml:space="preserve"> </w:t>
            </w:r>
            <w:r w:rsidR="004D06EF" w:rsidRPr="00DD33D4">
              <w:rPr>
                <w:rStyle w:val="Hyperlink"/>
                <w:rFonts w:hint="eastAsia"/>
                <w:rtl/>
              </w:rPr>
              <w:t>אין</w:t>
            </w:r>
            <w:r w:rsidR="004D06EF" w:rsidRPr="00DD33D4">
              <w:rPr>
                <w:rStyle w:val="Hyperlink"/>
                <w:rtl/>
              </w:rPr>
              <w:t xml:space="preserve"> </w:t>
            </w:r>
            <w:r w:rsidR="004D06EF" w:rsidRPr="00DD33D4">
              <w:rPr>
                <w:rStyle w:val="Hyperlink"/>
                <w:rFonts w:hint="eastAsia"/>
                <w:rtl/>
              </w:rPr>
              <w:t>רש</w:t>
            </w:r>
            <w:r w:rsidR="004D06EF" w:rsidRPr="00DD33D4">
              <w:rPr>
                <w:rStyle w:val="Hyperlink"/>
                <w:rtl/>
              </w:rPr>
              <w:t>"</w:t>
            </w:r>
            <w:r w:rsidR="004D06EF" w:rsidRPr="00DD33D4">
              <w:rPr>
                <w:rStyle w:val="Hyperlink"/>
                <w:rFonts w:hint="eastAsia"/>
                <w:rtl/>
              </w:rPr>
              <w:t>י</w:t>
            </w:r>
            <w:r w:rsidR="004D06EF" w:rsidRPr="00DD33D4">
              <w:rPr>
                <w:rStyle w:val="Hyperlink"/>
                <w:rtl/>
              </w:rPr>
              <w:t xml:space="preserve"> </w:t>
            </w:r>
            <w:r w:rsidR="004D06EF" w:rsidRPr="00DD33D4">
              <w:rPr>
                <w:rStyle w:val="Hyperlink"/>
                <w:rFonts w:hint="eastAsia"/>
                <w:rtl/>
              </w:rPr>
              <w:t>מפרש</w:t>
            </w:r>
            <w:r w:rsidR="004D06EF" w:rsidRPr="00DD33D4">
              <w:rPr>
                <w:rStyle w:val="Hyperlink"/>
                <w:rtl/>
              </w:rPr>
              <w:t xml:space="preserve"> </w:t>
            </w:r>
            <w:r w:rsidR="004D06EF" w:rsidRPr="00DD33D4">
              <w:rPr>
                <w:rStyle w:val="Hyperlink"/>
                <w:rFonts w:hint="eastAsia"/>
                <w:rtl/>
              </w:rPr>
              <w:t>טעם</w:t>
            </w:r>
            <w:r w:rsidR="004D06EF" w:rsidRPr="00DD33D4">
              <w:rPr>
                <w:rStyle w:val="Hyperlink"/>
                <w:rtl/>
              </w:rPr>
              <w:t xml:space="preserve"> </w:t>
            </w:r>
            <w:r w:rsidR="004D06EF" w:rsidRPr="00DD33D4">
              <w:rPr>
                <w:rStyle w:val="Hyperlink"/>
                <w:rFonts w:hint="eastAsia"/>
                <w:rtl/>
              </w:rPr>
              <w:t>שינוי</w:t>
            </w:r>
            <w:r w:rsidR="004D06EF" w:rsidRPr="00DD33D4">
              <w:rPr>
                <w:rStyle w:val="Hyperlink"/>
                <w:rtl/>
              </w:rPr>
              <w:t xml:space="preserve"> </w:t>
            </w:r>
            <w:r w:rsidR="004D06EF" w:rsidRPr="00DD33D4">
              <w:rPr>
                <w:rStyle w:val="Hyperlink"/>
                <w:rFonts w:hint="eastAsia"/>
                <w:rtl/>
              </w:rPr>
              <w:t>הלשון</w:t>
            </w:r>
            <w:r w:rsidR="004D06EF" w:rsidRPr="00DD33D4">
              <w:rPr>
                <w:rStyle w:val="Hyperlink"/>
                <w:rtl/>
              </w:rPr>
              <w:t xml:space="preserve"> </w:t>
            </w:r>
            <w:r w:rsidR="004D06EF" w:rsidRPr="00DD33D4">
              <w:rPr>
                <w:rStyle w:val="Hyperlink"/>
                <w:rFonts w:hint="eastAsia"/>
                <w:rtl/>
              </w:rPr>
              <w:t>בפסוקים</w:t>
            </w:r>
            <w:r w:rsidR="004D06EF" w:rsidRPr="00DD33D4">
              <w:rPr>
                <w:rStyle w:val="Hyperlink"/>
                <w:rtl/>
              </w:rPr>
              <w:t xml:space="preserve"> </w:t>
            </w:r>
            <w:r w:rsidR="004D06EF" w:rsidRPr="00DD33D4">
              <w:rPr>
                <w:rStyle w:val="Hyperlink"/>
                <w:rFonts w:hint="eastAsia"/>
                <w:rtl/>
              </w:rPr>
              <w:t>הדומים</w:t>
            </w:r>
            <w:r w:rsidR="004D06EF" w:rsidRPr="00DD33D4">
              <w:rPr>
                <w:rStyle w:val="Hyperlink"/>
                <w:rtl/>
              </w:rPr>
              <w:t xml:space="preserve"> </w:t>
            </w:r>
            <w:r w:rsidR="004D06EF" w:rsidRPr="00DD33D4">
              <w:rPr>
                <w:rStyle w:val="Hyperlink"/>
                <w:rFonts w:hint="eastAsia"/>
                <w:rtl/>
              </w:rPr>
              <w:t>זל</w:t>
            </w:r>
            <w:r w:rsidR="004D06EF" w:rsidRPr="00DD33D4">
              <w:rPr>
                <w:rStyle w:val="Hyperlink"/>
                <w:rtl/>
              </w:rPr>
              <w:t>"</w:t>
            </w:r>
            <w:r w:rsidR="004D06EF" w:rsidRPr="00DD33D4">
              <w:rPr>
                <w:rStyle w:val="Hyperlink"/>
                <w:rFonts w:hint="eastAsia"/>
                <w:rtl/>
              </w:rPr>
              <w:t>ז</w:t>
            </w:r>
            <w:r w:rsidR="004D06EF">
              <w:rPr>
                <w:webHidden/>
              </w:rPr>
              <w:tab/>
            </w:r>
            <w:r w:rsidR="004D06EF">
              <w:rPr>
                <w:webHidden/>
              </w:rPr>
              <w:fldChar w:fldCharType="begin"/>
            </w:r>
            <w:r w:rsidR="004D06EF">
              <w:rPr>
                <w:webHidden/>
              </w:rPr>
              <w:instrText xml:space="preserve"> PAGEREF _Toc531140424 \h </w:instrText>
            </w:r>
            <w:r w:rsidR="004D06EF">
              <w:rPr>
                <w:webHidden/>
              </w:rPr>
            </w:r>
            <w:r w:rsidR="004D06EF">
              <w:rPr>
                <w:webHidden/>
              </w:rPr>
              <w:fldChar w:fldCharType="separate"/>
            </w:r>
            <w:r w:rsidR="00BE6663">
              <w:rPr>
                <w:webHidden/>
                <w:rtl/>
              </w:rPr>
              <w:t>139</w:t>
            </w:r>
            <w:r w:rsidR="004D06EF">
              <w:rPr>
                <w:webHidden/>
              </w:rPr>
              <w:fldChar w:fldCharType="end"/>
            </w:r>
          </w:hyperlink>
        </w:p>
        <w:p w14:paraId="4CD0D167" w14:textId="72F4385C" w:rsidR="004D06EF" w:rsidRDefault="00A41789" w:rsidP="004D06EF">
          <w:pPr>
            <w:pStyle w:val="TOC3"/>
            <w:rPr>
              <w:rStyle w:val="Hyperlink"/>
              <w:rtl/>
            </w:rPr>
          </w:pPr>
          <w:hyperlink w:anchor="_Toc531140425"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וו</w:t>
            </w:r>
            <w:r w:rsidR="004D06EF">
              <w:rPr>
                <w:rStyle w:val="Hyperlink"/>
                <w:rFonts w:hint="cs"/>
                <w:rtl/>
              </w:rPr>
              <w:t xml:space="preserve">. </w:t>
            </w:r>
            <w:r w:rsidR="004D06EF" w:rsidRPr="00DD33D4">
              <w:rPr>
                <w:rStyle w:val="Hyperlink"/>
                <w:rFonts w:hint="eastAsia"/>
                <w:rtl/>
              </w:rPr>
              <w:t>רוזנבלום</w:t>
            </w:r>
          </w:hyperlink>
        </w:p>
        <w:p w14:paraId="771CE2E7" w14:textId="77777777" w:rsidR="001E75C9" w:rsidRPr="001E75C9" w:rsidRDefault="001E75C9" w:rsidP="001E75C9">
          <w:pPr>
            <w:rPr>
              <w:lang w:val="en-GB"/>
            </w:rPr>
          </w:pPr>
        </w:p>
        <w:p w14:paraId="01FE37C2" w14:textId="77777777" w:rsidR="004D06EF" w:rsidRDefault="00A41789" w:rsidP="004D06EF">
          <w:pPr>
            <w:pStyle w:val="TOC2"/>
            <w:rPr>
              <w:rFonts w:asciiTheme="minorHAnsi" w:eastAsiaTheme="minorEastAsia" w:hAnsiTheme="minorHAnsi" w:cstheme="minorBidi"/>
            </w:rPr>
          </w:pPr>
          <w:hyperlink w:anchor="_Toc531140426" w:history="1">
            <w:r w:rsidR="004D06EF" w:rsidRPr="00DD33D4">
              <w:rPr>
                <w:rStyle w:val="Hyperlink"/>
                <w:rFonts w:hint="eastAsia"/>
                <w:rtl/>
              </w:rPr>
              <w:t>מה</w:t>
            </w:r>
            <w:r w:rsidR="004D06EF" w:rsidRPr="00DD33D4">
              <w:rPr>
                <w:rStyle w:val="Hyperlink"/>
                <w:rtl/>
              </w:rPr>
              <w:t xml:space="preserve"> </w:t>
            </w:r>
            <w:r w:rsidR="004D06EF" w:rsidRPr="00DD33D4">
              <w:rPr>
                <w:rStyle w:val="Hyperlink"/>
                <w:rFonts w:hint="eastAsia"/>
                <w:rtl/>
              </w:rPr>
              <w:t>הי</w:t>
            </w:r>
            <w:r w:rsidR="004D06EF" w:rsidRPr="00DD33D4">
              <w:rPr>
                <w:rStyle w:val="Hyperlink"/>
                <w:rtl/>
              </w:rPr>
              <w:t xml:space="preserve">' </w:t>
            </w:r>
            <w:r w:rsidR="004D06EF" w:rsidRPr="00DD33D4">
              <w:rPr>
                <w:rStyle w:val="Hyperlink"/>
                <w:rFonts w:hint="eastAsia"/>
                <w:rtl/>
              </w:rPr>
              <w:t>קודם</w:t>
            </w:r>
            <w:r w:rsidR="004D06EF" w:rsidRPr="00DD33D4">
              <w:rPr>
                <w:rStyle w:val="Hyperlink"/>
                <w:rtl/>
              </w:rPr>
              <w:t xml:space="preserve"> </w:t>
            </w:r>
            <w:r w:rsidR="004D06EF" w:rsidRPr="00DD33D4">
              <w:rPr>
                <w:rStyle w:val="Hyperlink"/>
                <w:rFonts w:hint="eastAsia"/>
                <w:rtl/>
              </w:rPr>
              <w:t>מלחמת</w:t>
            </w:r>
            <w:r w:rsidR="004D06EF" w:rsidRPr="00DD33D4">
              <w:rPr>
                <w:rStyle w:val="Hyperlink"/>
                <w:rtl/>
              </w:rPr>
              <w:t xml:space="preserve"> </w:t>
            </w:r>
            <w:r w:rsidR="004D06EF" w:rsidRPr="00DD33D4">
              <w:rPr>
                <w:rStyle w:val="Hyperlink"/>
                <w:rFonts w:hint="eastAsia"/>
                <w:rtl/>
              </w:rPr>
              <w:t>המלכים</w:t>
            </w:r>
            <w:r w:rsidR="004D06EF" w:rsidRPr="00DD33D4">
              <w:rPr>
                <w:rStyle w:val="Hyperlink"/>
                <w:rtl/>
              </w:rPr>
              <w:t xml:space="preserve"> </w:t>
            </w:r>
            <w:r w:rsidR="004D06EF" w:rsidRPr="00DD33D4">
              <w:rPr>
                <w:rStyle w:val="Hyperlink"/>
                <w:rFonts w:hint="eastAsia"/>
                <w:rtl/>
              </w:rPr>
              <w:t>או</w:t>
            </w:r>
            <w:r w:rsidR="004D06EF" w:rsidRPr="00DD33D4">
              <w:rPr>
                <w:rStyle w:val="Hyperlink"/>
                <w:rtl/>
              </w:rPr>
              <w:t xml:space="preserve"> </w:t>
            </w:r>
            <w:r w:rsidR="004D06EF" w:rsidRPr="00DD33D4">
              <w:rPr>
                <w:rStyle w:val="Hyperlink"/>
                <w:rFonts w:hint="eastAsia"/>
                <w:rtl/>
              </w:rPr>
              <w:t>ברית</w:t>
            </w:r>
            <w:r w:rsidR="004D06EF" w:rsidRPr="00DD33D4">
              <w:rPr>
                <w:rStyle w:val="Hyperlink"/>
                <w:rtl/>
              </w:rPr>
              <w:t xml:space="preserve"> </w:t>
            </w:r>
            <w:r w:rsidR="004D06EF" w:rsidRPr="00DD33D4">
              <w:rPr>
                <w:rStyle w:val="Hyperlink"/>
                <w:rFonts w:hint="eastAsia"/>
                <w:rtl/>
              </w:rPr>
              <w:t>בין</w:t>
            </w:r>
            <w:r w:rsidR="004D06EF" w:rsidRPr="00DD33D4">
              <w:rPr>
                <w:rStyle w:val="Hyperlink"/>
                <w:rtl/>
              </w:rPr>
              <w:t xml:space="preserve"> </w:t>
            </w:r>
            <w:r w:rsidR="004D06EF" w:rsidRPr="00DD33D4">
              <w:rPr>
                <w:rStyle w:val="Hyperlink"/>
                <w:rFonts w:hint="eastAsia"/>
                <w:rtl/>
              </w:rPr>
              <w:t>הבתרים</w:t>
            </w:r>
            <w:r w:rsidR="004D06EF">
              <w:rPr>
                <w:webHidden/>
              </w:rPr>
              <w:tab/>
            </w:r>
            <w:r w:rsidR="004D06EF">
              <w:rPr>
                <w:webHidden/>
              </w:rPr>
              <w:fldChar w:fldCharType="begin"/>
            </w:r>
            <w:r w:rsidR="004D06EF">
              <w:rPr>
                <w:webHidden/>
              </w:rPr>
              <w:instrText xml:space="preserve"> PAGEREF _Toc531140426 \h </w:instrText>
            </w:r>
            <w:r w:rsidR="004D06EF">
              <w:rPr>
                <w:webHidden/>
              </w:rPr>
            </w:r>
            <w:r w:rsidR="004D06EF">
              <w:rPr>
                <w:webHidden/>
              </w:rPr>
              <w:fldChar w:fldCharType="separate"/>
            </w:r>
            <w:r w:rsidR="00BE6663">
              <w:rPr>
                <w:webHidden/>
                <w:rtl/>
              </w:rPr>
              <w:t>140</w:t>
            </w:r>
            <w:r w:rsidR="004D06EF">
              <w:rPr>
                <w:webHidden/>
              </w:rPr>
              <w:fldChar w:fldCharType="end"/>
            </w:r>
          </w:hyperlink>
        </w:p>
        <w:p w14:paraId="10ADD111" w14:textId="1E2306E1" w:rsidR="004D06EF" w:rsidRDefault="00A41789" w:rsidP="004D06EF">
          <w:pPr>
            <w:pStyle w:val="TOC3"/>
            <w:rPr>
              <w:rFonts w:asciiTheme="minorHAnsi" w:eastAsiaTheme="minorEastAsia" w:hAnsiTheme="minorHAnsi" w:cstheme="minorBidi"/>
              <w:sz w:val="22"/>
              <w:szCs w:val="22"/>
              <w:lang w:val="en-US"/>
            </w:rPr>
          </w:pPr>
          <w:hyperlink w:anchor="_Toc531140427" w:history="1">
            <w:r w:rsidR="004D06EF" w:rsidRPr="00DD33D4">
              <w:rPr>
                <w:rStyle w:val="Hyperlink"/>
                <w:rFonts w:hint="eastAsia"/>
                <w:rtl/>
              </w:rPr>
              <w:t>הנ</w:t>
            </w:r>
            <w:r w:rsidR="004D06EF" w:rsidRPr="00DD33D4">
              <w:rPr>
                <w:rStyle w:val="Hyperlink"/>
                <w:lang w:bidi="ar-SA"/>
              </w:rPr>
              <w:t>"</w:t>
            </w:r>
            <w:r w:rsidR="004D06EF" w:rsidRPr="00DD33D4">
              <w:rPr>
                <w:rStyle w:val="Hyperlink"/>
                <w:rFonts w:hint="eastAsia"/>
                <w:rtl/>
              </w:rPr>
              <w:t>ל</w:t>
            </w:r>
          </w:hyperlink>
        </w:p>
        <w:p w14:paraId="773A2682" w14:textId="77777777" w:rsidR="004D06EF" w:rsidRDefault="00A41789" w:rsidP="004D06EF">
          <w:pPr>
            <w:pStyle w:val="TOC2"/>
            <w:rPr>
              <w:rFonts w:asciiTheme="minorHAnsi" w:eastAsiaTheme="minorEastAsia" w:hAnsiTheme="minorHAnsi" w:cstheme="minorBidi"/>
            </w:rPr>
          </w:pPr>
          <w:hyperlink w:anchor="_Toc531140428" w:history="1">
            <w:r w:rsidR="004D06EF" w:rsidRPr="00DD33D4">
              <w:rPr>
                <w:rStyle w:val="Hyperlink"/>
                <w:rFonts w:hint="eastAsia"/>
                <w:rtl/>
              </w:rPr>
              <w:t>נשיאת</w:t>
            </w:r>
            <w:r w:rsidR="004D06EF" w:rsidRPr="00DD33D4">
              <w:rPr>
                <w:rStyle w:val="Hyperlink"/>
                <w:rtl/>
              </w:rPr>
              <w:t xml:space="preserve"> </w:t>
            </w:r>
            <w:r w:rsidR="004D06EF" w:rsidRPr="00DD33D4">
              <w:rPr>
                <w:rStyle w:val="Hyperlink"/>
                <w:rFonts w:hint="eastAsia"/>
                <w:rtl/>
              </w:rPr>
              <w:t>יצחק</w:t>
            </w:r>
            <w:r w:rsidR="004D06EF" w:rsidRPr="00DD33D4">
              <w:rPr>
                <w:rStyle w:val="Hyperlink"/>
                <w:rtl/>
              </w:rPr>
              <w:t xml:space="preserve"> </w:t>
            </w:r>
            <w:r w:rsidR="004D06EF" w:rsidRPr="00DD33D4">
              <w:rPr>
                <w:rStyle w:val="Hyperlink"/>
                <w:rFonts w:hint="eastAsia"/>
                <w:rtl/>
              </w:rPr>
              <w:t>לאחותו</w:t>
            </w:r>
            <w:r w:rsidR="004D06EF">
              <w:rPr>
                <w:webHidden/>
              </w:rPr>
              <w:tab/>
            </w:r>
            <w:r w:rsidR="004D06EF">
              <w:rPr>
                <w:webHidden/>
              </w:rPr>
              <w:fldChar w:fldCharType="begin"/>
            </w:r>
            <w:r w:rsidR="004D06EF">
              <w:rPr>
                <w:webHidden/>
              </w:rPr>
              <w:instrText xml:space="preserve"> PAGEREF _Toc531140428 \h </w:instrText>
            </w:r>
            <w:r w:rsidR="004D06EF">
              <w:rPr>
                <w:webHidden/>
              </w:rPr>
            </w:r>
            <w:r w:rsidR="004D06EF">
              <w:rPr>
                <w:webHidden/>
              </w:rPr>
              <w:fldChar w:fldCharType="separate"/>
            </w:r>
            <w:r w:rsidR="00BE6663">
              <w:rPr>
                <w:webHidden/>
                <w:rtl/>
              </w:rPr>
              <w:t>141</w:t>
            </w:r>
            <w:r w:rsidR="004D06EF">
              <w:rPr>
                <w:webHidden/>
              </w:rPr>
              <w:fldChar w:fldCharType="end"/>
            </w:r>
          </w:hyperlink>
        </w:p>
        <w:p w14:paraId="0CE435F3" w14:textId="620CC8F7" w:rsidR="004D06EF" w:rsidRDefault="00A41789" w:rsidP="00756517">
          <w:pPr>
            <w:pStyle w:val="TOC3"/>
            <w:rPr>
              <w:rFonts w:asciiTheme="minorHAnsi" w:eastAsiaTheme="minorEastAsia" w:hAnsiTheme="minorHAnsi" w:cstheme="minorBidi"/>
              <w:sz w:val="22"/>
              <w:szCs w:val="22"/>
              <w:lang w:val="en-US"/>
            </w:rPr>
          </w:pPr>
          <w:hyperlink w:anchor="_Toc531140429" w:history="1">
            <w:r w:rsidR="004D06EF" w:rsidRPr="00DD33D4">
              <w:rPr>
                <w:rStyle w:val="Hyperlink"/>
                <w:rFonts w:hint="eastAsia"/>
                <w:rtl/>
              </w:rPr>
              <w:t>ה</w:t>
            </w:r>
            <w:r w:rsidR="00756517">
              <w:rPr>
                <w:rStyle w:val="Hyperlink"/>
                <w:rFonts w:hint="cs"/>
                <w:rtl/>
              </w:rPr>
              <w:t xml:space="preserve">ת' </w:t>
            </w:r>
            <w:r w:rsidR="004D06EF" w:rsidRPr="00DD33D4">
              <w:rPr>
                <w:rStyle w:val="Hyperlink"/>
                <w:rFonts w:hint="eastAsia"/>
                <w:rtl/>
              </w:rPr>
              <w:t>שמואל</w:t>
            </w:r>
            <w:r w:rsidR="004D06EF" w:rsidRPr="00DD33D4">
              <w:rPr>
                <w:rStyle w:val="Hyperlink"/>
                <w:rtl/>
              </w:rPr>
              <w:t xml:space="preserve"> </w:t>
            </w:r>
            <w:r w:rsidR="004D06EF" w:rsidRPr="00DD33D4">
              <w:rPr>
                <w:rStyle w:val="Hyperlink"/>
                <w:rFonts w:hint="eastAsia"/>
                <w:rtl/>
              </w:rPr>
              <w:t>יוסף</w:t>
            </w:r>
            <w:r w:rsidR="004D06EF" w:rsidRPr="00DD33D4">
              <w:rPr>
                <w:rStyle w:val="Hyperlink"/>
                <w:rtl/>
              </w:rPr>
              <w:t xml:space="preserve"> </w:t>
            </w:r>
            <w:r w:rsidR="004D06EF" w:rsidRPr="00DD33D4">
              <w:rPr>
                <w:rStyle w:val="Hyperlink"/>
                <w:rFonts w:hint="eastAsia"/>
                <w:rtl/>
              </w:rPr>
              <w:t>גרינבוים</w:t>
            </w:r>
          </w:hyperlink>
        </w:p>
        <w:p w14:paraId="29F67456" w14:textId="77777777" w:rsidR="004D06EF" w:rsidRDefault="00A41789" w:rsidP="004D06EF">
          <w:pPr>
            <w:pStyle w:val="TOC2"/>
            <w:rPr>
              <w:rFonts w:asciiTheme="minorHAnsi" w:eastAsiaTheme="minorEastAsia" w:hAnsiTheme="minorHAnsi" w:cstheme="minorBidi"/>
            </w:rPr>
          </w:pPr>
          <w:hyperlink w:anchor="_Toc531140430" w:history="1">
            <w:r w:rsidR="004D06EF" w:rsidRPr="00DD33D4">
              <w:rPr>
                <w:rStyle w:val="Hyperlink"/>
                <w:rFonts w:eastAsia="Arial Unicode MS" w:hint="eastAsia"/>
                <w:rtl/>
              </w:rPr>
              <w:t>בירור</w:t>
            </w:r>
            <w:r w:rsidR="004D06EF" w:rsidRPr="00DD33D4">
              <w:rPr>
                <w:rStyle w:val="Hyperlink"/>
                <w:rFonts w:eastAsia="Arial Unicode MS"/>
                <w:rtl/>
              </w:rPr>
              <w:t xml:space="preserve"> </w:t>
            </w:r>
            <w:r w:rsidR="004D06EF" w:rsidRPr="00DD33D4">
              <w:rPr>
                <w:rStyle w:val="Hyperlink"/>
                <w:rFonts w:eastAsia="Arial Unicode MS" w:hint="eastAsia"/>
                <w:rtl/>
              </w:rPr>
              <w:t>משמעות</w:t>
            </w:r>
            <w:r w:rsidR="004D06EF" w:rsidRPr="00DD33D4">
              <w:rPr>
                <w:rStyle w:val="Hyperlink"/>
                <w:rFonts w:eastAsia="Arial Unicode MS"/>
                <w:rtl/>
              </w:rPr>
              <w:t xml:space="preserve"> </w:t>
            </w:r>
            <w:r w:rsidR="004D06EF" w:rsidRPr="00DD33D4">
              <w:rPr>
                <w:rStyle w:val="Hyperlink"/>
                <w:rFonts w:eastAsia="Arial Unicode MS" w:hint="eastAsia"/>
                <w:rtl/>
              </w:rPr>
              <w:t>נס</w:t>
            </w:r>
            <w:r w:rsidR="004D06EF" w:rsidRPr="00DD33D4">
              <w:rPr>
                <w:rStyle w:val="Hyperlink"/>
                <w:rFonts w:eastAsia="Arial Unicode MS"/>
                <w:rtl/>
              </w:rPr>
              <w:t xml:space="preserve"> </w:t>
            </w:r>
            <w:r w:rsidR="004D06EF" w:rsidRPr="00DD33D4">
              <w:rPr>
                <w:rStyle w:val="Hyperlink"/>
                <w:rFonts w:eastAsia="Arial Unicode MS" w:hint="eastAsia"/>
                <w:rtl/>
              </w:rPr>
              <w:t>העיסה</w:t>
            </w:r>
            <w:r w:rsidR="004D06EF" w:rsidRPr="00DD33D4">
              <w:rPr>
                <w:rStyle w:val="Hyperlink"/>
                <w:rFonts w:eastAsia="Arial Unicode MS"/>
                <w:rtl/>
              </w:rPr>
              <w:t xml:space="preserve"> </w:t>
            </w:r>
            <w:r w:rsidR="004D06EF" w:rsidRPr="00DD33D4">
              <w:rPr>
                <w:rStyle w:val="Hyperlink"/>
                <w:rFonts w:eastAsia="Arial Unicode MS" w:hint="eastAsia"/>
                <w:rtl/>
              </w:rPr>
              <w:t>באהלה</w:t>
            </w:r>
            <w:r w:rsidR="004D06EF" w:rsidRPr="00DD33D4">
              <w:rPr>
                <w:rStyle w:val="Hyperlink"/>
                <w:rFonts w:eastAsia="Arial Unicode MS"/>
                <w:rtl/>
              </w:rPr>
              <w:t xml:space="preserve"> </w:t>
            </w:r>
            <w:r w:rsidR="004D06EF" w:rsidRPr="00DD33D4">
              <w:rPr>
                <w:rStyle w:val="Hyperlink"/>
                <w:rFonts w:eastAsia="Arial Unicode MS" w:hint="eastAsia"/>
                <w:rtl/>
              </w:rPr>
              <w:t>של</w:t>
            </w:r>
            <w:r w:rsidR="004D06EF" w:rsidRPr="00DD33D4">
              <w:rPr>
                <w:rStyle w:val="Hyperlink"/>
                <w:rFonts w:eastAsia="Arial Unicode MS"/>
                <w:rtl/>
              </w:rPr>
              <w:t xml:space="preserve"> </w:t>
            </w:r>
            <w:r w:rsidR="004D06EF" w:rsidRPr="00DD33D4">
              <w:rPr>
                <w:rStyle w:val="Hyperlink"/>
                <w:rFonts w:eastAsia="Arial Unicode MS" w:hint="eastAsia"/>
                <w:rtl/>
              </w:rPr>
              <w:t>שרה</w:t>
            </w:r>
            <w:r w:rsidR="004D06EF">
              <w:rPr>
                <w:webHidden/>
              </w:rPr>
              <w:tab/>
            </w:r>
            <w:r w:rsidR="004D06EF">
              <w:rPr>
                <w:webHidden/>
              </w:rPr>
              <w:fldChar w:fldCharType="begin"/>
            </w:r>
            <w:r w:rsidR="004D06EF">
              <w:rPr>
                <w:webHidden/>
              </w:rPr>
              <w:instrText xml:space="preserve"> PAGEREF _Toc531140430 \h </w:instrText>
            </w:r>
            <w:r w:rsidR="004D06EF">
              <w:rPr>
                <w:webHidden/>
              </w:rPr>
            </w:r>
            <w:r w:rsidR="004D06EF">
              <w:rPr>
                <w:webHidden/>
              </w:rPr>
              <w:fldChar w:fldCharType="separate"/>
            </w:r>
            <w:r w:rsidR="00BE6663">
              <w:rPr>
                <w:webHidden/>
                <w:rtl/>
              </w:rPr>
              <w:t>143</w:t>
            </w:r>
            <w:r w:rsidR="004D06EF">
              <w:rPr>
                <w:webHidden/>
              </w:rPr>
              <w:fldChar w:fldCharType="end"/>
            </w:r>
          </w:hyperlink>
        </w:p>
        <w:p w14:paraId="6ED9BE89" w14:textId="33B4CE12" w:rsidR="004D06EF" w:rsidRDefault="00A41789" w:rsidP="004D06EF">
          <w:pPr>
            <w:pStyle w:val="TOC3"/>
            <w:rPr>
              <w:rFonts w:asciiTheme="minorHAnsi" w:eastAsiaTheme="minorEastAsia" w:hAnsiTheme="minorHAnsi" w:cstheme="minorBidi"/>
              <w:sz w:val="22"/>
              <w:szCs w:val="22"/>
              <w:lang w:val="en-US"/>
            </w:rPr>
          </w:pPr>
          <w:hyperlink w:anchor="_Toc531140431"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בנימין</w:t>
            </w:r>
            <w:r w:rsidR="004D06EF" w:rsidRPr="00DD33D4">
              <w:rPr>
                <w:rStyle w:val="Hyperlink"/>
                <w:rtl/>
              </w:rPr>
              <w:t xml:space="preserve"> </w:t>
            </w:r>
            <w:r w:rsidR="004D06EF" w:rsidRPr="00DD33D4">
              <w:rPr>
                <w:rStyle w:val="Hyperlink"/>
                <w:rFonts w:hint="eastAsia"/>
                <w:rtl/>
              </w:rPr>
              <w:t>אפרים</w:t>
            </w:r>
            <w:r w:rsidR="004D06EF" w:rsidRPr="00DD33D4">
              <w:rPr>
                <w:rStyle w:val="Hyperlink"/>
                <w:rtl/>
              </w:rPr>
              <w:t xml:space="preserve"> </w:t>
            </w:r>
            <w:r w:rsidR="004D06EF" w:rsidRPr="00DD33D4">
              <w:rPr>
                <w:rStyle w:val="Hyperlink"/>
                <w:rFonts w:hint="eastAsia"/>
                <w:rtl/>
              </w:rPr>
              <w:t>ביטון</w:t>
            </w:r>
          </w:hyperlink>
        </w:p>
        <w:p w14:paraId="326F8FEC" w14:textId="77777777" w:rsidR="004D06EF" w:rsidRDefault="00A41789" w:rsidP="004D06EF">
          <w:pPr>
            <w:pStyle w:val="TOC2"/>
            <w:rPr>
              <w:rFonts w:asciiTheme="minorHAnsi" w:eastAsiaTheme="minorEastAsia" w:hAnsiTheme="minorHAnsi" w:cstheme="minorBidi"/>
            </w:rPr>
          </w:pPr>
          <w:hyperlink w:anchor="_Toc531140432" w:history="1">
            <w:r w:rsidR="004D06EF" w:rsidRPr="00DD33D4">
              <w:rPr>
                <w:rStyle w:val="Hyperlink"/>
                <w:rFonts w:hint="eastAsia"/>
                <w:rtl/>
              </w:rPr>
              <w:t>מדתו</w:t>
            </w:r>
            <w:r w:rsidR="004D06EF" w:rsidRPr="00DD33D4">
              <w:rPr>
                <w:rStyle w:val="Hyperlink"/>
                <w:rtl/>
              </w:rPr>
              <w:t xml:space="preserve"> </w:t>
            </w:r>
            <w:r w:rsidR="004D06EF" w:rsidRPr="00DD33D4">
              <w:rPr>
                <w:rStyle w:val="Hyperlink"/>
                <w:rFonts w:hint="eastAsia"/>
                <w:rtl/>
              </w:rPr>
              <w:t>של</w:t>
            </w:r>
            <w:r w:rsidR="004D06EF" w:rsidRPr="00DD33D4">
              <w:rPr>
                <w:rStyle w:val="Hyperlink"/>
                <w:rtl/>
              </w:rPr>
              <w:t xml:space="preserve"> </w:t>
            </w:r>
            <w:r w:rsidR="004D06EF" w:rsidRPr="00DD33D4">
              <w:rPr>
                <w:rStyle w:val="Hyperlink"/>
                <w:rFonts w:hint="eastAsia"/>
                <w:rtl/>
              </w:rPr>
              <w:t>יעקב</w:t>
            </w:r>
            <w:r w:rsidR="004D06EF" w:rsidRPr="00DD33D4">
              <w:rPr>
                <w:rStyle w:val="Hyperlink"/>
                <w:rtl/>
              </w:rPr>
              <w:t xml:space="preserve"> </w:t>
            </w:r>
            <w:r w:rsidR="004D06EF" w:rsidRPr="00DD33D4">
              <w:rPr>
                <w:rStyle w:val="Hyperlink"/>
                <w:rFonts w:hint="eastAsia"/>
                <w:rtl/>
              </w:rPr>
              <w:t>מדת</w:t>
            </w:r>
            <w:r w:rsidR="004D06EF" w:rsidRPr="00DD33D4">
              <w:rPr>
                <w:rStyle w:val="Hyperlink"/>
                <w:rtl/>
              </w:rPr>
              <w:t xml:space="preserve"> </w:t>
            </w:r>
            <w:r w:rsidR="004D06EF" w:rsidRPr="00DD33D4">
              <w:rPr>
                <w:rStyle w:val="Hyperlink"/>
                <w:rFonts w:hint="eastAsia"/>
                <w:rtl/>
              </w:rPr>
              <w:t>האמת</w:t>
            </w:r>
            <w:r w:rsidR="004D06EF">
              <w:rPr>
                <w:webHidden/>
              </w:rPr>
              <w:tab/>
            </w:r>
            <w:r w:rsidR="004D06EF">
              <w:rPr>
                <w:webHidden/>
              </w:rPr>
              <w:fldChar w:fldCharType="begin"/>
            </w:r>
            <w:r w:rsidR="004D06EF">
              <w:rPr>
                <w:webHidden/>
              </w:rPr>
              <w:instrText xml:space="preserve"> PAGEREF _Toc531140432 \h </w:instrText>
            </w:r>
            <w:r w:rsidR="004D06EF">
              <w:rPr>
                <w:webHidden/>
              </w:rPr>
            </w:r>
            <w:r w:rsidR="004D06EF">
              <w:rPr>
                <w:webHidden/>
              </w:rPr>
              <w:fldChar w:fldCharType="separate"/>
            </w:r>
            <w:r w:rsidR="00BE6663">
              <w:rPr>
                <w:webHidden/>
                <w:rtl/>
              </w:rPr>
              <w:t>148</w:t>
            </w:r>
            <w:r w:rsidR="004D06EF">
              <w:rPr>
                <w:webHidden/>
              </w:rPr>
              <w:fldChar w:fldCharType="end"/>
            </w:r>
          </w:hyperlink>
        </w:p>
        <w:p w14:paraId="7CF117D7" w14:textId="2CD84B94" w:rsidR="004D06EF" w:rsidRDefault="00A41789" w:rsidP="00756517">
          <w:pPr>
            <w:pStyle w:val="TOC3"/>
            <w:rPr>
              <w:rFonts w:asciiTheme="minorHAnsi" w:eastAsiaTheme="minorEastAsia" w:hAnsiTheme="minorHAnsi" w:cstheme="minorBidi"/>
              <w:sz w:val="22"/>
              <w:szCs w:val="22"/>
              <w:lang w:val="en-US"/>
            </w:rPr>
          </w:pPr>
          <w:hyperlink w:anchor="_Toc531140433" w:history="1">
            <w:r w:rsidR="004D06EF" w:rsidRPr="00DD33D4">
              <w:rPr>
                <w:rStyle w:val="Hyperlink"/>
                <w:rFonts w:hint="eastAsia"/>
                <w:rtl/>
              </w:rPr>
              <w:t>ה</w:t>
            </w:r>
            <w:r w:rsidR="00756517">
              <w:rPr>
                <w:rStyle w:val="Hyperlink"/>
                <w:rFonts w:hint="cs"/>
                <w:rtl/>
              </w:rPr>
              <w:t>ת' ש</w:t>
            </w:r>
            <w:r w:rsidR="004D06EF" w:rsidRPr="00DD33D4">
              <w:rPr>
                <w:rStyle w:val="Hyperlink"/>
                <w:rFonts w:hint="eastAsia"/>
                <w:rtl/>
              </w:rPr>
              <w:t>לום</w:t>
            </w:r>
            <w:r w:rsidR="004D06EF" w:rsidRPr="00DD33D4">
              <w:rPr>
                <w:rStyle w:val="Hyperlink"/>
              </w:rPr>
              <w:t xml:space="preserve"> </w:t>
            </w:r>
            <w:r w:rsidR="004D06EF" w:rsidRPr="00DD33D4">
              <w:rPr>
                <w:rStyle w:val="Hyperlink"/>
                <w:rFonts w:hint="eastAsia"/>
                <w:rtl/>
              </w:rPr>
              <w:t>דובער</w:t>
            </w:r>
            <w:r w:rsidR="004D06EF" w:rsidRPr="00DD33D4">
              <w:rPr>
                <w:rStyle w:val="Hyperlink"/>
              </w:rPr>
              <w:t xml:space="preserve"> </w:t>
            </w:r>
            <w:r w:rsidR="004D06EF" w:rsidRPr="00DD33D4">
              <w:rPr>
                <w:rStyle w:val="Hyperlink"/>
                <w:rFonts w:hint="eastAsia"/>
                <w:rtl/>
              </w:rPr>
              <w:t>גרינברג</w:t>
            </w:r>
          </w:hyperlink>
        </w:p>
        <w:p w14:paraId="482C7B68" w14:textId="2F3FE6FB" w:rsidR="004D06EF" w:rsidRDefault="00A41789" w:rsidP="004D06EF">
          <w:pPr>
            <w:pStyle w:val="TOC1"/>
            <w:rPr>
              <w:rFonts w:asciiTheme="minorHAnsi" w:eastAsiaTheme="minorEastAsia" w:hAnsiTheme="minorHAnsi" w:cstheme="minorBidi"/>
              <w:sz w:val="22"/>
              <w:szCs w:val="22"/>
            </w:rPr>
          </w:pPr>
          <w:hyperlink w:anchor="_Toc531140434" w:history="1">
            <w:r w:rsidR="004D06EF" w:rsidRPr="00DD33D4">
              <w:rPr>
                <w:rStyle w:val="Hyperlink"/>
                <w:rFonts w:hint="eastAsia"/>
                <w:rtl/>
              </w:rPr>
              <w:t>שונות</w:t>
            </w:r>
          </w:hyperlink>
        </w:p>
        <w:p w14:paraId="6D8718A0" w14:textId="77777777" w:rsidR="004D06EF" w:rsidRDefault="00A41789" w:rsidP="004D06EF">
          <w:pPr>
            <w:pStyle w:val="TOC2"/>
            <w:rPr>
              <w:rFonts w:asciiTheme="minorHAnsi" w:eastAsiaTheme="minorEastAsia" w:hAnsiTheme="minorHAnsi" w:cstheme="minorBidi"/>
            </w:rPr>
          </w:pPr>
          <w:hyperlink w:anchor="_Toc531140435" w:history="1">
            <w:r w:rsidR="004D06EF" w:rsidRPr="00DD33D4">
              <w:rPr>
                <w:rStyle w:val="Hyperlink"/>
                <w:rFonts w:hint="eastAsia"/>
                <w:rtl/>
              </w:rPr>
              <w:t>בענין</w:t>
            </w:r>
            <w:r w:rsidR="004D06EF" w:rsidRPr="00DD33D4">
              <w:rPr>
                <w:rStyle w:val="Hyperlink"/>
                <w:rtl/>
              </w:rPr>
              <w:t xml:space="preserve"> </w:t>
            </w:r>
            <w:r w:rsidR="004D06EF" w:rsidRPr="00DD33D4">
              <w:rPr>
                <w:rStyle w:val="Hyperlink"/>
                <w:rFonts w:hint="eastAsia"/>
                <w:rtl/>
              </w:rPr>
              <w:t>מצוות</w:t>
            </w:r>
            <w:r w:rsidR="004D06EF" w:rsidRPr="00DD33D4">
              <w:rPr>
                <w:rStyle w:val="Hyperlink"/>
                <w:rtl/>
              </w:rPr>
              <w:t xml:space="preserve"> </w:t>
            </w:r>
            <w:r w:rsidR="004D06EF" w:rsidRPr="00DD33D4">
              <w:rPr>
                <w:rStyle w:val="Hyperlink"/>
                <w:rFonts w:hint="eastAsia"/>
                <w:rtl/>
              </w:rPr>
              <w:t>התלויות</w:t>
            </w:r>
            <w:r w:rsidR="004D06EF" w:rsidRPr="00DD33D4">
              <w:rPr>
                <w:rStyle w:val="Hyperlink"/>
                <w:rtl/>
              </w:rPr>
              <w:t xml:space="preserve"> </w:t>
            </w:r>
            <w:r w:rsidR="004D06EF" w:rsidRPr="00DD33D4">
              <w:rPr>
                <w:rStyle w:val="Hyperlink"/>
                <w:rFonts w:hint="eastAsia"/>
                <w:rtl/>
              </w:rPr>
              <w:t>ברגש</w:t>
            </w:r>
            <w:r w:rsidR="004D06EF">
              <w:rPr>
                <w:webHidden/>
              </w:rPr>
              <w:tab/>
            </w:r>
            <w:r w:rsidR="004D06EF">
              <w:rPr>
                <w:webHidden/>
              </w:rPr>
              <w:fldChar w:fldCharType="begin"/>
            </w:r>
            <w:r w:rsidR="004D06EF">
              <w:rPr>
                <w:webHidden/>
              </w:rPr>
              <w:instrText xml:space="preserve"> PAGEREF _Toc531140435 \h </w:instrText>
            </w:r>
            <w:r w:rsidR="004D06EF">
              <w:rPr>
                <w:webHidden/>
              </w:rPr>
            </w:r>
            <w:r w:rsidR="004D06EF">
              <w:rPr>
                <w:webHidden/>
              </w:rPr>
              <w:fldChar w:fldCharType="separate"/>
            </w:r>
            <w:r w:rsidR="00BE6663">
              <w:rPr>
                <w:webHidden/>
                <w:rtl/>
              </w:rPr>
              <w:t>149</w:t>
            </w:r>
            <w:r w:rsidR="004D06EF">
              <w:rPr>
                <w:webHidden/>
              </w:rPr>
              <w:fldChar w:fldCharType="end"/>
            </w:r>
          </w:hyperlink>
        </w:p>
        <w:p w14:paraId="72C895C7" w14:textId="2264093C" w:rsidR="004D06EF" w:rsidRDefault="00A41789" w:rsidP="00756517">
          <w:pPr>
            <w:pStyle w:val="TOC3"/>
            <w:rPr>
              <w:rFonts w:asciiTheme="minorHAnsi" w:eastAsiaTheme="minorEastAsia" w:hAnsiTheme="minorHAnsi" w:cstheme="minorBidi"/>
              <w:sz w:val="22"/>
              <w:szCs w:val="22"/>
              <w:lang w:val="en-US"/>
            </w:rPr>
          </w:pPr>
          <w:hyperlink w:anchor="_Toc531140436" w:history="1">
            <w:r w:rsidR="004D06EF" w:rsidRPr="00DD33D4">
              <w:rPr>
                <w:rStyle w:val="Hyperlink"/>
                <w:rFonts w:hint="eastAsia"/>
                <w:rtl/>
              </w:rPr>
              <w:t>ה</w:t>
            </w:r>
            <w:r w:rsidR="00756517">
              <w:rPr>
                <w:rStyle w:val="Hyperlink"/>
                <w:rFonts w:hint="cs"/>
                <w:rtl/>
              </w:rPr>
              <w:t>ת' ש</w:t>
            </w:r>
            <w:r w:rsidR="004D06EF" w:rsidRPr="00DD33D4">
              <w:rPr>
                <w:rStyle w:val="Hyperlink"/>
                <w:rFonts w:hint="eastAsia"/>
                <w:rtl/>
              </w:rPr>
              <w:t>לום</w:t>
            </w:r>
            <w:r w:rsidR="004D06EF" w:rsidRPr="00DD33D4">
              <w:rPr>
                <w:rStyle w:val="Hyperlink"/>
                <w:rtl/>
              </w:rPr>
              <w:t xml:space="preserve"> </w:t>
            </w:r>
            <w:r w:rsidR="004D06EF" w:rsidRPr="00DD33D4">
              <w:rPr>
                <w:rStyle w:val="Hyperlink"/>
                <w:rFonts w:hint="eastAsia"/>
                <w:rtl/>
              </w:rPr>
              <w:t>דובער</w:t>
            </w:r>
            <w:r w:rsidR="004D06EF" w:rsidRPr="00DD33D4">
              <w:rPr>
                <w:rStyle w:val="Hyperlink"/>
              </w:rPr>
              <w:t xml:space="preserve"> </w:t>
            </w:r>
            <w:r w:rsidR="004D06EF" w:rsidRPr="00DD33D4">
              <w:rPr>
                <w:rStyle w:val="Hyperlink"/>
                <w:rFonts w:hint="eastAsia"/>
                <w:rtl/>
              </w:rPr>
              <w:t>פעריס</w:t>
            </w:r>
          </w:hyperlink>
        </w:p>
        <w:p w14:paraId="1426E39D" w14:textId="77777777" w:rsidR="004D06EF" w:rsidRDefault="00A41789" w:rsidP="004D06EF">
          <w:pPr>
            <w:pStyle w:val="TOC2"/>
            <w:rPr>
              <w:rFonts w:asciiTheme="minorHAnsi" w:eastAsiaTheme="minorEastAsia" w:hAnsiTheme="minorHAnsi" w:cstheme="minorBidi"/>
            </w:rPr>
          </w:pPr>
          <w:hyperlink w:anchor="_Toc531140437" w:history="1">
            <w:r w:rsidR="004D06EF" w:rsidRPr="00DD33D4">
              <w:rPr>
                <w:rStyle w:val="Hyperlink"/>
                <w:rFonts w:hint="eastAsia"/>
                <w:rtl/>
              </w:rPr>
              <w:t>שמעון</w:t>
            </w:r>
            <w:r w:rsidR="004D06EF" w:rsidRPr="00DD33D4">
              <w:rPr>
                <w:rStyle w:val="Hyperlink"/>
                <w:rtl/>
              </w:rPr>
              <w:t xml:space="preserve"> </w:t>
            </w:r>
            <w:r w:rsidR="004D06EF" w:rsidRPr="00DD33D4">
              <w:rPr>
                <w:rStyle w:val="Hyperlink"/>
                <w:rFonts w:hint="eastAsia"/>
                <w:rtl/>
              </w:rPr>
              <w:t>הכופר</w:t>
            </w:r>
            <w:r w:rsidR="004D06EF">
              <w:rPr>
                <w:webHidden/>
              </w:rPr>
              <w:tab/>
            </w:r>
            <w:r w:rsidR="004D06EF">
              <w:rPr>
                <w:webHidden/>
              </w:rPr>
              <w:fldChar w:fldCharType="begin"/>
            </w:r>
            <w:r w:rsidR="004D06EF">
              <w:rPr>
                <w:webHidden/>
              </w:rPr>
              <w:instrText xml:space="preserve"> PAGEREF _Toc531140437 \h </w:instrText>
            </w:r>
            <w:r w:rsidR="004D06EF">
              <w:rPr>
                <w:webHidden/>
              </w:rPr>
            </w:r>
            <w:r w:rsidR="004D06EF">
              <w:rPr>
                <w:webHidden/>
              </w:rPr>
              <w:fldChar w:fldCharType="separate"/>
            </w:r>
            <w:r w:rsidR="00BE6663">
              <w:rPr>
                <w:webHidden/>
                <w:rtl/>
              </w:rPr>
              <w:t>150</w:t>
            </w:r>
            <w:r w:rsidR="004D06EF">
              <w:rPr>
                <w:webHidden/>
              </w:rPr>
              <w:fldChar w:fldCharType="end"/>
            </w:r>
          </w:hyperlink>
        </w:p>
        <w:p w14:paraId="32F6BC4D" w14:textId="27D09546" w:rsidR="004D06EF" w:rsidRDefault="00A41789" w:rsidP="00756517">
          <w:pPr>
            <w:pStyle w:val="TOC3"/>
            <w:rPr>
              <w:rFonts w:asciiTheme="minorHAnsi" w:eastAsiaTheme="minorEastAsia" w:hAnsiTheme="minorHAnsi" w:cstheme="minorBidi"/>
              <w:sz w:val="22"/>
              <w:szCs w:val="22"/>
              <w:lang w:val="en-US"/>
            </w:rPr>
          </w:pPr>
          <w:hyperlink w:anchor="_Toc531140438" w:history="1">
            <w:r w:rsidR="004D06EF" w:rsidRPr="00DD33D4">
              <w:rPr>
                <w:rStyle w:val="Hyperlink"/>
                <w:rFonts w:hint="eastAsia"/>
                <w:rtl/>
              </w:rPr>
              <w:t>ה</w:t>
            </w:r>
            <w:r w:rsidR="00756517">
              <w:rPr>
                <w:rStyle w:val="Hyperlink"/>
                <w:rFonts w:hint="cs"/>
                <w:rtl/>
              </w:rPr>
              <w:t>ת' ש</w:t>
            </w:r>
            <w:r w:rsidR="004D06EF" w:rsidRPr="00DD33D4">
              <w:rPr>
                <w:rStyle w:val="Hyperlink"/>
                <w:rFonts w:hint="eastAsia"/>
                <w:rtl/>
              </w:rPr>
              <w:t>מואל</w:t>
            </w:r>
            <w:r w:rsidR="004D06EF" w:rsidRPr="00DD33D4">
              <w:rPr>
                <w:rStyle w:val="Hyperlink"/>
                <w:rtl/>
              </w:rPr>
              <w:t xml:space="preserve"> </w:t>
            </w:r>
            <w:r w:rsidR="004D06EF" w:rsidRPr="00DD33D4">
              <w:rPr>
                <w:rStyle w:val="Hyperlink"/>
                <w:rFonts w:hint="eastAsia"/>
                <w:rtl/>
              </w:rPr>
              <w:t>יוסף</w:t>
            </w:r>
            <w:r w:rsidR="004D06EF" w:rsidRPr="00DD33D4">
              <w:rPr>
                <w:rStyle w:val="Hyperlink"/>
                <w:rtl/>
              </w:rPr>
              <w:t xml:space="preserve"> </w:t>
            </w:r>
            <w:r w:rsidR="004D06EF" w:rsidRPr="00DD33D4">
              <w:rPr>
                <w:rStyle w:val="Hyperlink"/>
                <w:rFonts w:hint="eastAsia"/>
                <w:rtl/>
              </w:rPr>
              <w:t>גרינבוים</w:t>
            </w:r>
          </w:hyperlink>
        </w:p>
        <w:p w14:paraId="3EA2ADA4" w14:textId="2FB1F328" w:rsidR="004D06EF" w:rsidRDefault="00A41789" w:rsidP="00107544">
          <w:pPr>
            <w:pStyle w:val="TOC2"/>
            <w:rPr>
              <w:rFonts w:asciiTheme="minorHAnsi" w:eastAsiaTheme="minorEastAsia" w:hAnsiTheme="minorHAnsi" w:cstheme="minorBidi"/>
            </w:rPr>
          </w:pPr>
          <w:hyperlink w:anchor="_Toc531140439" w:history="1">
            <w:r w:rsidR="004D06EF" w:rsidRPr="00DD33D4">
              <w:rPr>
                <w:rStyle w:val="Hyperlink"/>
                <w:rFonts w:eastAsia="David" w:hint="eastAsia"/>
                <w:rtl/>
              </w:rPr>
              <w:t>אהבת</w:t>
            </w:r>
            <w:r w:rsidR="004D06EF" w:rsidRPr="00DD33D4">
              <w:rPr>
                <w:rStyle w:val="Hyperlink"/>
                <w:rFonts w:eastAsia="David"/>
                <w:rtl/>
              </w:rPr>
              <w:t xml:space="preserve"> </w:t>
            </w:r>
            <w:r w:rsidR="004D06EF" w:rsidRPr="00DD33D4">
              <w:rPr>
                <w:rStyle w:val="Hyperlink"/>
                <w:rFonts w:eastAsia="David" w:hint="eastAsia"/>
                <w:rtl/>
              </w:rPr>
              <w:t>התורה</w:t>
            </w:r>
            <w:r w:rsidR="004D06EF" w:rsidRPr="00DD33D4">
              <w:rPr>
                <w:rStyle w:val="Hyperlink"/>
                <w:rFonts w:eastAsia="David"/>
                <w:rtl/>
              </w:rPr>
              <w:t xml:space="preserve"> </w:t>
            </w:r>
            <w:r w:rsidR="004D06EF" w:rsidRPr="00DD33D4">
              <w:rPr>
                <w:rStyle w:val="Hyperlink"/>
                <w:rFonts w:eastAsia="David" w:hint="eastAsia"/>
                <w:rtl/>
              </w:rPr>
              <w:t>בלי</w:t>
            </w:r>
            <w:r w:rsidR="004D06EF" w:rsidRPr="00DD33D4">
              <w:rPr>
                <w:rStyle w:val="Hyperlink"/>
                <w:rFonts w:eastAsia="David"/>
                <w:rtl/>
              </w:rPr>
              <w:t xml:space="preserve"> </w:t>
            </w:r>
            <w:r w:rsidR="004D06EF" w:rsidRPr="00DD33D4">
              <w:rPr>
                <w:rStyle w:val="Hyperlink"/>
                <w:rFonts w:eastAsia="David" w:hint="eastAsia"/>
                <w:rtl/>
              </w:rPr>
              <w:t>אהבת</w:t>
            </w:r>
            <w:r w:rsidR="004D06EF" w:rsidRPr="00DD33D4">
              <w:rPr>
                <w:rStyle w:val="Hyperlink"/>
                <w:rFonts w:eastAsia="David"/>
                <w:rtl/>
              </w:rPr>
              <w:t xml:space="preserve"> </w:t>
            </w:r>
            <w:r w:rsidR="004D06EF" w:rsidRPr="00DD33D4">
              <w:rPr>
                <w:rStyle w:val="Hyperlink"/>
                <w:rFonts w:eastAsia="David" w:hint="eastAsia"/>
                <w:rtl/>
              </w:rPr>
              <w:t>ה</w:t>
            </w:r>
            <w:r w:rsidR="004D06EF" w:rsidRPr="00DD33D4">
              <w:rPr>
                <w:rStyle w:val="Hyperlink"/>
                <w:rFonts w:eastAsia="David"/>
                <w:rtl/>
              </w:rPr>
              <w:t xml:space="preserve">' </w:t>
            </w:r>
            <w:r w:rsidR="00107544">
              <w:rPr>
                <w:rStyle w:val="Hyperlink"/>
                <w:rFonts w:eastAsia="David" w:hint="cs"/>
                <w:rtl/>
              </w:rPr>
              <w:t>(</w:t>
            </w:r>
            <w:r w:rsidR="004D06EF" w:rsidRPr="00DD33D4">
              <w:rPr>
                <w:rStyle w:val="Hyperlink"/>
                <w:rFonts w:eastAsia="David" w:hint="eastAsia"/>
                <w:rtl/>
              </w:rPr>
              <w:t>גליון</w:t>
            </w:r>
            <w:r w:rsidR="00107544">
              <w:rPr>
                <w:rStyle w:val="Hyperlink"/>
                <w:rFonts w:eastAsia="David" w:hint="cs"/>
                <w:rtl/>
              </w:rPr>
              <w:t>)</w:t>
            </w:r>
            <w:r w:rsidR="004D06EF">
              <w:rPr>
                <w:webHidden/>
              </w:rPr>
              <w:tab/>
            </w:r>
            <w:r w:rsidR="004D06EF">
              <w:rPr>
                <w:webHidden/>
              </w:rPr>
              <w:fldChar w:fldCharType="begin"/>
            </w:r>
            <w:r w:rsidR="004D06EF">
              <w:rPr>
                <w:webHidden/>
              </w:rPr>
              <w:instrText xml:space="preserve"> PAGEREF _Toc531140439 \h </w:instrText>
            </w:r>
            <w:r w:rsidR="004D06EF">
              <w:rPr>
                <w:webHidden/>
              </w:rPr>
            </w:r>
            <w:r w:rsidR="004D06EF">
              <w:rPr>
                <w:webHidden/>
              </w:rPr>
              <w:fldChar w:fldCharType="separate"/>
            </w:r>
            <w:r w:rsidR="00BE6663">
              <w:rPr>
                <w:webHidden/>
                <w:rtl/>
              </w:rPr>
              <w:t>153</w:t>
            </w:r>
            <w:r w:rsidR="004D06EF">
              <w:rPr>
                <w:webHidden/>
              </w:rPr>
              <w:fldChar w:fldCharType="end"/>
            </w:r>
          </w:hyperlink>
        </w:p>
        <w:p w14:paraId="01EC33FD" w14:textId="658CDC79" w:rsidR="004D06EF" w:rsidRDefault="00A41789" w:rsidP="00107544">
          <w:pPr>
            <w:pStyle w:val="TOC3"/>
            <w:rPr>
              <w:rFonts w:asciiTheme="minorHAnsi" w:eastAsiaTheme="minorEastAsia" w:hAnsiTheme="minorHAnsi" w:cstheme="minorBidi"/>
              <w:sz w:val="22"/>
              <w:szCs w:val="22"/>
              <w:lang w:val="en-US"/>
            </w:rPr>
          </w:pPr>
          <w:hyperlink w:anchor="_Toc531140440"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מנחם</w:t>
            </w:r>
            <w:r w:rsidR="004D06EF" w:rsidRPr="00DD33D4">
              <w:rPr>
                <w:rStyle w:val="Hyperlink"/>
                <w:rtl/>
              </w:rPr>
              <w:t xml:space="preserve"> </w:t>
            </w:r>
            <w:r w:rsidR="004D06EF" w:rsidRPr="00DD33D4">
              <w:rPr>
                <w:rStyle w:val="Hyperlink"/>
                <w:rFonts w:hint="eastAsia"/>
                <w:rtl/>
              </w:rPr>
              <w:t>מענדל</w:t>
            </w:r>
            <w:r w:rsidR="004D06EF" w:rsidRPr="00DD33D4">
              <w:rPr>
                <w:rStyle w:val="Hyperlink"/>
                <w:rtl/>
              </w:rPr>
              <w:t xml:space="preserve"> </w:t>
            </w:r>
            <w:r w:rsidR="004D06EF" w:rsidRPr="00DD33D4">
              <w:rPr>
                <w:rStyle w:val="Hyperlink"/>
                <w:rFonts w:hint="eastAsia"/>
                <w:rtl/>
              </w:rPr>
              <w:t>מישולבין</w:t>
            </w:r>
          </w:hyperlink>
        </w:p>
        <w:p w14:paraId="5D93285B" w14:textId="77777777" w:rsidR="004D06EF" w:rsidRDefault="00A41789" w:rsidP="004D06EF">
          <w:pPr>
            <w:pStyle w:val="TOC2"/>
            <w:rPr>
              <w:rFonts w:asciiTheme="minorHAnsi" w:eastAsiaTheme="minorEastAsia" w:hAnsiTheme="minorHAnsi" w:cstheme="minorBidi"/>
            </w:rPr>
          </w:pPr>
          <w:hyperlink w:anchor="_Toc531140441" w:history="1">
            <w:r w:rsidR="004D06EF" w:rsidRPr="00DD33D4">
              <w:rPr>
                <w:rStyle w:val="Hyperlink"/>
                <w:rFonts w:hint="eastAsia"/>
                <w:rtl/>
              </w:rPr>
              <w:t>דרך</w:t>
            </w:r>
            <w:r w:rsidR="004D06EF" w:rsidRPr="00DD33D4">
              <w:rPr>
                <w:rStyle w:val="Hyperlink"/>
              </w:rPr>
              <w:t xml:space="preserve"> </w:t>
            </w:r>
            <w:r w:rsidR="004D06EF" w:rsidRPr="00DD33D4">
              <w:rPr>
                <w:rStyle w:val="Hyperlink"/>
                <w:rFonts w:hint="eastAsia"/>
                <w:rtl/>
              </w:rPr>
              <w:t>ביאורי</w:t>
            </w:r>
            <w:r w:rsidR="004D06EF" w:rsidRPr="00DD33D4">
              <w:rPr>
                <w:rStyle w:val="Hyperlink"/>
              </w:rPr>
              <w:t xml:space="preserve"> </w:t>
            </w:r>
            <w:r w:rsidR="004D06EF" w:rsidRPr="00DD33D4">
              <w:rPr>
                <w:rStyle w:val="Hyperlink"/>
                <w:rFonts w:hint="eastAsia"/>
                <w:rtl/>
              </w:rPr>
              <w:t>הכתובים</w:t>
            </w:r>
            <w:r w:rsidR="004D06EF" w:rsidRPr="00DD33D4">
              <w:rPr>
                <w:rStyle w:val="Hyperlink"/>
                <w:rtl/>
              </w:rPr>
              <w:t xml:space="preserve">, </w:t>
            </w:r>
            <w:r w:rsidR="004D06EF" w:rsidRPr="00DD33D4">
              <w:rPr>
                <w:rStyle w:val="Hyperlink"/>
                <w:rFonts w:hint="eastAsia"/>
                <w:rtl/>
              </w:rPr>
              <w:t>בספר</w:t>
            </w:r>
            <w:r w:rsidR="004D06EF" w:rsidRPr="00DD33D4">
              <w:rPr>
                <w:rStyle w:val="Hyperlink"/>
                <w:rtl/>
              </w:rPr>
              <w:t xml:space="preserve"> "</w:t>
            </w:r>
            <w:r w:rsidR="004D06EF" w:rsidRPr="00DD33D4">
              <w:rPr>
                <w:rStyle w:val="Hyperlink"/>
                <w:rFonts w:hint="eastAsia"/>
                <w:rtl/>
              </w:rPr>
              <w:t>תורה</w:t>
            </w:r>
            <w:r w:rsidR="004D06EF" w:rsidRPr="00DD33D4">
              <w:rPr>
                <w:rStyle w:val="Hyperlink"/>
                <w:rtl/>
              </w:rPr>
              <w:t xml:space="preserve"> </w:t>
            </w:r>
            <w:r w:rsidR="004D06EF" w:rsidRPr="00DD33D4">
              <w:rPr>
                <w:rStyle w:val="Hyperlink"/>
                <w:rFonts w:hint="eastAsia"/>
                <w:rtl/>
              </w:rPr>
              <w:t>אור</w:t>
            </w:r>
            <w:r w:rsidR="004D06EF" w:rsidRPr="00DD33D4">
              <w:rPr>
                <w:rStyle w:val="Hyperlink"/>
              </w:rPr>
              <w:t>"</w:t>
            </w:r>
            <w:r w:rsidR="004D06EF">
              <w:rPr>
                <w:webHidden/>
              </w:rPr>
              <w:tab/>
            </w:r>
            <w:r w:rsidR="004D06EF">
              <w:rPr>
                <w:webHidden/>
              </w:rPr>
              <w:fldChar w:fldCharType="begin"/>
            </w:r>
            <w:r w:rsidR="004D06EF">
              <w:rPr>
                <w:webHidden/>
              </w:rPr>
              <w:instrText xml:space="preserve"> PAGEREF _Toc531140441 \h </w:instrText>
            </w:r>
            <w:r w:rsidR="004D06EF">
              <w:rPr>
                <w:webHidden/>
              </w:rPr>
            </w:r>
            <w:r w:rsidR="004D06EF">
              <w:rPr>
                <w:webHidden/>
              </w:rPr>
              <w:fldChar w:fldCharType="separate"/>
            </w:r>
            <w:r w:rsidR="00BE6663">
              <w:rPr>
                <w:webHidden/>
                <w:rtl/>
              </w:rPr>
              <w:t>157</w:t>
            </w:r>
            <w:r w:rsidR="004D06EF">
              <w:rPr>
                <w:webHidden/>
              </w:rPr>
              <w:fldChar w:fldCharType="end"/>
            </w:r>
          </w:hyperlink>
        </w:p>
        <w:p w14:paraId="718014C8" w14:textId="2FF3583A" w:rsidR="004D06EF" w:rsidRDefault="00A41789" w:rsidP="00107544">
          <w:pPr>
            <w:pStyle w:val="TOC3"/>
            <w:rPr>
              <w:rFonts w:asciiTheme="minorHAnsi" w:eastAsiaTheme="minorEastAsia" w:hAnsiTheme="minorHAnsi" w:cstheme="minorBidi"/>
              <w:sz w:val="22"/>
              <w:szCs w:val="22"/>
              <w:lang w:val="en-US"/>
            </w:rPr>
          </w:pPr>
          <w:hyperlink w:anchor="_Toc531140442" w:history="1">
            <w:r w:rsidR="004D06EF" w:rsidRPr="00DD33D4">
              <w:rPr>
                <w:rStyle w:val="Hyperlink"/>
                <w:rFonts w:hint="eastAsia"/>
                <w:rtl/>
              </w:rPr>
              <w:t>הרב</w:t>
            </w:r>
            <w:r w:rsidR="004D06EF" w:rsidRPr="00DD33D4">
              <w:rPr>
                <w:rStyle w:val="Hyperlink"/>
                <w:rtl/>
              </w:rPr>
              <w:t xml:space="preserve"> </w:t>
            </w:r>
            <w:r w:rsidR="004D06EF" w:rsidRPr="00DD33D4">
              <w:rPr>
                <w:rStyle w:val="Hyperlink"/>
                <w:rFonts w:hint="eastAsia"/>
                <w:rtl/>
              </w:rPr>
              <w:t>אליהו</w:t>
            </w:r>
            <w:r w:rsidR="004D06EF" w:rsidRPr="00DD33D4">
              <w:rPr>
                <w:rStyle w:val="Hyperlink"/>
                <w:rtl/>
              </w:rPr>
              <w:t xml:space="preserve"> </w:t>
            </w:r>
            <w:r w:rsidR="004D06EF" w:rsidRPr="00DD33D4">
              <w:rPr>
                <w:rStyle w:val="Hyperlink"/>
                <w:rFonts w:hint="eastAsia"/>
                <w:rtl/>
              </w:rPr>
              <w:t>מטוסוב</w:t>
            </w:r>
          </w:hyperlink>
        </w:p>
        <w:p w14:paraId="3D344AA9" w14:textId="42DB0C51" w:rsidR="003D5804" w:rsidRPr="004F6AB2" w:rsidRDefault="00DC501D" w:rsidP="00545310">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7F77E96" w14:textId="4E1D0BD4" w:rsidR="00267386" w:rsidRDefault="00267386" w:rsidP="00826EFB">
      <w:pPr>
        <w:bidi/>
        <w:spacing w:after="0" w:line="240" w:lineRule="auto"/>
        <w:rPr>
          <w:rFonts w:ascii="FbFrankReal" w:eastAsia="Times New Roman" w:hAnsi="FbFrankReal" w:cs="1ShefaClassic"/>
          <w:b/>
          <w:bCs/>
          <w:color w:val="000000"/>
          <w:sz w:val="40"/>
          <w:szCs w:val="40"/>
          <w:vertAlign w:val="superscript"/>
          <w:rtl/>
        </w:rPr>
      </w:pPr>
      <w:bookmarkStart w:id="90" w:name="_Toc504475482"/>
      <w:bookmarkStart w:id="91" w:name="_Toc403698996"/>
      <w:bookmarkStart w:id="92" w:name="_Toc405513659"/>
      <w:bookmarkStart w:id="93" w:name="_Toc408433553"/>
    </w:p>
    <w:p w14:paraId="51DA1A73"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373580E9"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1A9F459C"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6B3E38C7"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4D151298"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3C772510"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41D5BA78"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3F5F5766"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5C0E5309" w14:textId="77777777" w:rsidR="00107544" w:rsidRDefault="00107544" w:rsidP="00107544">
      <w:pPr>
        <w:bidi/>
        <w:spacing w:after="0" w:line="240" w:lineRule="auto"/>
        <w:rPr>
          <w:rFonts w:ascii="FbFrankReal" w:eastAsia="Times New Roman" w:hAnsi="FbFrankReal" w:cs="1ShefaClassic"/>
          <w:b/>
          <w:bCs/>
          <w:color w:val="000000"/>
          <w:sz w:val="40"/>
          <w:szCs w:val="40"/>
          <w:vertAlign w:val="superscript"/>
          <w:rtl/>
        </w:rPr>
      </w:pPr>
    </w:p>
    <w:p w14:paraId="541221AB" w14:textId="77777777" w:rsidR="00107544" w:rsidRDefault="00107544" w:rsidP="008D7606">
      <w:pPr>
        <w:pStyle w:val="NormalComplexNarkisim"/>
        <w:spacing w:after="120" w:line="240" w:lineRule="auto"/>
        <w:rPr>
          <w:rFonts w:cs="1ShefaClassic"/>
          <w:b/>
          <w:sz w:val="27"/>
          <w:szCs w:val="27"/>
          <w:rtl/>
        </w:rPr>
      </w:pPr>
    </w:p>
    <w:p w14:paraId="37C90FE5" w14:textId="77777777" w:rsidR="008D7606" w:rsidRPr="00D50EFC" w:rsidRDefault="008D7606" w:rsidP="008D7606">
      <w:pPr>
        <w:pStyle w:val="NormalComplexNarkisim"/>
        <w:spacing w:after="120" w:line="240" w:lineRule="auto"/>
        <w:rPr>
          <w:sz w:val="27"/>
          <w:szCs w:val="27"/>
        </w:rPr>
      </w:pPr>
      <w:r w:rsidRPr="00D50EFC">
        <w:rPr>
          <w:rFonts w:cs="1ShefaClassic" w:hint="cs"/>
          <w:b/>
          <w:sz w:val="27"/>
          <w:szCs w:val="27"/>
          <w:rtl/>
        </w:rPr>
        <w:lastRenderedPageBreak/>
        <w:t>לזכות</w:t>
      </w:r>
    </w:p>
    <w:p w14:paraId="37739950" w14:textId="77777777" w:rsidR="008D7606" w:rsidRPr="00D50EFC" w:rsidRDefault="008D7606" w:rsidP="008D7606">
      <w:pPr>
        <w:pStyle w:val="NormalComplexNarkisim"/>
        <w:spacing w:after="120" w:line="240" w:lineRule="auto"/>
        <w:rPr>
          <w:rFonts w:cs="1ShefaClassic"/>
          <w:b/>
          <w:sz w:val="27"/>
          <w:szCs w:val="27"/>
          <w:rtl/>
        </w:rPr>
      </w:pPr>
      <w:r w:rsidRPr="00D50EFC">
        <w:rPr>
          <w:rFonts w:cs="1ShefaClassic" w:hint="cs"/>
          <w:b/>
          <w:sz w:val="27"/>
          <w:szCs w:val="27"/>
          <w:rtl/>
        </w:rPr>
        <w:t xml:space="preserve">חברי המערכת </w:t>
      </w:r>
      <w:r>
        <w:rPr>
          <w:rFonts w:cs="1ShefaClassic" w:hint="cs"/>
          <w:b/>
          <w:sz w:val="27"/>
          <w:szCs w:val="27"/>
          <w:rtl/>
        </w:rPr>
        <w:t>ד</w:t>
      </w:r>
      <w:r w:rsidRPr="00D50EFC">
        <w:rPr>
          <w:rFonts w:cs="1ShefaClassic" w:hint="cs"/>
          <w:b/>
          <w:sz w:val="27"/>
          <w:szCs w:val="27"/>
          <w:rtl/>
        </w:rPr>
        <w:t>שנת ה'תשע"ט</w:t>
      </w:r>
    </w:p>
    <w:p w14:paraId="68CD52B9" w14:textId="77777777" w:rsidR="008D7606" w:rsidRDefault="008D7606" w:rsidP="008D7606">
      <w:pPr>
        <w:pStyle w:val="NormalComplexNarkisim"/>
        <w:spacing w:after="120" w:line="240" w:lineRule="auto"/>
        <w:rPr>
          <w:rFonts w:cs="1ShefaClassic"/>
          <w:b/>
          <w:sz w:val="27"/>
          <w:szCs w:val="27"/>
          <w:rtl/>
        </w:rPr>
      </w:pPr>
      <w:r w:rsidRPr="00D50EFC">
        <w:rPr>
          <w:rFonts w:cs="1ShefaClassic" w:hint="cs"/>
          <w:b/>
          <w:sz w:val="27"/>
          <w:szCs w:val="27"/>
          <w:rtl/>
        </w:rPr>
        <w:t xml:space="preserve">הרב </w:t>
      </w:r>
      <w:r w:rsidRPr="00D50EFC">
        <w:rPr>
          <w:rFonts w:cs="1ShefaClassic" w:hint="cs"/>
          <w:bCs/>
          <w:sz w:val="27"/>
          <w:szCs w:val="27"/>
          <w:rtl/>
        </w:rPr>
        <w:t>אברהם יצחק ברוך גערליצקי</w:t>
      </w:r>
      <w:r w:rsidRPr="00D50EFC">
        <w:rPr>
          <w:rFonts w:cs="1ShefaClassic" w:hint="cs"/>
          <w:b/>
          <w:sz w:val="27"/>
          <w:szCs w:val="27"/>
          <w:rtl/>
        </w:rPr>
        <w:t xml:space="preserve"> שליט"א</w:t>
      </w:r>
    </w:p>
    <w:p w14:paraId="27EB7A0C" w14:textId="77777777" w:rsidR="008D7606" w:rsidRPr="00D50EFC" w:rsidRDefault="008D7606" w:rsidP="00107544">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Pr>
          <w:rFonts w:cs="1ShefaClassic" w:hint="cs"/>
          <w:bCs/>
          <w:sz w:val="27"/>
          <w:szCs w:val="27"/>
          <w:rtl/>
        </w:rPr>
        <w:t>שלום דובער דיק</w:t>
      </w:r>
    </w:p>
    <w:p w14:paraId="0FB5D4FC" w14:textId="77777777" w:rsidR="008D7606" w:rsidRPr="00D50EFC" w:rsidRDefault="008D7606" w:rsidP="008D7606">
      <w:pPr>
        <w:pStyle w:val="NormalComplexNarkisim"/>
        <w:spacing w:after="120" w:line="240" w:lineRule="auto"/>
        <w:rPr>
          <w:rFonts w:cs="1ShefaClassic"/>
          <w:b/>
          <w:sz w:val="27"/>
          <w:szCs w:val="27"/>
          <w:rtl/>
        </w:rPr>
      </w:pPr>
      <w:r w:rsidRPr="00D50EFC">
        <w:rPr>
          <w:rFonts w:cs="1ShefaClassic" w:hint="cs"/>
          <w:b/>
          <w:sz w:val="27"/>
          <w:szCs w:val="27"/>
          <w:rtl/>
        </w:rPr>
        <w:t xml:space="preserve">הת' </w:t>
      </w:r>
      <w:r>
        <w:rPr>
          <w:rFonts w:cs="1ShefaClassic" w:hint="cs"/>
          <w:bCs/>
          <w:sz w:val="27"/>
          <w:szCs w:val="27"/>
          <w:rtl/>
        </w:rPr>
        <w:t>מנחם מענדל אזימאוו</w:t>
      </w:r>
    </w:p>
    <w:p w14:paraId="4DB88AFB" w14:textId="77777777" w:rsidR="008D7606" w:rsidRPr="00D50EFC" w:rsidRDefault="008D7606" w:rsidP="008D7606">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Pr>
          <w:rFonts w:cs="1ShefaClassic" w:hint="cs"/>
          <w:bCs/>
          <w:sz w:val="27"/>
          <w:szCs w:val="27"/>
          <w:rtl/>
        </w:rPr>
        <w:t>ארי' דוב איידעלמאן</w:t>
      </w:r>
    </w:p>
    <w:p w14:paraId="3BB8AB4E" w14:textId="77777777" w:rsidR="008D7606" w:rsidRPr="00D50EFC" w:rsidRDefault="008D7606" w:rsidP="008D7606">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Pr>
          <w:rFonts w:cs="1ShefaClassic" w:hint="cs"/>
          <w:bCs/>
          <w:sz w:val="27"/>
          <w:szCs w:val="27"/>
          <w:rtl/>
        </w:rPr>
        <w:t>אברהם שלמה ווייספיש</w:t>
      </w:r>
    </w:p>
    <w:p w14:paraId="3690AD4C" w14:textId="77777777" w:rsidR="008D7606" w:rsidRPr="00D50EFC" w:rsidRDefault="008D7606" w:rsidP="008D7606">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Pr>
          <w:rFonts w:cs="1ShefaClassic" w:hint="cs"/>
          <w:bCs/>
          <w:sz w:val="27"/>
          <w:szCs w:val="27"/>
          <w:rtl/>
        </w:rPr>
        <w:t>שלום דובער מוסקוביץ</w:t>
      </w:r>
    </w:p>
    <w:p w14:paraId="67550DE8" w14:textId="77777777" w:rsidR="008D7606" w:rsidRDefault="008D7606" w:rsidP="008D7606">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sidRPr="00D50EFC">
        <w:rPr>
          <w:rFonts w:cs="1ShefaClassic" w:hint="cs"/>
          <w:bCs/>
          <w:sz w:val="27"/>
          <w:szCs w:val="27"/>
          <w:rtl/>
        </w:rPr>
        <w:t>מ</w:t>
      </w:r>
      <w:r>
        <w:rPr>
          <w:rFonts w:cs="1ShefaClassic" w:hint="cs"/>
          <w:bCs/>
          <w:sz w:val="27"/>
          <w:szCs w:val="27"/>
          <w:rtl/>
        </w:rPr>
        <w:t>רדכי שכנא צירקינד</w:t>
      </w:r>
    </w:p>
    <w:p w14:paraId="45035A31" w14:textId="77777777" w:rsidR="008D7606" w:rsidRDefault="008D7606" w:rsidP="008D7606">
      <w:pPr>
        <w:pStyle w:val="NormalComplexNarkisim"/>
        <w:spacing w:after="120" w:line="240" w:lineRule="auto"/>
        <w:rPr>
          <w:rFonts w:cs="1ShefaClassic"/>
          <w:bCs/>
          <w:sz w:val="27"/>
          <w:szCs w:val="27"/>
          <w:rtl/>
        </w:rPr>
      </w:pPr>
      <w:r w:rsidRPr="00D50EFC">
        <w:rPr>
          <w:rFonts w:cs="1ShefaClassic" w:hint="cs"/>
          <w:b/>
          <w:sz w:val="27"/>
          <w:szCs w:val="27"/>
          <w:rtl/>
        </w:rPr>
        <w:t xml:space="preserve">הת' </w:t>
      </w:r>
      <w:r w:rsidRPr="00D50EFC">
        <w:rPr>
          <w:rFonts w:cs="1ShefaClassic" w:hint="cs"/>
          <w:bCs/>
          <w:sz w:val="27"/>
          <w:szCs w:val="27"/>
          <w:rtl/>
        </w:rPr>
        <w:t>מ</w:t>
      </w:r>
      <w:r>
        <w:rPr>
          <w:rFonts w:cs="1ShefaClassic" w:hint="cs"/>
          <w:bCs/>
          <w:sz w:val="27"/>
          <w:szCs w:val="27"/>
          <w:rtl/>
        </w:rPr>
        <w:t>נחם מענדל קאניקאוו</w:t>
      </w:r>
    </w:p>
    <w:p w14:paraId="50A66944" w14:textId="3D32B52B" w:rsidR="00107544" w:rsidRPr="00107544" w:rsidRDefault="00107544" w:rsidP="008D7606">
      <w:pPr>
        <w:pStyle w:val="NormalComplexNarkisim"/>
        <w:spacing w:after="120" w:line="240" w:lineRule="auto"/>
        <w:rPr>
          <w:rFonts w:cs="1ShefaClassic"/>
          <w:bCs/>
          <w:sz w:val="27"/>
          <w:szCs w:val="27"/>
          <w:rtl/>
        </w:rPr>
      </w:pPr>
      <w:r>
        <w:rPr>
          <w:rFonts w:cs="1ShefaClassic" w:hint="cs"/>
          <w:b/>
          <w:sz w:val="27"/>
          <w:szCs w:val="27"/>
          <w:rtl/>
        </w:rPr>
        <w:t xml:space="preserve">הת' </w:t>
      </w:r>
      <w:r>
        <w:rPr>
          <w:rFonts w:cs="1ShefaClassic" w:hint="cs"/>
          <w:bCs/>
          <w:sz w:val="27"/>
          <w:szCs w:val="27"/>
          <w:rtl/>
        </w:rPr>
        <w:t>מנחם מענדל בראנדוויין</w:t>
      </w:r>
    </w:p>
    <w:p w14:paraId="2CA7ECA2" w14:textId="77777777" w:rsidR="008D7606" w:rsidRPr="00D50EFC" w:rsidRDefault="008D7606" w:rsidP="008D7606">
      <w:pPr>
        <w:pStyle w:val="NormalComplexNarkisim"/>
        <w:spacing w:after="120" w:line="240" w:lineRule="auto"/>
        <w:rPr>
          <w:rFonts w:cs="1ShefaClassic"/>
          <w:b/>
          <w:sz w:val="27"/>
          <w:szCs w:val="27"/>
          <w:rtl/>
        </w:rPr>
      </w:pPr>
      <w:r w:rsidRPr="00D50EFC">
        <w:rPr>
          <w:rFonts w:cs="1ShefaClassic" w:hint="cs"/>
          <w:b/>
          <w:sz w:val="27"/>
          <w:szCs w:val="27"/>
          <w:rtl/>
        </w:rPr>
        <w:t>שיחיו</w:t>
      </w:r>
    </w:p>
    <w:p w14:paraId="412DCCBB" w14:textId="77777777" w:rsidR="008D7606" w:rsidRPr="00D50EFC" w:rsidRDefault="008D7606" w:rsidP="008D7606">
      <w:pPr>
        <w:pStyle w:val="NormalComplexNarkisim"/>
        <w:spacing w:after="120" w:line="240" w:lineRule="auto"/>
        <w:rPr>
          <w:rFonts w:cs="1ShefaClassic"/>
          <w:b/>
          <w:sz w:val="27"/>
          <w:szCs w:val="27"/>
          <w:rtl/>
        </w:rPr>
      </w:pPr>
      <w:r w:rsidRPr="00D50EFC">
        <w:rPr>
          <w:rFonts w:cs="1ShefaClassic"/>
          <w:b/>
          <w:sz w:val="27"/>
          <w:szCs w:val="27"/>
        </w:rPr>
        <w:sym w:font="Wingdings 2" w:char="F0B2"/>
      </w:r>
    </w:p>
    <w:p w14:paraId="1513FF86" w14:textId="77777777" w:rsidR="008D7606" w:rsidRPr="00D50EFC" w:rsidRDefault="008D7606" w:rsidP="001E75C9">
      <w:pPr>
        <w:pStyle w:val="NormalComplexNarkisim"/>
        <w:spacing w:line="276" w:lineRule="auto"/>
        <w:rPr>
          <w:rFonts w:cs="1ShefaClassic"/>
          <w:sz w:val="27"/>
          <w:szCs w:val="27"/>
          <w:rtl/>
        </w:rPr>
      </w:pPr>
      <w:r w:rsidRPr="00D50EFC">
        <w:rPr>
          <w:rFonts w:cs="1ShefaClassic" w:hint="cs"/>
          <w:b/>
          <w:sz w:val="27"/>
          <w:szCs w:val="27"/>
          <w:rtl/>
        </w:rPr>
        <w:t xml:space="preserve">שיצליחו בעבודתם בקודש </w:t>
      </w:r>
    </w:p>
    <w:p w14:paraId="3B3E6623" w14:textId="3EE4EACE" w:rsidR="008D7606" w:rsidRDefault="008D7606" w:rsidP="001E75C9">
      <w:pPr>
        <w:spacing w:after="0" w:line="276" w:lineRule="auto"/>
        <w:jc w:val="center"/>
        <w:rPr>
          <w:rFonts w:ascii="FbSfaradi Medium" w:hAnsi="FbSfaradi Medium" w:cs="1ShefaClassic"/>
          <w:sz w:val="27"/>
          <w:szCs w:val="27"/>
          <w:rtl/>
        </w:rPr>
      </w:pPr>
      <w:r>
        <w:rPr>
          <w:rFonts w:ascii="FbSfaradi Medium" w:hAnsi="FbSfaradi Medium" w:cs="1ShefaClassic" w:hint="cs"/>
          <w:sz w:val="27"/>
          <w:szCs w:val="27"/>
          <w:rtl/>
        </w:rPr>
        <w:t>ובכל עניניהם בגו"ר</w:t>
      </w:r>
      <w:r w:rsidRPr="003F7A29">
        <w:rPr>
          <w:rFonts w:ascii="FbSfaradi Medium" w:hAnsi="FbSfaradi Medium" w:cs="1ShefaClassic" w:hint="cs"/>
          <w:sz w:val="27"/>
          <w:szCs w:val="27"/>
          <w:rtl/>
        </w:rPr>
        <w:t xml:space="preserve"> </w:t>
      </w:r>
      <w:r w:rsidRPr="00D50EFC">
        <w:rPr>
          <w:rFonts w:ascii="FbSfaradi Medium" w:hAnsi="FbSfaradi Medium" w:cs="1ShefaClassic" w:hint="cs"/>
          <w:sz w:val="27"/>
          <w:szCs w:val="27"/>
          <w:rtl/>
        </w:rPr>
        <w:t>ושימשיכו לעשות חיל</w:t>
      </w:r>
    </w:p>
    <w:p w14:paraId="06AF63D5" w14:textId="6F10A937" w:rsidR="00107544" w:rsidRPr="00D50EFC" w:rsidRDefault="00107544" w:rsidP="001E75C9">
      <w:pPr>
        <w:spacing w:after="0" w:line="276" w:lineRule="auto"/>
        <w:jc w:val="center"/>
        <w:rPr>
          <w:rFonts w:ascii="FbSfaradi Medium" w:hAnsi="FbSfaradi Medium" w:cs="1ShefaClassic"/>
          <w:sz w:val="27"/>
          <w:szCs w:val="27"/>
          <w:rtl/>
        </w:rPr>
      </w:pPr>
      <w:r w:rsidRPr="00125EF0">
        <w:rPr>
          <w:noProof/>
          <w:sz w:val="24"/>
          <w:szCs w:val="24"/>
        </w:rPr>
        <mc:AlternateContent>
          <mc:Choice Requires="wps">
            <w:drawing>
              <wp:anchor distT="0" distB="0" distL="114300" distR="114300" simplePos="0" relativeHeight="251713536" behindDoc="1" locked="0" layoutInCell="1" allowOverlap="1" wp14:anchorId="06E88237" wp14:editId="25D451D6">
                <wp:simplePos x="0" y="0"/>
                <wp:positionH relativeFrom="column">
                  <wp:posOffset>-365760</wp:posOffset>
                </wp:positionH>
                <wp:positionV relativeFrom="paragraph">
                  <wp:posOffset>316865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F6B0334" w14:textId="77777777" w:rsidR="004D06EF" w:rsidRDefault="004D06EF"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693DD6D6" w:rsidR="004D06EF" w:rsidRDefault="004D06EF" w:rsidP="003234A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ה' טבת - ש"פ ויגש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ב' טבת ה'תשע"ט </w:t>
                            </w:r>
                          </w:p>
                          <w:p w14:paraId="7999197C" w14:textId="77777777" w:rsidR="004D06EF" w:rsidRDefault="004D06EF"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4D06EF" w:rsidRDefault="004D06EF" w:rsidP="003234A3">
                            <w:pPr>
                              <w:pStyle w:val="Footer"/>
                              <w:bidi/>
                              <w:jc w:val="center"/>
                              <w:rPr>
                                <w:rFonts w:ascii="FbFrankReal" w:hAnsi="FbFrankReal" w:cs="Levenim MT"/>
                                <w:sz w:val="16"/>
                                <w:szCs w:val="16"/>
                                <w:rtl/>
                              </w:rPr>
                            </w:pPr>
                          </w:p>
                          <w:p w14:paraId="4B7440B9" w14:textId="77777777" w:rsidR="004D06EF" w:rsidRDefault="004D06EF"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4D06EF" w:rsidRDefault="004D06EF" w:rsidP="003234A3">
                            <w:pPr>
                              <w:bidi/>
                              <w:spacing w:after="0" w:line="240" w:lineRule="auto"/>
                              <w:jc w:val="center"/>
                              <w:rPr>
                                <w:rFonts w:ascii="FbFrankReal" w:hAnsi="FbFrankReal" w:cs="1ShefaClassic"/>
                                <w:b/>
                                <w:bCs/>
                                <w:rtl/>
                              </w:rPr>
                            </w:pPr>
                          </w:p>
                          <w:p w14:paraId="51636224" w14:textId="77777777" w:rsidR="004D06EF" w:rsidRDefault="004D06EF"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4D06EF" w:rsidRDefault="004D06EF"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4D06EF" w:rsidRDefault="004D06EF"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3916C07A" w14:textId="77777777" w:rsidR="004D06EF" w:rsidRDefault="004D06EF"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4D06EF" w:rsidRDefault="004D06EF"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4D06EF" w:rsidRDefault="004D06EF"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4D06EF" w:rsidRDefault="004D06EF"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4D06EF" w:rsidRDefault="004D06EF"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4D06EF" w:rsidRPr="003234A3" w:rsidRDefault="004D06EF" w:rsidP="003234A3">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8.8pt;margin-top:24.95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" fillcolor="window" strokecolor="windowText" strokeweight="1pt">
                <v:textbox>
                  <w:txbxContent>
                    <w:p w14:paraId="2F6B0334" w14:textId="77777777" w:rsidR="004D06EF" w:rsidRDefault="004D06EF"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693DD6D6" w:rsidR="004D06EF" w:rsidRDefault="004D06EF" w:rsidP="003234A3">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ה' טבת - ש"פ ויגש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ב' טבת ה'תשע"ט </w:t>
                      </w:r>
                    </w:p>
                    <w:p w14:paraId="7999197C" w14:textId="77777777" w:rsidR="004D06EF" w:rsidRDefault="004D06EF"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4D06EF" w:rsidRDefault="004D06EF" w:rsidP="003234A3">
                      <w:pPr>
                        <w:pStyle w:val="Footer"/>
                        <w:bidi/>
                        <w:jc w:val="center"/>
                        <w:rPr>
                          <w:rFonts w:ascii="FbFrankReal" w:hAnsi="FbFrankReal" w:cs="Levenim MT"/>
                          <w:sz w:val="16"/>
                          <w:szCs w:val="16"/>
                          <w:rtl/>
                        </w:rPr>
                      </w:pPr>
                    </w:p>
                    <w:p w14:paraId="4B7440B9" w14:textId="77777777" w:rsidR="004D06EF" w:rsidRDefault="004D06EF"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4D06EF" w:rsidRDefault="004D06EF" w:rsidP="003234A3">
                      <w:pPr>
                        <w:bidi/>
                        <w:spacing w:after="0" w:line="240" w:lineRule="auto"/>
                        <w:jc w:val="center"/>
                        <w:rPr>
                          <w:rFonts w:ascii="FbFrankReal" w:hAnsi="FbFrankReal" w:cs="1ShefaClassic"/>
                          <w:b/>
                          <w:bCs/>
                          <w:rtl/>
                        </w:rPr>
                      </w:pPr>
                    </w:p>
                    <w:p w14:paraId="51636224" w14:textId="77777777" w:rsidR="004D06EF" w:rsidRDefault="004D06EF"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4D06EF" w:rsidRDefault="004D06EF"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4D06EF" w:rsidRDefault="004D06EF"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3916C07A" w14:textId="77777777" w:rsidR="004D06EF" w:rsidRDefault="004D06EF"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4D06EF" w:rsidRDefault="004D06EF"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4D06EF" w:rsidRDefault="004D06EF"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4D06EF" w:rsidRDefault="004D06EF"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4D06EF" w:rsidRDefault="004D06EF"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4D06EF" w:rsidRPr="003234A3" w:rsidRDefault="004D06EF" w:rsidP="003234A3">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Pr="00D50EFC">
        <w:rPr>
          <w:rFonts w:ascii="FbSfaradi Medium" w:hAnsi="FbSfaradi Medium" w:cs="1ShefaClassic" w:hint="cs"/>
          <w:sz w:val="27"/>
          <w:szCs w:val="27"/>
          <w:rtl/>
        </w:rPr>
        <w:t>לנח"ר כ"ק אדמו"ר נשיא דורנו</w:t>
      </w:r>
    </w:p>
    <w:p w14:paraId="4F9A7648" w14:textId="5D8EEECD" w:rsidR="00140022" w:rsidRPr="00125EF0" w:rsidRDefault="00140022" w:rsidP="00107544">
      <w:pPr>
        <w:spacing w:line="240" w:lineRule="auto"/>
        <w:jc w:val="center"/>
        <w:rPr>
          <w:rFonts w:ascii="FbFrankReal" w:hAnsi="FbFrankReal" w:cs="FbFrankReal"/>
          <w:sz w:val="24"/>
          <w:szCs w:val="24"/>
        </w:rPr>
        <w:sectPr w:rsidR="00140022" w:rsidRPr="00125EF0"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63ABDA0D" w14:textId="02D96480" w:rsidR="005D5315" w:rsidRDefault="005D5315" w:rsidP="00421D80">
      <w:pPr>
        <w:pStyle w:val="a3"/>
        <w:spacing w:before="0" w:after="100"/>
        <w:rPr>
          <w:rtl/>
        </w:rPr>
      </w:pPr>
      <w:bookmarkStart w:id="94" w:name="_Toc531140340"/>
      <w:bookmarkStart w:id="95" w:name="_Toc504475491"/>
      <w:bookmarkEnd w:id="0"/>
      <w:bookmarkEnd w:id="90"/>
      <w:bookmarkEnd w:id="91"/>
      <w:bookmarkEnd w:id="92"/>
      <w:bookmarkEnd w:id="93"/>
      <w:r>
        <w:rPr>
          <w:rFonts w:hint="cs"/>
          <w:rtl/>
        </w:rPr>
        <w:lastRenderedPageBreak/>
        <w:t>עניני משיח וגאולה</w:t>
      </w:r>
      <w:bookmarkEnd w:id="94"/>
    </w:p>
    <w:p w14:paraId="7ED13DBD" w14:textId="77777777" w:rsidR="00D044E2" w:rsidRPr="00FA1D26" w:rsidRDefault="00D044E2" w:rsidP="00D044E2">
      <w:pPr>
        <w:pStyle w:val="a"/>
        <w:bidi w:val="0"/>
      </w:pPr>
      <w:bookmarkStart w:id="96" w:name="_Toc531140341"/>
      <w:bookmarkStart w:id="97" w:name="_Toc504475515"/>
      <w:bookmarkEnd w:id="95"/>
      <w:r w:rsidRPr="00FA1D26">
        <w:rPr>
          <w:rFonts w:hint="cs"/>
          <w:rtl/>
        </w:rPr>
        <w:t>הברכות שנברך בראיית משיח בב"א</w:t>
      </w:r>
      <w:r w:rsidRPr="00D044E2">
        <w:rPr>
          <w:rStyle w:val="FootnoteReference"/>
          <w:rtl/>
        </w:rPr>
        <w:footnoteReference w:id="2"/>
      </w:r>
      <w:bookmarkEnd w:id="96"/>
      <w:r w:rsidRPr="00FA1D26">
        <w:rPr>
          <w:rFonts w:hint="cs"/>
          <w:rtl/>
        </w:rPr>
        <w:t xml:space="preserve"> </w:t>
      </w:r>
    </w:p>
    <w:p w14:paraId="3C3A720C" w14:textId="00878F53" w:rsidR="00D044E2" w:rsidRPr="008307D7" w:rsidRDefault="00D044E2" w:rsidP="00C40DBA">
      <w:pPr>
        <w:pStyle w:val="a0"/>
        <w:rPr>
          <w:rtl/>
        </w:rPr>
      </w:pPr>
      <w:bookmarkStart w:id="98" w:name="_Toc531140342"/>
      <w:r w:rsidRPr="008307D7">
        <w:rPr>
          <w:rFonts w:hint="cs"/>
          <w:rtl/>
          <w:lang w:bidi="he-IL"/>
        </w:rPr>
        <w:t>הרב אברהם יצחק ברוך גערליצקי שליט</w:t>
      </w:r>
      <w:r w:rsidRPr="008307D7">
        <w:rPr>
          <w:rFonts w:hint="cs"/>
          <w:rtl/>
        </w:rPr>
        <w:t>"</w:t>
      </w:r>
      <w:r w:rsidRPr="008307D7">
        <w:rPr>
          <w:rFonts w:hint="cs"/>
          <w:rtl/>
          <w:lang w:bidi="he-IL"/>
        </w:rPr>
        <w:t>א</w:t>
      </w:r>
      <w:bookmarkEnd w:id="98"/>
    </w:p>
    <w:p w14:paraId="29360FE7" w14:textId="77777777" w:rsidR="00D044E2" w:rsidRPr="00FA1D26" w:rsidRDefault="00D044E2" w:rsidP="00D044E2">
      <w:pPr>
        <w:pStyle w:val="a1"/>
      </w:pPr>
      <w:r w:rsidRPr="00FA1D26">
        <w:rPr>
          <w:rFonts w:hint="cs"/>
          <w:rtl/>
        </w:rPr>
        <w:t xml:space="preserve">ר"מ בישיבה </w:t>
      </w:r>
    </w:p>
    <w:p w14:paraId="1A0CC6B8" w14:textId="77777777" w:rsidR="00D044E2" w:rsidRPr="00FA1D26" w:rsidRDefault="00D044E2" w:rsidP="00423C6D">
      <w:pPr>
        <w:pStyle w:val="11"/>
        <w:rPr>
          <w:rtl/>
        </w:rPr>
      </w:pPr>
      <w:r w:rsidRPr="00FA1D26">
        <w:rPr>
          <w:rtl/>
        </w:rPr>
        <w:t>הרואה את חבירו</w:t>
      </w:r>
      <w:r w:rsidRPr="00FA1D26">
        <w:rPr>
          <w:rFonts w:hint="cs"/>
          <w:rtl/>
        </w:rPr>
        <w:t xml:space="preserve"> </w:t>
      </w:r>
      <w:r w:rsidRPr="00FA1D26">
        <w:rPr>
          <w:rtl/>
        </w:rPr>
        <w:t xml:space="preserve">לאחר </w:t>
      </w:r>
      <w:r w:rsidRPr="00FA1D26">
        <w:rPr>
          <w:rFonts w:hint="cs"/>
          <w:rtl/>
        </w:rPr>
        <w:t xml:space="preserve">י"ב </w:t>
      </w:r>
      <w:r w:rsidRPr="00FA1D26">
        <w:rPr>
          <w:rtl/>
        </w:rPr>
        <w:t>ח</w:t>
      </w:r>
      <w:r w:rsidRPr="00FA1D26">
        <w:rPr>
          <w:rFonts w:hint="cs"/>
          <w:rtl/>
        </w:rPr>
        <w:t>ו</w:t>
      </w:r>
      <w:r w:rsidRPr="00FA1D26">
        <w:rPr>
          <w:rtl/>
        </w:rPr>
        <w:t>דש - אומר ברוך מחיה המתים</w:t>
      </w:r>
    </w:p>
    <w:p w14:paraId="7730445A" w14:textId="77777777" w:rsidR="00D044E2" w:rsidRPr="00FA1D26" w:rsidRDefault="00D044E2" w:rsidP="00423C6D">
      <w:pPr>
        <w:pStyle w:val="a2"/>
        <w:rPr>
          <w:rtl/>
        </w:rPr>
      </w:pPr>
      <w:r w:rsidRPr="00FA1D26">
        <w:rPr>
          <w:rFonts w:hint="cs"/>
          <w:rtl/>
        </w:rPr>
        <w:t>בגמ' ברכות נח,ב: "</w:t>
      </w:r>
      <w:r w:rsidRPr="00FA1D26">
        <w:rPr>
          <w:rtl/>
        </w:rPr>
        <w:t>אמר רבי יהושע בן לוי: הרואה את חבירו לאחר שלשים יום אומר: ברוך שהחיינו וקיימנו והגיענו לזמן הזה, לאחר שנים עשר חדש - אומר ברוך מחיה המתים. אמר רב: אין המת משתכח מן הלב אלא לאחר שנים עשר חדש, שנאמר נשכחתי כמת מלב הייתי ככלי אובד</w:t>
      </w:r>
      <w:r w:rsidRPr="00FA1D26">
        <w:rPr>
          <w:rFonts w:hint="cs"/>
          <w:rtl/>
        </w:rPr>
        <w:t xml:space="preserve">" ופי' ברבינו יונה שם: </w:t>
      </w:r>
      <w:r w:rsidRPr="00FA1D26">
        <w:rPr>
          <w:rtl/>
        </w:rPr>
        <w:t>לאחר י"ב חדש מברך מחיה המתים מפני שנשכח מהלב כמו שהמת נשכח לאחר י"ב חדש דכתיב נשכחתי כמת מלב</w:t>
      </w:r>
      <w:r w:rsidRPr="00FA1D26">
        <w:rPr>
          <w:rFonts w:hint="cs"/>
          <w:rtl/>
        </w:rPr>
        <w:t>,</w:t>
      </w:r>
      <w:r w:rsidRPr="00FA1D26">
        <w:rPr>
          <w:rtl/>
        </w:rPr>
        <w:t xml:space="preserve"> הייתי ככלי אובד מה כלי מתיאש אדם ממנו כשאבד אותו ולא מצאו בתוך י"ב חדשים</w:t>
      </w:r>
      <w:r w:rsidRPr="00FA1D26">
        <w:rPr>
          <w:rFonts w:hint="cs"/>
          <w:rtl/>
        </w:rPr>
        <w:t>,</w:t>
      </w:r>
      <w:r w:rsidRPr="00FA1D26">
        <w:rPr>
          <w:rtl/>
        </w:rPr>
        <w:t xml:space="preserve"> אף המת נשתכח מהלב לאחר י"ב חודש</w:t>
      </w:r>
      <w:r w:rsidRPr="00FA1D26">
        <w:rPr>
          <w:rFonts w:hint="cs"/>
          <w:rtl/>
        </w:rPr>
        <w:t xml:space="preserve"> עכ"ל, וכ"כ המאירי "</w:t>
      </w:r>
      <w:r w:rsidRPr="00FA1D26">
        <w:rPr>
          <w:rtl/>
        </w:rPr>
        <w:t>לאחר י"ב חדש אומר ברוך מחיה המתים שכבר נשתכח מלבו כמת</w:t>
      </w:r>
      <w:r w:rsidRPr="00FA1D26">
        <w:rPr>
          <w:rFonts w:hint="cs"/>
          <w:rtl/>
        </w:rPr>
        <w:t>".</w:t>
      </w:r>
    </w:p>
    <w:p w14:paraId="11BB23CA" w14:textId="77777777" w:rsidR="00D044E2" w:rsidRPr="00FA1D26" w:rsidRDefault="00D044E2" w:rsidP="00423C6D">
      <w:pPr>
        <w:pStyle w:val="a2"/>
        <w:rPr>
          <w:rtl/>
        </w:rPr>
      </w:pPr>
      <w:r w:rsidRPr="00FA1D26">
        <w:rPr>
          <w:rFonts w:hint="cs"/>
          <w:rtl/>
        </w:rPr>
        <w:t xml:space="preserve">ובשו"ת הרשב"א (ח"ד סי' ע"ו) כתב וז"ל: </w:t>
      </w:r>
      <w:r w:rsidRPr="00FA1D26">
        <w:rPr>
          <w:rtl/>
        </w:rPr>
        <w:t>שאלת מי שלא ראה את חבירו מעולם ושולחים זה לזה מכתבים</w:t>
      </w:r>
      <w:r w:rsidRPr="00FA1D26">
        <w:rPr>
          <w:rFonts w:hint="cs"/>
          <w:rtl/>
        </w:rPr>
        <w:t xml:space="preserve">, </w:t>
      </w:r>
      <w:r w:rsidRPr="00FA1D26">
        <w:rPr>
          <w:rtl/>
        </w:rPr>
        <w:t xml:space="preserve">ועכשיו ראהו. מה יברך אם נהנה בראייתו, </w:t>
      </w:r>
      <w:r w:rsidRPr="00FA1D26">
        <w:rPr>
          <w:bCs/>
          <w:rtl/>
        </w:rPr>
        <w:t>תשובה</w:t>
      </w:r>
      <w:r w:rsidRPr="00FA1D26">
        <w:rPr>
          <w:rtl/>
        </w:rPr>
        <w:t xml:space="preserve"> מי שלא ראה את חבירו מעולם איני רואה שיהא חייב לברך כלו</w:t>
      </w:r>
      <w:r w:rsidRPr="00FA1D26">
        <w:rPr>
          <w:rFonts w:hint="cs"/>
          <w:rtl/>
        </w:rPr>
        <w:t>ם</w:t>
      </w:r>
      <w:r w:rsidRPr="00FA1D26">
        <w:rPr>
          <w:rtl/>
        </w:rPr>
        <w:t>. שאם יברך על כל מי שנהנה בראייתו רבו הברכות. ולא אמרו אלא בחבירו הרגיל אצלו. דאילו על מי שלא ראהו לא נמצא החילוק הזה. שבברכת מי שלא ראה את חבירו ל' יום יברך שהחיינו. ולאחר י"ב חדש יברך מחיה המתים. דאילו לא ראהו מעולם כ"ש שעברו י"ב חדש ומחיה המתים יברך. אלא שלא אמרו אלא במי שראה את חבירו ואח"</w:t>
      </w:r>
      <w:r w:rsidRPr="00FA1D26">
        <w:rPr>
          <w:rFonts w:hint="cs"/>
          <w:rtl/>
        </w:rPr>
        <w:t xml:space="preserve">כ </w:t>
      </w:r>
      <w:r w:rsidRPr="00FA1D26">
        <w:rPr>
          <w:rtl/>
        </w:rPr>
        <w:t>נעלם ממנו. דעל מי שעברו עליו ל' יום יברך שהחי</w:t>
      </w:r>
      <w:r w:rsidRPr="00FA1D26">
        <w:rPr>
          <w:rFonts w:hint="cs"/>
          <w:rtl/>
        </w:rPr>
        <w:t>י</w:t>
      </w:r>
      <w:r w:rsidRPr="00FA1D26">
        <w:rPr>
          <w:rtl/>
        </w:rPr>
        <w:t>נו. ואם עברו עליו י"ב חדש יברך מחיה המתים. שהרי זה בראייתו עכשיו כאלו נעלם ממנו ומת ועכשיו חזר וחייה</w:t>
      </w:r>
      <w:r w:rsidRPr="00FA1D26">
        <w:rPr>
          <w:rFonts w:hint="cs"/>
          <w:rtl/>
        </w:rPr>
        <w:t xml:space="preserve"> עכ"ל, ז.א. דאם לא ראוהו מעולם לא נעשה אוהבו כ"כ</w:t>
      </w:r>
      <w:r w:rsidRPr="00FA1D26">
        <w:rPr>
          <w:rFonts w:hint="cs"/>
          <w:bCs/>
          <w:rtl/>
        </w:rPr>
        <w:t xml:space="preserve"> </w:t>
      </w:r>
      <w:r w:rsidRPr="00FA1D26">
        <w:rPr>
          <w:rFonts w:hint="cs"/>
          <w:rtl/>
        </w:rPr>
        <w:t>ובמילא אינו שמח כ"כ בראייתו ולכן אינו מברך.</w:t>
      </w:r>
    </w:p>
    <w:p w14:paraId="5358AFDC" w14:textId="77777777" w:rsidR="00D044E2" w:rsidRPr="00FA1D26" w:rsidRDefault="00D044E2" w:rsidP="00423C6D">
      <w:pPr>
        <w:pStyle w:val="a2"/>
        <w:rPr>
          <w:rtl/>
        </w:rPr>
      </w:pPr>
      <w:r w:rsidRPr="00FA1D26">
        <w:rPr>
          <w:rFonts w:hint="cs"/>
          <w:rtl/>
        </w:rPr>
        <w:t>ואף דאדה"ז בלוח ברכת</w:t>
      </w:r>
      <w:r w:rsidRPr="00FA1D26">
        <w:rPr>
          <w:rtl/>
        </w:rPr>
        <w:t xml:space="preserve"> הנהנין </w:t>
      </w:r>
      <w:r w:rsidRPr="00FA1D26">
        <w:rPr>
          <w:rFonts w:hint="cs"/>
          <w:rtl/>
        </w:rPr>
        <w:t>(</w:t>
      </w:r>
      <w:r w:rsidRPr="00FA1D26">
        <w:rPr>
          <w:rtl/>
        </w:rPr>
        <w:t>פרק יא</w:t>
      </w:r>
      <w:r w:rsidRPr="00FA1D26">
        <w:rPr>
          <w:rFonts w:hint="cs"/>
          <w:rtl/>
        </w:rPr>
        <w:t xml:space="preserve"> סעי' כ"ב) כתב: "</w:t>
      </w:r>
      <w:r w:rsidRPr="00FA1D26">
        <w:rPr>
          <w:rtl/>
        </w:rPr>
        <w:t xml:space="preserve">הרואה את חבירו החביב עליו הרבה ושמח ונהנה בראייתו אם לא ראהו זה שנים עשר חודש </w:t>
      </w:r>
      <w:r w:rsidRPr="00FA1D26">
        <w:rPr>
          <w:bCs/>
          <w:rtl/>
        </w:rPr>
        <w:t xml:space="preserve">ואין צריך לומר אם לא ראהו מעולם </w:t>
      </w:r>
      <w:r w:rsidRPr="00FA1D26">
        <w:rPr>
          <w:rtl/>
        </w:rPr>
        <w:t xml:space="preserve">צריך לברך ברוך אתה יי אלהינו מלך העולם מחיה המתים </w:t>
      </w:r>
      <w:r w:rsidRPr="00FA1D26">
        <w:rPr>
          <w:rtl/>
        </w:rPr>
        <w:lastRenderedPageBreak/>
        <w:t>ואם לא ראהו זה שלשים יום מברך שהחיינו</w:t>
      </w:r>
      <w:r w:rsidRPr="00FA1D26">
        <w:rPr>
          <w:rFonts w:hint="cs"/>
          <w:rtl/>
        </w:rPr>
        <w:t>" ולא כהרשב"א, הנה בסדר ברכה"נ (</w:t>
      </w:r>
      <w:r w:rsidRPr="00FA1D26">
        <w:rPr>
          <w:rtl/>
        </w:rPr>
        <w:t>פ</w:t>
      </w:r>
      <w:r w:rsidRPr="00FA1D26">
        <w:rPr>
          <w:rFonts w:hint="cs"/>
          <w:rtl/>
        </w:rPr>
        <w:t>י"</w:t>
      </w:r>
      <w:r w:rsidRPr="00FA1D26">
        <w:rPr>
          <w:rtl/>
        </w:rPr>
        <w:t>ב</w:t>
      </w:r>
      <w:r w:rsidRPr="00FA1D26">
        <w:rPr>
          <w:rFonts w:hint="cs"/>
          <w:rtl/>
        </w:rPr>
        <w:t xml:space="preserve"> סעי' יא) כתב: "</w:t>
      </w:r>
      <w:r w:rsidRPr="00FA1D26">
        <w:rPr>
          <w:rtl/>
        </w:rPr>
        <w:t>הרואה את חבירו החביב עליו הרבה ושמח ונהנה בראייתו אם לא ראהו זה שלשים יום יברך שהחיינו ואם לא ראהו זה שנים עשר חודש צריך לברך ברוך אתה יי אלהינו מלך העולם מחיה המתים</w:t>
      </w:r>
      <w:r w:rsidRPr="00FA1D26">
        <w:rPr>
          <w:rFonts w:hint="cs"/>
          <w:rtl/>
        </w:rPr>
        <w:t xml:space="preserve">, </w:t>
      </w:r>
      <w:r w:rsidRPr="00FA1D26">
        <w:rPr>
          <w:rtl/>
        </w:rPr>
        <w:t>ואפילו היתה לו ממנו ידיעה בינתיים בכתב או בעל פה כי עיקר הברכה הוא על הנאה ושמחת הלב בראיית פניו</w:t>
      </w:r>
      <w:r w:rsidRPr="00FA1D26">
        <w:rPr>
          <w:rFonts w:hint="cs"/>
          <w:rtl/>
        </w:rPr>
        <w:t>" הרי דהכא לא כתב שמברך באם ראהו מעולם, ומשמע שחזר בו, וכ"כ הרבי ב'תורת מנחם' שם על סדר ברכה"נ (אות כג): "בלוח: "ואצ"ל אם לא ראהו מעולם", ומדהשמיט כאן, משמע דסב"ל כשערי תשובה רכה ס"ב" וצויין שם לבדי השלחן סי' ס"ו סק"ז שכ"כ וביאר שם איך פירש אדה"ז דברי המחבר לפי סברא הראשונה עיי"ש.</w:t>
      </w:r>
    </w:p>
    <w:p w14:paraId="0C5F5C99" w14:textId="77777777" w:rsidR="00D044E2" w:rsidRPr="00FA1D26" w:rsidRDefault="00D044E2" w:rsidP="00423C6D">
      <w:pPr>
        <w:pStyle w:val="a2"/>
        <w:rPr>
          <w:rtl/>
        </w:rPr>
      </w:pPr>
      <w:r w:rsidRPr="00FA1D26">
        <w:rPr>
          <w:rFonts w:hint="cs"/>
          <w:rtl/>
        </w:rPr>
        <w:t xml:space="preserve">והמחבר שם כתב: </w:t>
      </w:r>
      <w:r w:rsidRPr="00FA1D26">
        <w:rPr>
          <w:rtl/>
        </w:rPr>
        <w:t>הרואה את חבירו לאחר שלשים יום, אומר: שהחיינו, ואחר י"ב חדש מברך</w:t>
      </w:r>
      <w:r w:rsidRPr="00FA1D26">
        <w:rPr>
          <w:rFonts w:hint="cs"/>
          <w:rtl/>
        </w:rPr>
        <w:t xml:space="preserve"> </w:t>
      </w:r>
      <w:r w:rsidRPr="00FA1D26">
        <w:rPr>
          <w:rtl/>
        </w:rPr>
        <w:t xml:space="preserve">מחיה מתים, והוא שחביב עליו הרבה ושמח בראייתו. </w:t>
      </w:r>
      <w:r w:rsidRPr="00FA1D26">
        <w:rPr>
          <w:rFonts w:hint="cs"/>
          <w:rtl/>
        </w:rPr>
        <w:t>וב</w:t>
      </w:r>
      <w:r w:rsidRPr="00FA1D26">
        <w:rPr>
          <w:rtl/>
        </w:rPr>
        <w:t>סעיף ב</w:t>
      </w:r>
      <w:r w:rsidRPr="00FA1D26">
        <w:rPr>
          <w:rFonts w:hint="cs"/>
          <w:rtl/>
        </w:rPr>
        <w:t>: הוסיף: "</w:t>
      </w:r>
      <w:r w:rsidRPr="00FA1D26">
        <w:rPr>
          <w:rtl/>
        </w:rPr>
        <w:t>מי שלא ראה את חבירו מעולם, ושלח לו כתבים, אף על פי שהוא נהנה בראייתו אינו מברך על ראייתו</w:t>
      </w:r>
      <w:r w:rsidRPr="00FA1D26">
        <w:rPr>
          <w:rFonts w:hint="cs"/>
          <w:rtl/>
        </w:rPr>
        <w:t>, וכ"כ בקשו"ע סי' נט סעי' כ-כא: "ח</w:t>
      </w:r>
      <w:r w:rsidRPr="00FA1D26">
        <w:rPr>
          <w:rtl/>
        </w:rPr>
        <w:t>ברו שלא ראה אותו מעולם, אלא שעל ידי מכתבים שהריצו מזה לזה נעשו אוהבים, אם רואהו אחר כך אינו מברך על ראייתו, דכיון שלא התראו מעולם פנים אל פנים, אין האהבה גדולה כל כך שיהא שמח בראייתו</w:t>
      </w:r>
      <w:r w:rsidRPr="00FA1D26">
        <w:rPr>
          <w:rFonts w:hint="cs"/>
          <w:rtl/>
        </w:rPr>
        <w:t>"</w:t>
      </w:r>
      <w:r w:rsidRPr="00FA1D26">
        <w:rPr>
          <w:rtl/>
        </w:rPr>
        <w:t>.</w:t>
      </w:r>
    </w:p>
    <w:p w14:paraId="41700C9C" w14:textId="77777777" w:rsidR="00D044E2" w:rsidRPr="00FA1D26" w:rsidRDefault="00D044E2" w:rsidP="00423C6D">
      <w:pPr>
        <w:pStyle w:val="11"/>
        <w:rPr>
          <w:rtl/>
        </w:rPr>
      </w:pPr>
      <w:r w:rsidRPr="00FA1D26">
        <w:rPr>
          <w:rFonts w:hint="cs"/>
          <w:rtl/>
        </w:rPr>
        <w:t>לדעת הפמ"ג שייך ברכה  זו אפילו אם לא ראוהו מעולם</w:t>
      </w:r>
    </w:p>
    <w:p w14:paraId="02A08AE7" w14:textId="77777777" w:rsidR="00D044E2" w:rsidRPr="00FA1D26" w:rsidRDefault="00D044E2" w:rsidP="00423C6D">
      <w:pPr>
        <w:pStyle w:val="a2"/>
        <w:rPr>
          <w:rtl/>
        </w:rPr>
      </w:pPr>
      <w:r w:rsidRPr="00FA1D26">
        <w:rPr>
          <w:rtl/>
        </w:rPr>
        <w:t xml:space="preserve"> </w:t>
      </w:r>
      <w:r w:rsidRPr="00FA1D26">
        <w:rPr>
          <w:rFonts w:hint="cs"/>
          <w:rtl/>
        </w:rPr>
        <w:t>והפמ"ג בא"א (שם סק"ג כתב) ע"ז: "</w:t>
      </w:r>
      <w:r w:rsidRPr="00FA1D26">
        <w:rPr>
          <w:rtl/>
        </w:rPr>
        <w:t>שלא ראה. עיין מ"א. אף דעתה רואהו מכל מקום כיון דלא נעשה אוהב לו כי אם ע"י אגרת אין אהבה כל כך וליכא שמחה עתה, כי אם בדש ביה. מה שאין כן ילדה אשתו והוא היה במדינת הים וראוהו עתה מברך שהחיינו או מחיה המתים דוודאי יש לו שמחה בוולדו</w:t>
      </w:r>
      <w:r w:rsidRPr="00FA1D26">
        <w:rPr>
          <w:rFonts w:hint="cs"/>
          <w:rtl/>
        </w:rPr>
        <w:t>", דכשהי' במקום אחר ושמע שנולד לו ולד, אם בא בתוך שלשים יום מברך שהחיינו ואם בא אחר י"ב חודש מברך מחיה המתים, (כן משמע בכוונת הפמ"ג)  ולכאורה דברי הפמ"ג סותרים דברי הרשב"א שכתב דאם לא ראהו מעולם אינו מברך ברכת מחיה המתים וא"כ למה מברך כאן בראה וולדו בפעם ראשון?</w:t>
      </w:r>
    </w:p>
    <w:p w14:paraId="63FD654E" w14:textId="77777777" w:rsidR="00D044E2" w:rsidRPr="00FA1D26" w:rsidRDefault="00D044E2" w:rsidP="00423C6D">
      <w:pPr>
        <w:pStyle w:val="a2"/>
        <w:rPr>
          <w:rtl/>
        </w:rPr>
      </w:pPr>
      <w:r w:rsidRPr="00FA1D26">
        <w:rPr>
          <w:rFonts w:hint="cs"/>
          <w:rtl/>
        </w:rPr>
        <w:t xml:space="preserve">וכבר עמד ע"ז בשו"ת הר צבי </w:t>
      </w:r>
      <w:r w:rsidRPr="00FA1D26">
        <w:rPr>
          <w:rtl/>
        </w:rPr>
        <w:t xml:space="preserve">(או"ח ח"א, סי' קטו), </w:t>
      </w:r>
      <w:r w:rsidRPr="00FA1D26">
        <w:rPr>
          <w:rFonts w:hint="cs"/>
          <w:rtl/>
        </w:rPr>
        <w:t xml:space="preserve">דשקו"ט </w:t>
      </w:r>
      <w:r w:rsidRPr="00FA1D26">
        <w:rPr>
          <w:rtl/>
        </w:rPr>
        <w:t xml:space="preserve">בהא </w:t>
      </w:r>
      <w:r w:rsidRPr="00FA1D26">
        <w:rPr>
          <w:rFonts w:hint="cs"/>
          <w:rtl/>
        </w:rPr>
        <w:t>ד</w:t>
      </w:r>
      <w:r w:rsidRPr="00FA1D26">
        <w:rPr>
          <w:rtl/>
        </w:rPr>
        <w:t xml:space="preserve">בעל המנחת אלעזר </w:t>
      </w:r>
      <w:r w:rsidRPr="00FA1D26">
        <w:rPr>
          <w:rFonts w:hint="cs"/>
          <w:rtl/>
        </w:rPr>
        <w:t xml:space="preserve">זצ"ל </w:t>
      </w:r>
      <w:r w:rsidRPr="00FA1D26">
        <w:rPr>
          <w:rtl/>
        </w:rPr>
        <w:t xml:space="preserve">בירך ברכת שהחיינו על המהרש"א אלפנדרי כשראהו לראשונה, אף על פי שלא ראהו מעולם עד אז, </w:t>
      </w:r>
      <w:r w:rsidRPr="00FA1D26">
        <w:rPr>
          <w:rFonts w:hint="cs"/>
          <w:rtl/>
        </w:rPr>
        <w:t xml:space="preserve">והקשו </w:t>
      </w:r>
      <w:r w:rsidRPr="00FA1D26">
        <w:rPr>
          <w:rtl/>
        </w:rPr>
        <w:t xml:space="preserve">דהרי זה נגד המפורש בשו"ע </w:t>
      </w:r>
      <w:r w:rsidRPr="00FA1D26">
        <w:rPr>
          <w:rFonts w:hint="cs"/>
          <w:rtl/>
        </w:rPr>
        <w:t xml:space="preserve">ותשובת הרשב"א כנ"ל דאם </w:t>
      </w:r>
      <w:r w:rsidRPr="00FA1D26">
        <w:rPr>
          <w:rtl/>
        </w:rPr>
        <w:t>לא ראהו מעולם אינו מברך ברכה זו</w:t>
      </w:r>
      <w:r w:rsidRPr="00FA1D26">
        <w:rPr>
          <w:rFonts w:hint="cs"/>
          <w:rtl/>
        </w:rPr>
        <w:t>?</w:t>
      </w:r>
      <w:r w:rsidRPr="00FA1D26">
        <w:rPr>
          <w:rtl/>
        </w:rPr>
        <w:t xml:space="preserve"> ו</w:t>
      </w:r>
      <w:r w:rsidRPr="00FA1D26">
        <w:rPr>
          <w:rFonts w:hint="cs"/>
          <w:rtl/>
        </w:rPr>
        <w:t>ביאר</w:t>
      </w:r>
      <w:r w:rsidRPr="00FA1D26">
        <w:rPr>
          <w:rtl/>
        </w:rPr>
        <w:t>, דעד כאן לא מיירי הרשב"א אלא בסתם בני אדם</w:t>
      </w:r>
      <w:r w:rsidRPr="00FA1D26">
        <w:rPr>
          <w:rFonts w:hint="cs"/>
          <w:rtl/>
        </w:rPr>
        <w:t xml:space="preserve"> דאם לא ראהו מעולם </w:t>
      </w:r>
      <w:r w:rsidRPr="00FA1D26">
        <w:rPr>
          <w:rtl/>
        </w:rPr>
        <w:t>בדרך כלל המציאות היא דאינו שמח בו כ"כ,</w:t>
      </w:r>
      <w:r w:rsidRPr="00FA1D26">
        <w:rPr>
          <w:rFonts w:hint="cs"/>
          <w:rtl/>
        </w:rPr>
        <w:t xml:space="preserve"> </w:t>
      </w:r>
      <w:r w:rsidRPr="00FA1D26">
        <w:rPr>
          <w:rtl/>
        </w:rPr>
        <w:t xml:space="preserve">אבל בנידון </w:t>
      </w:r>
      <w:r w:rsidRPr="00FA1D26">
        <w:rPr>
          <w:rFonts w:hint="cs"/>
          <w:rtl/>
        </w:rPr>
        <w:t xml:space="preserve">דהמנח"א </w:t>
      </w:r>
      <w:r w:rsidRPr="00FA1D26">
        <w:rPr>
          <w:rtl/>
        </w:rPr>
        <w:t xml:space="preserve">דהווה קים ליה בגווה שהוא שמח מאוד </w:t>
      </w:r>
      <w:r w:rsidRPr="00FA1D26">
        <w:rPr>
          <w:rFonts w:hint="cs"/>
          <w:rtl/>
        </w:rPr>
        <w:t>ב</w:t>
      </w:r>
      <w:r w:rsidRPr="00FA1D26">
        <w:rPr>
          <w:rtl/>
        </w:rPr>
        <w:t>רא</w:t>
      </w:r>
      <w:r w:rsidRPr="00FA1D26">
        <w:rPr>
          <w:rFonts w:hint="cs"/>
          <w:rtl/>
        </w:rPr>
        <w:t>יי</w:t>
      </w:r>
      <w:r w:rsidRPr="00FA1D26">
        <w:rPr>
          <w:rtl/>
        </w:rPr>
        <w:t xml:space="preserve">תו, גם להרשב"א </w:t>
      </w:r>
      <w:r w:rsidRPr="00FA1D26">
        <w:rPr>
          <w:rFonts w:hint="cs"/>
          <w:rtl/>
        </w:rPr>
        <w:t>והמחבר מברך</w:t>
      </w:r>
      <w:r w:rsidRPr="00FA1D26">
        <w:rPr>
          <w:rtl/>
        </w:rPr>
        <w:t>, משום ד</w:t>
      </w:r>
      <w:r w:rsidRPr="00FA1D26">
        <w:rPr>
          <w:rFonts w:hint="cs"/>
          <w:rtl/>
        </w:rPr>
        <w:t xml:space="preserve">ידע שיש כאן שמחה יתירה וכו', ועפ"ז מובנים גם </w:t>
      </w:r>
      <w:r w:rsidRPr="00FA1D26">
        <w:rPr>
          <w:rFonts w:hint="cs"/>
          <w:rtl/>
        </w:rPr>
        <w:lastRenderedPageBreak/>
        <w:t>דברי הפמ</w:t>
      </w:r>
      <w:r w:rsidRPr="00FA1D26">
        <w:rPr>
          <w:rFonts w:hint="cs"/>
          <w:bCs/>
          <w:rtl/>
        </w:rPr>
        <w:t>"</w:t>
      </w:r>
      <w:r w:rsidRPr="00FA1D26">
        <w:rPr>
          <w:rFonts w:hint="cs"/>
          <w:rtl/>
        </w:rPr>
        <w:t>ג, דבראית וולדו ודאי יש שם שמחה יתירה ומברך, וכן משמע מדבריו</w:t>
      </w:r>
      <w:r w:rsidRPr="00FA1D26">
        <w:rPr>
          <w:rFonts w:hint="cs"/>
          <w:bCs/>
          <w:rtl/>
        </w:rPr>
        <w:t xml:space="preserve"> "</w:t>
      </w:r>
      <w:r w:rsidRPr="00FA1D26">
        <w:rPr>
          <w:rFonts w:hint="cs"/>
          <w:rtl/>
        </w:rPr>
        <w:t>מ</w:t>
      </w:r>
      <w:r w:rsidRPr="00FA1D26">
        <w:rPr>
          <w:rtl/>
        </w:rPr>
        <w:t xml:space="preserve">שא"כ ילדה אשתו והוא היה במד"ה, ורואהו עתה מברך שהחיינו או מחיה המתים, </w:t>
      </w:r>
      <w:r w:rsidRPr="00FA1D26">
        <w:rPr>
          <w:bCs/>
          <w:rtl/>
        </w:rPr>
        <w:t>דודאי יש לו שמחה בוולדו</w:t>
      </w:r>
      <w:r w:rsidRPr="00FA1D26">
        <w:rPr>
          <w:rFonts w:hint="cs"/>
          <w:rtl/>
        </w:rPr>
        <w:t>"</w:t>
      </w:r>
      <w:r w:rsidRPr="00FA1D26">
        <w:rPr>
          <w:rtl/>
        </w:rPr>
        <w:t>,</w:t>
      </w:r>
      <w:r w:rsidRPr="00FA1D26">
        <w:rPr>
          <w:rFonts w:hint="cs"/>
          <w:bCs/>
          <w:rtl/>
        </w:rPr>
        <w:t xml:space="preserve"> </w:t>
      </w:r>
      <w:r w:rsidRPr="00FA1D26">
        <w:rPr>
          <w:rFonts w:hint="cs"/>
          <w:rtl/>
        </w:rPr>
        <w:t>לכן שפיר מברך, עיי"ש בארוכה, ובס' דרכי חיים ושלום אות רנו ועוד עוד.</w:t>
      </w:r>
    </w:p>
    <w:p w14:paraId="0B2453AF" w14:textId="77777777" w:rsidR="00D044E2" w:rsidRPr="00FA1D26" w:rsidRDefault="00D044E2" w:rsidP="00423C6D">
      <w:pPr>
        <w:pStyle w:val="a2"/>
        <w:rPr>
          <w:rtl/>
        </w:rPr>
      </w:pPr>
      <w:r w:rsidRPr="00FA1D26">
        <w:rPr>
          <w:rFonts w:hint="cs"/>
          <w:rtl/>
        </w:rPr>
        <w:t>והנה עפ"ז ישנם מפוסקי זמננו</w:t>
      </w:r>
      <w:r w:rsidRPr="00D044E2">
        <w:rPr>
          <w:rStyle w:val="FootnoteReference"/>
          <w:rtl/>
        </w:rPr>
        <w:footnoteReference w:id="3"/>
      </w:r>
      <w:r w:rsidRPr="00FA1D26">
        <w:rPr>
          <w:rFonts w:hint="cs"/>
          <w:rtl/>
        </w:rPr>
        <w:t xml:space="preserve"> שכתבו שבראיית פני משיח נברך ברכה זו דמחיה המתים, וע"פ דברי החת"ס (ח"ו ליקוטים סי' צח) וז"ל: </w:t>
      </w:r>
      <w:r w:rsidRPr="00FA1D26">
        <w:rPr>
          <w:rtl/>
        </w:rPr>
        <w:t xml:space="preserve">הנה בהא דביאת בן דוד צריך אני להציע הצעה א' והוא, כמו שהיה מרע"ה שהי' הגואל הראשון נזדקין שמונים שנה ולא ידע ולא הרגיש בעצמו שהוא יהי' גואל ישראל ואפי' כשאמר לו הקדוש ברוך הוא לך כי אשלחך אל פרעה מ"מ סירב ולא רצה לקבל על עצמו, כן יהי' אי"ה הגואל האחרון, ומיום שחרב ביהמ"ק מיד נולד א' הראוי בצדקתו להיות גואל ולכשיגיע הזמן יגלה אליו השי"ת וישלחו, ואז יערה עליו רוחו של משיח הטמון וגנוז למעלה עד בוא, וכאשר מצינו בשאול אחר שנמשח באה עליו רוח ממשלה ורוח הקודש אשר מלפנים לא הרגיש בעצמו, כן היה בגואל הראשון וכן יהיה בגואל האחרון והצדיק הזה בעצמו אינו יודע, ובעונותינו כי רבו כבר כמה וכמה מתו ולא זכינו שיערה עליהם רוחו של משיח גם כי הם ראוים לכך אבל הדור לא הי' ראוי, אולם כשיגיע אי"ה יגלה עליו ה' כמו למשה בסנה וישלחהו </w:t>
      </w:r>
      <w:r w:rsidRPr="00FA1D26">
        <w:rPr>
          <w:rFonts w:hint="cs"/>
          <w:rtl/>
        </w:rPr>
        <w:t xml:space="preserve">וכו' </w:t>
      </w:r>
      <w:r w:rsidRPr="00FA1D26">
        <w:rPr>
          <w:rtl/>
        </w:rPr>
        <w:t>עכ"ל</w:t>
      </w:r>
      <w:r w:rsidRPr="00FA1D26">
        <w:rPr>
          <w:rFonts w:hint="cs"/>
          <w:rtl/>
        </w:rPr>
        <w:t>, נמצא דראיית פני משיח הוא כמו שלא ראוהו י"ב חודש ולכן מברך מחיה המתים, ואף שלא ראוהו מעולם, מ"מ הרי ודאי יהי' שם שמחה בלי גבול וכו' ושפיר מברך ברכה זו.</w:t>
      </w:r>
    </w:p>
    <w:p w14:paraId="0BAB0BBD" w14:textId="77777777" w:rsidR="00D044E2" w:rsidRPr="00FA1D26" w:rsidRDefault="00D044E2" w:rsidP="00423C6D">
      <w:pPr>
        <w:pStyle w:val="11"/>
        <w:rPr>
          <w:rtl/>
        </w:rPr>
      </w:pPr>
      <w:r w:rsidRPr="00FA1D26">
        <w:rPr>
          <w:rFonts w:hint="cs"/>
          <w:rtl/>
        </w:rPr>
        <w:t>לדעת הרבי יוצא שמברכים על ראייתו רק ברכת שהחיינו</w:t>
      </w:r>
    </w:p>
    <w:p w14:paraId="3BEDF6C0" w14:textId="77777777" w:rsidR="00D044E2" w:rsidRPr="00FA1D26" w:rsidRDefault="00D044E2" w:rsidP="00423C6D">
      <w:pPr>
        <w:pStyle w:val="a2"/>
        <w:rPr>
          <w:rtl/>
        </w:rPr>
      </w:pPr>
      <w:r w:rsidRPr="00FA1D26">
        <w:rPr>
          <w:rFonts w:hint="cs"/>
          <w:rtl/>
        </w:rPr>
        <w:t xml:space="preserve">אבל ראה  </w:t>
      </w:r>
      <w:r w:rsidRPr="00FA1D26">
        <w:rPr>
          <w:rtl/>
        </w:rPr>
        <w:t xml:space="preserve">בס' תורת מנחם – התוועדויות תשמ"ט ח"א (עמ' 207), משיחת קודש ליל שמחת תורה תשמ"ט (הובא </w:t>
      </w:r>
      <w:r w:rsidRPr="00FA1D26">
        <w:rPr>
          <w:rFonts w:hint="eastAsia"/>
          <w:rtl/>
        </w:rPr>
        <w:t>גם</w:t>
      </w:r>
      <w:r w:rsidRPr="00FA1D26">
        <w:rPr>
          <w:rtl/>
        </w:rPr>
        <w:t xml:space="preserve"> בס' 'מגולה לגאולה' ע' 202), שאמר </w:t>
      </w:r>
      <w:r w:rsidRPr="00FA1D26">
        <w:rPr>
          <w:rFonts w:hint="eastAsia"/>
          <w:rtl/>
        </w:rPr>
        <w:t>הרבי</w:t>
      </w:r>
      <w:r w:rsidRPr="00FA1D26">
        <w:rPr>
          <w:rtl/>
        </w:rPr>
        <w:t xml:space="preserve"> וזלה"ק: "כאשר נזכה לראות את פני משיח צדקנו בפעם הראשונה, מסתבר שיצטרכו לברך "שהחיינו וק</w:t>
      </w:r>
      <w:r w:rsidRPr="00FA1D26">
        <w:rPr>
          <w:rFonts w:hint="eastAsia"/>
          <w:rtl/>
        </w:rPr>
        <w:t>י</w:t>
      </w:r>
      <w:r w:rsidRPr="00FA1D26">
        <w:rPr>
          <w:rtl/>
        </w:rPr>
        <w:t>ימנו והגיענו לזמן הזה" במכל שכן וקל וחומר מברכת שהחיינו על ראיית חבירו שלא ראהו שלשים יום (רמב"ם הל' ברכות פ"י ה"ב)". עכלה"ק</w:t>
      </w:r>
      <w:r w:rsidRPr="00FA1D26">
        <w:rPr>
          <w:rFonts w:hint="cs"/>
          <w:rtl/>
        </w:rPr>
        <w:t>, ו</w:t>
      </w:r>
      <w:r w:rsidRPr="00FA1D26">
        <w:rPr>
          <w:rFonts w:hint="eastAsia"/>
          <w:rtl/>
        </w:rPr>
        <w:t>הב</w:t>
      </w:r>
      <w:r w:rsidRPr="00FA1D26">
        <w:rPr>
          <w:rtl/>
        </w:rPr>
        <w:t xml:space="preserve">"ח </w:t>
      </w:r>
      <w:r w:rsidRPr="00FA1D26">
        <w:rPr>
          <w:rFonts w:hint="eastAsia"/>
          <w:rtl/>
        </w:rPr>
        <w:t>שם</w:t>
      </w:r>
      <w:r w:rsidRPr="00FA1D26">
        <w:rPr>
          <w:rtl/>
        </w:rPr>
        <w:t xml:space="preserve"> </w:t>
      </w:r>
      <w:r w:rsidRPr="00FA1D26">
        <w:rPr>
          <w:rFonts w:hint="cs"/>
          <w:rtl/>
        </w:rPr>
        <w:t xml:space="preserve">(סי </w:t>
      </w:r>
      <w:r w:rsidRPr="00FA1D26">
        <w:rPr>
          <w:rtl/>
        </w:rPr>
        <w:t xml:space="preserve">הובא </w:t>
      </w:r>
      <w:r w:rsidRPr="00FA1D26">
        <w:rPr>
          <w:rFonts w:hint="eastAsia"/>
          <w:rtl/>
        </w:rPr>
        <w:t>במג</w:t>
      </w:r>
      <w:r w:rsidRPr="00FA1D26">
        <w:rPr>
          <w:rtl/>
        </w:rPr>
        <w:t xml:space="preserve">"א </w:t>
      </w:r>
      <w:r w:rsidRPr="00FA1D26">
        <w:rPr>
          <w:rFonts w:hint="eastAsia"/>
          <w:rtl/>
        </w:rPr>
        <w:t>ס</w:t>
      </w:r>
      <w:r w:rsidRPr="00FA1D26">
        <w:rPr>
          <w:rtl/>
        </w:rPr>
        <w:t xml:space="preserve">"ק </w:t>
      </w:r>
      <w:r w:rsidRPr="00FA1D26">
        <w:rPr>
          <w:rFonts w:hint="eastAsia"/>
          <w:rtl/>
        </w:rPr>
        <w:t>ב</w:t>
      </w:r>
      <w:r w:rsidRPr="00FA1D26">
        <w:rPr>
          <w:rtl/>
        </w:rPr>
        <w:t xml:space="preserve">') </w:t>
      </w:r>
      <w:r w:rsidRPr="00FA1D26">
        <w:rPr>
          <w:rFonts w:hint="cs"/>
          <w:rtl/>
        </w:rPr>
        <w:t xml:space="preserve">כתב </w:t>
      </w:r>
      <w:r w:rsidRPr="00FA1D26">
        <w:rPr>
          <w:rFonts w:hint="eastAsia"/>
          <w:rtl/>
        </w:rPr>
        <w:t>דאם</w:t>
      </w:r>
      <w:r w:rsidRPr="00FA1D26">
        <w:rPr>
          <w:rtl/>
        </w:rPr>
        <w:t xml:space="preserve"> </w:t>
      </w:r>
      <w:r w:rsidRPr="00FA1D26">
        <w:rPr>
          <w:rFonts w:hint="eastAsia"/>
          <w:rtl/>
        </w:rPr>
        <w:t>מברך</w:t>
      </w:r>
      <w:r w:rsidRPr="00FA1D26">
        <w:rPr>
          <w:rtl/>
        </w:rPr>
        <w:t xml:space="preserve"> </w:t>
      </w:r>
      <w:r w:rsidRPr="00FA1D26">
        <w:rPr>
          <w:rFonts w:hint="eastAsia"/>
          <w:rtl/>
        </w:rPr>
        <w:t>מחיה</w:t>
      </w:r>
      <w:r w:rsidRPr="00FA1D26">
        <w:rPr>
          <w:rtl/>
        </w:rPr>
        <w:t xml:space="preserve"> </w:t>
      </w:r>
      <w:r w:rsidRPr="00FA1D26">
        <w:rPr>
          <w:rFonts w:hint="eastAsia"/>
          <w:rtl/>
        </w:rPr>
        <w:t>מתים</w:t>
      </w:r>
      <w:r w:rsidRPr="00FA1D26">
        <w:rPr>
          <w:rtl/>
        </w:rPr>
        <w:t xml:space="preserve"> </w:t>
      </w:r>
      <w:r w:rsidRPr="00FA1D26">
        <w:rPr>
          <w:rFonts w:hint="eastAsia"/>
          <w:rtl/>
        </w:rPr>
        <w:t>אין</w:t>
      </w:r>
      <w:r w:rsidRPr="00FA1D26">
        <w:rPr>
          <w:rtl/>
        </w:rPr>
        <w:t xml:space="preserve"> </w:t>
      </w:r>
      <w:r w:rsidRPr="00FA1D26">
        <w:rPr>
          <w:rFonts w:hint="cs"/>
          <w:rtl/>
        </w:rPr>
        <w:t>ל</w:t>
      </w:r>
      <w:r w:rsidRPr="00FA1D26">
        <w:rPr>
          <w:rFonts w:hint="eastAsia"/>
          <w:rtl/>
        </w:rPr>
        <w:t>ברך</w:t>
      </w:r>
      <w:r w:rsidRPr="00FA1D26">
        <w:rPr>
          <w:rtl/>
        </w:rPr>
        <w:t xml:space="preserve"> </w:t>
      </w:r>
      <w:r w:rsidRPr="00FA1D26">
        <w:rPr>
          <w:rFonts w:hint="eastAsia"/>
          <w:rtl/>
        </w:rPr>
        <w:t>שהחיינו</w:t>
      </w:r>
      <w:r w:rsidRPr="00FA1D26">
        <w:rPr>
          <w:rtl/>
        </w:rPr>
        <w:t xml:space="preserve"> </w:t>
      </w:r>
      <w:r w:rsidRPr="00FA1D26">
        <w:rPr>
          <w:rFonts w:hint="eastAsia"/>
          <w:rtl/>
        </w:rPr>
        <w:t>עיי</w:t>
      </w:r>
      <w:r w:rsidRPr="00FA1D26">
        <w:rPr>
          <w:rtl/>
        </w:rPr>
        <w:t>"ש</w:t>
      </w:r>
      <w:r w:rsidRPr="00D044E2">
        <w:rPr>
          <w:rStyle w:val="FootnoteReference"/>
          <w:rtl/>
        </w:rPr>
        <w:footnoteReference w:id="4"/>
      </w:r>
      <w:r w:rsidRPr="00FA1D26">
        <w:rPr>
          <w:rtl/>
        </w:rPr>
        <w:t>,</w:t>
      </w:r>
      <w:r w:rsidRPr="00FA1D26">
        <w:rPr>
          <w:rFonts w:hint="cs"/>
          <w:rtl/>
        </w:rPr>
        <w:t xml:space="preserve"> ומשמע מזה דמברכים רק שהחיינו ולא כהנ"ל.</w:t>
      </w:r>
      <w:r w:rsidRPr="00FA1D26">
        <w:rPr>
          <w:rtl/>
        </w:rPr>
        <w:t xml:space="preserve"> </w:t>
      </w:r>
    </w:p>
    <w:p w14:paraId="331FFA38" w14:textId="77777777" w:rsidR="00D044E2" w:rsidRPr="00FA1D26" w:rsidRDefault="00D044E2" w:rsidP="00423C6D">
      <w:pPr>
        <w:pStyle w:val="a2"/>
        <w:rPr>
          <w:rtl/>
        </w:rPr>
      </w:pPr>
      <w:r w:rsidRPr="00FA1D26">
        <w:rPr>
          <w:rFonts w:hint="eastAsia"/>
          <w:rtl/>
        </w:rPr>
        <w:t>ו</w:t>
      </w:r>
      <w:r w:rsidRPr="00FA1D26">
        <w:rPr>
          <w:rFonts w:hint="cs"/>
          <w:rtl/>
        </w:rPr>
        <w:t xml:space="preserve">לכאורה י"ל הטעם בזה ע"פ מ"ש </w:t>
      </w:r>
      <w:r w:rsidRPr="00FA1D26">
        <w:rPr>
          <w:rFonts w:hint="eastAsia"/>
          <w:rtl/>
        </w:rPr>
        <w:t>בשו</w:t>
      </w:r>
      <w:r w:rsidRPr="00FA1D26">
        <w:rPr>
          <w:rtl/>
        </w:rPr>
        <w:t xml:space="preserve">"ת </w:t>
      </w:r>
      <w:r w:rsidRPr="00FA1D26">
        <w:rPr>
          <w:rFonts w:hint="eastAsia"/>
          <w:rtl/>
        </w:rPr>
        <w:t>הלכות</w:t>
      </w:r>
      <w:r w:rsidRPr="00FA1D26">
        <w:rPr>
          <w:rtl/>
        </w:rPr>
        <w:t xml:space="preserve"> </w:t>
      </w:r>
      <w:r w:rsidRPr="00FA1D26">
        <w:rPr>
          <w:rFonts w:hint="eastAsia"/>
          <w:rtl/>
        </w:rPr>
        <w:t>קטנות</w:t>
      </w:r>
      <w:r w:rsidRPr="00FA1D26">
        <w:rPr>
          <w:rtl/>
        </w:rPr>
        <w:t xml:space="preserve"> (ח"א </w:t>
      </w:r>
      <w:r w:rsidRPr="00FA1D26">
        <w:rPr>
          <w:rFonts w:hint="eastAsia"/>
          <w:rtl/>
        </w:rPr>
        <w:t>סי</w:t>
      </w:r>
      <w:r w:rsidRPr="00FA1D26">
        <w:rPr>
          <w:rtl/>
        </w:rPr>
        <w:t xml:space="preserve">' </w:t>
      </w:r>
      <w:r w:rsidRPr="00FA1D26">
        <w:rPr>
          <w:rFonts w:hint="eastAsia"/>
          <w:rtl/>
        </w:rPr>
        <w:t>רכ</w:t>
      </w:r>
      <w:r w:rsidRPr="00FA1D26">
        <w:rPr>
          <w:rtl/>
        </w:rPr>
        <w:t xml:space="preserve">) </w:t>
      </w:r>
      <w:r w:rsidRPr="00FA1D26">
        <w:rPr>
          <w:rFonts w:hint="eastAsia"/>
          <w:rtl/>
        </w:rPr>
        <w:t>כתב</w:t>
      </w:r>
      <w:r w:rsidRPr="00FA1D26">
        <w:rPr>
          <w:rtl/>
        </w:rPr>
        <w:t xml:space="preserve"> </w:t>
      </w:r>
      <w:r w:rsidRPr="00FA1D26">
        <w:rPr>
          <w:rFonts w:hint="eastAsia"/>
          <w:rtl/>
        </w:rPr>
        <w:t>וז</w:t>
      </w:r>
      <w:r w:rsidRPr="00FA1D26">
        <w:rPr>
          <w:rtl/>
        </w:rPr>
        <w:t xml:space="preserve">"ל: </w:t>
      </w:r>
      <w:r w:rsidRPr="00FA1D26">
        <w:rPr>
          <w:rFonts w:hint="eastAsia"/>
          <w:rtl/>
        </w:rPr>
        <w:t>שאלה</w:t>
      </w:r>
      <w:r w:rsidRPr="00FA1D26">
        <w:rPr>
          <w:rtl/>
        </w:rPr>
        <w:t xml:space="preserve">: </w:t>
      </w:r>
      <w:r w:rsidRPr="00FA1D26">
        <w:rPr>
          <w:rFonts w:hint="eastAsia"/>
          <w:rtl/>
        </w:rPr>
        <w:t>חבירו</w:t>
      </w:r>
      <w:r w:rsidRPr="00FA1D26">
        <w:rPr>
          <w:rtl/>
        </w:rPr>
        <w:t xml:space="preserve"> </w:t>
      </w:r>
      <w:r w:rsidRPr="00FA1D26">
        <w:rPr>
          <w:rFonts w:hint="eastAsia"/>
          <w:rtl/>
        </w:rPr>
        <w:t>שראהו</w:t>
      </w:r>
      <w:r w:rsidRPr="00FA1D26">
        <w:rPr>
          <w:rtl/>
        </w:rPr>
        <w:t xml:space="preserve"> </w:t>
      </w:r>
      <w:r w:rsidRPr="00FA1D26">
        <w:rPr>
          <w:rFonts w:hint="eastAsia"/>
          <w:rtl/>
        </w:rPr>
        <w:t>והלך</w:t>
      </w:r>
      <w:r w:rsidRPr="00FA1D26">
        <w:rPr>
          <w:rtl/>
        </w:rPr>
        <w:t xml:space="preserve"> </w:t>
      </w:r>
      <w:r w:rsidRPr="00FA1D26">
        <w:rPr>
          <w:rFonts w:hint="eastAsia"/>
          <w:rtl/>
        </w:rPr>
        <w:t>מן</w:t>
      </w:r>
      <w:r w:rsidRPr="00FA1D26">
        <w:rPr>
          <w:rtl/>
        </w:rPr>
        <w:t xml:space="preserve"> </w:t>
      </w:r>
      <w:r w:rsidRPr="00FA1D26">
        <w:rPr>
          <w:rFonts w:hint="eastAsia"/>
          <w:rtl/>
        </w:rPr>
        <w:t>העיר</w:t>
      </w:r>
      <w:r w:rsidRPr="00FA1D26">
        <w:rPr>
          <w:rtl/>
        </w:rPr>
        <w:t xml:space="preserve"> </w:t>
      </w:r>
      <w:r w:rsidRPr="00FA1D26">
        <w:rPr>
          <w:rFonts w:hint="eastAsia"/>
          <w:rtl/>
        </w:rPr>
        <w:t>ובתוך</w:t>
      </w:r>
      <w:r w:rsidRPr="00FA1D26">
        <w:rPr>
          <w:rtl/>
        </w:rPr>
        <w:t xml:space="preserve"> </w:t>
      </w:r>
      <w:r w:rsidRPr="00FA1D26">
        <w:rPr>
          <w:rFonts w:hint="eastAsia"/>
          <w:rtl/>
        </w:rPr>
        <w:t>שלשים</w:t>
      </w:r>
      <w:r w:rsidRPr="00FA1D26">
        <w:rPr>
          <w:rtl/>
        </w:rPr>
        <w:t xml:space="preserve"> </w:t>
      </w:r>
      <w:r w:rsidRPr="00FA1D26">
        <w:rPr>
          <w:rFonts w:hint="eastAsia"/>
          <w:rtl/>
        </w:rPr>
        <w:t>קבל</w:t>
      </w:r>
      <w:r w:rsidRPr="00FA1D26">
        <w:rPr>
          <w:rtl/>
        </w:rPr>
        <w:t xml:space="preserve"> </w:t>
      </w:r>
      <w:r w:rsidRPr="00FA1D26">
        <w:rPr>
          <w:rFonts w:hint="eastAsia"/>
          <w:rtl/>
        </w:rPr>
        <w:t>ממנו</w:t>
      </w:r>
      <w:r w:rsidRPr="00FA1D26">
        <w:rPr>
          <w:rtl/>
        </w:rPr>
        <w:t xml:space="preserve"> </w:t>
      </w:r>
      <w:r w:rsidRPr="00FA1D26">
        <w:rPr>
          <w:rFonts w:hint="eastAsia"/>
          <w:rtl/>
        </w:rPr>
        <w:t>כתב</w:t>
      </w:r>
      <w:r w:rsidRPr="00FA1D26">
        <w:rPr>
          <w:rtl/>
        </w:rPr>
        <w:t xml:space="preserve"> </w:t>
      </w:r>
      <w:r w:rsidRPr="00FA1D26">
        <w:rPr>
          <w:rFonts w:hint="eastAsia"/>
          <w:rtl/>
        </w:rPr>
        <w:t>אם</w:t>
      </w:r>
      <w:r w:rsidRPr="00FA1D26">
        <w:rPr>
          <w:rtl/>
        </w:rPr>
        <w:t xml:space="preserve"> </w:t>
      </w:r>
      <w:r w:rsidRPr="00FA1D26">
        <w:rPr>
          <w:rFonts w:hint="eastAsia"/>
          <w:rtl/>
        </w:rPr>
        <w:t>יאמר</w:t>
      </w:r>
      <w:r w:rsidRPr="00FA1D26">
        <w:rPr>
          <w:rtl/>
        </w:rPr>
        <w:t xml:space="preserve"> </w:t>
      </w:r>
      <w:r w:rsidRPr="00FA1D26">
        <w:rPr>
          <w:rFonts w:hint="eastAsia"/>
          <w:rtl/>
        </w:rPr>
        <w:t>שהחיינו</w:t>
      </w:r>
      <w:r w:rsidRPr="00FA1D26">
        <w:rPr>
          <w:rtl/>
        </w:rPr>
        <w:t xml:space="preserve"> </w:t>
      </w:r>
      <w:r w:rsidRPr="00FA1D26">
        <w:rPr>
          <w:rFonts w:hint="eastAsia"/>
          <w:rtl/>
        </w:rPr>
        <w:t>כשיבא</w:t>
      </w:r>
      <w:r w:rsidRPr="00FA1D26">
        <w:rPr>
          <w:rtl/>
        </w:rPr>
        <w:t xml:space="preserve"> </w:t>
      </w:r>
      <w:r w:rsidRPr="00FA1D26">
        <w:rPr>
          <w:rFonts w:hint="eastAsia"/>
          <w:rtl/>
        </w:rPr>
        <w:t>וכן</w:t>
      </w:r>
      <w:r w:rsidRPr="00FA1D26">
        <w:rPr>
          <w:rtl/>
        </w:rPr>
        <w:t xml:space="preserve"> </w:t>
      </w:r>
      <w:r w:rsidRPr="00FA1D26">
        <w:rPr>
          <w:rFonts w:hint="eastAsia"/>
          <w:rtl/>
        </w:rPr>
        <w:t>מחיה</w:t>
      </w:r>
      <w:r w:rsidRPr="00FA1D26">
        <w:rPr>
          <w:rtl/>
        </w:rPr>
        <w:t xml:space="preserve"> </w:t>
      </w:r>
      <w:r w:rsidRPr="00FA1D26">
        <w:rPr>
          <w:rFonts w:hint="eastAsia"/>
          <w:rtl/>
        </w:rPr>
        <w:t>המתים</w:t>
      </w:r>
      <w:r w:rsidRPr="00FA1D26">
        <w:rPr>
          <w:rtl/>
        </w:rPr>
        <w:t xml:space="preserve">. </w:t>
      </w:r>
      <w:r w:rsidRPr="00FA1D26">
        <w:rPr>
          <w:rFonts w:hint="eastAsia"/>
          <w:rtl/>
        </w:rPr>
        <w:t>או</w:t>
      </w:r>
      <w:r w:rsidRPr="00FA1D26">
        <w:rPr>
          <w:rtl/>
        </w:rPr>
        <w:t xml:space="preserve"> </w:t>
      </w:r>
      <w:r w:rsidRPr="00FA1D26">
        <w:rPr>
          <w:rFonts w:hint="eastAsia"/>
          <w:rtl/>
        </w:rPr>
        <w:t>כשיבאו</w:t>
      </w:r>
      <w:r w:rsidRPr="00FA1D26">
        <w:rPr>
          <w:rtl/>
        </w:rPr>
        <w:t xml:space="preserve"> </w:t>
      </w:r>
      <w:r w:rsidRPr="00FA1D26">
        <w:rPr>
          <w:rFonts w:hint="eastAsia"/>
          <w:rtl/>
        </w:rPr>
        <w:t>אנשים</w:t>
      </w:r>
      <w:r w:rsidRPr="00FA1D26">
        <w:rPr>
          <w:rtl/>
        </w:rPr>
        <w:t xml:space="preserve"> </w:t>
      </w:r>
      <w:r w:rsidRPr="00FA1D26">
        <w:rPr>
          <w:rFonts w:hint="eastAsia"/>
          <w:rtl/>
        </w:rPr>
        <w:t>שהודיעוהו</w:t>
      </w:r>
      <w:r w:rsidRPr="00FA1D26">
        <w:rPr>
          <w:rtl/>
        </w:rPr>
        <w:t xml:space="preserve"> </w:t>
      </w:r>
      <w:r w:rsidRPr="00FA1D26">
        <w:rPr>
          <w:rFonts w:hint="eastAsia"/>
          <w:rtl/>
        </w:rPr>
        <w:t>משלומו</w:t>
      </w:r>
      <w:r w:rsidRPr="00FA1D26">
        <w:rPr>
          <w:rtl/>
        </w:rPr>
        <w:t xml:space="preserve">: </w:t>
      </w:r>
      <w:r w:rsidRPr="00FA1D26">
        <w:rPr>
          <w:rFonts w:hint="eastAsia"/>
          <w:rtl/>
        </w:rPr>
        <w:t>תשובה</w:t>
      </w:r>
      <w:r w:rsidRPr="00FA1D26">
        <w:rPr>
          <w:rtl/>
        </w:rPr>
        <w:t xml:space="preserve"> </w:t>
      </w:r>
      <w:r w:rsidRPr="00FA1D26">
        <w:rPr>
          <w:rFonts w:hint="eastAsia"/>
          <w:rtl/>
        </w:rPr>
        <w:t>אפשר</w:t>
      </w:r>
      <w:r w:rsidRPr="00FA1D26">
        <w:rPr>
          <w:rtl/>
        </w:rPr>
        <w:t xml:space="preserve"> </w:t>
      </w:r>
      <w:r w:rsidRPr="00FA1D26">
        <w:rPr>
          <w:rFonts w:hint="eastAsia"/>
          <w:rtl/>
        </w:rPr>
        <w:lastRenderedPageBreak/>
        <w:t>דמחי</w:t>
      </w:r>
      <w:r w:rsidRPr="00FA1D26">
        <w:rPr>
          <w:rtl/>
        </w:rPr>
        <w:t xml:space="preserve">' </w:t>
      </w:r>
      <w:r w:rsidRPr="00FA1D26">
        <w:rPr>
          <w:rFonts w:hint="eastAsia"/>
          <w:rtl/>
        </w:rPr>
        <w:t>מתים</w:t>
      </w:r>
      <w:r w:rsidRPr="00FA1D26">
        <w:rPr>
          <w:rtl/>
        </w:rPr>
        <w:t xml:space="preserve"> </w:t>
      </w:r>
      <w:r w:rsidRPr="00FA1D26">
        <w:rPr>
          <w:rFonts w:hint="eastAsia"/>
          <w:rtl/>
        </w:rPr>
        <w:t>לא</w:t>
      </w:r>
      <w:r w:rsidRPr="00FA1D26">
        <w:rPr>
          <w:rtl/>
        </w:rPr>
        <w:t xml:space="preserve"> </w:t>
      </w:r>
      <w:r w:rsidRPr="00FA1D26">
        <w:rPr>
          <w:rFonts w:hint="eastAsia"/>
          <w:rtl/>
        </w:rPr>
        <w:t>יאמר</w:t>
      </w:r>
      <w:r w:rsidRPr="00FA1D26">
        <w:rPr>
          <w:rtl/>
        </w:rPr>
        <w:t xml:space="preserve"> </w:t>
      </w:r>
      <w:r w:rsidRPr="00FA1D26">
        <w:rPr>
          <w:rFonts w:hint="eastAsia"/>
          <w:rtl/>
        </w:rPr>
        <w:t>דאין</w:t>
      </w:r>
      <w:r w:rsidRPr="00FA1D26">
        <w:rPr>
          <w:rtl/>
        </w:rPr>
        <w:t xml:space="preserve"> </w:t>
      </w:r>
      <w:r w:rsidRPr="00FA1D26">
        <w:rPr>
          <w:rFonts w:hint="eastAsia"/>
          <w:rtl/>
        </w:rPr>
        <w:t>כאן</w:t>
      </w:r>
      <w:r w:rsidRPr="00FA1D26">
        <w:rPr>
          <w:rtl/>
        </w:rPr>
        <w:t xml:space="preserve"> </w:t>
      </w:r>
      <w:r w:rsidRPr="00FA1D26">
        <w:rPr>
          <w:rFonts w:hint="eastAsia"/>
          <w:rtl/>
        </w:rPr>
        <w:t>נשכחתי</w:t>
      </w:r>
      <w:r w:rsidRPr="00FA1D26">
        <w:rPr>
          <w:rtl/>
        </w:rPr>
        <w:t xml:space="preserve"> </w:t>
      </w:r>
      <w:r w:rsidRPr="00FA1D26">
        <w:rPr>
          <w:rFonts w:hint="eastAsia"/>
          <w:rtl/>
        </w:rPr>
        <w:t>כמת</w:t>
      </w:r>
      <w:r w:rsidRPr="00FA1D26">
        <w:rPr>
          <w:rtl/>
        </w:rPr>
        <w:t xml:space="preserve"> </w:t>
      </w:r>
      <w:r w:rsidRPr="00FA1D26">
        <w:rPr>
          <w:rFonts w:hint="eastAsia"/>
          <w:rtl/>
        </w:rPr>
        <w:t>מלב</w:t>
      </w:r>
      <w:r w:rsidRPr="00FA1D26">
        <w:rPr>
          <w:rtl/>
        </w:rPr>
        <w:t xml:space="preserve"> </w:t>
      </w:r>
      <w:r w:rsidRPr="00FA1D26">
        <w:rPr>
          <w:rFonts w:hint="eastAsia"/>
          <w:rtl/>
        </w:rPr>
        <w:t>אבל</w:t>
      </w:r>
      <w:r w:rsidRPr="00FA1D26">
        <w:rPr>
          <w:rtl/>
        </w:rPr>
        <w:t xml:space="preserve"> </w:t>
      </w:r>
      <w:r w:rsidRPr="00FA1D26">
        <w:rPr>
          <w:rFonts w:hint="eastAsia"/>
          <w:rtl/>
        </w:rPr>
        <w:t>שהחיינו</w:t>
      </w:r>
      <w:r w:rsidRPr="00FA1D26">
        <w:rPr>
          <w:rtl/>
        </w:rPr>
        <w:t xml:space="preserve"> </w:t>
      </w:r>
      <w:r w:rsidRPr="00FA1D26">
        <w:rPr>
          <w:rFonts w:hint="eastAsia"/>
          <w:rtl/>
        </w:rPr>
        <w:t>שהוא</w:t>
      </w:r>
      <w:r w:rsidRPr="00FA1D26">
        <w:rPr>
          <w:rtl/>
        </w:rPr>
        <w:t xml:space="preserve"> </w:t>
      </w:r>
      <w:r w:rsidRPr="00FA1D26">
        <w:rPr>
          <w:rFonts w:hint="eastAsia"/>
          <w:rtl/>
        </w:rPr>
        <w:t>על</w:t>
      </w:r>
      <w:r w:rsidRPr="00FA1D26">
        <w:rPr>
          <w:rtl/>
        </w:rPr>
        <w:t xml:space="preserve"> </w:t>
      </w:r>
      <w:r w:rsidRPr="00FA1D26">
        <w:rPr>
          <w:rFonts w:hint="eastAsia"/>
          <w:rtl/>
        </w:rPr>
        <w:t>ראיית</w:t>
      </w:r>
      <w:r w:rsidRPr="00FA1D26">
        <w:rPr>
          <w:rtl/>
        </w:rPr>
        <w:t xml:space="preserve"> </w:t>
      </w:r>
      <w:r w:rsidRPr="00FA1D26">
        <w:rPr>
          <w:rFonts w:hint="eastAsia"/>
          <w:rtl/>
        </w:rPr>
        <w:t>הפנים</w:t>
      </w:r>
      <w:r w:rsidRPr="00FA1D26">
        <w:rPr>
          <w:rtl/>
        </w:rPr>
        <w:t xml:space="preserve"> </w:t>
      </w:r>
      <w:r w:rsidRPr="00FA1D26">
        <w:rPr>
          <w:rFonts w:hint="eastAsia"/>
          <w:rtl/>
        </w:rPr>
        <w:t>יאמר</w:t>
      </w:r>
      <w:r w:rsidRPr="00FA1D26">
        <w:rPr>
          <w:rtl/>
        </w:rPr>
        <w:t xml:space="preserve"> </w:t>
      </w:r>
      <w:r w:rsidRPr="00FA1D26">
        <w:rPr>
          <w:rFonts w:hint="eastAsia"/>
          <w:rtl/>
        </w:rPr>
        <w:t>עכ</w:t>
      </w:r>
      <w:r w:rsidRPr="00FA1D26">
        <w:rPr>
          <w:rtl/>
        </w:rPr>
        <w:t xml:space="preserve">"ל. (הובאו </w:t>
      </w:r>
      <w:r w:rsidRPr="00FA1D26">
        <w:rPr>
          <w:rFonts w:hint="eastAsia"/>
          <w:rtl/>
        </w:rPr>
        <w:t>דבריו</w:t>
      </w:r>
      <w:r w:rsidRPr="00FA1D26">
        <w:rPr>
          <w:rtl/>
        </w:rPr>
        <w:t xml:space="preserve"> </w:t>
      </w:r>
      <w:r w:rsidRPr="00FA1D26">
        <w:rPr>
          <w:rFonts w:hint="eastAsia"/>
          <w:rtl/>
        </w:rPr>
        <w:t>להלכה</w:t>
      </w:r>
      <w:r w:rsidRPr="00FA1D26">
        <w:rPr>
          <w:rtl/>
        </w:rPr>
        <w:t xml:space="preserve"> </w:t>
      </w:r>
      <w:r w:rsidRPr="00FA1D26">
        <w:rPr>
          <w:rFonts w:hint="eastAsia"/>
          <w:rtl/>
        </w:rPr>
        <w:t>בבאר</w:t>
      </w:r>
      <w:r w:rsidRPr="00FA1D26">
        <w:rPr>
          <w:rtl/>
        </w:rPr>
        <w:t xml:space="preserve"> </w:t>
      </w:r>
      <w:r w:rsidRPr="00FA1D26">
        <w:rPr>
          <w:rFonts w:hint="eastAsia"/>
          <w:rtl/>
        </w:rPr>
        <w:t>היטב</w:t>
      </w:r>
      <w:r w:rsidRPr="00FA1D26">
        <w:rPr>
          <w:rtl/>
        </w:rPr>
        <w:t xml:space="preserve"> </w:t>
      </w:r>
      <w:r w:rsidRPr="00FA1D26">
        <w:rPr>
          <w:rFonts w:hint="eastAsia"/>
          <w:rtl/>
        </w:rPr>
        <w:t>שם</w:t>
      </w:r>
      <w:r w:rsidRPr="00FA1D26">
        <w:rPr>
          <w:rtl/>
        </w:rPr>
        <w:t>)</w:t>
      </w:r>
      <w:r w:rsidRPr="00FA1D26">
        <w:rPr>
          <w:rFonts w:hint="cs"/>
          <w:rtl/>
        </w:rPr>
        <w:t>, ו</w:t>
      </w:r>
      <w:r w:rsidRPr="00FA1D26">
        <w:rPr>
          <w:rFonts w:hint="eastAsia"/>
          <w:rtl/>
        </w:rPr>
        <w:t>בערוך</w:t>
      </w:r>
      <w:r w:rsidRPr="00FA1D26">
        <w:rPr>
          <w:rtl/>
        </w:rPr>
        <w:t xml:space="preserve"> </w:t>
      </w:r>
      <w:r w:rsidRPr="00FA1D26">
        <w:rPr>
          <w:rFonts w:hint="eastAsia"/>
          <w:rtl/>
        </w:rPr>
        <w:t>השלחן</w:t>
      </w:r>
      <w:r w:rsidRPr="00FA1D26">
        <w:rPr>
          <w:rtl/>
        </w:rPr>
        <w:t xml:space="preserve"> </w:t>
      </w:r>
      <w:r w:rsidRPr="00FA1D26">
        <w:rPr>
          <w:rFonts w:hint="eastAsia"/>
          <w:rtl/>
        </w:rPr>
        <w:t>שם</w:t>
      </w:r>
      <w:r w:rsidRPr="00FA1D26">
        <w:rPr>
          <w:rtl/>
        </w:rPr>
        <w:t xml:space="preserve"> </w:t>
      </w:r>
      <w:r w:rsidRPr="00FA1D26">
        <w:rPr>
          <w:rFonts w:hint="eastAsia"/>
          <w:rtl/>
        </w:rPr>
        <w:t>סעי</w:t>
      </w:r>
      <w:r w:rsidRPr="00FA1D26">
        <w:rPr>
          <w:rtl/>
        </w:rPr>
        <w:t xml:space="preserve">' </w:t>
      </w:r>
      <w:r w:rsidRPr="00FA1D26">
        <w:rPr>
          <w:rFonts w:hint="eastAsia"/>
          <w:rtl/>
        </w:rPr>
        <w:t>ב</w:t>
      </w:r>
      <w:r w:rsidRPr="00FA1D26">
        <w:rPr>
          <w:rtl/>
        </w:rPr>
        <w:t>': "הרואה את חבירו שחביב עליו ושמח בראייתו מא</w:t>
      </w:r>
      <w:r w:rsidRPr="00FA1D26">
        <w:rPr>
          <w:rFonts w:hint="eastAsia"/>
          <w:rtl/>
        </w:rPr>
        <w:t>ד</w:t>
      </w:r>
      <w:r w:rsidRPr="00FA1D26">
        <w:rPr>
          <w:rtl/>
        </w:rPr>
        <w:t xml:space="preserve"> אם יש שלשים יום שלא ראהו מברך שהחיינו בשם ומלכות ואם לא ראהו שנים עשר חדש מברך מחיה המתים ואז אינו מברך שהחיינו, וזהו כשלא היה מכתבים ממנו אליו אבל כשקבל ממנו מכתב אינו מברך מחיה המתים אבל לעניין שהחיינו אין חילוק דאפילו קיבל מכתב בתוך ל' מברך שה</w:t>
      </w:r>
      <w:r w:rsidRPr="00FA1D26">
        <w:rPr>
          <w:rFonts w:hint="eastAsia"/>
          <w:rtl/>
        </w:rPr>
        <w:t>ח</w:t>
      </w:r>
      <w:r w:rsidRPr="00FA1D26">
        <w:rPr>
          <w:rtl/>
        </w:rPr>
        <w:t>יינו וה</w:t>
      </w:r>
      <w:r w:rsidRPr="00FA1D26">
        <w:rPr>
          <w:rFonts w:hint="eastAsia"/>
          <w:rtl/>
        </w:rPr>
        <w:t>ט</w:t>
      </w:r>
      <w:r w:rsidRPr="00FA1D26">
        <w:rPr>
          <w:rtl/>
        </w:rPr>
        <w:t xml:space="preserve">עם דברכת שהחיינו היא מתוך שמחת הראייה פנים בפנים, אבל ברכת מחיה המתים הוא מצד שעתה נתוודע שהוא חי, ולכן כיון שכבר ידע שהוא חי ע"פ מכתבים או שמע מבני אדם שהוא חי שוב לא שייך ברכת מחיה המתים", </w:t>
      </w:r>
      <w:r w:rsidRPr="00FA1D26">
        <w:rPr>
          <w:rFonts w:hint="eastAsia"/>
          <w:rtl/>
        </w:rPr>
        <w:t>וכ</w:t>
      </w:r>
      <w:r w:rsidRPr="00FA1D26">
        <w:rPr>
          <w:rtl/>
        </w:rPr>
        <w:t xml:space="preserve">"כ </w:t>
      </w:r>
      <w:r w:rsidRPr="00FA1D26">
        <w:rPr>
          <w:rFonts w:hint="eastAsia"/>
          <w:rtl/>
        </w:rPr>
        <w:t>במקור</w:t>
      </w:r>
      <w:r w:rsidRPr="00FA1D26">
        <w:rPr>
          <w:rtl/>
        </w:rPr>
        <w:t xml:space="preserve"> </w:t>
      </w:r>
      <w:r w:rsidRPr="00FA1D26">
        <w:rPr>
          <w:rFonts w:hint="eastAsia"/>
          <w:rtl/>
        </w:rPr>
        <w:t>חיים</w:t>
      </w:r>
      <w:r w:rsidRPr="00FA1D26">
        <w:rPr>
          <w:rtl/>
        </w:rPr>
        <w:t xml:space="preserve"> </w:t>
      </w:r>
      <w:r w:rsidRPr="00FA1D26">
        <w:rPr>
          <w:rFonts w:hint="cs"/>
          <w:rtl/>
        </w:rPr>
        <w:t xml:space="preserve">שם </w:t>
      </w:r>
      <w:r w:rsidRPr="00FA1D26">
        <w:rPr>
          <w:rtl/>
        </w:rPr>
        <w:t xml:space="preserve">(לבעל </w:t>
      </w:r>
      <w:r w:rsidRPr="00FA1D26">
        <w:rPr>
          <w:rFonts w:hint="eastAsia"/>
          <w:rtl/>
        </w:rPr>
        <w:t>החות</w:t>
      </w:r>
      <w:r w:rsidRPr="00FA1D26">
        <w:rPr>
          <w:rtl/>
        </w:rPr>
        <w:t xml:space="preserve"> </w:t>
      </w:r>
      <w:r w:rsidRPr="00FA1D26">
        <w:rPr>
          <w:rFonts w:hint="eastAsia"/>
          <w:rtl/>
        </w:rPr>
        <w:t>יאיר</w:t>
      </w:r>
      <w:r w:rsidRPr="00FA1D26">
        <w:rPr>
          <w:rtl/>
        </w:rPr>
        <w:t xml:space="preserve">) </w:t>
      </w:r>
      <w:r w:rsidRPr="00FA1D26">
        <w:rPr>
          <w:rFonts w:hint="eastAsia"/>
          <w:rtl/>
        </w:rPr>
        <w:t>וברכי</w:t>
      </w:r>
      <w:r w:rsidRPr="00FA1D26">
        <w:rPr>
          <w:rtl/>
        </w:rPr>
        <w:t xml:space="preserve"> </w:t>
      </w:r>
      <w:r w:rsidRPr="00FA1D26">
        <w:rPr>
          <w:rFonts w:hint="eastAsia"/>
          <w:rtl/>
        </w:rPr>
        <w:t>יוסף</w:t>
      </w:r>
      <w:r w:rsidRPr="00FA1D26">
        <w:rPr>
          <w:rtl/>
        </w:rPr>
        <w:t xml:space="preserve"> </w:t>
      </w:r>
      <w:r w:rsidRPr="00FA1D26">
        <w:rPr>
          <w:rFonts w:hint="eastAsia"/>
          <w:rtl/>
        </w:rPr>
        <w:t>שם</w:t>
      </w:r>
      <w:r w:rsidRPr="00FA1D26">
        <w:rPr>
          <w:rtl/>
        </w:rPr>
        <w:t xml:space="preserve"> </w:t>
      </w:r>
      <w:r w:rsidRPr="00FA1D26">
        <w:rPr>
          <w:rFonts w:hint="eastAsia"/>
          <w:rtl/>
        </w:rPr>
        <w:t>סק</w:t>
      </w:r>
      <w:r w:rsidRPr="00FA1D26">
        <w:rPr>
          <w:rtl/>
        </w:rPr>
        <w:t>"ג</w:t>
      </w:r>
      <w:r w:rsidRPr="00FA1D26">
        <w:rPr>
          <w:rFonts w:hint="cs"/>
          <w:rtl/>
        </w:rPr>
        <w:t xml:space="preserve"> ועוד, וזהו ע"פ מ"ש ברבינו יונה הנ"ל, ועי' בזה בשו"ת משפטי צדק סי' כט.</w:t>
      </w:r>
    </w:p>
    <w:p w14:paraId="6CCF0158" w14:textId="77777777" w:rsidR="00D044E2" w:rsidRPr="00FA1D26" w:rsidRDefault="00D044E2" w:rsidP="00423C6D">
      <w:pPr>
        <w:pStyle w:val="a2"/>
        <w:rPr>
          <w:rtl/>
        </w:rPr>
      </w:pPr>
      <w:r w:rsidRPr="00FA1D26">
        <w:rPr>
          <w:rFonts w:hint="cs"/>
          <w:rtl/>
        </w:rPr>
        <w:t xml:space="preserve">דלפי"ז י"ל דלגבי משיח לא שייך טעם זה כלל דאחר י"ב חודש מתייאשים ח"ו, שהרי לישועתך קוינו של היום ובכל יום וכו' ובטוחים שהוא כאן, וכדאיתא בסנהדרין צח,א דרבי יהושע בן לוי שאל משיח לאימת אתי מר וענה לו משיח היום, היום אם בקולו תשמעו וכו', במילא לא שייך לברך ברכה זו. </w:t>
      </w:r>
    </w:p>
    <w:p w14:paraId="5C73865A" w14:textId="2FC48747" w:rsidR="00D044E2" w:rsidRPr="00FA1D26" w:rsidRDefault="00D044E2" w:rsidP="00423C6D">
      <w:pPr>
        <w:pStyle w:val="a2"/>
        <w:rPr>
          <w:rtl/>
        </w:rPr>
      </w:pPr>
      <w:r w:rsidRPr="00FA1D26">
        <w:rPr>
          <w:rFonts w:hint="cs"/>
          <w:rtl/>
        </w:rPr>
        <w:t>וע</w:t>
      </w:r>
      <w:r w:rsidR="003F7A29">
        <w:rPr>
          <w:rFonts w:hint="cs"/>
          <w:rtl/>
        </w:rPr>
        <w:t>ו</w:t>
      </w:r>
      <w:r w:rsidRPr="00FA1D26">
        <w:rPr>
          <w:rFonts w:hint="cs"/>
          <w:rtl/>
        </w:rPr>
        <w:t xml:space="preserve">ד דע"פ מ"ש בחדא"ג במהרש"א שם בטעם ברכת מחיה המתים וז"ל: </w:t>
      </w:r>
      <w:r w:rsidRPr="00FA1D26">
        <w:rPr>
          <w:rFonts w:hint="eastAsia"/>
          <w:rtl/>
        </w:rPr>
        <w:t>לאחר</w:t>
      </w:r>
      <w:r w:rsidRPr="00FA1D26">
        <w:rPr>
          <w:rtl/>
        </w:rPr>
        <w:t xml:space="preserve"> </w:t>
      </w:r>
      <w:r w:rsidRPr="00FA1D26">
        <w:rPr>
          <w:rFonts w:hint="eastAsia"/>
          <w:rtl/>
        </w:rPr>
        <w:t>שנים</w:t>
      </w:r>
      <w:r w:rsidRPr="00FA1D26">
        <w:rPr>
          <w:rtl/>
        </w:rPr>
        <w:t xml:space="preserve"> </w:t>
      </w:r>
      <w:r w:rsidRPr="00FA1D26">
        <w:rPr>
          <w:rFonts w:hint="eastAsia"/>
          <w:rtl/>
        </w:rPr>
        <w:t>עשר</w:t>
      </w:r>
      <w:r w:rsidRPr="00FA1D26">
        <w:rPr>
          <w:rtl/>
        </w:rPr>
        <w:t xml:space="preserve"> </w:t>
      </w:r>
      <w:r w:rsidRPr="00FA1D26">
        <w:rPr>
          <w:rFonts w:hint="eastAsia"/>
          <w:rtl/>
        </w:rPr>
        <w:t>חדש</w:t>
      </w:r>
      <w:r w:rsidRPr="00FA1D26">
        <w:rPr>
          <w:rtl/>
        </w:rPr>
        <w:t xml:space="preserve"> </w:t>
      </w:r>
      <w:r w:rsidRPr="00FA1D26">
        <w:rPr>
          <w:rFonts w:hint="eastAsia"/>
          <w:rtl/>
        </w:rPr>
        <w:t>כו</w:t>
      </w:r>
      <w:r w:rsidRPr="00FA1D26">
        <w:rPr>
          <w:rtl/>
        </w:rPr>
        <w:t xml:space="preserve">'. </w:t>
      </w:r>
      <w:r w:rsidRPr="00FA1D26">
        <w:rPr>
          <w:rFonts w:hint="eastAsia"/>
          <w:rtl/>
        </w:rPr>
        <w:t>לפי</w:t>
      </w:r>
      <w:r w:rsidRPr="00FA1D26">
        <w:rPr>
          <w:rtl/>
        </w:rPr>
        <w:t xml:space="preserve"> </w:t>
      </w:r>
      <w:r w:rsidRPr="00FA1D26">
        <w:rPr>
          <w:rFonts w:hint="eastAsia"/>
          <w:rtl/>
        </w:rPr>
        <w:t>שבכל</w:t>
      </w:r>
      <w:r w:rsidRPr="00FA1D26">
        <w:rPr>
          <w:rtl/>
        </w:rPr>
        <w:t xml:space="preserve"> </w:t>
      </w:r>
      <w:r w:rsidRPr="00FA1D26">
        <w:rPr>
          <w:rFonts w:hint="eastAsia"/>
          <w:rtl/>
        </w:rPr>
        <w:t>שנה</w:t>
      </w:r>
      <w:r w:rsidRPr="00FA1D26">
        <w:rPr>
          <w:rtl/>
        </w:rPr>
        <w:t xml:space="preserve"> </w:t>
      </w:r>
      <w:r w:rsidRPr="00FA1D26">
        <w:rPr>
          <w:rFonts w:hint="eastAsia"/>
          <w:rtl/>
        </w:rPr>
        <w:t>האדם</w:t>
      </w:r>
      <w:r w:rsidRPr="00FA1D26">
        <w:rPr>
          <w:rtl/>
        </w:rPr>
        <w:t xml:space="preserve"> </w:t>
      </w:r>
      <w:r w:rsidRPr="00FA1D26">
        <w:rPr>
          <w:rFonts w:hint="eastAsia"/>
          <w:rtl/>
        </w:rPr>
        <w:t>נידון</w:t>
      </w:r>
      <w:r w:rsidRPr="00FA1D26">
        <w:rPr>
          <w:rtl/>
        </w:rPr>
        <w:t xml:space="preserve"> </w:t>
      </w:r>
      <w:r w:rsidRPr="00FA1D26">
        <w:rPr>
          <w:rFonts w:hint="eastAsia"/>
          <w:rtl/>
        </w:rPr>
        <w:t>בראש</w:t>
      </w:r>
      <w:r w:rsidRPr="00FA1D26">
        <w:rPr>
          <w:rtl/>
        </w:rPr>
        <w:t xml:space="preserve"> </w:t>
      </w:r>
      <w:r w:rsidRPr="00FA1D26">
        <w:rPr>
          <w:rFonts w:hint="eastAsia"/>
          <w:rtl/>
        </w:rPr>
        <w:t>השנה</w:t>
      </w:r>
      <w:r w:rsidRPr="00FA1D26">
        <w:rPr>
          <w:rtl/>
        </w:rPr>
        <w:t xml:space="preserve"> </w:t>
      </w:r>
      <w:r w:rsidRPr="00FA1D26">
        <w:rPr>
          <w:rFonts w:hint="eastAsia"/>
          <w:rtl/>
        </w:rPr>
        <w:t>ויום</w:t>
      </w:r>
      <w:r w:rsidRPr="00FA1D26">
        <w:rPr>
          <w:rtl/>
        </w:rPr>
        <w:t xml:space="preserve"> </w:t>
      </w:r>
      <w:r w:rsidRPr="00FA1D26">
        <w:rPr>
          <w:rFonts w:hint="eastAsia"/>
          <w:rtl/>
        </w:rPr>
        <w:t>הכפורים</w:t>
      </w:r>
      <w:r w:rsidRPr="00FA1D26">
        <w:rPr>
          <w:rtl/>
        </w:rPr>
        <w:t xml:space="preserve"> </w:t>
      </w:r>
      <w:r w:rsidRPr="00FA1D26">
        <w:rPr>
          <w:rFonts w:hint="eastAsia"/>
          <w:rtl/>
        </w:rPr>
        <w:t>אם</w:t>
      </w:r>
      <w:r w:rsidRPr="00FA1D26">
        <w:rPr>
          <w:rtl/>
        </w:rPr>
        <w:t xml:space="preserve"> </w:t>
      </w:r>
      <w:r w:rsidRPr="00FA1D26">
        <w:rPr>
          <w:rFonts w:hint="eastAsia"/>
          <w:rtl/>
        </w:rPr>
        <w:t>למות</w:t>
      </w:r>
      <w:r w:rsidRPr="00FA1D26">
        <w:rPr>
          <w:rtl/>
        </w:rPr>
        <w:t xml:space="preserve"> </w:t>
      </w:r>
      <w:r w:rsidRPr="00FA1D26">
        <w:rPr>
          <w:rFonts w:hint="eastAsia"/>
          <w:rtl/>
        </w:rPr>
        <w:t>אם</w:t>
      </w:r>
      <w:r w:rsidRPr="00FA1D26">
        <w:rPr>
          <w:rtl/>
        </w:rPr>
        <w:t xml:space="preserve"> </w:t>
      </w:r>
      <w:r w:rsidRPr="00FA1D26">
        <w:rPr>
          <w:rFonts w:hint="eastAsia"/>
          <w:rtl/>
        </w:rPr>
        <w:t>להיות</w:t>
      </w:r>
      <w:r w:rsidRPr="00FA1D26">
        <w:rPr>
          <w:rtl/>
        </w:rPr>
        <w:t xml:space="preserve"> </w:t>
      </w:r>
      <w:r w:rsidRPr="00FA1D26">
        <w:rPr>
          <w:rFonts w:hint="eastAsia"/>
          <w:rtl/>
        </w:rPr>
        <w:t>חי</w:t>
      </w:r>
      <w:r w:rsidRPr="00FA1D26">
        <w:rPr>
          <w:rtl/>
        </w:rPr>
        <w:t xml:space="preserve"> </w:t>
      </w:r>
      <w:r w:rsidRPr="00FA1D26">
        <w:rPr>
          <w:rFonts w:hint="eastAsia"/>
          <w:rtl/>
        </w:rPr>
        <w:t>ואם</w:t>
      </w:r>
      <w:r w:rsidRPr="00FA1D26">
        <w:rPr>
          <w:rtl/>
        </w:rPr>
        <w:t xml:space="preserve"> </w:t>
      </w:r>
      <w:r w:rsidRPr="00FA1D26">
        <w:rPr>
          <w:rFonts w:hint="eastAsia"/>
          <w:rtl/>
        </w:rPr>
        <w:t>רואהו</w:t>
      </w:r>
      <w:r w:rsidRPr="00FA1D26">
        <w:rPr>
          <w:rtl/>
        </w:rPr>
        <w:t xml:space="preserve"> </w:t>
      </w:r>
      <w:r w:rsidRPr="00FA1D26">
        <w:rPr>
          <w:rFonts w:hint="eastAsia"/>
          <w:rtl/>
        </w:rPr>
        <w:t>אחר</w:t>
      </w:r>
      <w:r w:rsidRPr="00FA1D26">
        <w:rPr>
          <w:rtl/>
        </w:rPr>
        <w:t xml:space="preserve"> </w:t>
      </w:r>
      <w:r w:rsidRPr="00FA1D26">
        <w:rPr>
          <w:rFonts w:hint="eastAsia"/>
          <w:rtl/>
        </w:rPr>
        <w:t>ר</w:t>
      </w:r>
      <w:r w:rsidRPr="00FA1D26">
        <w:rPr>
          <w:rtl/>
        </w:rPr>
        <w:t xml:space="preserve">"ה </w:t>
      </w:r>
      <w:r w:rsidRPr="00FA1D26">
        <w:rPr>
          <w:rFonts w:hint="eastAsia"/>
          <w:rtl/>
        </w:rPr>
        <w:t>ויה</w:t>
      </w:r>
      <w:r w:rsidRPr="00FA1D26">
        <w:rPr>
          <w:rtl/>
        </w:rPr>
        <w:t xml:space="preserve">"כ </w:t>
      </w:r>
      <w:r w:rsidRPr="00FA1D26">
        <w:rPr>
          <w:rFonts w:hint="eastAsia"/>
          <w:rtl/>
        </w:rPr>
        <w:t>זה</w:t>
      </w:r>
      <w:r w:rsidRPr="00FA1D26">
        <w:rPr>
          <w:rtl/>
        </w:rPr>
        <w:t xml:space="preserve"> </w:t>
      </w:r>
      <w:r w:rsidRPr="00FA1D26">
        <w:rPr>
          <w:rFonts w:hint="eastAsia"/>
          <w:rtl/>
        </w:rPr>
        <w:t>ואחר</w:t>
      </w:r>
      <w:r w:rsidRPr="00FA1D26">
        <w:rPr>
          <w:rtl/>
        </w:rPr>
        <w:t xml:space="preserve"> </w:t>
      </w:r>
      <w:r w:rsidRPr="00FA1D26">
        <w:rPr>
          <w:rFonts w:hint="eastAsia"/>
          <w:rtl/>
        </w:rPr>
        <w:t>כך</w:t>
      </w:r>
      <w:r w:rsidRPr="00FA1D26">
        <w:rPr>
          <w:rtl/>
        </w:rPr>
        <w:t xml:space="preserve"> </w:t>
      </w:r>
      <w:r w:rsidRPr="00FA1D26">
        <w:rPr>
          <w:rFonts w:hint="eastAsia"/>
          <w:rtl/>
        </w:rPr>
        <w:t>אין</w:t>
      </w:r>
      <w:r w:rsidRPr="00FA1D26">
        <w:rPr>
          <w:rtl/>
        </w:rPr>
        <w:t xml:space="preserve"> </w:t>
      </w:r>
      <w:r w:rsidRPr="00FA1D26">
        <w:rPr>
          <w:rFonts w:hint="eastAsia"/>
          <w:rtl/>
        </w:rPr>
        <w:t>רואה</w:t>
      </w:r>
      <w:r w:rsidRPr="00FA1D26">
        <w:rPr>
          <w:rtl/>
        </w:rPr>
        <w:t xml:space="preserve"> </w:t>
      </w:r>
      <w:r w:rsidRPr="00FA1D26">
        <w:rPr>
          <w:rFonts w:hint="eastAsia"/>
          <w:rtl/>
        </w:rPr>
        <w:t>אותו</w:t>
      </w:r>
      <w:r w:rsidRPr="00FA1D26">
        <w:rPr>
          <w:rtl/>
        </w:rPr>
        <w:t xml:space="preserve"> </w:t>
      </w:r>
      <w:r w:rsidRPr="00FA1D26">
        <w:rPr>
          <w:rFonts w:hint="eastAsia"/>
          <w:rtl/>
        </w:rPr>
        <w:t>עד</w:t>
      </w:r>
      <w:r w:rsidRPr="00FA1D26">
        <w:rPr>
          <w:rtl/>
        </w:rPr>
        <w:t xml:space="preserve"> </w:t>
      </w:r>
      <w:r w:rsidRPr="00FA1D26">
        <w:rPr>
          <w:rFonts w:hint="eastAsia"/>
          <w:rtl/>
        </w:rPr>
        <w:t>אחר</w:t>
      </w:r>
      <w:r w:rsidRPr="00FA1D26">
        <w:rPr>
          <w:rtl/>
        </w:rPr>
        <w:t xml:space="preserve"> </w:t>
      </w:r>
      <w:r w:rsidRPr="00FA1D26">
        <w:rPr>
          <w:rFonts w:hint="eastAsia"/>
          <w:rtl/>
        </w:rPr>
        <w:t>ר</w:t>
      </w:r>
      <w:r w:rsidRPr="00FA1D26">
        <w:rPr>
          <w:rtl/>
        </w:rPr>
        <w:t xml:space="preserve">"ה </w:t>
      </w:r>
      <w:r w:rsidRPr="00FA1D26">
        <w:rPr>
          <w:rFonts w:hint="eastAsia"/>
          <w:rtl/>
        </w:rPr>
        <w:t>ויה</w:t>
      </w:r>
      <w:r w:rsidRPr="00FA1D26">
        <w:rPr>
          <w:rtl/>
        </w:rPr>
        <w:t xml:space="preserve">"כ </w:t>
      </w:r>
      <w:r w:rsidRPr="00FA1D26">
        <w:rPr>
          <w:rFonts w:hint="eastAsia"/>
          <w:rtl/>
        </w:rPr>
        <w:t>הבא</w:t>
      </w:r>
      <w:r w:rsidRPr="00FA1D26">
        <w:rPr>
          <w:rtl/>
        </w:rPr>
        <w:t xml:space="preserve"> </w:t>
      </w:r>
      <w:r w:rsidRPr="00FA1D26">
        <w:rPr>
          <w:rFonts w:hint="eastAsia"/>
          <w:rtl/>
        </w:rPr>
        <w:t>הרי</w:t>
      </w:r>
      <w:r w:rsidRPr="00FA1D26">
        <w:rPr>
          <w:rtl/>
        </w:rPr>
        <w:t xml:space="preserve"> </w:t>
      </w:r>
      <w:r w:rsidRPr="00FA1D26">
        <w:rPr>
          <w:rFonts w:hint="eastAsia"/>
          <w:rtl/>
        </w:rPr>
        <w:t>עבר</w:t>
      </w:r>
      <w:r w:rsidRPr="00FA1D26">
        <w:rPr>
          <w:rtl/>
        </w:rPr>
        <w:t xml:space="preserve"> </w:t>
      </w:r>
      <w:r w:rsidRPr="00FA1D26">
        <w:rPr>
          <w:rFonts w:hint="eastAsia"/>
          <w:rtl/>
        </w:rPr>
        <w:t>עליו</w:t>
      </w:r>
      <w:r w:rsidRPr="00FA1D26">
        <w:rPr>
          <w:rtl/>
        </w:rPr>
        <w:t xml:space="preserve"> </w:t>
      </w:r>
      <w:r w:rsidRPr="00FA1D26">
        <w:rPr>
          <w:rFonts w:hint="eastAsia"/>
          <w:rtl/>
        </w:rPr>
        <w:t>דין</w:t>
      </w:r>
      <w:r w:rsidRPr="00FA1D26">
        <w:rPr>
          <w:rtl/>
        </w:rPr>
        <w:t xml:space="preserve"> </w:t>
      </w:r>
      <w:r w:rsidRPr="00FA1D26">
        <w:rPr>
          <w:rFonts w:hint="eastAsia"/>
          <w:rtl/>
        </w:rPr>
        <w:t>אם</w:t>
      </w:r>
      <w:r w:rsidRPr="00FA1D26">
        <w:rPr>
          <w:rtl/>
        </w:rPr>
        <w:t xml:space="preserve"> </w:t>
      </w:r>
      <w:r w:rsidRPr="00FA1D26">
        <w:rPr>
          <w:rFonts w:hint="eastAsia"/>
          <w:rtl/>
        </w:rPr>
        <w:t>למות</w:t>
      </w:r>
      <w:r w:rsidRPr="00FA1D26">
        <w:rPr>
          <w:rtl/>
        </w:rPr>
        <w:t xml:space="preserve"> </w:t>
      </w:r>
      <w:r w:rsidRPr="00FA1D26">
        <w:rPr>
          <w:rFonts w:hint="eastAsia"/>
          <w:rtl/>
        </w:rPr>
        <w:t>אם</w:t>
      </w:r>
      <w:r w:rsidRPr="00FA1D26">
        <w:rPr>
          <w:rtl/>
        </w:rPr>
        <w:t xml:space="preserve"> </w:t>
      </w:r>
      <w:r w:rsidRPr="00FA1D26">
        <w:rPr>
          <w:rFonts w:hint="eastAsia"/>
          <w:rtl/>
        </w:rPr>
        <w:t>לאו</w:t>
      </w:r>
      <w:r w:rsidRPr="00FA1D26">
        <w:rPr>
          <w:rtl/>
        </w:rPr>
        <w:t xml:space="preserve"> </w:t>
      </w:r>
      <w:r w:rsidRPr="00FA1D26">
        <w:rPr>
          <w:rFonts w:hint="eastAsia"/>
          <w:rtl/>
        </w:rPr>
        <w:t>וע</w:t>
      </w:r>
      <w:r w:rsidRPr="00FA1D26">
        <w:rPr>
          <w:rtl/>
        </w:rPr>
        <w:t xml:space="preserve">"כ </w:t>
      </w:r>
      <w:r w:rsidRPr="00FA1D26">
        <w:rPr>
          <w:rFonts w:hint="eastAsia"/>
          <w:rtl/>
        </w:rPr>
        <w:t>אומר</w:t>
      </w:r>
      <w:r w:rsidRPr="00FA1D26">
        <w:rPr>
          <w:rtl/>
        </w:rPr>
        <w:t xml:space="preserve"> </w:t>
      </w:r>
      <w:r w:rsidRPr="00FA1D26">
        <w:rPr>
          <w:rFonts w:hint="eastAsia"/>
          <w:rtl/>
        </w:rPr>
        <w:t>ברוך</w:t>
      </w:r>
      <w:r w:rsidRPr="00FA1D26">
        <w:rPr>
          <w:rtl/>
        </w:rPr>
        <w:t xml:space="preserve"> </w:t>
      </w:r>
      <w:r w:rsidRPr="00FA1D26">
        <w:rPr>
          <w:rFonts w:hint="eastAsia"/>
          <w:rtl/>
        </w:rPr>
        <w:t>מחיה</w:t>
      </w:r>
      <w:r w:rsidRPr="00FA1D26">
        <w:rPr>
          <w:rtl/>
        </w:rPr>
        <w:t xml:space="preserve"> </w:t>
      </w:r>
      <w:r w:rsidRPr="00FA1D26">
        <w:rPr>
          <w:rFonts w:hint="eastAsia"/>
          <w:rtl/>
        </w:rPr>
        <w:t>מתים</w:t>
      </w:r>
      <w:r w:rsidRPr="00FA1D26">
        <w:rPr>
          <w:rtl/>
        </w:rPr>
        <w:t xml:space="preserve"> </w:t>
      </w:r>
      <w:r w:rsidRPr="00FA1D26">
        <w:rPr>
          <w:rFonts w:hint="eastAsia"/>
          <w:rtl/>
        </w:rPr>
        <w:t>שניצול</w:t>
      </w:r>
      <w:r w:rsidRPr="00FA1D26">
        <w:rPr>
          <w:rtl/>
        </w:rPr>
        <w:t xml:space="preserve"> </w:t>
      </w:r>
      <w:r w:rsidRPr="00FA1D26">
        <w:rPr>
          <w:rFonts w:hint="eastAsia"/>
          <w:rtl/>
        </w:rPr>
        <w:t>מדין</w:t>
      </w:r>
      <w:r w:rsidRPr="00FA1D26">
        <w:rPr>
          <w:rtl/>
        </w:rPr>
        <w:t xml:space="preserve"> </w:t>
      </w:r>
      <w:r w:rsidRPr="00FA1D26">
        <w:rPr>
          <w:rFonts w:hint="eastAsia"/>
          <w:rtl/>
        </w:rPr>
        <w:t>מיתה</w:t>
      </w:r>
      <w:r w:rsidRPr="00FA1D26">
        <w:rPr>
          <w:rtl/>
        </w:rPr>
        <w:t xml:space="preserve"> </w:t>
      </w:r>
      <w:r w:rsidRPr="00FA1D26">
        <w:rPr>
          <w:rFonts w:hint="eastAsia"/>
          <w:rtl/>
        </w:rPr>
        <w:t>בר</w:t>
      </w:r>
      <w:r w:rsidRPr="00FA1D26">
        <w:rPr>
          <w:rtl/>
        </w:rPr>
        <w:t xml:space="preserve">"ה </w:t>
      </w:r>
      <w:r w:rsidRPr="00FA1D26">
        <w:rPr>
          <w:rFonts w:hint="eastAsia"/>
          <w:rtl/>
        </w:rPr>
        <w:t>ויוה</w:t>
      </w:r>
      <w:r w:rsidRPr="00FA1D26">
        <w:rPr>
          <w:rtl/>
        </w:rPr>
        <w:t xml:space="preserve">"כ </w:t>
      </w:r>
      <w:r w:rsidRPr="00FA1D26">
        <w:rPr>
          <w:rFonts w:hint="eastAsia"/>
          <w:rtl/>
        </w:rPr>
        <w:t>והשתא</w:t>
      </w:r>
      <w:r w:rsidRPr="00FA1D26">
        <w:rPr>
          <w:rtl/>
        </w:rPr>
        <w:t xml:space="preserve"> </w:t>
      </w:r>
      <w:r w:rsidRPr="00FA1D26">
        <w:rPr>
          <w:rFonts w:hint="eastAsia"/>
          <w:rtl/>
        </w:rPr>
        <w:t>ניחא</w:t>
      </w:r>
      <w:r w:rsidRPr="00FA1D26">
        <w:rPr>
          <w:rtl/>
        </w:rPr>
        <w:t xml:space="preserve"> </w:t>
      </w:r>
      <w:r w:rsidRPr="00FA1D26">
        <w:rPr>
          <w:rFonts w:hint="eastAsia"/>
          <w:rtl/>
        </w:rPr>
        <w:t>דמייתי</w:t>
      </w:r>
      <w:r w:rsidRPr="00FA1D26">
        <w:rPr>
          <w:rtl/>
        </w:rPr>
        <w:t xml:space="preserve"> </w:t>
      </w:r>
      <w:r w:rsidRPr="00FA1D26">
        <w:rPr>
          <w:rFonts w:hint="eastAsia"/>
          <w:rtl/>
        </w:rPr>
        <w:t>עלה</w:t>
      </w:r>
      <w:r w:rsidRPr="00FA1D26">
        <w:rPr>
          <w:rtl/>
        </w:rPr>
        <w:t xml:space="preserve"> </w:t>
      </w:r>
      <w:r w:rsidRPr="00FA1D26">
        <w:rPr>
          <w:rFonts w:hint="eastAsia"/>
          <w:rtl/>
        </w:rPr>
        <w:t>הכא</w:t>
      </w:r>
      <w:r w:rsidRPr="00FA1D26">
        <w:rPr>
          <w:rtl/>
        </w:rPr>
        <w:t xml:space="preserve"> </w:t>
      </w:r>
      <w:r w:rsidRPr="00FA1D26">
        <w:rPr>
          <w:rFonts w:hint="eastAsia"/>
          <w:rtl/>
        </w:rPr>
        <w:t>מילתיה</w:t>
      </w:r>
      <w:r w:rsidRPr="00FA1D26">
        <w:rPr>
          <w:rtl/>
        </w:rPr>
        <w:t xml:space="preserve"> </w:t>
      </w:r>
      <w:r w:rsidRPr="00FA1D26">
        <w:rPr>
          <w:rFonts w:hint="eastAsia"/>
          <w:rtl/>
        </w:rPr>
        <w:t>דרב</w:t>
      </w:r>
      <w:r w:rsidRPr="00FA1D26">
        <w:rPr>
          <w:rtl/>
        </w:rPr>
        <w:t xml:space="preserve"> </w:t>
      </w:r>
      <w:r w:rsidRPr="00FA1D26">
        <w:rPr>
          <w:rFonts w:hint="eastAsia"/>
          <w:rtl/>
        </w:rPr>
        <w:t>דמיירי</w:t>
      </w:r>
      <w:r w:rsidRPr="00FA1D26">
        <w:rPr>
          <w:rtl/>
        </w:rPr>
        <w:t xml:space="preserve"> </w:t>
      </w:r>
      <w:r w:rsidRPr="00FA1D26">
        <w:rPr>
          <w:rFonts w:hint="eastAsia"/>
          <w:rtl/>
        </w:rPr>
        <w:t>נמי</w:t>
      </w:r>
      <w:r w:rsidRPr="00FA1D26">
        <w:rPr>
          <w:rtl/>
        </w:rPr>
        <w:t xml:space="preserve"> </w:t>
      </w:r>
      <w:r w:rsidRPr="00FA1D26">
        <w:rPr>
          <w:rFonts w:hint="eastAsia"/>
          <w:rtl/>
        </w:rPr>
        <w:t>בדוד</w:t>
      </w:r>
      <w:r w:rsidRPr="00FA1D26">
        <w:rPr>
          <w:rtl/>
        </w:rPr>
        <w:t xml:space="preserve"> </w:t>
      </w:r>
      <w:r w:rsidRPr="00FA1D26">
        <w:rPr>
          <w:rFonts w:hint="eastAsia"/>
          <w:rtl/>
        </w:rPr>
        <w:t>שהיה</w:t>
      </w:r>
      <w:r w:rsidRPr="00FA1D26">
        <w:rPr>
          <w:rtl/>
        </w:rPr>
        <w:t xml:space="preserve"> </w:t>
      </w:r>
      <w:r w:rsidRPr="00FA1D26">
        <w:rPr>
          <w:rFonts w:hint="eastAsia"/>
          <w:rtl/>
        </w:rPr>
        <w:t>חי</w:t>
      </w:r>
      <w:r w:rsidRPr="00FA1D26">
        <w:rPr>
          <w:rtl/>
        </w:rPr>
        <w:t xml:space="preserve"> </w:t>
      </w:r>
      <w:r w:rsidRPr="00FA1D26">
        <w:rPr>
          <w:rFonts w:hint="eastAsia"/>
          <w:rtl/>
        </w:rPr>
        <w:t>ואמר</w:t>
      </w:r>
      <w:r w:rsidRPr="00FA1D26">
        <w:rPr>
          <w:rtl/>
        </w:rPr>
        <w:t xml:space="preserve"> </w:t>
      </w:r>
      <w:r w:rsidRPr="00FA1D26">
        <w:rPr>
          <w:rFonts w:hint="eastAsia"/>
          <w:rtl/>
        </w:rPr>
        <w:t>שאחר</w:t>
      </w:r>
      <w:r w:rsidRPr="00FA1D26">
        <w:rPr>
          <w:rtl/>
        </w:rPr>
        <w:t xml:space="preserve"> </w:t>
      </w:r>
      <w:r w:rsidRPr="00FA1D26">
        <w:rPr>
          <w:rFonts w:hint="eastAsia"/>
          <w:rtl/>
        </w:rPr>
        <w:t>שעבר</w:t>
      </w:r>
      <w:r w:rsidRPr="00FA1D26">
        <w:rPr>
          <w:rtl/>
        </w:rPr>
        <w:t xml:space="preserve"> </w:t>
      </w:r>
      <w:r w:rsidRPr="00FA1D26">
        <w:rPr>
          <w:rFonts w:hint="eastAsia"/>
          <w:rtl/>
        </w:rPr>
        <w:t>עליו</w:t>
      </w:r>
      <w:r w:rsidRPr="00FA1D26">
        <w:rPr>
          <w:rtl/>
        </w:rPr>
        <w:t xml:space="preserve"> </w:t>
      </w:r>
      <w:r w:rsidRPr="00FA1D26">
        <w:rPr>
          <w:rFonts w:hint="eastAsia"/>
          <w:rtl/>
        </w:rPr>
        <w:t>שנה</w:t>
      </w:r>
      <w:r w:rsidRPr="00FA1D26">
        <w:rPr>
          <w:rtl/>
        </w:rPr>
        <w:t xml:space="preserve"> </w:t>
      </w:r>
      <w:r w:rsidRPr="00FA1D26">
        <w:rPr>
          <w:rFonts w:hint="eastAsia"/>
          <w:rtl/>
        </w:rPr>
        <w:t>הוא</w:t>
      </w:r>
      <w:r w:rsidRPr="00FA1D26">
        <w:rPr>
          <w:rtl/>
        </w:rPr>
        <w:t xml:space="preserve"> </w:t>
      </w:r>
      <w:r w:rsidRPr="00FA1D26">
        <w:rPr>
          <w:rFonts w:hint="eastAsia"/>
          <w:rtl/>
        </w:rPr>
        <w:t>נשכח</w:t>
      </w:r>
      <w:r w:rsidRPr="00FA1D26">
        <w:rPr>
          <w:rtl/>
        </w:rPr>
        <w:t xml:space="preserve"> </w:t>
      </w:r>
      <w:r w:rsidRPr="00FA1D26">
        <w:rPr>
          <w:rFonts w:hint="eastAsia"/>
          <w:rtl/>
        </w:rPr>
        <w:t>כמת</w:t>
      </w:r>
      <w:r w:rsidRPr="00FA1D26">
        <w:rPr>
          <w:rtl/>
        </w:rPr>
        <w:t xml:space="preserve"> </w:t>
      </w:r>
      <w:r w:rsidRPr="00FA1D26">
        <w:rPr>
          <w:rFonts w:hint="eastAsia"/>
          <w:rtl/>
        </w:rPr>
        <w:t>וצריך</w:t>
      </w:r>
      <w:r w:rsidRPr="00FA1D26">
        <w:rPr>
          <w:rtl/>
        </w:rPr>
        <w:t xml:space="preserve"> </w:t>
      </w:r>
      <w:r w:rsidRPr="00FA1D26">
        <w:rPr>
          <w:rFonts w:hint="eastAsia"/>
          <w:rtl/>
        </w:rPr>
        <w:t>לברך</w:t>
      </w:r>
      <w:r w:rsidRPr="00FA1D26">
        <w:rPr>
          <w:rtl/>
        </w:rPr>
        <w:t xml:space="preserve"> </w:t>
      </w:r>
      <w:r w:rsidRPr="00FA1D26">
        <w:rPr>
          <w:rFonts w:hint="eastAsia"/>
          <w:rtl/>
        </w:rPr>
        <w:t>עליו</w:t>
      </w:r>
      <w:r w:rsidRPr="00FA1D26">
        <w:rPr>
          <w:rtl/>
        </w:rPr>
        <w:t xml:space="preserve"> </w:t>
      </w:r>
      <w:r w:rsidRPr="00FA1D26">
        <w:rPr>
          <w:rFonts w:hint="eastAsia"/>
          <w:rtl/>
        </w:rPr>
        <w:t>ברוך</w:t>
      </w:r>
      <w:r w:rsidRPr="00FA1D26">
        <w:rPr>
          <w:rtl/>
        </w:rPr>
        <w:t xml:space="preserve"> </w:t>
      </w:r>
      <w:r w:rsidRPr="00FA1D26">
        <w:rPr>
          <w:rFonts w:hint="eastAsia"/>
          <w:rtl/>
        </w:rPr>
        <w:t>מחיה</w:t>
      </w:r>
      <w:r w:rsidRPr="00FA1D26">
        <w:rPr>
          <w:rtl/>
        </w:rPr>
        <w:t xml:space="preserve"> </w:t>
      </w:r>
      <w:r w:rsidRPr="00FA1D26">
        <w:rPr>
          <w:rFonts w:hint="eastAsia"/>
          <w:rtl/>
        </w:rPr>
        <w:t>מתים</w:t>
      </w:r>
      <w:r w:rsidRPr="00FA1D26">
        <w:rPr>
          <w:rtl/>
        </w:rPr>
        <w:t xml:space="preserve"> </w:t>
      </w:r>
      <w:r w:rsidRPr="00FA1D26">
        <w:rPr>
          <w:rFonts w:hint="eastAsia"/>
          <w:rtl/>
        </w:rPr>
        <w:t>ומדמה</w:t>
      </w:r>
      <w:r w:rsidRPr="00FA1D26">
        <w:rPr>
          <w:rtl/>
        </w:rPr>
        <w:t xml:space="preserve"> </w:t>
      </w:r>
      <w:r w:rsidRPr="00FA1D26">
        <w:rPr>
          <w:rFonts w:hint="eastAsia"/>
          <w:rtl/>
        </w:rPr>
        <w:t>ליה</w:t>
      </w:r>
      <w:r w:rsidRPr="00FA1D26">
        <w:rPr>
          <w:rtl/>
        </w:rPr>
        <w:t xml:space="preserve"> </w:t>
      </w:r>
      <w:r w:rsidRPr="00FA1D26">
        <w:rPr>
          <w:rFonts w:hint="eastAsia"/>
          <w:rtl/>
        </w:rPr>
        <w:t>לכלי</w:t>
      </w:r>
      <w:r w:rsidRPr="00FA1D26">
        <w:rPr>
          <w:rtl/>
        </w:rPr>
        <w:t xml:space="preserve"> </w:t>
      </w:r>
      <w:r w:rsidRPr="00FA1D26">
        <w:rPr>
          <w:rFonts w:hint="eastAsia"/>
          <w:rtl/>
        </w:rPr>
        <w:t>אובד</w:t>
      </w:r>
      <w:r w:rsidRPr="00FA1D26">
        <w:rPr>
          <w:rtl/>
        </w:rPr>
        <w:t xml:space="preserve"> </w:t>
      </w:r>
      <w:r w:rsidRPr="00FA1D26">
        <w:rPr>
          <w:rFonts w:hint="eastAsia"/>
          <w:rtl/>
        </w:rPr>
        <w:t>כפירש</w:t>
      </w:r>
      <w:r w:rsidRPr="00FA1D26">
        <w:rPr>
          <w:rtl/>
        </w:rPr>
        <w:t xml:space="preserve">"י </w:t>
      </w:r>
      <w:r w:rsidRPr="00FA1D26">
        <w:rPr>
          <w:rFonts w:hint="eastAsia"/>
          <w:rtl/>
        </w:rPr>
        <w:t>דבעבר</w:t>
      </w:r>
      <w:r w:rsidRPr="00FA1D26">
        <w:rPr>
          <w:rtl/>
        </w:rPr>
        <w:t xml:space="preserve"> </w:t>
      </w:r>
      <w:r w:rsidRPr="00FA1D26">
        <w:rPr>
          <w:rFonts w:hint="eastAsia"/>
          <w:rtl/>
        </w:rPr>
        <w:t>לו</w:t>
      </w:r>
      <w:r w:rsidRPr="00FA1D26">
        <w:rPr>
          <w:rtl/>
        </w:rPr>
        <w:t xml:space="preserve"> </w:t>
      </w:r>
      <w:r w:rsidRPr="00FA1D26">
        <w:rPr>
          <w:rFonts w:hint="eastAsia"/>
          <w:rtl/>
        </w:rPr>
        <w:t>שנה</w:t>
      </w:r>
      <w:r w:rsidRPr="00FA1D26">
        <w:rPr>
          <w:rtl/>
        </w:rPr>
        <w:t xml:space="preserve"> </w:t>
      </w:r>
      <w:r w:rsidRPr="00FA1D26">
        <w:rPr>
          <w:rFonts w:hint="eastAsia"/>
          <w:rtl/>
        </w:rPr>
        <w:t>הוא</w:t>
      </w:r>
      <w:r w:rsidRPr="00FA1D26">
        <w:rPr>
          <w:rtl/>
        </w:rPr>
        <w:t xml:space="preserve"> </w:t>
      </w:r>
      <w:r w:rsidRPr="00FA1D26">
        <w:rPr>
          <w:rFonts w:hint="eastAsia"/>
          <w:rtl/>
        </w:rPr>
        <w:t>אבוד</w:t>
      </w:r>
      <w:r w:rsidRPr="00FA1D26">
        <w:rPr>
          <w:rtl/>
        </w:rPr>
        <w:t xml:space="preserve"> </w:t>
      </w:r>
      <w:r w:rsidRPr="00FA1D26">
        <w:rPr>
          <w:rFonts w:hint="eastAsia"/>
          <w:rtl/>
        </w:rPr>
        <w:t>לגמרי</w:t>
      </w:r>
      <w:r w:rsidRPr="00FA1D26">
        <w:rPr>
          <w:rtl/>
        </w:rPr>
        <w:t xml:space="preserve"> </w:t>
      </w:r>
      <w:r w:rsidRPr="00FA1D26">
        <w:rPr>
          <w:rFonts w:hint="eastAsia"/>
          <w:rtl/>
        </w:rPr>
        <w:t>וא</w:t>
      </w:r>
      <w:r w:rsidRPr="00FA1D26">
        <w:rPr>
          <w:rtl/>
        </w:rPr>
        <w:t xml:space="preserve">"צ </w:t>
      </w:r>
      <w:r w:rsidRPr="00FA1D26">
        <w:rPr>
          <w:rFonts w:hint="eastAsia"/>
          <w:rtl/>
        </w:rPr>
        <w:t>להכריז</w:t>
      </w:r>
      <w:r w:rsidRPr="00FA1D26">
        <w:rPr>
          <w:rtl/>
        </w:rPr>
        <w:t xml:space="preserve"> </w:t>
      </w:r>
      <w:r w:rsidRPr="00FA1D26">
        <w:rPr>
          <w:rFonts w:hint="eastAsia"/>
          <w:rtl/>
        </w:rPr>
        <w:t>ומ</w:t>
      </w:r>
      <w:r w:rsidRPr="00FA1D26">
        <w:rPr>
          <w:rtl/>
        </w:rPr>
        <w:t xml:space="preserve">"מ </w:t>
      </w:r>
      <w:r w:rsidRPr="00FA1D26">
        <w:rPr>
          <w:rFonts w:hint="eastAsia"/>
          <w:rtl/>
        </w:rPr>
        <w:t>אם</w:t>
      </w:r>
      <w:r w:rsidRPr="00FA1D26">
        <w:rPr>
          <w:rtl/>
        </w:rPr>
        <w:t xml:space="preserve"> </w:t>
      </w:r>
      <w:r w:rsidRPr="00FA1D26">
        <w:rPr>
          <w:rFonts w:hint="eastAsia"/>
          <w:rtl/>
        </w:rPr>
        <w:t>בעל</w:t>
      </w:r>
      <w:r w:rsidRPr="00FA1D26">
        <w:rPr>
          <w:rtl/>
        </w:rPr>
        <w:t xml:space="preserve"> </w:t>
      </w:r>
      <w:r w:rsidRPr="00FA1D26">
        <w:rPr>
          <w:rFonts w:hint="eastAsia"/>
          <w:rtl/>
        </w:rPr>
        <w:t>אבידה</w:t>
      </w:r>
      <w:r w:rsidRPr="00FA1D26">
        <w:rPr>
          <w:rtl/>
        </w:rPr>
        <w:t xml:space="preserve"> </w:t>
      </w:r>
      <w:r w:rsidRPr="00FA1D26">
        <w:rPr>
          <w:rFonts w:hint="eastAsia"/>
          <w:rtl/>
        </w:rPr>
        <w:t>מצאה</w:t>
      </w:r>
      <w:r w:rsidRPr="00FA1D26">
        <w:rPr>
          <w:rtl/>
        </w:rPr>
        <w:t xml:space="preserve"> </w:t>
      </w:r>
      <w:r w:rsidRPr="00FA1D26">
        <w:rPr>
          <w:rFonts w:hint="eastAsia"/>
          <w:rtl/>
        </w:rPr>
        <w:t>אח</w:t>
      </w:r>
      <w:r w:rsidRPr="00FA1D26">
        <w:rPr>
          <w:rtl/>
        </w:rPr>
        <w:t xml:space="preserve">"כ </w:t>
      </w:r>
      <w:r w:rsidRPr="00FA1D26">
        <w:rPr>
          <w:rFonts w:hint="eastAsia"/>
          <w:rtl/>
        </w:rPr>
        <w:t>הרי</w:t>
      </w:r>
      <w:r w:rsidRPr="00FA1D26">
        <w:rPr>
          <w:rtl/>
        </w:rPr>
        <w:t xml:space="preserve"> </w:t>
      </w:r>
      <w:r w:rsidRPr="00FA1D26">
        <w:rPr>
          <w:rFonts w:hint="eastAsia"/>
          <w:rtl/>
        </w:rPr>
        <w:t>מחזיר</w:t>
      </w:r>
      <w:r w:rsidRPr="00FA1D26">
        <w:rPr>
          <w:rtl/>
        </w:rPr>
        <w:t xml:space="preserve"> </w:t>
      </w:r>
      <w:r w:rsidRPr="00FA1D26">
        <w:rPr>
          <w:rFonts w:hint="eastAsia"/>
          <w:rtl/>
        </w:rPr>
        <w:t>לו</w:t>
      </w:r>
      <w:r w:rsidRPr="00FA1D26">
        <w:rPr>
          <w:rtl/>
        </w:rPr>
        <w:t xml:space="preserve"> </w:t>
      </w:r>
      <w:r w:rsidRPr="00FA1D26">
        <w:rPr>
          <w:rFonts w:hint="eastAsia"/>
          <w:rtl/>
        </w:rPr>
        <w:t>ה</w:t>
      </w:r>
      <w:r w:rsidRPr="00FA1D26">
        <w:rPr>
          <w:rtl/>
        </w:rPr>
        <w:t xml:space="preserve">"נ </w:t>
      </w:r>
      <w:r w:rsidRPr="00FA1D26">
        <w:rPr>
          <w:rFonts w:hint="eastAsia"/>
          <w:rtl/>
        </w:rPr>
        <w:t>באדם</w:t>
      </w:r>
      <w:r w:rsidRPr="00FA1D26">
        <w:rPr>
          <w:rtl/>
        </w:rPr>
        <w:t xml:space="preserve"> </w:t>
      </w:r>
      <w:r w:rsidRPr="00FA1D26">
        <w:rPr>
          <w:rFonts w:hint="eastAsia"/>
          <w:rtl/>
        </w:rPr>
        <w:t>בעבר</w:t>
      </w:r>
      <w:r w:rsidRPr="00FA1D26">
        <w:rPr>
          <w:rtl/>
        </w:rPr>
        <w:t xml:space="preserve"> </w:t>
      </w:r>
      <w:r w:rsidRPr="00FA1D26">
        <w:rPr>
          <w:rFonts w:hint="eastAsia"/>
          <w:rtl/>
        </w:rPr>
        <w:t>לו</w:t>
      </w:r>
      <w:r w:rsidRPr="00FA1D26">
        <w:rPr>
          <w:rtl/>
        </w:rPr>
        <w:t xml:space="preserve"> </w:t>
      </w:r>
      <w:r w:rsidRPr="00FA1D26">
        <w:rPr>
          <w:rFonts w:hint="eastAsia"/>
          <w:rtl/>
        </w:rPr>
        <w:t>שנה</w:t>
      </w:r>
      <w:r w:rsidRPr="00FA1D26">
        <w:rPr>
          <w:rtl/>
        </w:rPr>
        <w:t xml:space="preserve"> </w:t>
      </w:r>
      <w:r w:rsidRPr="00FA1D26">
        <w:rPr>
          <w:rFonts w:hint="eastAsia"/>
          <w:rtl/>
        </w:rPr>
        <w:t>ואין</w:t>
      </w:r>
      <w:r w:rsidRPr="00FA1D26">
        <w:rPr>
          <w:rtl/>
        </w:rPr>
        <w:t xml:space="preserve"> </w:t>
      </w:r>
      <w:r w:rsidRPr="00FA1D26">
        <w:rPr>
          <w:rFonts w:hint="eastAsia"/>
          <w:rtl/>
        </w:rPr>
        <w:t>רואהו</w:t>
      </w:r>
      <w:r w:rsidRPr="00FA1D26">
        <w:rPr>
          <w:rtl/>
        </w:rPr>
        <w:t xml:space="preserve"> </w:t>
      </w:r>
      <w:r w:rsidRPr="00FA1D26">
        <w:rPr>
          <w:rFonts w:hint="eastAsia"/>
          <w:rtl/>
        </w:rPr>
        <w:t>הרי</w:t>
      </w:r>
      <w:r w:rsidRPr="00FA1D26">
        <w:rPr>
          <w:rtl/>
        </w:rPr>
        <w:t xml:space="preserve"> </w:t>
      </w:r>
      <w:r w:rsidRPr="00FA1D26">
        <w:rPr>
          <w:rFonts w:hint="eastAsia"/>
          <w:rtl/>
        </w:rPr>
        <w:t>הוא</w:t>
      </w:r>
      <w:r w:rsidRPr="00FA1D26">
        <w:rPr>
          <w:rtl/>
        </w:rPr>
        <w:t xml:space="preserve"> </w:t>
      </w:r>
      <w:r w:rsidRPr="00FA1D26">
        <w:rPr>
          <w:rFonts w:hint="eastAsia"/>
          <w:rtl/>
        </w:rPr>
        <w:t>כאבוד</w:t>
      </w:r>
      <w:r w:rsidRPr="00FA1D26">
        <w:rPr>
          <w:rtl/>
        </w:rPr>
        <w:t xml:space="preserve"> </w:t>
      </w:r>
      <w:r w:rsidRPr="00FA1D26">
        <w:rPr>
          <w:rFonts w:hint="eastAsia"/>
          <w:rtl/>
        </w:rPr>
        <w:t>ומת</w:t>
      </w:r>
      <w:r w:rsidRPr="00FA1D26">
        <w:rPr>
          <w:rtl/>
        </w:rPr>
        <w:t xml:space="preserve"> </w:t>
      </w:r>
      <w:r w:rsidRPr="00FA1D26">
        <w:rPr>
          <w:rFonts w:hint="eastAsia"/>
          <w:rtl/>
        </w:rPr>
        <w:t>ואם</w:t>
      </w:r>
      <w:r w:rsidRPr="00FA1D26">
        <w:rPr>
          <w:rtl/>
        </w:rPr>
        <w:t xml:space="preserve"> </w:t>
      </w:r>
      <w:r w:rsidRPr="00FA1D26">
        <w:rPr>
          <w:rFonts w:hint="eastAsia"/>
          <w:rtl/>
        </w:rPr>
        <w:t>נמצא</w:t>
      </w:r>
      <w:r w:rsidRPr="00FA1D26">
        <w:rPr>
          <w:rtl/>
        </w:rPr>
        <w:t xml:space="preserve"> </w:t>
      </w:r>
      <w:r w:rsidRPr="00FA1D26">
        <w:rPr>
          <w:rFonts w:hint="eastAsia"/>
          <w:rtl/>
        </w:rPr>
        <w:t>חייב</w:t>
      </w:r>
      <w:r w:rsidRPr="00FA1D26">
        <w:rPr>
          <w:rtl/>
        </w:rPr>
        <w:t xml:space="preserve"> </w:t>
      </w:r>
      <w:r w:rsidRPr="00FA1D26">
        <w:rPr>
          <w:rFonts w:hint="eastAsia"/>
          <w:rtl/>
        </w:rPr>
        <w:t>לברך</w:t>
      </w:r>
      <w:r w:rsidRPr="00FA1D26">
        <w:rPr>
          <w:rtl/>
        </w:rPr>
        <w:t xml:space="preserve"> </w:t>
      </w:r>
      <w:r w:rsidRPr="00FA1D26">
        <w:rPr>
          <w:rFonts w:hint="eastAsia"/>
          <w:rtl/>
        </w:rPr>
        <w:t>עליו</w:t>
      </w:r>
      <w:r w:rsidRPr="00FA1D26">
        <w:rPr>
          <w:rtl/>
        </w:rPr>
        <w:t xml:space="preserve"> </w:t>
      </w:r>
      <w:r w:rsidRPr="00FA1D26">
        <w:rPr>
          <w:rFonts w:hint="eastAsia"/>
          <w:rtl/>
        </w:rPr>
        <w:t>ברוך</w:t>
      </w:r>
      <w:r w:rsidRPr="00FA1D26">
        <w:rPr>
          <w:rtl/>
        </w:rPr>
        <w:t xml:space="preserve"> </w:t>
      </w:r>
      <w:r w:rsidRPr="00FA1D26">
        <w:rPr>
          <w:rFonts w:hint="eastAsia"/>
          <w:rtl/>
        </w:rPr>
        <w:t>מחיה</w:t>
      </w:r>
      <w:r w:rsidRPr="00FA1D26">
        <w:rPr>
          <w:rtl/>
        </w:rPr>
        <w:t xml:space="preserve"> </w:t>
      </w:r>
      <w:r w:rsidRPr="00FA1D26">
        <w:rPr>
          <w:rFonts w:hint="eastAsia"/>
          <w:rtl/>
        </w:rPr>
        <w:t>מתים</w:t>
      </w:r>
      <w:r w:rsidRPr="00FA1D26">
        <w:rPr>
          <w:rtl/>
        </w:rPr>
        <w:t xml:space="preserve"> </w:t>
      </w:r>
      <w:r w:rsidRPr="00FA1D26">
        <w:rPr>
          <w:rFonts w:hint="eastAsia"/>
          <w:rtl/>
        </w:rPr>
        <w:t>שזיכהו</w:t>
      </w:r>
      <w:r w:rsidRPr="00FA1D26">
        <w:rPr>
          <w:rtl/>
        </w:rPr>
        <w:t xml:space="preserve"> </w:t>
      </w:r>
      <w:r w:rsidRPr="00FA1D26">
        <w:rPr>
          <w:rFonts w:hint="eastAsia"/>
          <w:rtl/>
        </w:rPr>
        <w:t>לחיים</w:t>
      </w:r>
      <w:r w:rsidRPr="00FA1D26">
        <w:rPr>
          <w:rtl/>
        </w:rPr>
        <w:t xml:space="preserve"> </w:t>
      </w:r>
      <w:r w:rsidRPr="00FA1D26">
        <w:rPr>
          <w:rFonts w:hint="eastAsia"/>
          <w:rtl/>
        </w:rPr>
        <w:t>בדין</w:t>
      </w:r>
      <w:r w:rsidRPr="00FA1D26">
        <w:rPr>
          <w:rtl/>
        </w:rPr>
        <w:t xml:space="preserve"> </w:t>
      </w:r>
      <w:r w:rsidRPr="00FA1D26">
        <w:rPr>
          <w:rFonts w:hint="eastAsia"/>
          <w:rtl/>
        </w:rPr>
        <w:t>ר</w:t>
      </w:r>
      <w:r w:rsidRPr="00FA1D26">
        <w:rPr>
          <w:rtl/>
        </w:rPr>
        <w:t xml:space="preserve">"ה </w:t>
      </w:r>
      <w:r w:rsidRPr="00FA1D26">
        <w:rPr>
          <w:rFonts w:hint="eastAsia"/>
          <w:rtl/>
        </w:rPr>
        <w:t>ויוה</w:t>
      </w:r>
      <w:r w:rsidRPr="00FA1D26">
        <w:rPr>
          <w:rtl/>
        </w:rPr>
        <w:t xml:space="preserve">"כ </w:t>
      </w:r>
      <w:r w:rsidRPr="00FA1D26">
        <w:rPr>
          <w:rFonts w:hint="eastAsia"/>
          <w:rtl/>
        </w:rPr>
        <w:t>עכ</w:t>
      </w:r>
      <w:r w:rsidRPr="00FA1D26">
        <w:rPr>
          <w:rtl/>
        </w:rPr>
        <w:t>"ל</w:t>
      </w:r>
      <w:r w:rsidRPr="003F7A29">
        <w:rPr>
          <w:rStyle w:val="FootnoteReference"/>
          <w:rtl/>
        </w:rPr>
        <w:footnoteReference w:id="5"/>
      </w:r>
      <w:r w:rsidRPr="00FA1D26">
        <w:rPr>
          <w:rFonts w:hint="cs"/>
          <w:rtl/>
        </w:rPr>
        <w:t>, וטעם זה ודאי אינו שייך בראיית משיח.</w:t>
      </w:r>
    </w:p>
    <w:p w14:paraId="56F60E6C" w14:textId="77777777" w:rsidR="00D044E2" w:rsidRPr="00FA1D26" w:rsidRDefault="00D044E2" w:rsidP="00423C6D">
      <w:pPr>
        <w:pStyle w:val="11"/>
        <w:bidi/>
        <w:rPr>
          <w:rtl/>
        </w:rPr>
      </w:pPr>
      <w:r w:rsidRPr="00FA1D26">
        <w:rPr>
          <w:rFonts w:hint="cs"/>
          <w:rtl/>
        </w:rPr>
        <w:t>לדעת אדה"ז ד</w:t>
      </w:r>
      <w:r w:rsidRPr="00FA1D26">
        <w:rPr>
          <w:rFonts w:hint="eastAsia"/>
          <w:rtl/>
        </w:rPr>
        <w:t>עיקר</w:t>
      </w:r>
      <w:r w:rsidRPr="00FA1D26">
        <w:rPr>
          <w:rtl/>
        </w:rPr>
        <w:t xml:space="preserve"> </w:t>
      </w:r>
      <w:r w:rsidRPr="00FA1D26">
        <w:rPr>
          <w:rFonts w:hint="eastAsia"/>
          <w:rtl/>
        </w:rPr>
        <w:t>ברכה</w:t>
      </w:r>
      <w:r w:rsidRPr="00FA1D26">
        <w:rPr>
          <w:rtl/>
        </w:rPr>
        <w:t xml:space="preserve"> </w:t>
      </w:r>
      <w:r w:rsidRPr="00FA1D26">
        <w:rPr>
          <w:rFonts w:hint="cs"/>
          <w:rtl/>
        </w:rPr>
        <w:t xml:space="preserve">זו </w:t>
      </w:r>
      <w:r w:rsidRPr="00FA1D26">
        <w:rPr>
          <w:rFonts w:hint="eastAsia"/>
          <w:rtl/>
        </w:rPr>
        <w:t>הוא</w:t>
      </w:r>
      <w:r w:rsidRPr="00FA1D26">
        <w:rPr>
          <w:rtl/>
        </w:rPr>
        <w:t xml:space="preserve"> </w:t>
      </w:r>
      <w:r w:rsidRPr="00FA1D26">
        <w:rPr>
          <w:rFonts w:hint="eastAsia"/>
          <w:rtl/>
        </w:rPr>
        <w:t>על</w:t>
      </w:r>
      <w:r w:rsidRPr="00FA1D26">
        <w:rPr>
          <w:rtl/>
        </w:rPr>
        <w:t xml:space="preserve"> </w:t>
      </w:r>
      <w:r w:rsidRPr="00FA1D26">
        <w:rPr>
          <w:rFonts w:hint="eastAsia"/>
          <w:rtl/>
        </w:rPr>
        <w:t>הנאה</w:t>
      </w:r>
      <w:r w:rsidRPr="00FA1D26">
        <w:rPr>
          <w:rtl/>
        </w:rPr>
        <w:t xml:space="preserve"> </w:t>
      </w:r>
      <w:r w:rsidRPr="00FA1D26">
        <w:rPr>
          <w:rFonts w:hint="eastAsia"/>
          <w:rtl/>
        </w:rPr>
        <w:t>בראיית</w:t>
      </w:r>
      <w:r w:rsidRPr="00FA1D26">
        <w:rPr>
          <w:rtl/>
        </w:rPr>
        <w:t xml:space="preserve"> </w:t>
      </w:r>
      <w:r w:rsidRPr="00FA1D26">
        <w:rPr>
          <w:rFonts w:hint="eastAsia"/>
          <w:rtl/>
        </w:rPr>
        <w:t>פניו</w:t>
      </w:r>
    </w:p>
    <w:p w14:paraId="38943C5F" w14:textId="77777777" w:rsidR="00D044E2" w:rsidRPr="00FA1D26" w:rsidRDefault="00D044E2" w:rsidP="00423C6D">
      <w:pPr>
        <w:pStyle w:val="a2"/>
        <w:rPr>
          <w:rtl/>
        </w:rPr>
      </w:pPr>
      <w:r w:rsidRPr="00FA1D26">
        <w:rPr>
          <w:rFonts w:hint="cs"/>
          <w:rtl/>
        </w:rPr>
        <w:t xml:space="preserve">אלא דאדה"ז </w:t>
      </w:r>
      <w:r w:rsidRPr="00FA1D26">
        <w:rPr>
          <w:rFonts w:hint="eastAsia"/>
          <w:rtl/>
        </w:rPr>
        <w:t>ב</w:t>
      </w:r>
      <w:r w:rsidRPr="00FA1D26">
        <w:rPr>
          <w:rtl/>
        </w:rPr>
        <w:t xml:space="preserve">'סדר </w:t>
      </w:r>
      <w:r w:rsidRPr="00FA1D26">
        <w:rPr>
          <w:rFonts w:hint="eastAsia"/>
          <w:rtl/>
        </w:rPr>
        <w:t>ברכות</w:t>
      </w:r>
      <w:r w:rsidRPr="00FA1D26">
        <w:rPr>
          <w:rtl/>
        </w:rPr>
        <w:t xml:space="preserve"> </w:t>
      </w:r>
      <w:r w:rsidRPr="00FA1D26">
        <w:rPr>
          <w:rFonts w:hint="eastAsia"/>
          <w:rtl/>
        </w:rPr>
        <w:t>הנהנין</w:t>
      </w:r>
      <w:r w:rsidRPr="00FA1D26">
        <w:rPr>
          <w:rtl/>
        </w:rPr>
        <w:t xml:space="preserve">' </w:t>
      </w:r>
      <w:r w:rsidRPr="00FA1D26">
        <w:rPr>
          <w:rFonts w:hint="eastAsia"/>
          <w:rtl/>
        </w:rPr>
        <w:t>פי</w:t>
      </w:r>
      <w:r w:rsidRPr="00FA1D26">
        <w:rPr>
          <w:rtl/>
        </w:rPr>
        <w:t xml:space="preserve">"ב </w:t>
      </w:r>
      <w:r w:rsidRPr="00FA1D26">
        <w:rPr>
          <w:rFonts w:hint="eastAsia"/>
          <w:rtl/>
        </w:rPr>
        <w:t>סי</w:t>
      </w:r>
      <w:r w:rsidRPr="00FA1D26">
        <w:rPr>
          <w:rtl/>
        </w:rPr>
        <w:t xml:space="preserve">"א </w:t>
      </w:r>
      <w:r w:rsidRPr="00FA1D26">
        <w:rPr>
          <w:rFonts w:hint="eastAsia"/>
          <w:rtl/>
        </w:rPr>
        <w:t>כתב</w:t>
      </w:r>
      <w:r w:rsidRPr="00FA1D26">
        <w:rPr>
          <w:rtl/>
        </w:rPr>
        <w:t xml:space="preserve"> </w:t>
      </w:r>
      <w:r w:rsidRPr="00FA1D26">
        <w:rPr>
          <w:rFonts w:hint="eastAsia"/>
          <w:rtl/>
        </w:rPr>
        <w:t>וז</w:t>
      </w:r>
      <w:r w:rsidRPr="00FA1D26">
        <w:rPr>
          <w:rtl/>
        </w:rPr>
        <w:t xml:space="preserve">"ל: </w:t>
      </w:r>
      <w:r w:rsidRPr="00FA1D26">
        <w:rPr>
          <w:rFonts w:hint="eastAsia"/>
          <w:rtl/>
        </w:rPr>
        <w:t>הרואה</w:t>
      </w:r>
      <w:r w:rsidRPr="00FA1D26">
        <w:rPr>
          <w:rtl/>
        </w:rPr>
        <w:t xml:space="preserve"> </w:t>
      </w:r>
      <w:r w:rsidRPr="00FA1D26">
        <w:rPr>
          <w:rFonts w:hint="eastAsia"/>
          <w:rtl/>
        </w:rPr>
        <w:t>את</w:t>
      </w:r>
      <w:r w:rsidRPr="00FA1D26">
        <w:rPr>
          <w:rtl/>
        </w:rPr>
        <w:t xml:space="preserve"> </w:t>
      </w:r>
      <w:r w:rsidRPr="00FA1D26">
        <w:rPr>
          <w:rFonts w:hint="eastAsia"/>
          <w:rtl/>
        </w:rPr>
        <w:t>חבירו</w:t>
      </w:r>
      <w:r w:rsidRPr="00FA1D26">
        <w:rPr>
          <w:rtl/>
        </w:rPr>
        <w:t xml:space="preserve"> </w:t>
      </w:r>
      <w:r w:rsidRPr="00FA1D26">
        <w:rPr>
          <w:rFonts w:hint="eastAsia"/>
          <w:rtl/>
        </w:rPr>
        <w:lastRenderedPageBreak/>
        <w:t>החביב</w:t>
      </w:r>
      <w:r w:rsidRPr="00FA1D26">
        <w:rPr>
          <w:rtl/>
        </w:rPr>
        <w:t xml:space="preserve"> </w:t>
      </w:r>
      <w:r w:rsidRPr="00FA1D26">
        <w:rPr>
          <w:rFonts w:hint="eastAsia"/>
          <w:rtl/>
        </w:rPr>
        <w:t>עליו</w:t>
      </w:r>
      <w:r w:rsidRPr="00FA1D26">
        <w:rPr>
          <w:rtl/>
        </w:rPr>
        <w:t xml:space="preserve"> </w:t>
      </w:r>
      <w:r w:rsidRPr="00FA1D26">
        <w:rPr>
          <w:rFonts w:hint="eastAsia"/>
          <w:rtl/>
        </w:rPr>
        <w:t>הרבה</w:t>
      </w:r>
      <w:r w:rsidRPr="00FA1D26">
        <w:rPr>
          <w:rtl/>
        </w:rPr>
        <w:t xml:space="preserve"> </w:t>
      </w:r>
      <w:r w:rsidRPr="00FA1D26">
        <w:rPr>
          <w:rFonts w:hint="eastAsia"/>
          <w:rtl/>
        </w:rPr>
        <w:t>ושמח</w:t>
      </w:r>
      <w:r w:rsidRPr="00FA1D26">
        <w:rPr>
          <w:rtl/>
        </w:rPr>
        <w:t xml:space="preserve"> </w:t>
      </w:r>
      <w:r w:rsidRPr="00FA1D26">
        <w:rPr>
          <w:rFonts w:hint="eastAsia"/>
          <w:rtl/>
        </w:rPr>
        <w:t>ונהנה</w:t>
      </w:r>
      <w:r w:rsidRPr="00FA1D26">
        <w:rPr>
          <w:rtl/>
        </w:rPr>
        <w:t xml:space="preserve"> </w:t>
      </w:r>
      <w:r w:rsidRPr="00FA1D26">
        <w:rPr>
          <w:rFonts w:hint="eastAsia"/>
          <w:rtl/>
        </w:rPr>
        <w:t>בראייתו</w:t>
      </w:r>
      <w:r w:rsidRPr="00FA1D26">
        <w:rPr>
          <w:rtl/>
        </w:rPr>
        <w:t xml:space="preserve"> </w:t>
      </w:r>
      <w:r w:rsidRPr="00FA1D26">
        <w:rPr>
          <w:rFonts w:hint="eastAsia"/>
          <w:rtl/>
        </w:rPr>
        <w:t>אם</w:t>
      </w:r>
      <w:r w:rsidRPr="00FA1D26">
        <w:rPr>
          <w:rtl/>
        </w:rPr>
        <w:t xml:space="preserve"> </w:t>
      </w:r>
      <w:r w:rsidRPr="00FA1D26">
        <w:rPr>
          <w:rFonts w:hint="eastAsia"/>
          <w:rtl/>
        </w:rPr>
        <w:t>לא</w:t>
      </w:r>
      <w:r w:rsidRPr="00FA1D26">
        <w:rPr>
          <w:rtl/>
        </w:rPr>
        <w:t xml:space="preserve"> </w:t>
      </w:r>
      <w:r w:rsidRPr="00FA1D26">
        <w:rPr>
          <w:rFonts w:hint="eastAsia"/>
          <w:rtl/>
        </w:rPr>
        <w:t>ראהו</w:t>
      </w:r>
      <w:r w:rsidRPr="00FA1D26">
        <w:rPr>
          <w:rtl/>
        </w:rPr>
        <w:t xml:space="preserve"> </w:t>
      </w:r>
      <w:r w:rsidRPr="00FA1D26">
        <w:rPr>
          <w:rFonts w:hint="eastAsia"/>
          <w:rtl/>
        </w:rPr>
        <w:t>זה</w:t>
      </w:r>
      <w:r w:rsidRPr="00FA1D26">
        <w:rPr>
          <w:rtl/>
        </w:rPr>
        <w:t xml:space="preserve"> </w:t>
      </w:r>
      <w:r w:rsidRPr="00FA1D26">
        <w:rPr>
          <w:rFonts w:hint="eastAsia"/>
          <w:rtl/>
        </w:rPr>
        <w:t>שלשים</w:t>
      </w:r>
      <w:r w:rsidRPr="00FA1D26">
        <w:rPr>
          <w:rtl/>
        </w:rPr>
        <w:t xml:space="preserve"> </w:t>
      </w:r>
      <w:r w:rsidRPr="00FA1D26">
        <w:rPr>
          <w:rFonts w:hint="eastAsia"/>
          <w:rtl/>
        </w:rPr>
        <w:t>יום</w:t>
      </w:r>
      <w:r w:rsidRPr="00FA1D26">
        <w:rPr>
          <w:rtl/>
        </w:rPr>
        <w:t xml:space="preserve"> </w:t>
      </w:r>
      <w:r w:rsidRPr="00FA1D26">
        <w:rPr>
          <w:rFonts w:hint="eastAsia"/>
          <w:rtl/>
        </w:rPr>
        <w:t>יברך</w:t>
      </w:r>
      <w:r w:rsidRPr="00FA1D26">
        <w:rPr>
          <w:rtl/>
        </w:rPr>
        <w:t xml:space="preserve"> </w:t>
      </w:r>
      <w:r w:rsidRPr="00FA1D26">
        <w:rPr>
          <w:rFonts w:hint="eastAsia"/>
          <w:rtl/>
        </w:rPr>
        <w:t>שהחיינו</w:t>
      </w:r>
      <w:r w:rsidRPr="00FA1D26">
        <w:rPr>
          <w:rtl/>
        </w:rPr>
        <w:t xml:space="preserve"> </w:t>
      </w:r>
      <w:r w:rsidRPr="00FA1D26">
        <w:rPr>
          <w:rFonts w:hint="eastAsia"/>
          <w:rtl/>
        </w:rPr>
        <w:t>ואם</w:t>
      </w:r>
      <w:r w:rsidRPr="00FA1D26">
        <w:rPr>
          <w:rtl/>
        </w:rPr>
        <w:t xml:space="preserve"> </w:t>
      </w:r>
      <w:r w:rsidRPr="00FA1D26">
        <w:rPr>
          <w:rFonts w:hint="eastAsia"/>
          <w:rtl/>
        </w:rPr>
        <w:t>לא</w:t>
      </w:r>
      <w:r w:rsidRPr="00FA1D26">
        <w:rPr>
          <w:rtl/>
        </w:rPr>
        <w:t xml:space="preserve"> </w:t>
      </w:r>
      <w:r w:rsidRPr="00FA1D26">
        <w:rPr>
          <w:rFonts w:hint="eastAsia"/>
          <w:rtl/>
        </w:rPr>
        <w:t>ראהו</w:t>
      </w:r>
      <w:r w:rsidRPr="00FA1D26">
        <w:rPr>
          <w:rtl/>
        </w:rPr>
        <w:t xml:space="preserve"> </w:t>
      </w:r>
      <w:r w:rsidRPr="00FA1D26">
        <w:rPr>
          <w:rFonts w:hint="eastAsia"/>
          <w:rtl/>
        </w:rPr>
        <w:t>זה</w:t>
      </w:r>
      <w:r w:rsidRPr="00FA1D26">
        <w:rPr>
          <w:rtl/>
        </w:rPr>
        <w:t xml:space="preserve"> </w:t>
      </w:r>
      <w:r w:rsidRPr="00FA1D26">
        <w:rPr>
          <w:rFonts w:hint="eastAsia"/>
          <w:rtl/>
        </w:rPr>
        <w:t>שנים</w:t>
      </w:r>
      <w:r w:rsidRPr="00FA1D26">
        <w:rPr>
          <w:rtl/>
        </w:rPr>
        <w:t xml:space="preserve"> </w:t>
      </w:r>
      <w:r w:rsidRPr="00FA1D26">
        <w:rPr>
          <w:rFonts w:hint="eastAsia"/>
          <w:rtl/>
        </w:rPr>
        <w:t>עשר</w:t>
      </w:r>
      <w:r w:rsidRPr="00FA1D26">
        <w:rPr>
          <w:rtl/>
        </w:rPr>
        <w:t xml:space="preserve"> </w:t>
      </w:r>
      <w:r w:rsidRPr="00FA1D26">
        <w:rPr>
          <w:rFonts w:hint="eastAsia"/>
          <w:rtl/>
        </w:rPr>
        <w:t>חודש</w:t>
      </w:r>
      <w:r w:rsidRPr="00FA1D26">
        <w:rPr>
          <w:rtl/>
        </w:rPr>
        <w:t xml:space="preserve"> </w:t>
      </w:r>
      <w:r w:rsidRPr="00FA1D26">
        <w:rPr>
          <w:rFonts w:hint="eastAsia"/>
          <w:rtl/>
        </w:rPr>
        <w:t>צריך</w:t>
      </w:r>
      <w:r w:rsidRPr="00FA1D26">
        <w:rPr>
          <w:rtl/>
        </w:rPr>
        <w:t xml:space="preserve"> </w:t>
      </w:r>
      <w:r w:rsidRPr="00FA1D26">
        <w:rPr>
          <w:rFonts w:hint="eastAsia"/>
          <w:rtl/>
        </w:rPr>
        <w:t>לברך</w:t>
      </w:r>
      <w:r w:rsidRPr="00FA1D26">
        <w:rPr>
          <w:rtl/>
        </w:rPr>
        <w:t xml:space="preserve"> </w:t>
      </w:r>
      <w:r w:rsidRPr="00FA1D26">
        <w:rPr>
          <w:rFonts w:hint="eastAsia"/>
          <w:rtl/>
        </w:rPr>
        <w:t>ברוך</w:t>
      </w:r>
      <w:r w:rsidRPr="00FA1D26">
        <w:rPr>
          <w:rtl/>
        </w:rPr>
        <w:t xml:space="preserve"> </w:t>
      </w:r>
      <w:r w:rsidRPr="00FA1D26">
        <w:rPr>
          <w:rFonts w:hint="eastAsia"/>
          <w:rtl/>
        </w:rPr>
        <w:t>אתה</w:t>
      </w:r>
      <w:r w:rsidRPr="00FA1D26">
        <w:rPr>
          <w:rtl/>
        </w:rPr>
        <w:t xml:space="preserve"> </w:t>
      </w:r>
      <w:r w:rsidRPr="00FA1D26">
        <w:rPr>
          <w:rFonts w:hint="eastAsia"/>
          <w:rtl/>
        </w:rPr>
        <w:t>ה</w:t>
      </w:r>
      <w:r w:rsidRPr="00FA1D26">
        <w:rPr>
          <w:rtl/>
        </w:rPr>
        <w:t xml:space="preserve">' </w:t>
      </w:r>
      <w:r w:rsidRPr="00FA1D26">
        <w:rPr>
          <w:rFonts w:hint="eastAsia"/>
          <w:rtl/>
        </w:rPr>
        <w:t>אלקינו</w:t>
      </w:r>
      <w:r w:rsidRPr="00FA1D26">
        <w:rPr>
          <w:rtl/>
        </w:rPr>
        <w:t xml:space="preserve"> </w:t>
      </w:r>
      <w:r w:rsidRPr="00FA1D26">
        <w:rPr>
          <w:rFonts w:hint="eastAsia"/>
          <w:rtl/>
        </w:rPr>
        <w:t>מלך</w:t>
      </w:r>
      <w:r w:rsidRPr="00FA1D26">
        <w:rPr>
          <w:rtl/>
        </w:rPr>
        <w:t xml:space="preserve"> </w:t>
      </w:r>
      <w:r w:rsidRPr="00FA1D26">
        <w:rPr>
          <w:rFonts w:hint="eastAsia"/>
          <w:rtl/>
        </w:rPr>
        <w:t>העולם</w:t>
      </w:r>
      <w:r w:rsidRPr="00FA1D26">
        <w:rPr>
          <w:rtl/>
        </w:rPr>
        <w:t xml:space="preserve"> </w:t>
      </w:r>
      <w:r w:rsidRPr="00FA1D26">
        <w:rPr>
          <w:rFonts w:hint="eastAsia"/>
          <w:rtl/>
        </w:rPr>
        <w:t>מחיה</w:t>
      </w:r>
      <w:r w:rsidRPr="00FA1D26">
        <w:rPr>
          <w:rtl/>
        </w:rPr>
        <w:t xml:space="preserve"> </w:t>
      </w:r>
      <w:r w:rsidRPr="00FA1D26">
        <w:rPr>
          <w:rFonts w:hint="eastAsia"/>
          <w:rtl/>
        </w:rPr>
        <w:t>המתים</w:t>
      </w:r>
      <w:r w:rsidRPr="00FA1D26">
        <w:rPr>
          <w:rtl/>
        </w:rPr>
        <w:t xml:space="preserve">, </w:t>
      </w:r>
      <w:r w:rsidRPr="00FA1D26">
        <w:rPr>
          <w:rFonts w:hint="eastAsia"/>
          <w:bCs/>
          <w:rtl/>
        </w:rPr>
        <w:t>ואפילו</w:t>
      </w:r>
      <w:r w:rsidRPr="00FA1D26">
        <w:rPr>
          <w:bCs/>
          <w:rtl/>
        </w:rPr>
        <w:t xml:space="preserve"> </w:t>
      </w:r>
      <w:r w:rsidRPr="00FA1D26">
        <w:rPr>
          <w:rFonts w:hint="eastAsia"/>
          <w:bCs/>
          <w:rtl/>
        </w:rPr>
        <w:t>היתה</w:t>
      </w:r>
      <w:r w:rsidRPr="00FA1D26">
        <w:rPr>
          <w:bCs/>
          <w:rtl/>
        </w:rPr>
        <w:t xml:space="preserve"> </w:t>
      </w:r>
      <w:r w:rsidRPr="00FA1D26">
        <w:rPr>
          <w:rFonts w:hint="eastAsia"/>
          <w:bCs/>
          <w:rtl/>
        </w:rPr>
        <w:t>לו</w:t>
      </w:r>
      <w:r w:rsidRPr="00FA1D26">
        <w:rPr>
          <w:bCs/>
          <w:rtl/>
        </w:rPr>
        <w:t xml:space="preserve"> </w:t>
      </w:r>
      <w:r w:rsidRPr="00FA1D26">
        <w:rPr>
          <w:rFonts w:hint="eastAsia"/>
          <w:bCs/>
          <w:rtl/>
        </w:rPr>
        <w:t>ממנו</w:t>
      </w:r>
      <w:r w:rsidRPr="00FA1D26">
        <w:rPr>
          <w:bCs/>
          <w:rtl/>
        </w:rPr>
        <w:t xml:space="preserve"> </w:t>
      </w:r>
      <w:r w:rsidRPr="00FA1D26">
        <w:rPr>
          <w:rFonts w:hint="eastAsia"/>
          <w:bCs/>
          <w:rtl/>
        </w:rPr>
        <w:t>ידיעה</w:t>
      </w:r>
      <w:r w:rsidRPr="00FA1D26">
        <w:rPr>
          <w:bCs/>
          <w:rtl/>
        </w:rPr>
        <w:t xml:space="preserve"> </w:t>
      </w:r>
      <w:r w:rsidRPr="00FA1D26">
        <w:rPr>
          <w:rFonts w:hint="eastAsia"/>
          <w:bCs/>
          <w:rtl/>
        </w:rPr>
        <w:t>בינתיים</w:t>
      </w:r>
      <w:r w:rsidRPr="00FA1D26">
        <w:rPr>
          <w:bCs/>
          <w:rtl/>
        </w:rPr>
        <w:t xml:space="preserve"> </w:t>
      </w:r>
      <w:r w:rsidRPr="00FA1D26">
        <w:rPr>
          <w:rFonts w:hint="eastAsia"/>
          <w:bCs/>
          <w:rtl/>
        </w:rPr>
        <w:t>בכתב</w:t>
      </w:r>
      <w:r w:rsidRPr="00FA1D26">
        <w:rPr>
          <w:rtl/>
        </w:rPr>
        <w:t xml:space="preserve"> </w:t>
      </w:r>
      <w:r w:rsidRPr="00FA1D26">
        <w:rPr>
          <w:rFonts w:hint="eastAsia"/>
          <w:rtl/>
        </w:rPr>
        <w:t>או</w:t>
      </w:r>
      <w:r w:rsidRPr="00FA1D26">
        <w:rPr>
          <w:rtl/>
        </w:rPr>
        <w:t xml:space="preserve"> </w:t>
      </w:r>
      <w:r w:rsidRPr="00FA1D26">
        <w:rPr>
          <w:rFonts w:hint="eastAsia"/>
          <w:rtl/>
        </w:rPr>
        <w:t>בעל</w:t>
      </w:r>
      <w:r w:rsidRPr="00FA1D26">
        <w:rPr>
          <w:rtl/>
        </w:rPr>
        <w:t xml:space="preserve"> </w:t>
      </w:r>
      <w:r w:rsidRPr="00FA1D26">
        <w:rPr>
          <w:rFonts w:hint="eastAsia"/>
          <w:rtl/>
        </w:rPr>
        <w:t>פה</w:t>
      </w:r>
      <w:r w:rsidRPr="00FA1D26">
        <w:rPr>
          <w:rtl/>
        </w:rPr>
        <w:t xml:space="preserve"> </w:t>
      </w:r>
      <w:r w:rsidRPr="00FA1D26">
        <w:rPr>
          <w:rFonts w:hint="eastAsia"/>
          <w:rtl/>
        </w:rPr>
        <w:t>כי</w:t>
      </w:r>
      <w:r w:rsidRPr="00FA1D26">
        <w:rPr>
          <w:rtl/>
        </w:rPr>
        <w:t xml:space="preserve"> </w:t>
      </w:r>
      <w:r w:rsidRPr="00FA1D26">
        <w:rPr>
          <w:rFonts w:hint="eastAsia"/>
          <w:rtl/>
        </w:rPr>
        <w:t>עיקר</w:t>
      </w:r>
      <w:r w:rsidRPr="00FA1D26">
        <w:rPr>
          <w:rtl/>
        </w:rPr>
        <w:t xml:space="preserve"> </w:t>
      </w:r>
      <w:r w:rsidRPr="00FA1D26">
        <w:rPr>
          <w:rFonts w:hint="eastAsia"/>
          <w:rtl/>
        </w:rPr>
        <w:t>הברכה</w:t>
      </w:r>
      <w:r w:rsidRPr="00FA1D26">
        <w:rPr>
          <w:rtl/>
        </w:rPr>
        <w:t xml:space="preserve"> </w:t>
      </w:r>
      <w:r w:rsidRPr="00FA1D26">
        <w:rPr>
          <w:rFonts w:hint="eastAsia"/>
          <w:rtl/>
        </w:rPr>
        <w:t>הוא</w:t>
      </w:r>
      <w:r w:rsidRPr="00FA1D26">
        <w:rPr>
          <w:rtl/>
        </w:rPr>
        <w:t xml:space="preserve"> </w:t>
      </w:r>
      <w:r w:rsidRPr="00FA1D26">
        <w:rPr>
          <w:rFonts w:hint="eastAsia"/>
          <w:bCs/>
          <w:rtl/>
        </w:rPr>
        <w:t>על</w:t>
      </w:r>
      <w:r w:rsidRPr="00FA1D26">
        <w:rPr>
          <w:bCs/>
          <w:rtl/>
        </w:rPr>
        <w:t xml:space="preserve"> </w:t>
      </w:r>
      <w:r w:rsidRPr="00FA1D26">
        <w:rPr>
          <w:rFonts w:hint="eastAsia"/>
          <w:bCs/>
          <w:rtl/>
        </w:rPr>
        <w:t>הנאה</w:t>
      </w:r>
      <w:r w:rsidRPr="00FA1D26">
        <w:rPr>
          <w:bCs/>
          <w:rtl/>
        </w:rPr>
        <w:t xml:space="preserve"> </w:t>
      </w:r>
      <w:r w:rsidRPr="00FA1D26">
        <w:rPr>
          <w:rFonts w:hint="eastAsia"/>
          <w:bCs/>
          <w:rtl/>
        </w:rPr>
        <w:t>ושמחת</w:t>
      </w:r>
      <w:r w:rsidRPr="00FA1D26">
        <w:rPr>
          <w:bCs/>
          <w:rtl/>
        </w:rPr>
        <w:t xml:space="preserve"> </w:t>
      </w:r>
      <w:r w:rsidRPr="00FA1D26">
        <w:rPr>
          <w:rFonts w:hint="eastAsia"/>
          <w:bCs/>
          <w:rtl/>
        </w:rPr>
        <w:t>הלב</w:t>
      </w:r>
      <w:r w:rsidRPr="00FA1D26">
        <w:rPr>
          <w:bCs/>
          <w:rtl/>
        </w:rPr>
        <w:t xml:space="preserve"> </w:t>
      </w:r>
      <w:r w:rsidRPr="00FA1D26">
        <w:rPr>
          <w:rFonts w:hint="eastAsia"/>
          <w:bCs/>
          <w:rtl/>
        </w:rPr>
        <w:t>בראיית</w:t>
      </w:r>
      <w:r w:rsidRPr="00FA1D26">
        <w:rPr>
          <w:bCs/>
          <w:rtl/>
        </w:rPr>
        <w:t xml:space="preserve"> </w:t>
      </w:r>
      <w:r w:rsidRPr="00FA1D26">
        <w:rPr>
          <w:rFonts w:hint="eastAsia"/>
          <w:bCs/>
          <w:rtl/>
        </w:rPr>
        <w:t>פניו</w:t>
      </w:r>
      <w:r w:rsidRPr="00FA1D26">
        <w:rPr>
          <w:rtl/>
        </w:rPr>
        <w:t xml:space="preserve"> </w:t>
      </w:r>
      <w:r w:rsidRPr="00FA1D26">
        <w:rPr>
          <w:rFonts w:hint="eastAsia"/>
          <w:rtl/>
        </w:rPr>
        <w:t>עכ</w:t>
      </w:r>
      <w:r w:rsidRPr="00FA1D26">
        <w:rPr>
          <w:rtl/>
        </w:rPr>
        <w:t xml:space="preserve">"ל, </w:t>
      </w:r>
      <w:r w:rsidRPr="00FA1D26">
        <w:rPr>
          <w:rFonts w:hint="eastAsia"/>
          <w:rtl/>
        </w:rPr>
        <w:t>הרי</w:t>
      </w:r>
      <w:r w:rsidRPr="00FA1D26">
        <w:rPr>
          <w:rtl/>
        </w:rPr>
        <w:t xml:space="preserve"> </w:t>
      </w:r>
      <w:r w:rsidRPr="00FA1D26">
        <w:rPr>
          <w:rFonts w:hint="eastAsia"/>
          <w:rtl/>
        </w:rPr>
        <w:t>דסב</w:t>
      </w:r>
      <w:r w:rsidRPr="00FA1D26">
        <w:rPr>
          <w:rtl/>
        </w:rPr>
        <w:t xml:space="preserve">"ל </w:t>
      </w:r>
      <w:r w:rsidRPr="00FA1D26">
        <w:rPr>
          <w:rFonts w:hint="eastAsia"/>
          <w:rtl/>
        </w:rPr>
        <w:t>לאדה</w:t>
      </w:r>
      <w:r w:rsidRPr="00FA1D26">
        <w:rPr>
          <w:rtl/>
        </w:rPr>
        <w:t xml:space="preserve">"ז </w:t>
      </w:r>
      <w:r w:rsidRPr="00FA1D26">
        <w:rPr>
          <w:rFonts w:hint="eastAsia"/>
          <w:rtl/>
        </w:rPr>
        <w:t>שכן</w:t>
      </w:r>
      <w:r w:rsidRPr="00FA1D26">
        <w:rPr>
          <w:rtl/>
        </w:rPr>
        <w:t xml:space="preserve"> </w:t>
      </w:r>
      <w:r w:rsidRPr="00FA1D26">
        <w:rPr>
          <w:rFonts w:hint="eastAsia"/>
          <w:rtl/>
        </w:rPr>
        <w:t>הוא</w:t>
      </w:r>
      <w:r w:rsidRPr="00FA1D26">
        <w:rPr>
          <w:rtl/>
        </w:rPr>
        <w:t xml:space="preserve"> </w:t>
      </w:r>
      <w:r w:rsidRPr="00FA1D26">
        <w:rPr>
          <w:rFonts w:hint="eastAsia"/>
          <w:rtl/>
        </w:rPr>
        <w:t>אפילו</w:t>
      </w:r>
      <w:r w:rsidRPr="00FA1D26">
        <w:rPr>
          <w:rtl/>
        </w:rPr>
        <w:t xml:space="preserve"> </w:t>
      </w:r>
      <w:r w:rsidRPr="00FA1D26">
        <w:rPr>
          <w:rFonts w:hint="eastAsia"/>
          <w:rtl/>
        </w:rPr>
        <w:t>בברכת</w:t>
      </w:r>
      <w:r w:rsidRPr="00FA1D26">
        <w:rPr>
          <w:rtl/>
        </w:rPr>
        <w:t xml:space="preserve"> </w:t>
      </w:r>
      <w:r w:rsidRPr="00FA1D26">
        <w:rPr>
          <w:rFonts w:hint="eastAsia"/>
          <w:rtl/>
        </w:rPr>
        <w:t>מחיה</w:t>
      </w:r>
      <w:r w:rsidRPr="00FA1D26">
        <w:rPr>
          <w:rtl/>
        </w:rPr>
        <w:t xml:space="preserve"> </w:t>
      </w:r>
      <w:r w:rsidRPr="00FA1D26">
        <w:rPr>
          <w:rFonts w:hint="eastAsia"/>
          <w:rtl/>
        </w:rPr>
        <w:t>מתים</w:t>
      </w:r>
      <w:r w:rsidRPr="00FA1D26">
        <w:rPr>
          <w:rtl/>
        </w:rPr>
        <w:t xml:space="preserve"> </w:t>
      </w:r>
      <w:r w:rsidRPr="00FA1D26">
        <w:rPr>
          <w:rFonts w:hint="eastAsia"/>
          <w:rtl/>
        </w:rPr>
        <w:t>שמברך</w:t>
      </w:r>
      <w:r w:rsidRPr="00FA1D26">
        <w:rPr>
          <w:rtl/>
        </w:rPr>
        <w:t xml:space="preserve"> </w:t>
      </w:r>
      <w:r w:rsidRPr="00FA1D26">
        <w:rPr>
          <w:rFonts w:hint="eastAsia"/>
          <w:rtl/>
        </w:rPr>
        <w:t>גם</w:t>
      </w:r>
      <w:r w:rsidRPr="00FA1D26">
        <w:rPr>
          <w:rtl/>
        </w:rPr>
        <w:t xml:space="preserve"> </w:t>
      </w:r>
      <w:r w:rsidRPr="00FA1D26">
        <w:rPr>
          <w:rFonts w:hint="eastAsia"/>
          <w:rtl/>
        </w:rPr>
        <w:t>אם</w:t>
      </w:r>
      <w:r w:rsidRPr="00FA1D26">
        <w:rPr>
          <w:rtl/>
        </w:rPr>
        <w:t xml:space="preserve"> </w:t>
      </w:r>
      <w:r w:rsidRPr="00FA1D26">
        <w:rPr>
          <w:rFonts w:hint="eastAsia"/>
          <w:rtl/>
        </w:rPr>
        <w:t>היתה</w:t>
      </w:r>
      <w:r w:rsidRPr="00FA1D26">
        <w:rPr>
          <w:rtl/>
        </w:rPr>
        <w:t xml:space="preserve"> </w:t>
      </w:r>
      <w:r w:rsidRPr="00FA1D26">
        <w:rPr>
          <w:rFonts w:hint="eastAsia"/>
          <w:rtl/>
        </w:rPr>
        <w:t>לו</w:t>
      </w:r>
      <w:r w:rsidRPr="00FA1D26">
        <w:rPr>
          <w:rtl/>
        </w:rPr>
        <w:t xml:space="preserve"> </w:t>
      </w:r>
      <w:r w:rsidRPr="00FA1D26">
        <w:rPr>
          <w:rFonts w:hint="eastAsia"/>
          <w:rtl/>
        </w:rPr>
        <w:t>ידיעה</w:t>
      </w:r>
      <w:r w:rsidRPr="00FA1D26">
        <w:rPr>
          <w:rtl/>
        </w:rPr>
        <w:t xml:space="preserve"> </w:t>
      </w:r>
      <w:r w:rsidRPr="00FA1D26">
        <w:rPr>
          <w:rFonts w:hint="eastAsia"/>
          <w:rtl/>
        </w:rPr>
        <w:t>בכתב</w:t>
      </w:r>
      <w:r w:rsidRPr="00FA1D26">
        <w:rPr>
          <w:rtl/>
        </w:rPr>
        <w:t xml:space="preserve"> </w:t>
      </w:r>
      <w:r w:rsidRPr="00FA1D26">
        <w:rPr>
          <w:rFonts w:hint="eastAsia"/>
          <w:rtl/>
        </w:rPr>
        <w:t>וכו</w:t>
      </w:r>
      <w:r w:rsidRPr="00FA1D26">
        <w:rPr>
          <w:rtl/>
        </w:rPr>
        <w:t xml:space="preserve">', </w:t>
      </w:r>
      <w:r w:rsidRPr="00FA1D26">
        <w:rPr>
          <w:rFonts w:hint="eastAsia"/>
          <w:rtl/>
        </w:rPr>
        <w:t>וכ</w:t>
      </w:r>
      <w:r w:rsidRPr="00FA1D26">
        <w:rPr>
          <w:rtl/>
        </w:rPr>
        <w:t xml:space="preserve">"כ </w:t>
      </w:r>
      <w:r w:rsidRPr="00FA1D26">
        <w:rPr>
          <w:rFonts w:hint="eastAsia"/>
          <w:rtl/>
        </w:rPr>
        <w:t>בשלחן</w:t>
      </w:r>
      <w:r w:rsidRPr="00FA1D26">
        <w:rPr>
          <w:rtl/>
        </w:rPr>
        <w:t xml:space="preserve"> </w:t>
      </w:r>
      <w:r w:rsidRPr="00FA1D26">
        <w:rPr>
          <w:rFonts w:hint="eastAsia"/>
          <w:rtl/>
        </w:rPr>
        <w:t>הטהור</w:t>
      </w:r>
      <w:r w:rsidRPr="00FA1D26">
        <w:rPr>
          <w:rtl/>
        </w:rPr>
        <w:t xml:space="preserve"> </w:t>
      </w:r>
      <w:r w:rsidRPr="00FA1D26">
        <w:rPr>
          <w:rFonts w:hint="eastAsia"/>
          <w:rtl/>
        </w:rPr>
        <w:t>שם</w:t>
      </w:r>
      <w:r w:rsidRPr="00FA1D26">
        <w:rPr>
          <w:rtl/>
        </w:rPr>
        <w:t xml:space="preserve"> </w:t>
      </w:r>
      <w:r w:rsidRPr="00FA1D26">
        <w:rPr>
          <w:rFonts w:hint="cs"/>
          <w:rtl/>
        </w:rPr>
        <w:t xml:space="preserve">סעי' </w:t>
      </w:r>
      <w:r w:rsidRPr="00FA1D26">
        <w:rPr>
          <w:rFonts w:hint="eastAsia"/>
          <w:rtl/>
        </w:rPr>
        <w:t>ב</w:t>
      </w:r>
      <w:r w:rsidRPr="00FA1D26">
        <w:rPr>
          <w:rtl/>
        </w:rPr>
        <w:t>'</w:t>
      </w:r>
      <w:r w:rsidRPr="00FA1D26">
        <w:rPr>
          <w:rFonts w:hint="cs"/>
          <w:rtl/>
        </w:rPr>
        <w:t>, (והביא לשון הזהר בענין זה עיי"ש), דלפ"ז משמע דאדה"ז לא סב"ל מהטעם שמתייאש וכו' אלא משום ד"</w:t>
      </w:r>
      <w:r w:rsidRPr="00FA1D26">
        <w:rPr>
          <w:rFonts w:hint="eastAsia"/>
          <w:rtl/>
        </w:rPr>
        <w:t>עיקר</w:t>
      </w:r>
      <w:r w:rsidRPr="00FA1D26">
        <w:rPr>
          <w:rtl/>
        </w:rPr>
        <w:t xml:space="preserve"> </w:t>
      </w:r>
      <w:r w:rsidRPr="00FA1D26">
        <w:rPr>
          <w:rFonts w:hint="eastAsia"/>
          <w:rtl/>
        </w:rPr>
        <w:t>הברכה</w:t>
      </w:r>
      <w:r w:rsidRPr="00FA1D26">
        <w:rPr>
          <w:rtl/>
        </w:rPr>
        <w:t xml:space="preserve"> </w:t>
      </w:r>
      <w:r w:rsidRPr="00FA1D26">
        <w:rPr>
          <w:rFonts w:hint="eastAsia"/>
          <w:rtl/>
        </w:rPr>
        <w:t>הוא</w:t>
      </w:r>
      <w:r w:rsidRPr="00FA1D26">
        <w:rPr>
          <w:rtl/>
        </w:rPr>
        <w:t xml:space="preserve"> </w:t>
      </w:r>
      <w:r w:rsidRPr="00FA1D26">
        <w:rPr>
          <w:rFonts w:hint="eastAsia"/>
          <w:rtl/>
        </w:rPr>
        <w:t>על</w:t>
      </w:r>
      <w:r w:rsidRPr="00FA1D26">
        <w:rPr>
          <w:rtl/>
        </w:rPr>
        <w:t xml:space="preserve"> </w:t>
      </w:r>
      <w:r w:rsidRPr="00FA1D26">
        <w:rPr>
          <w:rFonts w:hint="eastAsia"/>
          <w:rtl/>
        </w:rPr>
        <w:t>הנאה</w:t>
      </w:r>
      <w:r w:rsidRPr="00FA1D26">
        <w:rPr>
          <w:rtl/>
        </w:rPr>
        <w:t xml:space="preserve"> </w:t>
      </w:r>
      <w:r w:rsidRPr="00FA1D26">
        <w:rPr>
          <w:rFonts w:hint="eastAsia"/>
          <w:rtl/>
        </w:rPr>
        <w:t>ושמחת</w:t>
      </w:r>
      <w:r w:rsidRPr="00FA1D26">
        <w:rPr>
          <w:rtl/>
        </w:rPr>
        <w:t xml:space="preserve"> </w:t>
      </w:r>
      <w:r w:rsidRPr="00FA1D26">
        <w:rPr>
          <w:rFonts w:hint="eastAsia"/>
          <w:rtl/>
        </w:rPr>
        <w:t>הלב</w:t>
      </w:r>
      <w:r w:rsidRPr="00FA1D26">
        <w:rPr>
          <w:rtl/>
        </w:rPr>
        <w:t xml:space="preserve"> </w:t>
      </w:r>
      <w:r w:rsidRPr="00FA1D26">
        <w:rPr>
          <w:rFonts w:hint="eastAsia"/>
          <w:rtl/>
        </w:rPr>
        <w:t>בראיית</w:t>
      </w:r>
      <w:r w:rsidRPr="00FA1D26">
        <w:rPr>
          <w:rtl/>
        </w:rPr>
        <w:t xml:space="preserve"> </w:t>
      </w:r>
      <w:r w:rsidRPr="00FA1D26">
        <w:rPr>
          <w:rFonts w:hint="eastAsia"/>
          <w:rtl/>
        </w:rPr>
        <w:t>פניו</w:t>
      </w:r>
      <w:r w:rsidRPr="00FA1D26">
        <w:rPr>
          <w:rFonts w:hint="cs"/>
          <w:rtl/>
        </w:rPr>
        <w:t>", ולכאורה לפי זה שפיר י"ל דברכה זו שייך בראיית משיח.</w:t>
      </w:r>
    </w:p>
    <w:p w14:paraId="29DCDB02" w14:textId="77777777" w:rsidR="00D044E2" w:rsidRPr="00FA1D26" w:rsidRDefault="00D044E2" w:rsidP="00423C6D">
      <w:pPr>
        <w:pStyle w:val="a2"/>
        <w:rPr>
          <w:rtl/>
        </w:rPr>
      </w:pPr>
      <w:r w:rsidRPr="00FA1D26">
        <w:rPr>
          <w:rFonts w:hint="cs"/>
          <w:rtl/>
        </w:rPr>
        <w:t xml:space="preserve">אמנם </w:t>
      </w:r>
      <w:r w:rsidRPr="00FA1D26">
        <w:rPr>
          <w:rFonts w:hint="eastAsia"/>
          <w:rtl/>
        </w:rPr>
        <w:t>באמת</w:t>
      </w:r>
      <w:r w:rsidRPr="00FA1D26">
        <w:rPr>
          <w:rtl/>
        </w:rPr>
        <w:t xml:space="preserve"> יל"ע בדעת אדה"ז, דלמה סב"ל דאכן יברך </w:t>
      </w:r>
      <w:r w:rsidRPr="00FA1D26">
        <w:rPr>
          <w:rFonts w:hint="cs"/>
          <w:rtl/>
        </w:rPr>
        <w:t xml:space="preserve">מחיה המתים </w:t>
      </w:r>
      <w:r w:rsidRPr="00FA1D26">
        <w:rPr>
          <w:rtl/>
        </w:rPr>
        <w:t xml:space="preserve">גם בהי' לו ידיעה ממנו בתוך יב"ח, הרי לכאורה </w:t>
      </w:r>
      <w:r w:rsidRPr="00FA1D26">
        <w:rPr>
          <w:rFonts w:hint="cs"/>
          <w:rtl/>
        </w:rPr>
        <w:t xml:space="preserve">כיון </w:t>
      </w:r>
      <w:r w:rsidRPr="00FA1D26">
        <w:rPr>
          <w:rtl/>
        </w:rPr>
        <w:t xml:space="preserve">לא שייך הטעם שנשכח ממנו וכו' </w:t>
      </w:r>
      <w:r w:rsidRPr="00FA1D26">
        <w:rPr>
          <w:rFonts w:hint="cs"/>
          <w:rtl/>
        </w:rPr>
        <w:t xml:space="preserve">מה טעם הנוסח </w:t>
      </w:r>
      <w:r w:rsidRPr="00FA1D26">
        <w:rPr>
          <w:rtl/>
        </w:rPr>
        <w:t>שי</w:t>
      </w:r>
      <w:r w:rsidRPr="00FA1D26">
        <w:rPr>
          <w:rFonts w:hint="cs"/>
          <w:rtl/>
        </w:rPr>
        <w:t>ברך</w:t>
      </w:r>
      <w:r w:rsidRPr="00FA1D26">
        <w:rPr>
          <w:rtl/>
        </w:rPr>
        <w:t xml:space="preserve"> מחיה</w:t>
      </w:r>
      <w:r w:rsidRPr="00FA1D26">
        <w:rPr>
          <w:bCs/>
          <w:rtl/>
        </w:rPr>
        <w:t xml:space="preserve"> המתים</w:t>
      </w:r>
      <w:r w:rsidRPr="00FA1D26">
        <w:rPr>
          <w:rtl/>
        </w:rPr>
        <w:t xml:space="preserve">? </w:t>
      </w:r>
      <w:r w:rsidRPr="00FA1D26">
        <w:rPr>
          <w:rFonts w:hint="cs"/>
          <w:rtl/>
        </w:rPr>
        <w:t xml:space="preserve">וצ"ב. </w:t>
      </w:r>
    </w:p>
    <w:p w14:paraId="18CAB50B" w14:textId="77777777" w:rsidR="00D044E2" w:rsidRPr="00FA1D26" w:rsidRDefault="00D044E2" w:rsidP="00423C6D">
      <w:pPr>
        <w:pStyle w:val="a2"/>
        <w:rPr>
          <w:rtl/>
        </w:rPr>
      </w:pPr>
      <w:r w:rsidRPr="00FA1D26">
        <w:rPr>
          <w:rtl/>
        </w:rPr>
        <w:t>ו</w:t>
      </w:r>
      <w:r w:rsidRPr="00FA1D26">
        <w:rPr>
          <w:rFonts w:hint="cs"/>
          <w:rtl/>
        </w:rPr>
        <w:t xml:space="preserve">לכאורה </w:t>
      </w:r>
      <w:r w:rsidRPr="00FA1D26">
        <w:rPr>
          <w:rtl/>
        </w:rPr>
        <w:t xml:space="preserve">עכצ"ל דסב"ל דאף שהי' לו ידיעה </w:t>
      </w:r>
      <w:r w:rsidRPr="00FA1D26">
        <w:rPr>
          <w:bCs/>
          <w:rtl/>
        </w:rPr>
        <w:t>בכתב</w:t>
      </w:r>
      <w:r w:rsidRPr="00FA1D26">
        <w:rPr>
          <w:rtl/>
        </w:rPr>
        <w:t xml:space="preserve"> ממנו וכו' עדיין הוא כמו </w:t>
      </w:r>
      <w:r w:rsidRPr="00FA1D26">
        <w:rPr>
          <w:bCs/>
          <w:rtl/>
        </w:rPr>
        <w:t>שנשכח ממנו</w:t>
      </w:r>
      <w:r w:rsidRPr="00FA1D26">
        <w:rPr>
          <w:rtl/>
        </w:rPr>
        <w:t xml:space="preserve">, </w:t>
      </w:r>
      <w:r w:rsidRPr="00FA1D26">
        <w:rPr>
          <w:rFonts w:hint="cs"/>
          <w:rtl/>
        </w:rPr>
        <w:t xml:space="preserve">שהרי </w:t>
      </w:r>
      <w:r w:rsidRPr="00FA1D26">
        <w:rPr>
          <w:rtl/>
        </w:rPr>
        <w:t xml:space="preserve">אין זה דומה כלל לההנאה והשמחה הבא עכשיו משמחת </w:t>
      </w:r>
      <w:r w:rsidRPr="00FA1D26">
        <w:rPr>
          <w:rFonts w:hint="eastAsia"/>
          <w:bCs/>
          <w:rtl/>
        </w:rPr>
        <w:t>ראיית</w:t>
      </w:r>
      <w:r w:rsidRPr="00FA1D26">
        <w:rPr>
          <w:bCs/>
          <w:rtl/>
        </w:rPr>
        <w:t xml:space="preserve"> </w:t>
      </w:r>
      <w:r w:rsidRPr="00FA1D26">
        <w:rPr>
          <w:rFonts w:hint="eastAsia"/>
          <w:bCs/>
          <w:rtl/>
        </w:rPr>
        <w:t>פניו</w:t>
      </w:r>
      <w:r w:rsidRPr="00FA1D26">
        <w:rPr>
          <w:rtl/>
        </w:rPr>
        <w:t>, ולכן שפיר מברך מחיה המתים</w:t>
      </w:r>
      <w:r w:rsidRPr="00FA1D26">
        <w:rPr>
          <w:rFonts w:hint="cs"/>
          <w:rtl/>
        </w:rPr>
        <w:t xml:space="preserve">, וא"כ אצל מלך המשיח לא שייך כלל הטעם דהוה </w:t>
      </w:r>
      <w:r w:rsidRPr="00FA1D26">
        <w:rPr>
          <w:rFonts w:hint="cs"/>
          <w:bCs/>
          <w:rtl/>
        </w:rPr>
        <w:t>כמו שנשכח ממנו</w:t>
      </w:r>
      <w:r w:rsidRPr="00FA1D26">
        <w:rPr>
          <w:rFonts w:hint="cs"/>
          <w:rtl/>
        </w:rPr>
        <w:t>, כיון דמצפים לביאתו בכל יום ויום.</w:t>
      </w:r>
    </w:p>
    <w:p w14:paraId="33902E41" w14:textId="77777777" w:rsidR="00D044E2" w:rsidRPr="00FA1D26" w:rsidRDefault="00D044E2" w:rsidP="00423C6D">
      <w:pPr>
        <w:pStyle w:val="a2"/>
        <w:rPr>
          <w:rtl/>
        </w:rPr>
      </w:pPr>
      <w:r w:rsidRPr="00FA1D26">
        <w:rPr>
          <w:rFonts w:hint="cs"/>
          <w:rtl/>
        </w:rPr>
        <w:t>ומבואר</w:t>
      </w:r>
      <w:r w:rsidRPr="00FA1D26">
        <w:rPr>
          <w:rtl/>
        </w:rPr>
        <w:t xml:space="preserve"> </w:t>
      </w:r>
      <w:r w:rsidRPr="00FA1D26">
        <w:rPr>
          <w:rFonts w:hint="cs"/>
          <w:rtl/>
        </w:rPr>
        <w:t>ב</w:t>
      </w:r>
      <w:r w:rsidRPr="00FA1D26">
        <w:rPr>
          <w:rtl/>
        </w:rPr>
        <w:t>שו"ת אגרות משה או"ח ח"ה סי' ח</w:t>
      </w:r>
      <w:r w:rsidRPr="00FA1D26">
        <w:rPr>
          <w:rFonts w:hint="cs"/>
          <w:rtl/>
        </w:rPr>
        <w:t>'</w:t>
      </w:r>
      <w:r w:rsidRPr="00FA1D26">
        <w:rPr>
          <w:rtl/>
        </w:rPr>
        <w:t xml:space="preserve"> שהחיוב בכל יום ויום לצפות להגאולה</w:t>
      </w:r>
      <w:r w:rsidRPr="00FA1D26">
        <w:rPr>
          <w:bCs/>
          <w:rtl/>
        </w:rPr>
        <w:t xml:space="preserve"> צ"ל כודאי שיבוא היום</w:t>
      </w:r>
      <w:r w:rsidRPr="00FA1D26">
        <w:rPr>
          <w:rFonts w:hint="cs"/>
          <w:rtl/>
        </w:rPr>
        <w:t>,</w:t>
      </w:r>
      <w:r w:rsidRPr="00FA1D26">
        <w:rPr>
          <w:rtl/>
        </w:rPr>
        <w:t xml:space="preserve"> והוכיח זה מהדין דמנחות סח</w:t>
      </w:r>
      <w:r w:rsidRPr="00FA1D26">
        <w:rPr>
          <w:rFonts w:hint="cs"/>
          <w:rtl/>
        </w:rPr>
        <w:t>,</w:t>
      </w:r>
      <w:r w:rsidRPr="00FA1D26">
        <w:rPr>
          <w:rtl/>
        </w:rPr>
        <w:t>א</w:t>
      </w:r>
      <w:r w:rsidRPr="00FA1D26">
        <w:rPr>
          <w:rFonts w:hint="cs"/>
          <w:rtl/>
        </w:rPr>
        <w:t xml:space="preserve">, </w:t>
      </w:r>
      <w:r w:rsidRPr="00FA1D26">
        <w:rPr>
          <w:rtl/>
        </w:rPr>
        <w:t>בנוגע לאיסור חדש דמשום מהרה יבנה ביהמ</w:t>
      </w:r>
      <w:r w:rsidRPr="00FA1D26">
        <w:rPr>
          <w:rFonts w:hint="cs"/>
          <w:rtl/>
        </w:rPr>
        <w:t>"</w:t>
      </w:r>
      <w:r w:rsidRPr="00FA1D26">
        <w:rPr>
          <w:rtl/>
        </w:rPr>
        <w:t>ק נאסר יום הנף כולו אף שלא בא עד עכשיו</w:t>
      </w:r>
      <w:r w:rsidRPr="00FA1D26">
        <w:rPr>
          <w:rFonts w:hint="cs"/>
          <w:rtl/>
        </w:rPr>
        <w:t>,</w:t>
      </w:r>
      <w:r w:rsidRPr="00FA1D26">
        <w:rPr>
          <w:rtl/>
        </w:rPr>
        <w:t xml:space="preserve"> ואם הי' זה רק בחשיבות ספק והוא גם רק ספק קטן לא הי' שייך למיגזר ולאסור בחדש כל יום הנף</w:t>
      </w:r>
      <w:r w:rsidRPr="00FA1D26">
        <w:rPr>
          <w:rFonts w:hint="cs"/>
          <w:rtl/>
        </w:rPr>
        <w:t>,</w:t>
      </w:r>
      <w:r w:rsidRPr="00FA1D26">
        <w:rPr>
          <w:rtl/>
        </w:rPr>
        <w:t xml:space="preserve"> אלמא שהחיוב לצפות הוא כעין ודאי שיבנה כל שעה ושעה עיי"ש</w:t>
      </w:r>
      <w:r w:rsidRPr="00FA1D26">
        <w:rPr>
          <w:rFonts w:hint="cs"/>
          <w:rtl/>
        </w:rPr>
        <w:t>, ולא שייך ומתאים כלל לומר על משיח "מחיה המתים" וילע"ע.</w:t>
      </w:r>
    </w:p>
    <w:p w14:paraId="0462FC25" w14:textId="01D29366" w:rsidR="00D044E2" w:rsidRDefault="00D044E2" w:rsidP="00D044E2">
      <w:pPr>
        <w:pStyle w:val="a4"/>
        <w:spacing w:after="0"/>
        <w:rPr>
          <w:rtl/>
        </w:rPr>
      </w:pPr>
      <w:r w:rsidRPr="00347933">
        <w:t>g</w:t>
      </w:r>
    </w:p>
    <w:p w14:paraId="55D9B610" w14:textId="77777777" w:rsidR="000E110A" w:rsidRDefault="000E110A" w:rsidP="00D044E2">
      <w:pPr>
        <w:pStyle w:val="a4"/>
        <w:spacing w:after="0"/>
        <w:rPr>
          <w:rtl/>
        </w:rPr>
      </w:pPr>
    </w:p>
    <w:p w14:paraId="4C53392C" w14:textId="77777777" w:rsidR="000E110A" w:rsidRPr="00347933" w:rsidRDefault="000E110A" w:rsidP="00D044E2">
      <w:pPr>
        <w:pStyle w:val="a4"/>
        <w:spacing w:after="0"/>
        <w:sectPr w:rsidR="000E110A" w:rsidRPr="00347933" w:rsidSect="00E65DD5">
          <w:footnotePr>
            <w:numRestart w:val="eachSect"/>
          </w:footnotePr>
          <w:type w:val="continuous"/>
          <w:pgSz w:w="7920" w:h="12240"/>
          <w:pgMar w:top="-810" w:right="864" w:bottom="720" w:left="864" w:header="270" w:footer="0" w:gutter="0"/>
          <w:cols w:space="720"/>
          <w:docGrid w:linePitch="360"/>
        </w:sectPr>
      </w:pPr>
    </w:p>
    <w:p w14:paraId="6DADF98A" w14:textId="533CDA3E" w:rsidR="009B4B07" w:rsidRDefault="00DF4CDD" w:rsidP="00DF4CDD">
      <w:pPr>
        <w:pStyle w:val="a"/>
        <w:rPr>
          <w:lang w:bidi="ar-SA"/>
        </w:rPr>
      </w:pPr>
      <w:bookmarkStart w:id="99" w:name="_Toc531140343"/>
      <w:r>
        <w:rPr>
          <w:rtl/>
        </w:rPr>
        <w:lastRenderedPageBreak/>
        <w:t>בענין</w:t>
      </w:r>
      <w:r>
        <w:rPr>
          <w:rtl/>
          <w:lang w:bidi="ar-SA"/>
        </w:rPr>
        <w:t xml:space="preserve"> </w:t>
      </w:r>
      <w:r>
        <w:rPr>
          <w:rtl/>
        </w:rPr>
        <w:t>אין</w:t>
      </w:r>
      <w:r>
        <w:rPr>
          <w:rtl/>
          <w:lang w:bidi="ar-SA"/>
        </w:rPr>
        <w:t xml:space="preserve"> </w:t>
      </w:r>
      <w:r>
        <w:rPr>
          <w:rtl/>
        </w:rPr>
        <w:t>מקבלים</w:t>
      </w:r>
      <w:r>
        <w:rPr>
          <w:rtl/>
          <w:lang w:bidi="ar-SA"/>
        </w:rPr>
        <w:t xml:space="preserve"> </w:t>
      </w:r>
      <w:r>
        <w:rPr>
          <w:rtl/>
        </w:rPr>
        <w:t>גרים</w:t>
      </w:r>
      <w:r>
        <w:rPr>
          <w:rtl/>
          <w:lang w:bidi="ar-SA"/>
        </w:rPr>
        <w:t xml:space="preserve"> </w:t>
      </w:r>
      <w:r>
        <w:rPr>
          <w:rtl/>
        </w:rPr>
        <w:t>לע</w:t>
      </w:r>
      <w:r>
        <w:rPr>
          <w:rtl/>
          <w:lang w:bidi="ar-SA"/>
        </w:rPr>
        <w:t>"</w:t>
      </w:r>
      <w:r>
        <w:rPr>
          <w:rtl/>
        </w:rPr>
        <w:t>ל</w:t>
      </w:r>
      <w:r w:rsidR="00F14296" w:rsidRPr="00F14296">
        <w:rPr>
          <w:rStyle w:val="FootnoteReference"/>
          <w:lang w:bidi="ar-SA"/>
        </w:rPr>
        <w:footnoteReference w:customMarkFollows="1" w:id="6"/>
        <w:sym w:font="Symbol" w:char="F02A"/>
      </w:r>
      <w:bookmarkEnd w:id="99"/>
      <w:r w:rsidR="009B4B07">
        <w:rPr>
          <w:rtl/>
          <w:lang w:bidi="ar-SA"/>
        </w:rPr>
        <w:t xml:space="preserve"> </w:t>
      </w:r>
    </w:p>
    <w:p w14:paraId="464B279B" w14:textId="590D8E34" w:rsidR="009B4B07" w:rsidRPr="008307D7" w:rsidRDefault="009B4B07" w:rsidP="00C40DBA">
      <w:pPr>
        <w:pStyle w:val="a0"/>
        <w:rPr>
          <w:rtl/>
        </w:rPr>
      </w:pPr>
      <w:r w:rsidRPr="008307D7">
        <w:rPr>
          <w:rtl/>
        </w:rPr>
        <w:t xml:space="preserve"> </w:t>
      </w:r>
      <w:bookmarkStart w:id="100" w:name="_Toc531140344"/>
      <w:r w:rsidR="00BA0BC2" w:rsidRPr="008307D7">
        <w:rPr>
          <w:rFonts w:hint="cs"/>
          <w:rtl/>
          <w:lang w:bidi="he-IL"/>
        </w:rPr>
        <w:t xml:space="preserve">הרב </w:t>
      </w:r>
      <w:r w:rsidRPr="008307D7">
        <w:rPr>
          <w:rtl/>
          <w:lang w:bidi="he-IL"/>
        </w:rPr>
        <w:t>שלום צירקינד</w:t>
      </w:r>
      <w:bookmarkEnd w:id="100"/>
    </w:p>
    <w:p w14:paraId="4AD36AB8" w14:textId="54522B7A" w:rsidR="00083EDA" w:rsidRPr="00083EDA" w:rsidRDefault="00083EDA" w:rsidP="00F14296">
      <w:pPr>
        <w:pStyle w:val="a1"/>
        <w:spacing w:after="0"/>
      </w:pPr>
      <w:r w:rsidRPr="00083EDA">
        <w:rPr>
          <w:rtl/>
        </w:rPr>
        <w:t>תו</w:t>
      </w:r>
      <w:r w:rsidRPr="00083EDA">
        <w:rPr>
          <w:rFonts w:hint="cs"/>
          <w:rtl/>
        </w:rPr>
        <w:t>שב בשכונה</w:t>
      </w:r>
    </w:p>
    <w:p w14:paraId="56EB3EB6" w14:textId="7EB1C583" w:rsidR="00DF4CDD" w:rsidRPr="00E771D2" w:rsidRDefault="00DF4CDD" w:rsidP="00423C6D">
      <w:pPr>
        <w:pStyle w:val="a2"/>
        <w:rPr>
          <w:lang w:bidi="ar-SA"/>
        </w:rPr>
      </w:pPr>
      <w:r w:rsidRPr="00E771D2">
        <w:rPr>
          <w:b/>
          <w:bCs/>
          <w:rtl/>
        </w:rPr>
        <w:t>א</w:t>
      </w:r>
      <w:r w:rsidRPr="00E771D2">
        <w:rPr>
          <w:b/>
          <w:bCs/>
          <w:rtl/>
          <w:lang w:bidi="ar-SA"/>
        </w:rPr>
        <w:t>.</w:t>
      </w:r>
      <w:r w:rsidR="00E771D2" w:rsidRPr="00E771D2">
        <w:rPr>
          <w:rFonts w:hint="cs"/>
          <w:b/>
          <w:bCs/>
          <w:rtl/>
        </w:rPr>
        <w:t xml:space="preserve"> </w:t>
      </w:r>
      <w:r>
        <w:rPr>
          <w:rtl/>
        </w:rPr>
        <w:t>איתא</w:t>
      </w:r>
      <w:r>
        <w:rPr>
          <w:rtl/>
          <w:lang w:bidi="ar-SA"/>
        </w:rPr>
        <w:t xml:space="preserve"> </w:t>
      </w:r>
      <w:r>
        <w:rPr>
          <w:rtl/>
        </w:rPr>
        <w:t>ביבמות</w:t>
      </w:r>
      <w:r>
        <w:rPr>
          <w:rtl/>
          <w:lang w:bidi="ar-SA"/>
        </w:rPr>
        <w:t xml:space="preserve"> </w:t>
      </w:r>
      <w:r>
        <w:rPr>
          <w:rtl/>
        </w:rPr>
        <w:t>כד</w:t>
      </w:r>
      <w:r>
        <w:rPr>
          <w:rtl/>
          <w:lang w:bidi="ar-SA"/>
        </w:rPr>
        <w:t xml:space="preserve">, </w:t>
      </w:r>
      <w:r>
        <w:rPr>
          <w:rtl/>
        </w:rPr>
        <w:t>ב</w:t>
      </w:r>
      <w:r>
        <w:rPr>
          <w:rtl/>
          <w:lang w:bidi="ar-SA"/>
        </w:rPr>
        <w:t xml:space="preserve">: </w:t>
      </w:r>
      <w:r>
        <w:rPr>
          <w:rtl/>
        </w:rPr>
        <w:t>תנו</w:t>
      </w:r>
      <w:r>
        <w:rPr>
          <w:rtl/>
          <w:lang w:bidi="ar-SA"/>
        </w:rPr>
        <w:t xml:space="preserve"> </w:t>
      </w:r>
      <w:r>
        <w:rPr>
          <w:rtl/>
        </w:rPr>
        <w:t>רבנן</w:t>
      </w:r>
      <w:r>
        <w:rPr>
          <w:rtl/>
          <w:lang w:bidi="ar-SA"/>
        </w:rPr>
        <w:t xml:space="preserve"> </w:t>
      </w:r>
      <w:r>
        <w:rPr>
          <w:rtl/>
        </w:rPr>
        <w:t>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לימות</w:t>
      </w:r>
      <w:r>
        <w:rPr>
          <w:rtl/>
          <w:lang w:bidi="ar-SA"/>
        </w:rPr>
        <w:t xml:space="preserve"> </w:t>
      </w:r>
      <w:r>
        <w:rPr>
          <w:rtl/>
        </w:rPr>
        <w:t>המשיח</w:t>
      </w:r>
      <w:r>
        <w:rPr>
          <w:rStyle w:val="FootnoteReference"/>
          <w:rFonts w:cs="Arial"/>
          <w:lang w:bidi="ar-SA"/>
        </w:rPr>
        <w:footnoteReference w:id="7"/>
      </w:r>
      <w:r>
        <w:rPr>
          <w:rtl/>
          <w:lang w:bidi="ar-SA"/>
        </w:rPr>
        <w:t xml:space="preserve">. </w:t>
      </w:r>
      <w:r>
        <w:rPr>
          <w:rtl/>
        </w:rPr>
        <w:t>כיוצא</w:t>
      </w:r>
      <w:r>
        <w:rPr>
          <w:rtl/>
          <w:lang w:bidi="ar-SA"/>
        </w:rPr>
        <w:t xml:space="preserve"> </w:t>
      </w:r>
      <w:r>
        <w:rPr>
          <w:rtl/>
        </w:rPr>
        <w:t>בו</w:t>
      </w:r>
      <w:r>
        <w:rPr>
          <w:rtl/>
          <w:lang w:bidi="ar-SA"/>
        </w:rPr>
        <w:t xml:space="preserve"> </w:t>
      </w:r>
      <w:r>
        <w:rPr>
          <w:rtl/>
        </w:rPr>
        <w:t>לא</w:t>
      </w:r>
      <w:r>
        <w:rPr>
          <w:rtl/>
          <w:lang w:bidi="ar-SA"/>
        </w:rPr>
        <w:t xml:space="preserve"> </w:t>
      </w:r>
      <w:r>
        <w:rPr>
          <w:rtl/>
        </w:rPr>
        <w:t>קבלו</w:t>
      </w:r>
      <w:r>
        <w:rPr>
          <w:rtl/>
          <w:lang w:bidi="ar-SA"/>
        </w:rPr>
        <w:t xml:space="preserve"> </w:t>
      </w:r>
      <w:r>
        <w:rPr>
          <w:rtl/>
        </w:rPr>
        <w:t>גרים</w:t>
      </w:r>
      <w:r>
        <w:rPr>
          <w:rtl/>
          <w:lang w:bidi="ar-SA"/>
        </w:rPr>
        <w:t xml:space="preserve"> </w:t>
      </w:r>
      <w:r>
        <w:rPr>
          <w:rtl/>
        </w:rPr>
        <w:t>לא</w:t>
      </w:r>
      <w:r>
        <w:rPr>
          <w:rtl/>
          <w:lang w:bidi="ar-SA"/>
        </w:rPr>
        <w:t xml:space="preserve"> </w:t>
      </w:r>
      <w:r>
        <w:rPr>
          <w:rtl/>
        </w:rPr>
        <w:t>בימי</w:t>
      </w:r>
      <w:r>
        <w:rPr>
          <w:rtl/>
          <w:lang w:bidi="ar-SA"/>
        </w:rPr>
        <w:t xml:space="preserve"> </w:t>
      </w:r>
      <w:r>
        <w:rPr>
          <w:rtl/>
        </w:rPr>
        <w:t>דוד</w:t>
      </w:r>
      <w:r>
        <w:rPr>
          <w:rtl/>
          <w:lang w:bidi="ar-SA"/>
        </w:rPr>
        <w:t xml:space="preserve"> </w:t>
      </w:r>
      <w:r>
        <w:rPr>
          <w:rtl/>
        </w:rPr>
        <w:t>ולא</w:t>
      </w:r>
      <w:r>
        <w:rPr>
          <w:rtl/>
          <w:lang w:bidi="ar-SA"/>
        </w:rPr>
        <w:t xml:space="preserve"> </w:t>
      </w:r>
      <w:r>
        <w:rPr>
          <w:rtl/>
        </w:rPr>
        <w:t>בימי</w:t>
      </w:r>
      <w:r>
        <w:rPr>
          <w:rtl/>
          <w:lang w:bidi="ar-SA"/>
        </w:rPr>
        <w:t xml:space="preserve"> </w:t>
      </w:r>
      <w:r>
        <w:rPr>
          <w:rtl/>
        </w:rPr>
        <w:t>שלמה</w:t>
      </w:r>
      <w:r>
        <w:rPr>
          <w:rtl/>
          <w:lang w:bidi="ar-SA"/>
        </w:rPr>
        <w:t xml:space="preserve"> [</w:t>
      </w:r>
      <w:r>
        <w:rPr>
          <w:rtl/>
        </w:rPr>
        <w:t>ויש</w:t>
      </w:r>
      <w:r>
        <w:rPr>
          <w:rtl/>
          <w:lang w:bidi="ar-SA"/>
        </w:rPr>
        <w:t xml:space="preserve"> </w:t>
      </w:r>
      <w:r>
        <w:rPr>
          <w:rtl/>
        </w:rPr>
        <w:t>גורסים</w:t>
      </w:r>
      <w:r>
        <w:rPr>
          <w:rtl/>
          <w:lang w:bidi="ar-SA"/>
        </w:rPr>
        <w:t xml:space="preserve">: </w:t>
      </w:r>
      <w:r>
        <w:rPr>
          <w:rtl/>
        </w:rPr>
        <w:t>אלא</w:t>
      </w:r>
      <w:r>
        <w:rPr>
          <w:rtl/>
          <w:lang w:bidi="ar-SA"/>
        </w:rPr>
        <w:t xml:space="preserve"> </w:t>
      </w:r>
      <w:r>
        <w:rPr>
          <w:rtl/>
        </w:rPr>
        <w:t>שנעשו</w:t>
      </w:r>
      <w:r>
        <w:rPr>
          <w:rtl/>
          <w:lang w:bidi="ar-SA"/>
        </w:rPr>
        <w:t xml:space="preserve"> </w:t>
      </w:r>
      <w:r>
        <w:rPr>
          <w:rtl/>
        </w:rPr>
        <w:t>גרים</w:t>
      </w:r>
      <w:r>
        <w:rPr>
          <w:rtl/>
          <w:lang w:bidi="ar-SA"/>
        </w:rPr>
        <w:t xml:space="preserve"> </w:t>
      </w:r>
      <w:r>
        <w:rPr>
          <w:rtl/>
        </w:rPr>
        <w:t>גרורים</w:t>
      </w:r>
      <w:r>
        <w:rPr>
          <w:rStyle w:val="FootnoteReference"/>
          <w:rFonts w:cs="Arial"/>
          <w:lang w:bidi="ar-SA"/>
        </w:rPr>
        <w:footnoteReference w:id="8"/>
      </w:r>
      <w:r>
        <w:rPr>
          <w:rtl/>
          <w:lang w:bidi="ar-SA"/>
        </w:rPr>
        <w:t xml:space="preserve">], </w:t>
      </w:r>
      <w:r>
        <w:rPr>
          <w:rtl/>
        </w:rPr>
        <w:t>א</w:t>
      </w:r>
      <w:r>
        <w:rPr>
          <w:rtl/>
          <w:lang w:bidi="ar-SA"/>
        </w:rPr>
        <w:t>"</w:t>
      </w:r>
      <w:r>
        <w:rPr>
          <w:rtl/>
        </w:rPr>
        <w:t>ר</w:t>
      </w:r>
      <w:r>
        <w:rPr>
          <w:rtl/>
          <w:lang w:bidi="ar-SA"/>
        </w:rPr>
        <w:t xml:space="preserve"> </w:t>
      </w:r>
      <w:r>
        <w:rPr>
          <w:rtl/>
        </w:rPr>
        <w:t>אליעזר</w:t>
      </w:r>
      <w:r>
        <w:rPr>
          <w:rtl/>
          <w:lang w:bidi="ar-SA"/>
        </w:rPr>
        <w:t xml:space="preserve"> </w:t>
      </w:r>
      <w:r>
        <w:rPr>
          <w:rtl/>
        </w:rPr>
        <w:t>מאי</w:t>
      </w:r>
      <w:r>
        <w:rPr>
          <w:rtl/>
          <w:lang w:bidi="ar-SA"/>
        </w:rPr>
        <w:t xml:space="preserve"> </w:t>
      </w:r>
      <w:r>
        <w:rPr>
          <w:rtl/>
        </w:rPr>
        <w:t>קרא</w:t>
      </w:r>
      <w:r>
        <w:rPr>
          <w:rtl/>
          <w:lang w:bidi="ar-SA"/>
        </w:rPr>
        <w:t xml:space="preserve"> (</w:t>
      </w:r>
      <w:r>
        <w:rPr>
          <w:rtl/>
        </w:rPr>
        <w:t>ישעיהו</w:t>
      </w:r>
      <w:r>
        <w:rPr>
          <w:rtl/>
          <w:lang w:bidi="ar-SA"/>
        </w:rPr>
        <w:t xml:space="preserve"> </w:t>
      </w:r>
      <w:r>
        <w:rPr>
          <w:rtl/>
        </w:rPr>
        <w:t>נד</w:t>
      </w:r>
      <w:r>
        <w:rPr>
          <w:rtl/>
          <w:lang w:bidi="ar-SA"/>
        </w:rPr>
        <w:t xml:space="preserve">, </w:t>
      </w:r>
      <w:r>
        <w:rPr>
          <w:rtl/>
        </w:rPr>
        <w:t>טו</w:t>
      </w:r>
      <w:r>
        <w:rPr>
          <w:rtl/>
          <w:lang w:bidi="ar-SA"/>
        </w:rPr>
        <w:t xml:space="preserve">) </w:t>
      </w:r>
      <w:r>
        <w:rPr>
          <w:rtl/>
        </w:rPr>
        <w:t>הן</w:t>
      </w:r>
      <w:r>
        <w:rPr>
          <w:rtl/>
          <w:lang w:bidi="ar-SA"/>
        </w:rPr>
        <w:t xml:space="preserve"> </w:t>
      </w:r>
      <w:r>
        <w:rPr>
          <w:rtl/>
        </w:rPr>
        <w:t>גור</w:t>
      </w:r>
      <w:r>
        <w:rPr>
          <w:rtl/>
          <w:lang w:bidi="ar-SA"/>
        </w:rPr>
        <w:t xml:space="preserve"> </w:t>
      </w:r>
      <w:r>
        <w:rPr>
          <w:rtl/>
        </w:rPr>
        <w:t>יגור</w:t>
      </w:r>
      <w:r>
        <w:rPr>
          <w:rtl/>
          <w:lang w:bidi="ar-SA"/>
        </w:rPr>
        <w:t xml:space="preserve"> </w:t>
      </w:r>
      <w:r>
        <w:rPr>
          <w:rtl/>
        </w:rPr>
        <w:t>אפס</w:t>
      </w:r>
      <w:r>
        <w:rPr>
          <w:rtl/>
          <w:lang w:bidi="ar-SA"/>
        </w:rPr>
        <w:t xml:space="preserve"> </w:t>
      </w:r>
      <w:r>
        <w:rPr>
          <w:rtl/>
        </w:rPr>
        <w:t>מאותי</w:t>
      </w:r>
      <w:r>
        <w:rPr>
          <w:rtl/>
          <w:lang w:bidi="ar-SA"/>
        </w:rPr>
        <w:t xml:space="preserve"> </w:t>
      </w:r>
      <w:r>
        <w:rPr>
          <w:rtl/>
        </w:rPr>
        <w:t>מי</w:t>
      </w:r>
      <w:r>
        <w:rPr>
          <w:rtl/>
          <w:lang w:bidi="ar-SA"/>
        </w:rPr>
        <w:t xml:space="preserve"> </w:t>
      </w:r>
      <w:r>
        <w:rPr>
          <w:rtl/>
        </w:rPr>
        <w:t>גר</w:t>
      </w:r>
      <w:r>
        <w:rPr>
          <w:rtl/>
          <w:lang w:bidi="ar-SA"/>
        </w:rPr>
        <w:t xml:space="preserve"> </w:t>
      </w:r>
      <w:r>
        <w:rPr>
          <w:rtl/>
        </w:rPr>
        <w:t>אתך</w:t>
      </w:r>
      <w:r>
        <w:rPr>
          <w:rtl/>
          <w:lang w:bidi="ar-SA"/>
        </w:rPr>
        <w:t xml:space="preserve"> </w:t>
      </w:r>
      <w:r>
        <w:rPr>
          <w:rtl/>
        </w:rPr>
        <w:t>עליך</w:t>
      </w:r>
      <w:r>
        <w:rPr>
          <w:rtl/>
          <w:lang w:bidi="ar-SA"/>
        </w:rPr>
        <w:t xml:space="preserve"> </w:t>
      </w:r>
      <w:r>
        <w:rPr>
          <w:rtl/>
        </w:rPr>
        <w:t>יפול</w:t>
      </w:r>
      <w:r>
        <w:rPr>
          <w:rtl/>
          <w:lang w:bidi="ar-SA"/>
        </w:rPr>
        <w:t>, [</w:t>
      </w:r>
      <w:r>
        <w:rPr>
          <w:rtl/>
        </w:rPr>
        <w:t>מי</w:t>
      </w:r>
      <w:r>
        <w:rPr>
          <w:rtl/>
          <w:lang w:bidi="ar-SA"/>
        </w:rPr>
        <w:t xml:space="preserve"> </w:t>
      </w:r>
      <w:r>
        <w:rPr>
          <w:rtl/>
        </w:rPr>
        <w:t>גר</w:t>
      </w:r>
      <w:r>
        <w:rPr>
          <w:rtl/>
          <w:lang w:bidi="ar-SA"/>
        </w:rPr>
        <w:t xml:space="preserve"> </w:t>
      </w:r>
      <w:r>
        <w:rPr>
          <w:rtl/>
        </w:rPr>
        <w:t>אתך</w:t>
      </w:r>
      <w:r>
        <w:rPr>
          <w:rtl/>
          <w:lang w:bidi="ar-SA"/>
        </w:rPr>
        <w:t xml:space="preserve"> </w:t>
      </w:r>
      <w:r>
        <w:rPr>
          <w:rtl/>
        </w:rPr>
        <w:t>בעניותך</w:t>
      </w:r>
      <w:r>
        <w:rPr>
          <w:rtl/>
          <w:lang w:bidi="ar-SA"/>
        </w:rPr>
        <w:t xml:space="preserve"> </w:t>
      </w:r>
      <w:r>
        <w:rPr>
          <w:rtl/>
        </w:rPr>
        <w:t>הוא</w:t>
      </w:r>
      <w:r>
        <w:rPr>
          <w:rtl/>
          <w:lang w:bidi="ar-SA"/>
        </w:rPr>
        <w:t xml:space="preserve"> </w:t>
      </w:r>
      <w:r>
        <w:rPr>
          <w:rtl/>
        </w:rPr>
        <w:t>דעליך</w:t>
      </w:r>
      <w:r>
        <w:rPr>
          <w:rtl/>
          <w:lang w:bidi="ar-SA"/>
        </w:rPr>
        <w:t xml:space="preserve"> </w:t>
      </w:r>
      <w:r>
        <w:rPr>
          <w:rtl/>
        </w:rPr>
        <w:t>יפול</w:t>
      </w:r>
      <w:r>
        <w:rPr>
          <w:rtl/>
          <w:lang w:bidi="ar-SA"/>
        </w:rPr>
        <w:t xml:space="preserve"> (</w:t>
      </w:r>
      <w:r>
        <w:rPr>
          <w:rtl/>
        </w:rPr>
        <w:t>הגהת</w:t>
      </w:r>
      <w:r>
        <w:rPr>
          <w:rtl/>
          <w:lang w:bidi="ar-SA"/>
        </w:rPr>
        <w:t xml:space="preserve"> </w:t>
      </w:r>
      <w:r>
        <w:rPr>
          <w:rtl/>
        </w:rPr>
        <w:t>הב</w:t>
      </w:r>
      <w:r>
        <w:rPr>
          <w:rtl/>
          <w:lang w:bidi="ar-SA"/>
        </w:rPr>
        <w:t>"</w:t>
      </w:r>
      <w:r>
        <w:rPr>
          <w:rtl/>
        </w:rPr>
        <w:t>ח</w:t>
      </w:r>
      <w:r>
        <w:rPr>
          <w:rtl/>
          <w:lang w:bidi="ar-SA"/>
        </w:rPr>
        <w:t xml:space="preserve">)] </w:t>
      </w:r>
      <w:r>
        <w:rPr>
          <w:rtl/>
        </w:rPr>
        <w:t>אבל</w:t>
      </w:r>
      <w:r>
        <w:rPr>
          <w:rtl/>
          <w:lang w:bidi="ar-SA"/>
        </w:rPr>
        <w:t xml:space="preserve"> </w:t>
      </w:r>
      <w:r>
        <w:rPr>
          <w:rtl/>
        </w:rPr>
        <w:t>אידך</w:t>
      </w:r>
      <w:r>
        <w:rPr>
          <w:rtl/>
          <w:lang w:bidi="ar-SA"/>
        </w:rPr>
        <w:t xml:space="preserve"> </w:t>
      </w:r>
      <w:r>
        <w:rPr>
          <w:rtl/>
        </w:rPr>
        <w:t>לא</w:t>
      </w:r>
      <w:r>
        <w:rPr>
          <w:rtl/>
          <w:lang w:bidi="ar-SA"/>
        </w:rPr>
        <w:t>.</w:t>
      </w:r>
    </w:p>
    <w:p w14:paraId="1EB26D52" w14:textId="6971FDF6" w:rsidR="00DF4CDD" w:rsidRPr="00DF4CDD" w:rsidRDefault="00DF4CDD" w:rsidP="00423C6D">
      <w:pPr>
        <w:pStyle w:val="a2"/>
        <w:rPr>
          <w:rFonts w:asciiTheme="minorHAnsi" w:hAnsiTheme="minorHAnsi"/>
          <w:lang w:bidi="ar-SA"/>
        </w:rPr>
      </w:pPr>
      <w:r>
        <w:rPr>
          <w:rtl/>
        </w:rPr>
        <w:t>והנה</w:t>
      </w:r>
      <w:r>
        <w:rPr>
          <w:rtl/>
          <w:lang w:bidi="ar-SA"/>
        </w:rPr>
        <w:t xml:space="preserve"> </w:t>
      </w:r>
      <w:r>
        <w:rPr>
          <w:rtl/>
        </w:rPr>
        <w:t>מפשטות</w:t>
      </w:r>
      <w:r>
        <w:rPr>
          <w:rtl/>
          <w:lang w:bidi="ar-SA"/>
        </w:rPr>
        <w:t xml:space="preserve"> </w:t>
      </w:r>
      <w:r>
        <w:rPr>
          <w:rtl/>
        </w:rPr>
        <w:t>דברי</w:t>
      </w:r>
      <w:r>
        <w:rPr>
          <w:rtl/>
          <w:lang w:bidi="ar-SA"/>
        </w:rPr>
        <w:t xml:space="preserve"> </w:t>
      </w:r>
      <w:r>
        <w:rPr>
          <w:rtl/>
        </w:rPr>
        <w:t>הגמרא</w:t>
      </w:r>
      <w:r>
        <w:rPr>
          <w:rtl/>
          <w:lang w:bidi="ar-SA"/>
        </w:rPr>
        <w:t xml:space="preserve"> </w:t>
      </w:r>
      <w:r>
        <w:rPr>
          <w:rtl/>
        </w:rPr>
        <w:t>מבואר</w:t>
      </w:r>
      <w:r>
        <w:rPr>
          <w:rStyle w:val="FootnoteReference"/>
          <w:rFonts w:cs="Arial"/>
          <w:lang w:bidi="ar-SA"/>
        </w:rPr>
        <w:footnoteReference w:id="9"/>
      </w:r>
      <w:r>
        <w:rPr>
          <w:rtl/>
          <w:lang w:bidi="ar-SA"/>
        </w:rPr>
        <w:t xml:space="preserve">, </w:t>
      </w:r>
      <w:r>
        <w:rPr>
          <w:rtl/>
        </w:rPr>
        <w:t>שהטעם</w:t>
      </w:r>
      <w:r>
        <w:rPr>
          <w:rtl/>
          <w:lang w:bidi="ar-SA"/>
        </w:rPr>
        <w:t xml:space="preserve"> </w:t>
      </w:r>
      <w:r>
        <w:rPr>
          <w:rtl/>
        </w:rPr>
        <w:t>שאין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לע</w:t>
      </w:r>
      <w:r>
        <w:rPr>
          <w:rtl/>
          <w:lang w:bidi="ar-SA"/>
        </w:rPr>
        <w:t>"</w:t>
      </w:r>
      <w:r>
        <w:rPr>
          <w:rtl/>
        </w:rPr>
        <w:t>ל</w:t>
      </w:r>
      <w:r>
        <w:rPr>
          <w:rtl/>
          <w:lang w:bidi="ar-SA"/>
        </w:rPr>
        <w:t>, (</w:t>
      </w:r>
      <w:r>
        <w:rPr>
          <w:rtl/>
        </w:rPr>
        <w:t>וכן</w:t>
      </w:r>
      <w:r>
        <w:rPr>
          <w:rtl/>
          <w:lang w:bidi="ar-SA"/>
        </w:rPr>
        <w:t xml:space="preserve"> </w:t>
      </w:r>
      <w:r>
        <w:rPr>
          <w:rtl/>
        </w:rPr>
        <w:t>זה</w:t>
      </w:r>
      <w:r>
        <w:rPr>
          <w:rtl/>
          <w:lang w:bidi="ar-SA"/>
        </w:rPr>
        <w:t xml:space="preserve"> </w:t>
      </w:r>
      <w:r>
        <w:rPr>
          <w:rtl/>
        </w:rPr>
        <w:t>שלא</w:t>
      </w:r>
      <w:r>
        <w:rPr>
          <w:rtl/>
          <w:lang w:bidi="ar-SA"/>
        </w:rPr>
        <w:t xml:space="preserve"> </w:t>
      </w:r>
      <w:r>
        <w:rPr>
          <w:rtl/>
        </w:rPr>
        <w:t>קיבלו</w:t>
      </w:r>
      <w:r>
        <w:rPr>
          <w:rtl/>
          <w:lang w:bidi="ar-SA"/>
        </w:rPr>
        <w:t xml:space="preserve"> </w:t>
      </w:r>
      <w:r>
        <w:rPr>
          <w:rtl/>
        </w:rPr>
        <w:t>בימי</w:t>
      </w:r>
      <w:r>
        <w:rPr>
          <w:rtl/>
          <w:lang w:bidi="ar-SA"/>
        </w:rPr>
        <w:t xml:space="preserve"> </w:t>
      </w:r>
      <w:r>
        <w:rPr>
          <w:rtl/>
        </w:rPr>
        <w:t>דוד</w:t>
      </w:r>
      <w:r>
        <w:rPr>
          <w:rtl/>
          <w:lang w:bidi="ar-SA"/>
        </w:rPr>
        <w:t xml:space="preserve"> </w:t>
      </w:r>
      <w:r>
        <w:rPr>
          <w:rtl/>
        </w:rPr>
        <w:t>ושלמה</w:t>
      </w:r>
      <w:r>
        <w:rPr>
          <w:rtl/>
          <w:lang w:bidi="ar-SA"/>
        </w:rPr>
        <w:t xml:space="preserve">), </w:t>
      </w:r>
      <w:r>
        <w:rPr>
          <w:rtl/>
        </w:rPr>
        <w:t>הוא</w:t>
      </w:r>
      <w:r>
        <w:rPr>
          <w:rtl/>
          <w:lang w:bidi="ar-SA"/>
        </w:rPr>
        <w:t xml:space="preserve"> </w:t>
      </w:r>
      <w:r>
        <w:rPr>
          <w:rtl/>
        </w:rPr>
        <w:t>מפני</w:t>
      </w:r>
      <w:r>
        <w:rPr>
          <w:rtl/>
          <w:lang w:bidi="ar-SA"/>
        </w:rPr>
        <w:t xml:space="preserve"> </w:t>
      </w:r>
      <w:r>
        <w:rPr>
          <w:rtl/>
        </w:rPr>
        <w:t>שאין</w:t>
      </w:r>
      <w:r>
        <w:rPr>
          <w:rtl/>
          <w:lang w:bidi="ar-SA"/>
        </w:rPr>
        <w:t xml:space="preserve"> </w:t>
      </w:r>
      <w:r>
        <w:rPr>
          <w:rtl/>
        </w:rPr>
        <w:t>אנו</w:t>
      </w:r>
      <w:r>
        <w:rPr>
          <w:rtl/>
          <w:lang w:bidi="ar-SA"/>
        </w:rPr>
        <w:t xml:space="preserve"> </w:t>
      </w:r>
      <w:r>
        <w:rPr>
          <w:rtl/>
        </w:rPr>
        <w:t>יודעים</w:t>
      </w:r>
      <w:r>
        <w:rPr>
          <w:rtl/>
          <w:lang w:bidi="ar-SA"/>
        </w:rPr>
        <w:t xml:space="preserve"> </w:t>
      </w:r>
      <w:r>
        <w:rPr>
          <w:rtl/>
        </w:rPr>
        <w:t>אם</w:t>
      </w:r>
      <w:r>
        <w:rPr>
          <w:rtl/>
          <w:lang w:bidi="ar-SA"/>
        </w:rPr>
        <w:t xml:space="preserve"> </w:t>
      </w:r>
      <w:r>
        <w:rPr>
          <w:rtl/>
        </w:rPr>
        <w:t>כוונתם</w:t>
      </w:r>
      <w:r>
        <w:rPr>
          <w:rtl/>
          <w:lang w:bidi="ar-SA"/>
        </w:rPr>
        <w:t xml:space="preserve"> </w:t>
      </w:r>
      <w:r>
        <w:rPr>
          <w:rtl/>
        </w:rPr>
        <w:t>הוא</w:t>
      </w:r>
      <w:r>
        <w:rPr>
          <w:rtl/>
          <w:lang w:bidi="ar-SA"/>
        </w:rPr>
        <w:t xml:space="preserve"> </w:t>
      </w:r>
      <w:r>
        <w:rPr>
          <w:rtl/>
        </w:rPr>
        <w:t>לשם</w:t>
      </w:r>
      <w:r>
        <w:rPr>
          <w:rtl/>
          <w:lang w:bidi="ar-SA"/>
        </w:rPr>
        <w:t xml:space="preserve"> </w:t>
      </w:r>
      <w:r>
        <w:rPr>
          <w:rtl/>
        </w:rPr>
        <w:t>שמים</w:t>
      </w:r>
      <w:r>
        <w:rPr>
          <w:rtl/>
          <w:lang w:bidi="ar-SA"/>
        </w:rPr>
        <w:t xml:space="preserve">, </w:t>
      </w:r>
      <w:r>
        <w:rPr>
          <w:rtl/>
        </w:rPr>
        <w:t>דשמא</w:t>
      </w:r>
      <w:r>
        <w:rPr>
          <w:rtl/>
          <w:lang w:bidi="ar-SA"/>
        </w:rPr>
        <w:t xml:space="preserve"> </w:t>
      </w:r>
      <w:r>
        <w:rPr>
          <w:rtl/>
        </w:rPr>
        <w:t>מפני</w:t>
      </w:r>
      <w:r>
        <w:rPr>
          <w:rtl/>
          <w:lang w:bidi="ar-SA"/>
        </w:rPr>
        <w:t xml:space="preserve"> </w:t>
      </w:r>
      <w:r>
        <w:rPr>
          <w:rtl/>
        </w:rPr>
        <w:t>היראה</w:t>
      </w:r>
      <w:r>
        <w:rPr>
          <w:rtl/>
          <w:lang w:bidi="ar-SA"/>
        </w:rPr>
        <w:t xml:space="preserve"> </w:t>
      </w:r>
      <w:r>
        <w:rPr>
          <w:rtl/>
        </w:rPr>
        <w:t>או</w:t>
      </w:r>
      <w:r>
        <w:rPr>
          <w:rtl/>
          <w:lang w:bidi="ar-SA"/>
        </w:rPr>
        <w:t xml:space="preserve"> </w:t>
      </w:r>
      <w:r>
        <w:rPr>
          <w:rtl/>
        </w:rPr>
        <w:t>מעלת</w:t>
      </w:r>
      <w:r>
        <w:rPr>
          <w:rtl/>
          <w:lang w:bidi="ar-SA"/>
        </w:rPr>
        <w:t xml:space="preserve"> </w:t>
      </w:r>
      <w:r>
        <w:rPr>
          <w:rtl/>
        </w:rPr>
        <w:t>ישראל</w:t>
      </w:r>
      <w:r>
        <w:rPr>
          <w:rtl/>
          <w:lang w:bidi="ar-SA"/>
        </w:rPr>
        <w:t xml:space="preserve"> </w:t>
      </w:r>
      <w:r>
        <w:rPr>
          <w:rtl/>
        </w:rPr>
        <w:t>הן</w:t>
      </w:r>
      <w:r>
        <w:rPr>
          <w:rtl/>
          <w:lang w:bidi="ar-SA"/>
        </w:rPr>
        <w:t xml:space="preserve"> </w:t>
      </w:r>
      <w:r>
        <w:rPr>
          <w:rtl/>
        </w:rPr>
        <w:t>מתגיירין</w:t>
      </w:r>
      <w:r>
        <w:rPr>
          <w:rtl/>
          <w:lang w:bidi="ar-SA"/>
        </w:rPr>
        <w:t>.</w:t>
      </w:r>
    </w:p>
    <w:p w14:paraId="511B56EF" w14:textId="5528AF91" w:rsidR="00DF4CDD" w:rsidRPr="00DF4CDD" w:rsidRDefault="00DF4CDD" w:rsidP="00423C6D">
      <w:pPr>
        <w:pStyle w:val="a2"/>
        <w:rPr>
          <w:rFonts w:asciiTheme="minorHAnsi" w:hAnsiTheme="minorHAnsi"/>
          <w:lang w:bidi="ar-SA"/>
        </w:rPr>
      </w:pPr>
      <w:r>
        <w:rPr>
          <w:rtl/>
        </w:rPr>
        <w:t>ועל</w:t>
      </w:r>
      <w:r>
        <w:rPr>
          <w:rtl/>
          <w:lang w:bidi="ar-SA"/>
        </w:rPr>
        <w:t xml:space="preserve"> </w:t>
      </w:r>
      <w:r>
        <w:rPr>
          <w:rtl/>
        </w:rPr>
        <w:t>דרך</w:t>
      </w:r>
      <w:r>
        <w:rPr>
          <w:rtl/>
          <w:lang w:bidi="ar-SA"/>
        </w:rPr>
        <w:t xml:space="preserve"> </w:t>
      </w:r>
      <w:r>
        <w:rPr>
          <w:rtl/>
        </w:rPr>
        <w:t>זה</w:t>
      </w:r>
      <w:r>
        <w:rPr>
          <w:rtl/>
          <w:lang w:bidi="ar-SA"/>
        </w:rPr>
        <w:t xml:space="preserve">, </w:t>
      </w:r>
      <w:r>
        <w:rPr>
          <w:rtl/>
        </w:rPr>
        <w:t>מבואר</w:t>
      </w:r>
      <w:r>
        <w:rPr>
          <w:rtl/>
          <w:lang w:bidi="ar-SA"/>
        </w:rPr>
        <w:t xml:space="preserve"> </w:t>
      </w:r>
      <w:r>
        <w:rPr>
          <w:rtl/>
        </w:rPr>
        <w:t>גם</w:t>
      </w:r>
      <w:r>
        <w:rPr>
          <w:rtl/>
          <w:lang w:bidi="ar-SA"/>
        </w:rPr>
        <w:t xml:space="preserve"> </w:t>
      </w:r>
      <w:r>
        <w:rPr>
          <w:rtl/>
        </w:rPr>
        <w:t>על</w:t>
      </w:r>
      <w:r>
        <w:rPr>
          <w:rtl/>
          <w:lang w:bidi="ar-SA"/>
        </w:rPr>
        <w:t xml:space="preserve"> </w:t>
      </w:r>
      <w:r>
        <w:rPr>
          <w:rtl/>
        </w:rPr>
        <w:t>דרך</w:t>
      </w:r>
      <w:r>
        <w:rPr>
          <w:rtl/>
          <w:lang w:bidi="ar-SA"/>
        </w:rPr>
        <w:t xml:space="preserve"> </w:t>
      </w:r>
      <w:r>
        <w:rPr>
          <w:rtl/>
        </w:rPr>
        <w:t>הסוד</w:t>
      </w:r>
      <w:r>
        <w:rPr>
          <w:rtl/>
          <w:lang w:bidi="ar-SA"/>
        </w:rPr>
        <w:t xml:space="preserve">, </w:t>
      </w:r>
      <w:r>
        <w:rPr>
          <w:rtl/>
        </w:rPr>
        <w:t>בדברי</w:t>
      </w:r>
      <w:r>
        <w:rPr>
          <w:rtl/>
          <w:lang w:bidi="ar-SA"/>
        </w:rPr>
        <w:t xml:space="preserve"> </w:t>
      </w:r>
      <w:r>
        <w:rPr>
          <w:rtl/>
        </w:rPr>
        <w:t>האריז</w:t>
      </w:r>
      <w:r>
        <w:rPr>
          <w:rtl/>
          <w:lang w:bidi="ar-SA"/>
        </w:rPr>
        <w:t>"</w:t>
      </w:r>
      <w:r>
        <w:rPr>
          <w:rtl/>
        </w:rPr>
        <w:t>ל</w:t>
      </w:r>
      <w:r>
        <w:rPr>
          <w:rStyle w:val="FootnoteReference"/>
          <w:rFonts w:cs="Arial"/>
          <w:lang w:bidi="ar-SA"/>
        </w:rPr>
        <w:footnoteReference w:id="10"/>
      </w:r>
      <w:r>
        <w:rPr>
          <w:rtl/>
          <w:lang w:bidi="ar-SA"/>
        </w:rPr>
        <w:t xml:space="preserve"> "</w:t>
      </w:r>
      <w:r>
        <w:rPr>
          <w:rtl/>
        </w:rPr>
        <w:t>כי</w:t>
      </w:r>
      <w:r>
        <w:rPr>
          <w:rtl/>
          <w:lang w:bidi="ar-SA"/>
        </w:rPr>
        <w:t xml:space="preserve"> </w:t>
      </w:r>
      <w:r>
        <w:rPr>
          <w:rtl/>
        </w:rPr>
        <w:t>הנה</w:t>
      </w:r>
      <w:r>
        <w:rPr>
          <w:rtl/>
          <w:lang w:bidi="ar-SA"/>
        </w:rPr>
        <w:t xml:space="preserve"> </w:t>
      </w:r>
      <w:r>
        <w:rPr>
          <w:rtl/>
        </w:rPr>
        <w:t>גרים</w:t>
      </w:r>
      <w:r>
        <w:rPr>
          <w:rtl/>
          <w:lang w:bidi="ar-SA"/>
        </w:rPr>
        <w:t xml:space="preserve"> </w:t>
      </w:r>
      <w:r>
        <w:rPr>
          <w:rtl/>
        </w:rPr>
        <w:t>נעשו</w:t>
      </w:r>
      <w:r>
        <w:rPr>
          <w:rtl/>
          <w:lang w:bidi="ar-SA"/>
        </w:rPr>
        <w:t xml:space="preserve"> </w:t>
      </w:r>
      <w:r>
        <w:rPr>
          <w:rtl/>
        </w:rPr>
        <w:t>מבירורי</w:t>
      </w:r>
      <w:r>
        <w:rPr>
          <w:rtl/>
          <w:lang w:bidi="ar-SA"/>
        </w:rPr>
        <w:t xml:space="preserve"> </w:t>
      </w:r>
      <w:r>
        <w:rPr>
          <w:rtl/>
        </w:rPr>
        <w:t>הטוב</w:t>
      </w:r>
      <w:r>
        <w:rPr>
          <w:rtl/>
          <w:lang w:bidi="ar-SA"/>
        </w:rPr>
        <w:t xml:space="preserve"> </w:t>
      </w:r>
      <w:r>
        <w:rPr>
          <w:rtl/>
        </w:rPr>
        <w:t>שבנוגה</w:t>
      </w:r>
      <w:r>
        <w:rPr>
          <w:rtl/>
          <w:lang w:bidi="ar-SA"/>
        </w:rPr>
        <w:t xml:space="preserve">, </w:t>
      </w:r>
      <w:r>
        <w:rPr>
          <w:rtl/>
        </w:rPr>
        <w:t>והנה</w:t>
      </w:r>
      <w:r>
        <w:rPr>
          <w:rtl/>
          <w:lang w:bidi="ar-SA"/>
        </w:rPr>
        <w:t xml:space="preserve"> </w:t>
      </w:r>
      <w:r>
        <w:rPr>
          <w:rtl/>
        </w:rPr>
        <w:t>כאשר</w:t>
      </w:r>
      <w:r>
        <w:rPr>
          <w:rtl/>
          <w:lang w:bidi="ar-SA"/>
        </w:rPr>
        <w:t xml:space="preserve"> </w:t>
      </w:r>
      <w:r>
        <w:rPr>
          <w:rtl/>
        </w:rPr>
        <w:t>יבא</w:t>
      </w:r>
      <w:r>
        <w:rPr>
          <w:rtl/>
          <w:lang w:bidi="ar-SA"/>
        </w:rPr>
        <w:t xml:space="preserve"> </w:t>
      </w:r>
      <w:r>
        <w:rPr>
          <w:rtl/>
        </w:rPr>
        <w:t>המשיח</w:t>
      </w:r>
      <w:r>
        <w:rPr>
          <w:rtl/>
          <w:lang w:bidi="ar-SA"/>
        </w:rPr>
        <w:t xml:space="preserve"> </w:t>
      </w:r>
      <w:r>
        <w:rPr>
          <w:rtl/>
        </w:rPr>
        <w:t>כבר</w:t>
      </w:r>
      <w:r>
        <w:rPr>
          <w:rtl/>
          <w:lang w:bidi="ar-SA"/>
        </w:rPr>
        <w:t xml:space="preserve"> </w:t>
      </w:r>
      <w:r>
        <w:rPr>
          <w:rtl/>
        </w:rPr>
        <w:t>נשלמו</w:t>
      </w:r>
      <w:r>
        <w:rPr>
          <w:rtl/>
          <w:lang w:bidi="ar-SA"/>
        </w:rPr>
        <w:t xml:space="preserve"> </w:t>
      </w:r>
      <w:r>
        <w:rPr>
          <w:rtl/>
        </w:rPr>
        <w:t>בירורי</w:t>
      </w:r>
      <w:r>
        <w:rPr>
          <w:rtl/>
          <w:lang w:bidi="ar-SA"/>
        </w:rPr>
        <w:t xml:space="preserve"> </w:t>
      </w:r>
      <w:r>
        <w:rPr>
          <w:rtl/>
        </w:rPr>
        <w:t>הטוב</w:t>
      </w:r>
      <w:r>
        <w:rPr>
          <w:rtl/>
          <w:lang w:bidi="ar-SA"/>
        </w:rPr>
        <w:t xml:space="preserve"> </w:t>
      </w:r>
      <w:r>
        <w:rPr>
          <w:rtl/>
        </w:rPr>
        <w:t>מהרע</w:t>
      </w:r>
      <w:r>
        <w:rPr>
          <w:rtl/>
          <w:lang w:bidi="ar-SA"/>
        </w:rPr>
        <w:t xml:space="preserve">, </w:t>
      </w:r>
      <w:r>
        <w:rPr>
          <w:rtl/>
        </w:rPr>
        <w:t>ולכן</w:t>
      </w:r>
      <w:r>
        <w:rPr>
          <w:rtl/>
          <w:lang w:bidi="ar-SA"/>
        </w:rPr>
        <w:t xml:space="preserve"> </w:t>
      </w:r>
      <w:r>
        <w:rPr>
          <w:rtl/>
        </w:rPr>
        <w:t>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מהם</w:t>
      </w:r>
      <w:r>
        <w:rPr>
          <w:rtl/>
          <w:lang w:bidi="ar-SA"/>
        </w:rPr>
        <w:t xml:space="preserve"> </w:t>
      </w:r>
      <w:r>
        <w:rPr>
          <w:rtl/>
        </w:rPr>
        <w:t>שחזקות</w:t>
      </w:r>
      <w:r>
        <w:rPr>
          <w:rtl/>
          <w:lang w:bidi="ar-SA"/>
        </w:rPr>
        <w:t xml:space="preserve"> </w:t>
      </w:r>
      <w:r>
        <w:rPr>
          <w:rtl/>
        </w:rPr>
        <w:t>כולם</w:t>
      </w:r>
      <w:r>
        <w:rPr>
          <w:rtl/>
          <w:lang w:bidi="ar-SA"/>
        </w:rPr>
        <w:t xml:space="preserve"> </w:t>
      </w:r>
      <w:r>
        <w:rPr>
          <w:rtl/>
        </w:rPr>
        <w:t>רע</w:t>
      </w:r>
      <w:r>
        <w:rPr>
          <w:rtl/>
          <w:lang w:bidi="ar-SA"/>
        </w:rPr>
        <w:t xml:space="preserve"> </w:t>
      </w:r>
      <w:r>
        <w:rPr>
          <w:rtl/>
        </w:rPr>
        <w:t>ולא</w:t>
      </w:r>
      <w:r>
        <w:rPr>
          <w:rtl/>
          <w:lang w:bidi="ar-SA"/>
        </w:rPr>
        <w:t xml:space="preserve"> </w:t>
      </w:r>
      <w:r>
        <w:rPr>
          <w:rtl/>
        </w:rPr>
        <w:t>טוב</w:t>
      </w:r>
      <w:r>
        <w:rPr>
          <w:rtl/>
          <w:lang w:bidi="ar-SA"/>
        </w:rPr>
        <w:t xml:space="preserve">", </w:t>
      </w:r>
      <w:r>
        <w:rPr>
          <w:rtl/>
        </w:rPr>
        <w:t>דהיינו</w:t>
      </w:r>
      <w:r>
        <w:rPr>
          <w:rtl/>
          <w:lang w:bidi="ar-SA"/>
        </w:rPr>
        <w:t xml:space="preserve">, </w:t>
      </w:r>
      <w:r>
        <w:rPr>
          <w:rtl/>
        </w:rPr>
        <w:t>שאינם</w:t>
      </w:r>
      <w:r>
        <w:rPr>
          <w:rtl/>
          <w:lang w:bidi="ar-SA"/>
        </w:rPr>
        <w:t xml:space="preserve"> </w:t>
      </w:r>
      <w:r>
        <w:rPr>
          <w:rtl/>
        </w:rPr>
        <w:t>מתגיירים</w:t>
      </w:r>
      <w:r>
        <w:rPr>
          <w:rtl/>
          <w:lang w:bidi="ar-SA"/>
        </w:rPr>
        <w:t xml:space="preserve"> </w:t>
      </w:r>
      <w:r>
        <w:rPr>
          <w:rtl/>
        </w:rPr>
        <w:t>באמת</w:t>
      </w:r>
      <w:r>
        <w:rPr>
          <w:rStyle w:val="FootnoteReference"/>
          <w:rFonts w:cs="Arial"/>
          <w:lang w:bidi="ar-SA"/>
        </w:rPr>
        <w:footnoteReference w:id="11"/>
      </w:r>
      <w:r>
        <w:rPr>
          <w:rtl/>
          <w:lang w:bidi="ar-SA"/>
        </w:rPr>
        <w:t>.</w:t>
      </w:r>
    </w:p>
    <w:p w14:paraId="3CDC29BB" w14:textId="14E4286B" w:rsidR="00DF4CDD" w:rsidRPr="00DF4CDD" w:rsidRDefault="00DF4CDD" w:rsidP="00423C6D">
      <w:pPr>
        <w:pStyle w:val="a2"/>
        <w:rPr>
          <w:rFonts w:asciiTheme="minorHAnsi" w:hAnsiTheme="minorHAnsi"/>
          <w:lang w:bidi="ar-SA"/>
        </w:rPr>
      </w:pPr>
      <w:r>
        <w:rPr>
          <w:rtl/>
        </w:rPr>
        <w:lastRenderedPageBreak/>
        <w:t>והנה</w:t>
      </w:r>
      <w:r>
        <w:rPr>
          <w:rtl/>
          <w:lang w:bidi="ar-SA"/>
        </w:rPr>
        <w:t xml:space="preserve"> </w:t>
      </w:r>
      <w:r>
        <w:rPr>
          <w:rtl/>
        </w:rPr>
        <w:t>עוד</w:t>
      </w:r>
      <w:r>
        <w:rPr>
          <w:rtl/>
          <w:lang w:bidi="ar-SA"/>
        </w:rPr>
        <w:t xml:space="preserve"> </w:t>
      </w:r>
      <w:r>
        <w:rPr>
          <w:rtl/>
        </w:rPr>
        <w:t>ביאור</w:t>
      </w:r>
      <w:r>
        <w:rPr>
          <w:rtl/>
          <w:lang w:bidi="ar-SA"/>
        </w:rPr>
        <w:t xml:space="preserve"> </w:t>
      </w:r>
      <w:r>
        <w:rPr>
          <w:rtl/>
        </w:rPr>
        <w:t>בזה</w:t>
      </w:r>
      <w:r>
        <w:rPr>
          <w:rtl/>
          <w:lang w:bidi="ar-SA"/>
        </w:rPr>
        <w:t xml:space="preserve"> </w:t>
      </w:r>
      <w:r>
        <w:rPr>
          <w:rtl/>
        </w:rPr>
        <w:t>באופן</w:t>
      </w:r>
      <w:r>
        <w:rPr>
          <w:rtl/>
          <w:lang w:bidi="ar-SA"/>
        </w:rPr>
        <w:t xml:space="preserve"> </w:t>
      </w:r>
      <w:r>
        <w:rPr>
          <w:rtl/>
        </w:rPr>
        <w:t>וסגנון</w:t>
      </w:r>
      <w:r>
        <w:rPr>
          <w:rtl/>
          <w:lang w:bidi="ar-SA"/>
        </w:rPr>
        <w:t xml:space="preserve"> </w:t>
      </w:r>
      <w:r>
        <w:rPr>
          <w:rtl/>
        </w:rPr>
        <w:t>אחר</w:t>
      </w:r>
      <w:r>
        <w:rPr>
          <w:rtl/>
          <w:lang w:bidi="ar-SA"/>
        </w:rPr>
        <w:t xml:space="preserve"> </w:t>
      </w:r>
      <w:r>
        <w:rPr>
          <w:rtl/>
        </w:rPr>
        <w:t>קצת</w:t>
      </w:r>
      <w:r>
        <w:rPr>
          <w:rStyle w:val="FootnoteReference"/>
          <w:rFonts w:cs="Arial"/>
          <w:lang w:bidi="ar-SA"/>
        </w:rPr>
        <w:footnoteReference w:id="12"/>
      </w:r>
      <w:r>
        <w:rPr>
          <w:rtl/>
          <w:lang w:bidi="ar-SA"/>
        </w:rPr>
        <w:t xml:space="preserve">, </w:t>
      </w:r>
      <w:r>
        <w:rPr>
          <w:rtl/>
        </w:rPr>
        <w:t>הוא</w:t>
      </w:r>
      <w:r>
        <w:rPr>
          <w:rtl/>
          <w:lang w:bidi="ar-SA"/>
        </w:rPr>
        <w:t xml:space="preserve"> </w:t>
      </w:r>
      <w:r>
        <w:rPr>
          <w:rtl/>
        </w:rPr>
        <w:t>מפני</w:t>
      </w:r>
      <w:r>
        <w:rPr>
          <w:rtl/>
          <w:lang w:bidi="ar-SA"/>
        </w:rPr>
        <w:t xml:space="preserve"> </w:t>
      </w:r>
      <w:r>
        <w:rPr>
          <w:rtl/>
        </w:rPr>
        <w:t>שכל</w:t>
      </w:r>
      <w:r>
        <w:rPr>
          <w:rtl/>
          <w:lang w:bidi="ar-SA"/>
        </w:rPr>
        <w:t xml:space="preserve"> </w:t>
      </w:r>
      <w:r>
        <w:rPr>
          <w:rtl/>
        </w:rPr>
        <w:t>ענין</w:t>
      </w:r>
      <w:r>
        <w:rPr>
          <w:rtl/>
          <w:lang w:bidi="ar-SA"/>
        </w:rPr>
        <w:t xml:space="preserve"> </w:t>
      </w:r>
      <w:r>
        <w:rPr>
          <w:rtl/>
        </w:rPr>
        <w:t>הגיור</w:t>
      </w:r>
      <w:r>
        <w:rPr>
          <w:rtl/>
          <w:lang w:bidi="ar-SA"/>
        </w:rPr>
        <w:t xml:space="preserve"> </w:t>
      </w:r>
      <w:r>
        <w:rPr>
          <w:rtl/>
        </w:rPr>
        <w:t>שייך</w:t>
      </w:r>
      <w:r>
        <w:rPr>
          <w:rtl/>
          <w:lang w:bidi="ar-SA"/>
        </w:rPr>
        <w:t xml:space="preserve"> </w:t>
      </w:r>
      <w:r>
        <w:rPr>
          <w:rtl/>
        </w:rPr>
        <w:t>דוקא</w:t>
      </w:r>
      <w:r>
        <w:rPr>
          <w:rtl/>
          <w:lang w:bidi="ar-SA"/>
        </w:rPr>
        <w:t xml:space="preserve"> </w:t>
      </w:r>
      <w:r>
        <w:rPr>
          <w:rtl/>
        </w:rPr>
        <w:t>בזמן</w:t>
      </w:r>
      <w:r>
        <w:rPr>
          <w:rtl/>
          <w:lang w:bidi="ar-SA"/>
        </w:rPr>
        <w:t xml:space="preserve"> </w:t>
      </w:r>
      <w:r>
        <w:rPr>
          <w:rtl/>
        </w:rPr>
        <w:t>הזה</w:t>
      </w:r>
      <w:r>
        <w:rPr>
          <w:rtl/>
          <w:lang w:bidi="ar-SA"/>
        </w:rPr>
        <w:t xml:space="preserve">, </w:t>
      </w:r>
      <w:r>
        <w:rPr>
          <w:rtl/>
        </w:rPr>
        <w:t>כאשר</w:t>
      </w:r>
      <w:r>
        <w:rPr>
          <w:rtl/>
          <w:lang w:bidi="ar-SA"/>
        </w:rPr>
        <w:t xml:space="preserve"> </w:t>
      </w:r>
      <w:r>
        <w:rPr>
          <w:rtl/>
        </w:rPr>
        <w:t>יש</w:t>
      </w:r>
      <w:r>
        <w:rPr>
          <w:rtl/>
          <w:lang w:bidi="ar-SA"/>
        </w:rPr>
        <w:t xml:space="preserve"> </w:t>
      </w:r>
      <w:r>
        <w:rPr>
          <w:rtl/>
        </w:rPr>
        <w:t>נסיון</w:t>
      </w:r>
      <w:r>
        <w:rPr>
          <w:rtl/>
          <w:lang w:bidi="ar-SA"/>
        </w:rPr>
        <w:t xml:space="preserve"> </w:t>
      </w:r>
      <w:r>
        <w:rPr>
          <w:rtl/>
        </w:rPr>
        <w:t>האם</w:t>
      </w:r>
      <w:r>
        <w:rPr>
          <w:rtl/>
          <w:lang w:bidi="ar-SA"/>
        </w:rPr>
        <w:t xml:space="preserve"> </w:t>
      </w:r>
      <w:r>
        <w:rPr>
          <w:rtl/>
        </w:rPr>
        <w:t>לבחור</w:t>
      </w:r>
      <w:r>
        <w:rPr>
          <w:rtl/>
          <w:lang w:bidi="ar-SA"/>
        </w:rPr>
        <w:t xml:space="preserve"> </w:t>
      </w:r>
      <w:r>
        <w:rPr>
          <w:rtl/>
        </w:rPr>
        <w:t>ברע</w:t>
      </w:r>
      <w:r>
        <w:rPr>
          <w:rtl/>
          <w:lang w:bidi="ar-SA"/>
        </w:rPr>
        <w:t xml:space="preserve"> </w:t>
      </w:r>
      <w:r>
        <w:rPr>
          <w:rtl/>
        </w:rPr>
        <w:t>או</w:t>
      </w:r>
      <w:r>
        <w:rPr>
          <w:rtl/>
          <w:lang w:bidi="ar-SA"/>
        </w:rPr>
        <w:t xml:space="preserve"> </w:t>
      </w:r>
      <w:r>
        <w:rPr>
          <w:rtl/>
        </w:rPr>
        <w:t>בטוב</w:t>
      </w:r>
      <w:r>
        <w:rPr>
          <w:rtl/>
          <w:lang w:bidi="ar-SA"/>
        </w:rPr>
        <w:t xml:space="preserve">, </w:t>
      </w:r>
      <w:r>
        <w:rPr>
          <w:rtl/>
        </w:rPr>
        <w:t>ומי</w:t>
      </w:r>
      <w:r>
        <w:rPr>
          <w:rtl/>
          <w:lang w:bidi="ar-SA"/>
        </w:rPr>
        <w:t xml:space="preserve"> </w:t>
      </w:r>
      <w:r>
        <w:rPr>
          <w:rtl/>
        </w:rPr>
        <w:t>שמתדבק</w:t>
      </w:r>
      <w:r>
        <w:rPr>
          <w:rtl/>
          <w:lang w:bidi="ar-SA"/>
        </w:rPr>
        <w:t xml:space="preserve"> </w:t>
      </w:r>
      <w:r>
        <w:rPr>
          <w:rtl/>
        </w:rPr>
        <w:t>בטוב</w:t>
      </w:r>
      <w:r>
        <w:rPr>
          <w:rtl/>
          <w:lang w:bidi="ar-SA"/>
        </w:rPr>
        <w:t xml:space="preserve"> </w:t>
      </w:r>
      <w:r>
        <w:rPr>
          <w:rtl/>
        </w:rPr>
        <w:t>למרות</w:t>
      </w:r>
      <w:r>
        <w:rPr>
          <w:rtl/>
          <w:lang w:bidi="ar-SA"/>
        </w:rPr>
        <w:t xml:space="preserve"> </w:t>
      </w:r>
      <w:r>
        <w:rPr>
          <w:rtl/>
        </w:rPr>
        <w:t>העוני</w:t>
      </w:r>
      <w:r>
        <w:rPr>
          <w:rtl/>
          <w:lang w:bidi="ar-SA"/>
        </w:rPr>
        <w:t xml:space="preserve"> </w:t>
      </w:r>
      <w:r>
        <w:rPr>
          <w:rtl/>
        </w:rPr>
        <w:t>והלחץ</w:t>
      </w:r>
      <w:r>
        <w:rPr>
          <w:rtl/>
          <w:lang w:bidi="ar-SA"/>
        </w:rPr>
        <w:t xml:space="preserve"> </w:t>
      </w:r>
      <w:r>
        <w:rPr>
          <w:rtl/>
        </w:rPr>
        <w:t>וכו</w:t>
      </w:r>
      <w:r>
        <w:rPr>
          <w:rtl/>
          <w:lang w:bidi="ar-SA"/>
        </w:rPr>
        <w:t xml:space="preserve">' </w:t>
      </w:r>
      <w:r>
        <w:rPr>
          <w:rtl/>
        </w:rPr>
        <w:t>הרי</w:t>
      </w:r>
      <w:r>
        <w:rPr>
          <w:rtl/>
          <w:lang w:bidi="ar-SA"/>
        </w:rPr>
        <w:t xml:space="preserve"> </w:t>
      </w:r>
      <w:r>
        <w:rPr>
          <w:rtl/>
        </w:rPr>
        <w:t>זה</w:t>
      </w:r>
      <w:r>
        <w:rPr>
          <w:rtl/>
          <w:lang w:bidi="ar-SA"/>
        </w:rPr>
        <w:t xml:space="preserve"> </w:t>
      </w:r>
      <w:r>
        <w:rPr>
          <w:rtl/>
        </w:rPr>
        <w:t>בא</w:t>
      </w:r>
      <w:r>
        <w:rPr>
          <w:rtl/>
          <w:lang w:bidi="ar-SA"/>
        </w:rPr>
        <w:t xml:space="preserve"> </w:t>
      </w:r>
      <w:r>
        <w:rPr>
          <w:rtl/>
        </w:rPr>
        <w:t>מצד</w:t>
      </w:r>
      <w:r>
        <w:rPr>
          <w:rtl/>
          <w:lang w:bidi="ar-SA"/>
        </w:rPr>
        <w:t xml:space="preserve"> </w:t>
      </w:r>
      <w:r>
        <w:rPr>
          <w:rtl/>
        </w:rPr>
        <w:t>בחירתו</w:t>
      </w:r>
      <w:r>
        <w:rPr>
          <w:rtl/>
          <w:lang w:bidi="ar-SA"/>
        </w:rPr>
        <w:t xml:space="preserve"> </w:t>
      </w:r>
      <w:r>
        <w:rPr>
          <w:rtl/>
        </w:rPr>
        <w:t>ועבודתו</w:t>
      </w:r>
      <w:r>
        <w:rPr>
          <w:rtl/>
          <w:lang w:bidi="ar-SA"/>
        </w:rPr>
        <w:t xml:space="preserve">. </w:t>
      </w:r>
      <w:r>
        <w:rPr>
          <w:rtl/>
        </w:rPr>
        <w:t>אבל</w:t>
      </w:r>
      <w:r>
        <w:rPr>
          <w:rtl/>
          <w:lang w:bidi="ar-SA"/>
        </w:rPr>
        <w:t xml:space="preserve"> </w:t>
      </w:r>
      <w:r>
        <w:rPr>
          <w:rtl/>
        </w:rPr>
        <w:t>לעתיד</w:t>
      </w:r>
      <w:r>
        <w:rPr>
          <w:rtl/>
          <w:lang w:bidi="ar-SA"/>
        </w:rPr>
        <w:t xml:space="preserve"> </w:t>
      </w:r>
      <w:r>
        <w:rPr>
          <w:rtl/>
        </w:rPr>
        <w:t>שאז</w:t>
      </w:r>
      <w:r>
        <w:rPr>
          <w:rtl/>
          <w:lang w:bidi="ar-SA"/>
        </w:rPr>
        <w:t xml:space="preserve"> </w:t>
      </w:r>
      <w:r>
        <w:rPr>
          <w:rtl/>
        </w:rPr>
        <w:t>יהי</w:t>
      </w:r>
      <w:r>
        <w:rPr>
          <w:rtl/>
          <w:lang w:bidi="ar-SA"/>
        </w:rPr>
        <w:t xml:space="preserve">' </w:t>
      </w:r>
      <w:r>
        <w:rPr>
          <w:rtl/>
        </w:rPr>
        <w:t>ברור</w:t>
      </w:r>
      <w:r>
        <w:rPr>
          <w:rtl/>
          <w:lang w:bidi="ar-SA"/>
        </w:rPr>
        <w:t xml:space="preserve"> </w:t>
      </w:r>
      <w:r>
        <w:rPr>
          <w:rtl/>
        </w:rPr>
        <w:t>לכל</w:t>
      </w:r>
      <w:r>
        <w:rPr>
          <w:rtl/>
          <w:lang w:bidi="ar-SA"/>
        </w:rPr>
        <w:t xml:space="preserve"> </w:t>
      </w:r>
      <w:r>
        <w:rPr>
          <w:rtl/>
        </w:rPr>
        <w:t>מעלת</w:t>
      </w:r>
      <w:r>
        <w:rPr>
          <w:rtl/>
          <w:lang w:bidi="ar-SA"/>
        </w:rPr>
        <w:t xml:space="preserve"> </w:t>
      </w:r>
      <w:r>
        <w:rPr>
          <w:rtl/>
        </w:rPr>
        <w:t>הטוב</w:t>
      </w:r>
      <w:r>
        <w:rPr>
          <w:rtl/>
          <w:lang w:bidi="ar-SA"/>
        </w:rPr>
        <w:t xml:space="preserve"> </w:t>
      </w:r>
      <w:r>
        <w:rPr>
          <w:rtl/>
        </w:rPr>
        <w:t>והקדושה</w:t>
      </w:r>
      <w:r>
        <w:rPr>
          <w:rtl/>
          <w:lang w:bidi="ar-SA"/>
        </w:rPr>
        <w:t xml:space="preserve">, </w:t>
      </w:r>
      <w:r>
        <w:rPr>
          <w:rtl/>
        </w:rPr>
        <w:t>אין</w:t>
      </w:r>
      <w:r>
        <w:rPr>
          <w:rtl/>
          <w:lang w:bidi="ar-SA"/>
        </w:rPr>
        <w:t xml:space="preserve"> </w:t>
      </w:r>
      <w:r>
        <w:rPr>
          <w:rtl/>
        </w:rPr>
        <w:t>שום</w:t>
      </w:r>
      <w:r>
        <w:rPr>
          <w:rtl/>
          <w:lang w:bidi="ar-SA"/>
        </w:rPr>
        <w:t xml:space="preserve"> </w:t>
      </w:r>
      <w:r>
        <w:rPr>
          <w:rtl/>
        </w:rPr>
        <w:t>מעלה</w:t>
      </w:r>
      <w:r>
        <w:rPr>
          <w:rtl/>
          <w:lang w:bidi="ar-SA"/>
        </w:rPr>
        <w:t xml:space="preserve"> </w:t>
      </w:r>
      <w:r>
        <w:rPr>
          <w:rtl/>
        </w:rPr>
        <w:t>ו</w:t>
      </w:r>
      <w:r>
        <w:rPr>
          <w:rtl/>
          <w:lang w:bidi="ar-SA"/>
        </w:rPr>
        <w:t>"</w:t>
      </w:r>
      <w:r>
        <w:rPr>
          <w:rtl/>
        </w:rPr>
        <w:t>קונץ</w:t>
      </w:r>
      <w:r>
        <w:rPr>
          <w:rtl/>
          <w:lang w:bidi="ar-SA"/>
        </w:rPr>
        <w:t xml:space="preserve">" </w:t>
      </w:r>
      <w:r>
        <w:rPr>
          <w:rtl/>
        </w:rPr>
        <w:t>בזה</w:t>
      </w:r>
      <w:r>
        <w:rPr>
          <w:rtl/>
          <w:lang w:bidi="ar-SA"/>
        </w:rPr>
        <w:t xml:space="preserve"> </w:t>
      </w:r>
      <w:r>
        <w:rPr>
          <w:rtl/>
        </w:rPr>
        <w:t>שיחליטו</w:t>
      </w:r>
      <w:r>
        <w:rPr>
          <w:rtl/>
          <w:lang w:bidi="ar-SA"/>
        </w:rPr>
        <w:t xml:space="preserve"> </w:t>
      </w:r>
      <w:r>
        <w:rPr>
          <w:rtl/>
        </w:rPr>
        <w:t>להתגייר</w:t>
      </w:r>
      <w:r>
        <w:rPr>
          <w:rtl/>
          <w:lang w:bidi="ar-SA"/>
        </w:rPr>
        <w:t xml:space="preserve">, </w:t>
      </w:r>
      <w:r>
        <w:rPr>
          <w:rtl/>
        </w:rPr>
        <w:t>ולכן</w:t>
      </w:r>
      <w:r>
        <w:rPr>
          <w:rtl/>
          <w:lang w:bidi="ar-SA"/>
        </w:rPr>
        <w:t xml:space="preserve"> </w:t>
      </w:r>
      <w:r>
        <w:rPr>
          <w:rtl/>
        </w:rPr>
        <w:t>אין</w:t>
      </w:r>
      <w:r>
        <w:rPr>
          <w:rtl/>
          <w:lang w:bidi="ar-SA"/>
        </w:rPr>
        <w:t xml:space="preserve"> </w:t>
      </w:r>
      <w:r>
        <w:rPr>
          <w:rtl/>
        </w:rPr>
        <w:t>מקבלין</w:t>
      </w:r>
      <w:r>
        <w:rPr>
          <w:rtl/>
          <w:lang w:bidi="ar-SA"/>
        </w:rPr>
        <w:t xml:space="preserve"> </w:t>
      </w:r>
      <w:r>
        <w:rPr>
          <w:rtl/>
        </w:rPr>
        <w:t>אותם</w:t>
      </w:r>
      <w:r>
        <w:rPr>
          <w:rtl/>
          <w:lang w:bidi="ar-SA"/>
        </w:rPr>
        <w:t xml:space="preserve"> </w:t>
      </w:r>
      <w:r>
        <w:rPr>
          <w:rtl/>
        </w:rPr>
        <w:t>לגרים</w:t>
      </w:r>
      <w:r>
        <w:rPr>
          <w:rtl/>
          <w:lang w:bidi="ar-SA"/>
        </w:rPr>
        <w:t>.</w:t>
      </w:r>
    </w:p>
    <w:p w14:paraId="73DA1620" w14:textId="0FEF4314" w:rsidR="00DF4CDD" w:rsidRPr="00DF4CDD" w:rsidRDefault="00DF4CDD" w:rsidP="00423C6D">
      <w:pPr>
        <w:pStyle w:val="a2"/>
        <w:rPr>
          <w:rFonts w:asciiTheme="minorHAnsi" w:hAnsiTheme="minorHAnsi"/>
          <w:lang w:bidi="ar-SA"/>
        </w:rPr>
      </w:pPr>
      <w:r>
        <w:rPr>
          <w:rtl/>
          <w:lang w:bidi="ar-SA"/>
        </w:rPr>
        <w:t>[</w:t>
      </w:r>
      <w:r>
        <w:rPr>
          <w:rtl/>
        </w:rPr>
        <w:t>ובאותיות</w:t>
      </w:r>
      <w:r>
        <w:rPr>
          <w:rtl/>
          <w:lang w:bidi="ar-SA"/>
        </w:rPr>
        <w:t xml:space="preserve"> </w:t>
      </w:r>
      <w:r>
        <w:rPr>
          <w:rtl/>
        </w:rPr>
        <w:t>אחרות</w:t>
      </w:r>
      <w:r>
        <w:rPr>
          <w:rtl/>
          <w:lang w:bidi="ar-SA"/>
        </w:rPr>
        <w:t xml:space="preserve">: </w:t>
      </w:r>
      <w:r>
        <w:rPr>
          <w:rtl/>
        </w:rPr>
        <w:t>י</w:t>
      </w:r>
      <w:r>
        <w:rPr>
          <w:rtl/>
          <w:lang w:bidi="ar-SA"/>
        </w:rPr>
        <w:t>"</w:t>
      </w:r>
      <w:r>
        <w:rPr>
          <w:rtl/>
        </w:rPr>
        <w:t>ל</w:t>
      </w:r>
      <w:r>
        <w:rPr>
          <w:rtl/>
          <w:lang w:bidi="ar-SA"/>
        </w:rPr>
        <w:t xml:space="preserve"> </w:t>
      </w:r>
      <w:r>
        <w:rPr>
          <w:rtl/>
        </w:rPr>
        <w:t>שהוא</w:t>
      </w:r>
      <w:r>
        <w:rPr>
          <w:rtl/>
          <w:lang w:bidi="ar-SA"/>
        </w:rPr>
        <w:t xml:space="preserve"> </w:t>
      </w:r>
      <w:r>
        <w:rPr>
          <w:rtl/>
        </w:rPr>
        <w:t>ע</w:t>
      </w:r>
      <w:r>
        <w:rPr>
          <w:rtl/>
          <w:lang w:bidi="ar-SA"/>
        </w:rPr>
        <w:t>"</w:t>
      </w:r>
      <w:r>
        <w:rPr>
          <w:rtl/>
        </w:rPr>
        <w:t>ד</w:t>
      </w:r>
      <w:r>
        <w:rPr>
          <w:rtl/>
          <w:lang w:bidi="ar-SA"/>
        </w:rPr>
        <w:t xml:space="preserve"> </w:t>
      </w:r>
      <w:r>
        <w:rPr>
          <w:rtl/>
        </w:rPr>
        <w:t>המבואר</w:t>
      </w:r>
      <w:r>
        <w:rPr>
          <w:rtl/>
          <w:lang w:bidi="ar-SA"/>
        </w:rPr>
        <w:t xml:space="preserve"> </w:t>
      </w:r>
      <w:r>
        <w:rPr>
          <w:rtl/>
        </w:rPr>
        <w:t>בכ</w:t>
      </w:r>
      <w:r>
        <w:rPr>
          <w:rtl/>
          <w:lang w:bidi="ar-SA"/>
        </w:rPr>
        <w:t>"</w:t>
      </w:r>
      <w:r>
        <w:rPr>
          <w:rtl/>
        </w:rPr>
        <w:t>מ</w:t>
      </w:r>
      <w:r>
        <w:rPr>
          <w:rtl/>
          <w:lang w:bidi="ar-SA"/>
        </w:rPr>
        <w:t xml:space="preserve"> </w:t>
      </w:r>
      <w:r>
        <w:rPr>
          <w:rtl/>
        </w:rPr>
        <w:t>בחסידות</w:t>
      </w:r>
      <w:r>
        <w:rPr>
          <w:rStyle w:val="FootnoteReference"/>
          <w:rFonts w:cs="Arial"/>
          <w:lang w:bidi="ar-SA"/>
        </w:rPr>
        <w:footnoteReference w:id="13"/>
      </w:r>
      <w:r>
        <w:rPr>
          <w:rtl/>
          <w:lang w:bidi="ar-SA"/>
        </w:rPr>
        <w:t xml:space="preserve">, </w:t>
      </w:r>
      <w:r>
        <w:rPr>
          <w:rtl/>
        </w:rPr>
        <w:t>שדוקא</w:t>
      </w:r>
      <w:r>
        <w:rPr>
          <w:rtl/>
          <w:lang w:bidi="ar-SA"/>
        </w:rPr>
        <w:t xml:space="preserve"> </w:t>
      </w:r>
      <w:r>
        <w:rPr>
          <w:rtl/>
        </w:rPr>
        <w:t>בעוה</w:t>
      </w:r>
      <w:r>
        <w:rPr>
          <w:rtl/>
          <w:lang w:bidi="ar-SA"/>
        </w:rPr>
        <w:t>"</w:t>
      </w:r>
      <w:r>
        <w:rPr>
          <w:rtl/>
        </w:rPr>
        <w:t>ז</w:t>
      </w:r>
      <w:r>
        <w:rPr>
          <w:rtl/>
          <w:lang w:bidi="ar-SA"/>
        </w:rPr>
        <w:t xml:space="preserve"> </w:t>
      </w:r>
      <w:r>
        <w:rPr>
          <w:rtl/>
        </w:rPr>
        <w:t>שייך</w:t>
      </w:r>
      <w:r>
        <w:rPr>
          <w:rtl/>
          <w:lang w:bidi="ar-SA"/>
        </w:rPr>
        <w:t xml:space="preserve"> </w:t>
      </w:r>
      <w:r>
        <w:rPr>
          <w:rtl/>
        </w:rPr>
        <w:t>תשובה</w:t>
      </w:r>
      <w:r>
        <w:rPr>
          <w:rtl/>
          <w:lang w:bidi="ar-SA"/>
        </w:rPr>
        <w:t xml:space="preserve">, </w:t>
      </w:r>
      <w:r>
        <w:rPr>
          <w:rtl/>
        </w:rPr>
        <w:t>משא</w:t>
      </w:r>
      <w:r>
        <w:rPr>
          <w:rtl/>
          <w:lang w:bidi="ar-SA"/>
        </w:rPr>
        <w:t>"</w:t>
      </w:r>
      <w:r>
        <w:rPr>
          <w:rtl/>
        </w:rPr>
        <w:t>כ</w:t>
      </w:r>
      <w:r>
        <w:rPr>
          <w:rtl/>
          <w:lang w:bidi="ar-SA"/>
        </w:rPr>
        <w:t xml:space="preserve"> </w:t>
      </w:r>
      <w:r>
        <w:rPr>
          <w:rtl/>
        </w:rPr>
        <w:t>בעוה</w:t>
      </w:r>
      <w:r>
        <w:rPr>
          <w:rtl/>
          <w:lang w:bidi="ar-SA"/>
        </w:rPr>
        <w:t>"</w:t>
      </w:r>
      <w:r>
        <w:rPr>
          <w:rtl/>
        </w:rPr>
        <w:t>ב</w:t>
      </w:r>
      <w:r>
        <w:rPr>
          <w:rtl/>
          <w:lang w:bidi="ar-SA"/>
        </w:rPr>
        <w:t xml:space="preserve"> </w:t>
      </w:r>
      <w:r>
        <w:rPr>
          <w:rtl/>
        </w:rPr>
        <w:t>הרי</w:t>
      </w:r>
      <w:r>
        <w:rPr>
          <w:rtl/>
          <w:lang w:bidi="ar-SA"/>
        </w:rPr>
        <w:t xml:space="preserve"> </w:t>
      </w:r>
      <w:r>
        <w:rPr>
          <w:rtl/>
        </w:rPr>
        <w:t>שם</w:t>
      </w:r>
      <w:r>
        <w:rPr>
          <w:rtl/>
          <w:lang w:bidi="ar-SA"/>
        </w:rPr>
        <w:t xml:space="preserve"> </w:t>
      </w:r>
      <w:r>
        <w:rPr>
          <w:rtl/>
        </w:rPr>
        <w:t>כל</w:t>
      </w:r>
      <w:r>
        <w:rPr>
          <w:rtl/>
          <w:lang w:bidi="ar-SA"/>
        </w:rPr>
        <w:t xml:space="preserve"> </w:t>
      </w:r>
      <w:r>
        <w:rPr>
          <w:rtl/>
        </w:rPr>
        <w:t>דבר</w:t>
      </w:r>
      <w:r>
        <w:rPr>
          <w:rtl/>
          <w:lang w:bidi="ar-SA"/>
        </w:rPr>
        <w:t xml:space="preserve"> </w:t>
      </w:r>
      <w:r>
        <w:rPr>
          <w:rtl/>
        </w:rPr>
        <w:t>הוא</w:t>
      </w:r>
      <w:r>
        <w:rPr>
          <w:rtl/>
          <w:lang w:bidi="ar-SA"/>
        </w:rPr>
        <w:t xml:space="preserve"> </w:t>
      </w:r>
      <w:r>
        <w:rPr>
          <w:rtl/>
        </w:rPr>
        <w:t>על</w:t>
      </w:r>
      <w:r>
        <w:rPr>
          <w:rtl/>
          <w:lang w:bidi="ar-SA"/>
        </w:rPr>
        <w:t xml:space="preserve"> </w:t>
      </w:r>
      <w:r>
        <w:rPr>
          <w:rtl/>
        </w:rPr>
        <w:t>מדריגתו</w:t>
      </w:r>
      <w:r>
        <w:rPr>
          <w:rtl/>
          <w:lang w:bidi="ar-SA"/>
        </w:rPr>
        <w:t xml:space="preserve"> </w:t>
      </w:r>
      <w:r>
        <w:rPr>
          <w:rtl/>
        </w:rPr>
        <w:t>המיוחדת</w:t>
      </w:r>
      <w:r>
        <w:rPr>
          <w:rtl/>
          <w:lang w:bidi="ar-SA"/>
        </w:rPr>
        <w:t xml:space="preserve"> </w:t>
      </w:r>
      <w:r>
        <w:rPr>
          <w:rtl/>
        </w:rPr>
        <w:t>לו</w:t>
      </w:r>
      <w:r>
        <w:rPr>
          <w:rtl/>
          <w:lang w:bidi="ar-SA"/>
        </w:rPr>
        <w:t xml:space="preserve">, </w:t>
      </w:r>
      <w:r>
        <w:rPr>
          <w:rtl/>
        </w:rPr>
        <w:t>וא</w:t>
      </w:r>
      <w:r>
        <w:rPr>
          <w:rtl/>
          <w:lang w:bidi="ar-SA"/>
        </w:rPr>
        <w:t>"</w:t>
      </w:r>
      <w:r>
        <w:rPr>
          <w:rtl/>
        </w:rPr>
        <w:t>א</w:t>
      </w:r>
      <w:r>
        <w:rPr>
          <w:rtl/>
          <w:lang w:bidi="ar-SA"/>
        </w:rPr>
        <w:t xml:space="preserve"> </w:t>
      </w:r>
      <w:r>
        <w:rPr>
          <w:rtl/>
        </w:rPr>
        <w:t>לשנות</w:t>
      </w:r>
      <w:r>
        <w:rPr>
          <w:rtl/>
          <w:lang w:bidi="ar-SA"/>
        </w:rPr>
        <w:t xml:space="preserve"> </w:t>
      </w:r>
      <w:r>
        <w:rPr>
          <w:rtl/>
        </w:rPr>
        <w:t>ולהפוך</w:t>
      </w:r>
      <w:r>
        <w:rPr>
          <w:rtl/>
          <w:lang w:bidi="ar-SA"/>
        </w:rPr>
        <w:t xml:space="preserve"> </w:t>
      </w:r>
      <w:r>
        <w:rPr>
          <w:rtl/>
        </w:rPr>
        <w:t>מדרגא</w:t>
      </w:r>
      <w:r>
        <w:rPr>
          <w:rtl/>
          <w:lang w:bidi="ar-SA"/>
        </w:rPr>
        <w:t xml:space="preserve"> </w:t>
      </w:r>
      <w:r>
        <w:rPr>
          <w:rtl/>
        </w:rPr>
        <w:t>לדרגא</w:t>
      </w:r>
      <w:r>
        <w:rPr>
          <w:rtl/>
          <w:lang w:bidi="ar-SA"/>
        </w:rPr>
        <w:t xml:space="preserve"> </w:t>
      </w:r>
      <w:r>
        <w:rPr>
          <w:rtl/>
        </w:rPr>
        <w:t>וכו</w:t>
      </w:r>
      <w:r>
        <w:rPr>
          <w:rtl/>
          <w:lang w:bidi="ar-SA"/>
        </w:rPr>
        <w:t xml:space="preserve">'. </w:t>
      </w:r>
      <w:r>
        <w:rPr>
          <w:rtl/>
        </w:rPr>
        <w:t>וכעי</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כאן</w:t>
      </w:r>
      <w:r>
        <w:rPr>
          <w:rtl/>
          <w:lang w:bidi="ar-SA"/>
        </w:rPr>
        <w:t xml:space="preserve">, </w:t>
      </w:r>
      <w:r>
        <w:rPr>
          <w:rtl/>
        </w:rPr>
        <w:t>שלע</w:t>
      </w:r>
      <w:r>
        <w:rPr>
          <w:rtl/>
          <w:lang w:bidi="ar-SA"/>
        </w:rPr>
        <w:t>"</w:t>
      </w:r>
      <w:r>
        <w:rPr>
          <w:rtl/>
        </w:rPr>
        <w:t>ל</w:t>
      </w:r>
      <w:r>
        <w:rPr>
          <w:rtl/>
          <w:lang w:bidi="ar-SA"/>
        </w:rPr>
        <w:t xml:space="preserve">, </w:t>
      </w:r>
      <w:r>
        <w:rPr>
          <w:rtl/>
        </w:rPr>
        <w:t>אחר</w:t>
      </w:r>
      <w:r>
        <w:rPr>
          <w:rtl/>
          <w:lang w:bidi="ar-SA"/>
        </w:rPr>
        <w:t xml:space="preserve"> </w:t>
      </w:r>
      <w:r>
        <w:rPr>
          <w:rtl/>
        </w:rPr>
        <w:t>הבירור</w:t>
      </w:r>
      <w:r>
        <w:rPr>
          <w:rtl/>
          <w:lang w:bidi="ar-SA"/>
        </w:rPr>
        <w:t xml:space="preserve">, </w:t>
      </w:r>
      <w:r>
        <w:rPr>
          <w:rtl/>
        </w:rPr>
        <w:t>יהי</w:t>
      </w:r>
      <w:r>
        <w:rPr>
          <w:rtl/>
          <w:lang w:bidi="ar-SA"/>
        </w:rPr>
        <w:t xml:space="preserve">' </w:t>
      </w:r>
      <w:r>
        <w:rPr>
          <w:rtl/>
        </w:rPr>
        <w:t>כל</w:t>
      </w:r>
      <w:r>
        <w:rPr>
          <w:rtl/>
          <w:lang w:bidi="ar-SA"/>
        </w:rPr>
        <w:t xml:space="preserve"> </w:t>
      </w:r>
      <w:r>
        <w:rPr>
          <w:rtl/>
        </w:rPr>
        <w:t>דבר</w:t>
      </w:r>
      <w:r>
        <w:rPr>
          <w:rtl/>
          <w:lang w:bidi="ar-SA"/>
        </w:rPr>
        <w:t xml:space="preserve"> </w:t>
      </w:r>
      <w:r>
        <w:rPr>
          <w:rtl/>
        </w:rPr>
        <w:t>על</w:t>
      </w:r>
      <w:r>
        <w:rPr>
          <w:rtl/>
          <w:lang w:bidi="ar-SA"/>
        </w:rPr>
        <w:t xml:space="preserve"> </w:t>
      </w:r>
      <w:r>
        <w:rPr>
          <w:rtl/>
        </w:rPr>
        <w:t>מדריגתו</w:t>
      </w:r>
      <w:r>
        <w:rPr>
          <w:rtl/>
          <w:lang w:bidi="ar-SA"/>
        </w:rPr>
        <w:t xml:space="preserve">, </w:t>
      </w:r>
      <w:r>
        <w:rPr>
          <w:rtl/>
        </w:rPr>
        <w:t>ולכן</w:t>
      </w:r>
      <w:r>
        <w:rPr>
          <w:rtl/>
          <w:lang w:bidi="ar-SA"/>
        </w:rPr>
        <w:t xml:space="preserve"> </w:t>
      </w:r>
      <w:r>
        <w:rPr>
          <w:rtl/>
        </w:rPr>
        <w:t>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לע</w:t>
      </w:r>
      <w:r>
        <w:rPr>
          <w:rtl/>
          <w:lang w:bidi="ar-SA"/>
        </w:rPr>
        <w:t>"</w:t>
      </w:r>
      <w:r>
        <w:rPr>
          <w:rtl/>
        </w:rPr>
        <w:t>ל</w:t>
      </w:r>
      <w:r>
        <w:rPr>
          <w:rStyle w:val="FootnoteReference"/>
          <w:rFonts w:cs="Arial"/>
          <w:lang w:bidi="ar-SA"/>
        </w:rPr>
        <w:footnoteReference w:id="14"/>
      </w:r>
      <w:r>
        <w:rPr>
          <w:rtl/>
          <w:lang w:bidi="ar-SA"/>
        </w:rPr>
        <w:t xml:space="preserve">].  </w:t>
      </w:r>
    </w:p>
    <w:p w14:paraId="75CBCC84" w14:textId="68ECFE33" w:rsidR="00DF4CDD" w:rsidRPr="00DF4CDD" w:rsidRDefault="00DF4CDD" w:rsidP="00423C6D">
      <w:pPr>
        <w:pStyle w:val="a2"/>
        <w:rPr>
          <w:rFonts w:asciiTheme="minorHAnsi" w:hAnsiTheme="minorHAnsi"/>
          <w:lang w:bidi="ar-SA"/>
        </w:rPr>
      </w:pPr>
      <w:r>
        <w:rPr>
          <w:rtl/>
        </w:rPr>
        <w:t>ולכאורה</w:t>
      </w:r>
      <w:r>
        <w:rPr>
          <w:rtl/>
          <w:lang w:bidi="ar-SA"/>
        </w:rPr>
        <w:t xml:space="preserve">, </w:t>
      </w:r>
      <w:r>
        <w:rPr>
          <w:rtl/>
        </w:rPr>
        <w:t>אע</w:t>
      </w:r>
      <w:r>
        <w:rPr>
          <w:rtl/>
          <w:lang w:bidi="ar-SA"/>
        </w:rPr>
        <w:t>"</w:t>
      </w:r>
      <w:r>
        <w:rPr>
          <w:rtl/>
        </w:rPr>
        <w:t>פ</w:t>
      </w:r>
      <w:r>
        <w:rPr>
          <w:rtl/>
          <w:lang w:bidi="ar-SA"/>
        </w:rPr>
        <w:t xml:space="preserve"> </w:t>
      </w:r>
      <w:r>
        <w:rPr>
          <w:rtl/>
        </w:rPr>
        <w:t>ששני</w:t>
      </w:r>
      <w:r>
        <w:rPr>
          <w:rtl/>
          <w:lang w:bidi="ar-SA"/>
        </w:rPr>
        <w:t xml:space="preserve"> </w:t>
      </w:r>
      <w:r>
        <w:rPr>
          <w:rtl/>
        </w:rPr>
        <w:t>הביאורים</w:t>
      </w:r>
      <w:r>
        <w:rPr>
          <w:rtl/>
          <w:lang w:bidi="ar-SA"/>
        </w:rPr>
        <w:t xml:space="preserve"> </w:t>
      </w:r>
      <w:r>
        <w:rPr>
          <w:rtl/>
        </w:rPr>
        <w:t>עולים</w:t>
      </w:r>
      <w:r>
        <w:rPr>
          <w:rtl/>
          <w:lang w:bidi="ar-SA"/>
        </w:rPr>
        <w:t xml:space="preserve"> </w:t>
      </w:r>
      <w:r>
        <w:rPr>
          <w:rtl/>
        </w:rPr>
        <w:t>בקנה</w:t>
      </w:r>
      <w:r>
        <w:rPr>
          <w:rtl/>
          <w:lang w:bidi="ar-SA"/>
        </w:rPr>
        <w:t xml:space="preserve"> </w:t>
      </w:r>
      <w:r>
        <w:rPr>
          <w:rtl/>
        </w:rPr>
        <w:t>אחד</w:t>
      </w:r>
      <w:r>
        <w:rPr>
          <w:rtl/>
          <w:lang w:bidi="ar-SA"/>
        </w:rPr>
        <w:t xml:space="preserve">, </w:t>
      </w:r>
      <w:r>
        <w:rPr>
          <w:rtl/>
        </w:rPr>
        <w:t>מ</w:t>
      </w:r>
      <w:r>
        <w:rPr>
          <w:rtl/>
          <w:lang w:bidi="ar-SA"/>
        </w:rPr>
        <w:t>"</w:t>
      </w:r>
      <w:r>
        <w:rPr>
          <w:rtl/>
        </w:rPr>
        <w:t>מ</w:t>
      </w:r>
      <w:r>
        <w:rPr>
          <w:rtl/>
          <w:lang w:bidi="ar-SA"/>
        </w:rPr>
        <w:t xml:space="preserve"> </w:t>
      </w:r>
      <w:r>
        <w:rPr>
          <w:rtl/>
        </w:rPr>
        <w:t>יש</w:t>
      </w:r>
      <w:r>
        <w:rPr>
          <w:rtl/>
          <w:lang w:bidi="ar-SA"/>
        </w:rPr>
        <w:t xml:space="preserve"> </w:t>
      </w:r>
      <w:r>
        <w:rPr>
          <w:rtl/>
        </w:rPr>
        <w:t>נפק</w:t>
      </w:r>
      <w:r>
        <w:rPr>
          <w:rtl/>
          <w:lang w:bidi="ar-SA"/>
        </w:rPr>
        <w:t>"</w:t>
      </w:r>
      <w:r>
        <w:rPr>
          <w:rtl/>
        </w:rPr>
        <w:t>מ</w:t>
      </w:r>
      <w:r>
        <w:rPr>
          <w:rtl/>
          <w:lang w:bidi="ar-SA"/>
        </w:rPr>
        <w:t xml:space="preserve"> </w:t>
      </w:r>
      <w:r>
        <w:rPr>
          <w:rtl/>
        </w:rPr>
        <w:t>ביניהם</w:t>
      </w:r>
      <w:r>
        <w:rPr>
          <w:rtl/>
          <w:lang w:bidi="ar-SA"/>
        </w:rPr>
        <w:t xml:space="preserve">. </w:t>
      </w:r>
      <w:r>
        <w:rPr>
          <w:rtl/>
        </w:rPr>
        <w:t>והוא</w:t>
      </w:r>
      <w:r>
        <w:rPr>
          <w:rtl/>
          <w:lang w:bidi="ar-SA"/>
        </w:rPr>
        <w:t xml:space="preserve">, </w:t>
      </w:r>
      <w:r>
        <w:rPr>
          <w:rtl/>
        </w:rPr>
        <w:t>שלע</w:t>
      </w:r>
      <w:r>
        <w:rPr>
          <w:rtl/>
          <w:lang w:bidi="ar-SA"/>
        </w:rPr>
        <w:t>"</w:t>
      </w:r>
      <w:r>
        <w:rPr>
          <w:rtl/>
        </w:rPr>
        <w:t>ל</w:t>
      </w:r>
      <w:r>
        <w:rPr>
          <w:rtl/>
          <w:lang w:bidi="ar-SA"/>
        </w:rPr>
        <w:t xml:space="preserve"> </w:t>
      </w:r>
      <w:r>
        <w:rPr>
          <w:rtl/>
        </w:rPr>
        <w:t>באם</w:t>
      </w:r>
      <w:r>
        <w:rPr>
          <w:rtl/>
          <w:lang w:bidi="ar-SA"/>
        </w:rPr>
        <w:t xml:space="preserve"> </w:t>
      </w:r>
      <w:r>
        <w:rPr>
          <w:rtl/>
        </w:rPr>
        <w:t>יהי</w:t>
      </w:r>
      <w:r>
        <w:rPr>
          <w:rtl/>
          <w:lang w:bidi="ar-SA"/>
        </w:rPr>
        <w:t xml:space="preserve">' </w:t>
      </w:r>
      <w:r>
        <w:rPr>
          <w:rtl/>
        </w:rPr>
        <w:t>ברור</w:t>
      </w:r>
      <w:r>
        <w:rPr>
          <w:rtl/>
          <w:lang w:bidi="ar-SA"/>
        </w:rPr>
        <w:t xml:space="preserve"> </w:t>
      </w:r>
      <w:r>
        <w:rPr>
          <w:rtl/>
        </w:rPr>
        <w:t>שכוונת</w:t>
      </w:r>
      <w:r>
        <w:rPr>
          <w:rtl/>
          <w:lang w:bidi="ar-SA"/>
        </w:rPr>
        <w:t xml:space="preserve"> </w:t>
      </w:r>
      <w:r>
        <w:rPr>
          <w:rtl/>
        </w:rPr>
        <w:t>הגר</w:t>
      </w:r>
      <w:r>
        <w:rPr>
          <w:rtl/>
          <w:lang w:bidi="ar-SA"/>
        </w:rPr>
        <w:t xml:space="preserve"> </w:t>
      </w:r>
      <w:r>
        <w:rPr>
          <w:rtl/>
        </w:rPr>
        <w:t>הוא</w:t>
      </w:r>
      <w:r>
        <w:rPr>
          <w:rtl/>
          <w:lang w:bidi="ar-SA"/>
        </w:rPr>
        <w:t xml:space="preserve"> </w:t>
      </w:r>
      <w:r>
        <w:rPr>
          <w:rtl/>
        </w:rPr>
        <w:t>להתגייר</w:t>
      </w:r>
      <w:r>
        <w:rPr>
          <w:rtl/>
          <w:lang w:bidi="ar-SA"/>
        </w:rPr>
        <w:t xml:space="preserve"> </w:t>
      </w:r>
      <w:r>
        <w:rPr>
          <w:rtl/>
        </w:rPr>
        <w:t>לש</w:t>
      </w:r>
      <w:r>
        <w:rPr>
          <w:rtl/>
          <w:lang w:bidi="ar-SA"/>
        </w:rPr>
        <w:t>"</w:t>
      </w:r>
      <w:r>
        <w:rPr>
          <w:rtl/>
        </w:rPr>
        <w:t>ש</w:t>
      </w:r>
      <w:r>
        <w:rPr>
          <w:rtl/>
          <w:lang w:bidi="ar-SA"/>
        </w:rPr>
        <w:t xml:space="preserve">, </w:t>
      </w:r>
      <w:r>
        <w:rPr>
          <w:rtl/>
        </w:rPr>
        <w:t>הרי</w:t>
      </w:r>
      <w:r>
        <w:rPr>
          <w:rtl/>
          <w:lang w:bidi="ar-SA"/>
        </w:rPr>
        <w:t xml:space="preserve"> </w:t>
      </w:r>
      <w:r>
        <w:rPr>
          <w:rtl/>
        </w:rPr>
        <w:t>לפי</w:t>
      </w:r>
      <w:r>
        <w:rPr>
          <w:rtl/>
          <w:lang w:bidi="ar-SA"/>
        </w:rPr>
        <w:t xml:space="preserve"> </w:t>
      </w:r>
      <w:r>
        <w:rPr>
          <w:rtl/>
        </w:rPr>
        <w:t>טעם</w:t>
      </w:r>
      <w:r>
        <w:rPr>
          <w:rtl/>
          <w:lang w:bidi="ar-SA"/>
        </w:rPr>
        <w:t xml:space="preserve"> </w:t>
      </w:r>
      <w:r>
        <w:rPr>
          <w:rtl/>
        </w:rPr>
        <w:t>הראשון</w:t>
      </w:r>
      <w:r>
        <w:rPr>
          <w:rtl/>
          <w:lang w:bidi="ar-SA"/>
        </w:rPr>
        <w:t xml:space="preserve"> </w:t>
      </w:r>
      <w:r>
        <w:rPr>
          <w:rtl/>
        </w:rPr>
        <w:t>י</w:t>
      </w:r>
      <w:r>
        <w:rPr>
          <w:rtl/>
          <w:lang w:bidi="ar-SA"/>
        </w:rPr>
        <w:t>"</w:t>
      </w:r>
      <w:r>
        <w:rPr>
          <w:rtl/>
        </w:rPr>
        <w:t>ל</w:t>
      </w:r>
      <w:r>
        <w:rPr>
          <w:rtl/>
          <w:lang w:bidi="ar-SA"/>
        </w:rPr>
        <w:t xml:space="preserve"> </w:t>
      </w:r>
      <w:r>
        <w:rPr>
          <w:rtl/>
        </w:rPr>
        <w:t>דמקבלין</w:t>
      </w:r>
      <w:r>
        <w:rPr>
          <w:rtl/>
          <w:lang w:bidi="ar-SA"/>
        </w:rPr>
        <w:t xml:space="preserve"> </w:t>
      </w:r>
      <w:r>
        <w:rPr>
          <w:rtl/>
        </w:rPr>
        <w:t>אותו</w:t>
      </w:r>
      <w:r>
        <w:rPr>
          <w:rtl/>
          <w:lang w:bidi="ar-SA"/>
        </w:rPr>
        <w:t xml:space="preserve">, </w:t>
      </w:r>
      <w:r>
        <w:rPr>
          <w:rtl/>
        </w:rPr>
        <w:t>וכדלקמן</w:t>
      </w:r>
      <w:r>
        <w:rPr>
          <w:rtl/>
          <w:lang w:bidi="ar-SA"/>
        </w:rPr>
        <w:t xml:space="preserve">, </w:t>
      </w:r>
      <w:r>
        <w:rPr>
          <w:rtl/>
        </w:rPr>
        <w:t>אבל</w:t>
      </w:r>
      <w:r>
        <w:rPr>
          <w:rtl/>
          <w:lang w:bidi="ar-SA"/>
        </w:rPr>
        <w:t xml:space="preserve"> </w:t>
      </w:r>
      <w:r>
        <w:rPr>
          <w:rtl/>
        </w:rPr>
        <w:t>לפי</w:t>
      </w:r>
      <w:r>
        <w:rPr>
          <w:rtl/>
          <w:lang w:bidi="ar-SA"/>
        </w:rPr>
        <w:t xml:space="preserve"> </w:t>
      </w:r>
      <w:r>
        <w:rPr>
          <w:rtl/>
        </w:rPr>
        <w:t>ביאור</w:t>
      </w:r>
      <w:r>
        <w:rPr>
          <w:rtl/>
          <w:lang w:bidi="ar-SA"/>
        </w:rPr>
        <w:t xml:space="preserve"> </w:t>
      </w:r>
      <w:r>
        <w:rPr>
          <w:rtl/>
        </w:rPr>
        <w:t>השני</w:t>
      </w:r>
      <w:r>
        <w:rPr>
          <w:rtl/>
          <w:lang w:bidi="ar-SA"/>
        </w:rPr>
        <w:t xml:space="preserve">, </w:t>
      </w:r>
      <w:r>
        <w:rPr>
          <w:rtl/>
        </w:rPr>
        <w:t>אין</w:t>
      </w:r>
      <w:r>
        <w:rPr>
          <w:rtl/>
          <w:lang w:bidi="ar-SA"/>
        </w:rPr>
        <w:t xml:space="preserve"> </w:t>
      </w:r>
      <w:r>
        <w:rPr>
          <w:rtl/>
        </w:rPr>
        <w:t>מקבלין</w:t>
      </w:r>
      <w:r>
        <w:rPr>
          <w:rtl/>
          <w:lang w:bidi="ar-SA"/>
        </w:rPr>
        <w:t xml:space="preserve"> </w:t>
      </w:r>
      <w:r>
        <w:rPr>
          <w:rtl/>
        </w:rPr>
        <w:t>אותו</w:t>
      </w:r>
      <w:r>
        <w:rPr>
          <w:rtl/>
          <w:lang w:bidi="ar-SA"/>
        </w:rPr>
        <w:t xml:space="preserve">, </w:t>
      </w:r>
      <w:r>
        <w:rPr>
          <w:rtl/>
        </w:rPr>
        <w:t>כי</w:t>
      </w:r>
      <w:r>
        <w:rPr>
          <w:rtl/>
          <w:lang w:bidi="ar-SA"/>
        </w:rPr>
        <w:t xml:space="preserve"> </w:t>
      </w:r>
      <w:r>
        <w:rPr>
          <w:rtl/>
        </w:rPr>
        <w:t>לע</w:t>
      </w:r>
      <w:r>
        <w:rPr>
          <w:rtl/>
          <w:lang w:bidi="ar-SA"/>
        </w:rPr>
        <w:t>"</w:t>
      </w:r>
      <w:r>
        <w:rPr>
          <w:rtl/>
        </w:rPr>
        <w:t>ל</w:t>
      </w:r>
      <w:r>
        <w:rPr>
          <w:rtl/>
          <w:lang w:bidi="ar-SA"/>
        </w:rPr>
        <w:t xml:space="preserve"> </w:t>
      </w:r>
      <w:r>
        <w:rPr>
          <w:rtl/>
        </w:rPr>
        <w:t>הוא</w:t>
      </w:r>
      <w:r>
        <w:rPr>
          <w:rtl/>
          <w:lang w:bidi="ar-SA"/>
        </w:rPr>
        <w:t xml:space="preserve"> </w:t>
      </w:r>
      <w:r>
        <w:rPr>
          <w:rtl/>
        </w:rPr>
        <w:t>כבר</w:t>
      </w:r>
      <w:r>
        <w:rPr>
          <w:rtl/>
          <w:lang w:bidi="ar-SA"/>
        </w:rPr>
        <w:t xml:space="preserve"> </w:t>
      </w:r>
      <w:r>
        <w:rPr>
          <w:rtl/>
        </w:rPr>
        <w:t>אחרי</w:t>
      </w:r>
      <w:r>
        <w:rPr>
          <w:rtl/>
          <w:lang w:bidi="ar-SA"/>
        </w:rPr>
        <w:t xml:space="preserve"> </w:t>
      </w:r>
      <w:r>
        <w:rPr>
          <w:rtl/>
        </w:rPr>
        <w:t>זמן</w:t>
      </w:r>
      <w:r>
        <w:rPr>
          <w:rtl/>
          <w:lang w:bidi="ar-SA"/>
        </w:rPr>
        <w:t xml:space="preserve"> </w:t>
      </w:r>
      <w:r>
        <w:rPr>
          <w:rtl/>
        </w:rPr>
        <w:t>הבירור</w:t>
      </w:r>
      <w:r>
        <w:rPr>
          <w:rtl/>
          <w:lang w:bidi="ar-SA"/>
        </w:rPr>
        <w:t xml:space="preserve"> </w:t>
      </w:r>
      <w:r>
        <w:rPr>
          <w:rtl/>
        </w:rPr>
        <w:t>והעבודה</w:t>
      </w:r>
      <w:r>
        <w:rPr>
          <w:rtl/>
          <w:lang w:bidi="ar-SA"/>
        </w:rPr>
        <w:t xml:space="preserve"> </w:t>
      </w:r>
      <w:r>
        <w:rPr>
          <w:rtl/>
        </w:rPr>
        <w:t>שבזמן</w:t>
      </w:r>
      <w:r>
        <w:rPr>
          <w:rtl/>
          <w:lang w:bidi="ar-SA"/>
        </w:rPr>
        <w:t xml:space="preserve"> </w:t>
      </w:r>
      <w:r>
        <w:rPr>
          <w:rtl/>
        </w:rPr>
        <w:t>הזה</w:t>
      </w:r>
      <w:r>
        <w:rPr>
          <w:rtl/>
          <w:lang w:bidi="ar-SA"/>
        </w:rPr>
        <w:t xml:space="preserve">, </w:t>
      </w:r>
      <w:r>
        <w:rPr>
          <w:rtl/>
        </w:rPr>
        <w:t>וכבר</w:t>
      </w:r>
      <w:r>
        <w:rPr>
          <w:rtl/>
          <w:lang w:bidi="ar-SA"/>
        </w:rPr>
        <w:t xml:space="preserve"> </w:t>
      </w:r>
      <w:r>
        <w:rPr>
          <w:rtl/>
        </w:rPr>
        <w:t>לא</w:t>
      </w:r>
      <w:r>
        <w:rPr>
          <w:rtl/>
          <w:lang w:bidi="ar-SA"/>
        </w:rPr>
        <w:t xml:space="preserve"> </w:t>
      </w:r>
      <w:r>
        <w:rPr>
          <w:rtl/>
        </w:rPr>
        <w:t>שייך</w:t>
      </w:r>
      <w:r>
        <w:rPr>
          <w:rtl/>
          <w:lang w:bidi="ar-SA"/>
        </w:rPr>
        <w:t xml:space="preserve"> </w:t>
      </w:r>
      <w:r>
        <w:rPr>
          <w:rtl/>
        </w:rPr>
        <w:t>אז</w:t>
      </w:r>
      <w:r>
        <w:rPr>
          <w:rtl/>
          <w:lang w:bidi="ar-SA"/>
        </w:rPr>
        <w:t xml:space="preserve"> </w:t>
      </w:r>
      <w:r>
        <w:rPr>
          <w:rtl/>
        </w:rPr>
        <w:t>העבודה</w:t>
      </w:r>
      <w:r>
        <w:rPr>
          <w:rtl/>
          <w:lang w:bidi="ar-SA"/>
        </w:rPr>
        <w:t xml:space="preserve"> </w:t>
      </w:r>
      <w:r>
        <w:rPr>
          <w:rtl/>
        </w:rPr>
        <w:t>של</w:t>
      </w:r>
      <w:r>
        <w:rPr>
          <w:rtl/>
          <w:lang w:bidi="ar-SA"/>
        </w:rPr>
        <w:t xml:space="preserve"> </w:t>
      </w:r>
      <w:r>
        <w:rPr>
          <w:rtl/>
        </w:rPr>
        <w:t>גיור</w:t>
      </w:r>
      <w:r>
        <w:rPr>
          <w:rtl/>
          <w:lang w:bidi="ar-SA"/>
        </w:rPr>
        <w:t>.</w:t>
      </w:r>
    </w:p>
    <w:p w14:paraId="7B7E3683" w14:textId="061C9D17" w:rsidR="00DF4CDD" w:rsidRPr="00DF4CDD" w:rsidRDefault="00DF4CDD" w:rsidP="00423C6D">
      <w:pPr>
        <w:pStyle w:val="a2"/>
        <w:rPr>
          <w:rFonts w:asciiTheme="minorHAnsi" w:hAnsiTheme="minorHAnsi"/>
          <w:lang w:bidi="ar-SA"/>
        </w:rPr>
      </w:pPr>
      <w:r>
        <w:rPr>
          <w:rtl/>
        </w:rPr>
        <w:t>ובאמת</w:t>
      </w:r>
      <w:r>
        <w:rPr>
          <w:rtl/>
          <w:lang w:bidi="ar-SA"/>
        </w:rPr>
        <w:t xml:space="preserve">, </w:t>
      </w:r>
      <w:r>
        <w:rPr>
          <w:rtl/>
        </w:rPr>
        <w:t>המאירי</w:t>
      </w:r>
      <w:r>
        <w:rPr>
          <w:rStyle w:val="FootnoteReference"/>
          <w:rFonts w:cs="Arial"/>
          <w:lang w:bidi="ar-SA"/>
        </w:rPr>
        <w:footnoteReference w:id="15"/>
      </w:r>
      <w:r>
        <w:rPr>
          <w:rtl/>
          <w:lang w:bidi="ar-SA"/>
        </w:rPr>
        <w:t xml:space="preserve"> </w:t>
      </w:r>
      <w:r>
        <w:rPr>
          <w:rtl/>
        </w:rPr>
        <w:t>כותב</w:t>
      </w:r>
      <w:r>
        <w:rPr>
          <w:rtl/>
          <w:lang w:bidi="ar-SA"/>
        </w:rPr>
        <w:t xml:space="preserve"> </w:t>
      </w:r>
      <w:r>
        <w:rPr>
          <w:rtl/>
        </w:rPr>
        <w:t>שלע</w:t>
      </w:r>
      <w:r>
        <w:rPr>
          <w:rtl/>
          <w:lang w:bidi="ar-SA"/>
        </w:rPr>
        <w:t>"</w:t>
      </w:r>
      <w:r>
        <w:rPr>
          <w:rtl/>
        </w:rPr>
        <w:t>ל</w:t>
      </w:r>
      <w:r>
        <w:rPr>
          <w:rtl/>
          <w:lang w:bidi="ar-SA"/>
        </w:rPr>
        <w:t xml:space="preserve"> </w:t>
      </w:r>
      <w:r>
        <w:rPr>
          <w:rtl/>
        </w:rPr>
        <w:t>אין</w:t>
      </w:r>
      <w:r>
        <w:rPr>
          <w:rtl/>
          <w:lang w:bidi="ar-SA"/>
        </w:rPr>
        <w:t xml:space="preserve"> </w:t>
      </w:r>
      <w:r>
        <w:rPr>
          <w:rtl/>
        </w:rPr>
        <w:t>מקבלין</w:t>
      </w:r>
      <w:r>
        <w:rPr>
          <w:rtl/>
          <w:lang w:bidi="ar-SA"/>
        </w:rPr>
        <w:t xml:space="preserve"> </w:t>
      </w:r>
      <w:r>
        <w:rPr>
          <w:rtl/>
        </w:rPr>
        <w:t>אותם</w:t>
      </w:r>
      <w:r>
        <w:rPr>
          <w:rtl/>
          <w:lang w:bidi="ar-SA"/>
        </w:rPr>
        <w:t xml:space="preserve"> "</w:t>
      </w:r>
      <w:r>
        <w:rPr>
          <w:rtl/>
        </w:rPr>
        <w:t>אלא</w:t>
      </w:r>
      <w:r>
        <w:rPr>
          <w:rtl/>
          <w:lang w:bidi="ar-SA"/>
        </w:rPr>
        <w:t xml:space="preserve"> </w:t>
      </w:r>
      <w:r>
        <w:rPr>
          <w:rtl/>
        </w:rPr>
        <w:t>אחר</w:t>
      </w:r>
      <w:r>
        <w:rPr>
          <w:rtl/>
          <w:lang w:bidi="ar-SA"/>
        </w:rPr>
        <w:t xml:space="preserve"> </w:t>
      </w:r>
      <w:r>
        <w:rPr>
          <w:rtl/>
        </w:rPr>
        <w:t>דקדוק</w:t>
      </w:r>
      <w:r>
        <w:rPr>
          <w:rtl/>
          <w:lang w:bidi="ar-SA"/>
        </w:rPr>
        <w:t xml:space="preserve"> </w:t>
      </w:r>
      <w:r>
        <w:rPr>
          <w:rtl/>
        </w:rPr>
        <w:t>גדול</w:t>
      </w:r>
      <w:r>
        <w:rPr>
          <w:rtl/>
          <w:lang w:bidi="ar-SA"/>
        </w:rPr>
        <w:t xml:space="preserve"> </w:t>
      </w:r>
      <w:r>
        <w:rPr>
          <w:rtl/>
        </w:rPr>
        <w:t>ובירר</w:t>
      </w:r>
      <w:r>
        <w:rPr>
          <w:rtl/>
          <w:lang w:bidi="ar-SA"/>
        </w:rPr>
        <w:t xml:space="preserve"> </w:t>
      </w:r>
      <w:r>
        <w:rPr>
          <w:rtl/>
        </w:rPr>
        <w:t>הכוונה</w:t>
      </w:r>
      <w:r>
        <w:rPr>
          <w:rtl/>
          <w:lang w:bidi="ar-SA"/>
        </w:rPr>
        <w:t xml:space="preserve">". </w:t>
      </w:r>
      <w:r>
        <w:rPr>
          <w:rtl/>
        </w:rPr>
        <w:t>ועוד</w:t>
      </w:r>
      <w:r>
        <w:rPr>
          <w:rtl/>
          <w:lang w:bidi="ar-SA"/>
        </w:rPr>
        <w:t xml:space="preserve"> </w:t>
      </w:r>
      <w:r>
        <w:rPr>
          <w:rtl/>
        </w:rPr>
        <w:t>כתבו</w:t>
      </w:r>
      <w:r>
        <w:rPr>
          <w:rtl/>
          <w:lang w:bidi="ar-SA"/>
        </w:rPr>
        <w:t xml:space="preserve"> </w:t>
      </w:r>
      <w:r>
        <w:rPr>
          <w:rtl/>
        </w:rPr>
        <w:t>בכ</w:t>
      </w:r>
      <w:r>
        <w:rPr>
          <w:rtl/>
          <w:lang w:bidi="ar-SA"/>
        </w:rPr>
        <w:t>"</w:t>
      </w:r>
      <w:r>
        <w:rPr>
          <w:rtl/>
        </w:rPr>
        <w:t>מ</w:t>
      </w:r>
      <w:r>
        <w:rPr>
          <w:rStyle w:val="FootnoteReference"/>
          <w:rFonts w:cs="Arial"/>
          <w:lang w:bidi="ar-SA"/>
        </w:rPr>
        <w:footnoteReference w:id="16"/>
      </w:r>
      <w:r>
        <w:rPr>
          <w:rtl/>
          <w:lang w:bidi="ar-SA"/>
        </w:rPr>
        <w:t xml:space="preserve"> </w:t>
      </w:r>
      <w:r>
        <w:rPr>
          <w:rtl/>
        </w:rPr>
        <w:t>שהמלך</w:t>
      </w:r>
      <w:r>
        <w:rPr>
          <w:rtl/>
          <w:lang w:bidi="ar-SA"/>
        </w:rPr>
        <w:t xml:space="preserve"> </w:t>
      </w:r>
      <w:r>
        <w:rPr>
          <w:rtl/>
        </w:rPr>
        <w:t>המשיח</w:t>
      </w:r>
      <w:r>
        <w:rPr>
          <w:rtl/>
          <w:lang w:bidi="ar-SA"/>
        </w:rPr>
        <w:t xml:space="preserve"> </w:t>
      </w:r>
      <w:r>
        <w:rPr>
          <w:rtl/>
        </w:rPr>
        <w:t>שהוא</w:t>
      </w:r>
      <w:r>
        <w:rPr>
          <w:rtl/>
          <w:lang w:bidi="ar-SA"/>
        </w:rPr>
        <w:t xml:space="preserve"> </w:t>
      </w:r>
      <w:r>
        <w:rPr>
          <w:rtl/>
        </w:rPr>
        <w:t>יהי</w:t>
      </w:r>
      <w:r>
        <w:rPr>
          <w:rtl/>
          <w:lang w:bidi="ar-SA"/>
        </w:rPr>
        <w:t xml:space="preserve">' </w:t>
      </w:r>
      <w:r>
        <w:rPr>
          <w:rtl/>
        </w:rPr>
        <w:t>מורח</w:t>
      </w:r>
      <w:r>
        <w:rPr>
          <w:rtl/>
          <w:lang w:bidi="ar-SA"/>
        </w:rPr>
        <w:t xml:space="preserve"> </w:t>
      </w:r>
      <w:r>
        <w:rPr>
          <w:rtl/>
        </w:rPr>
        <w:t>ודאין</w:t>
      </w:r>
      <w:r>
        <w:rPr>
          <w:rtl/>
          <w:lang w:bidi="ar-SA"/>
        </w:rPr>
        <w:t xml:space="preserve">, </w:t>
      </w:r>
      <w:r>
        <w:rPr>
          <w:rtl/>
        </w:rPr>
        <w:t>הוא</w:t>
      </w:r>
      <w:r>
        <w:rPr>
          <w:rtl/>
          <w:lang w:bidi="ar-SA"/>
        </w:rPr>
        <w:t xml:space="preserve"> </w:t>
      </w:r>
      <w:r>
        <w:rPr>
          <w:rtl/>
        </w:rPr>
        <w:t>יוכל</w:t>
      </w:r>
      <w:r>
        <w:rPr>
          <w:rtl/>
          <w:lang w:bidi="ar-SA"/>
        </w:rPr>
        <w:t xml:space="preserve"> </w:t>
      </w:r>
      <w:r>
        <w:rPr>
          <w:rtl/>
        </w:rPr>
        <w:t>להבחין</w:t>
      </w:r>
      <w:r>
        <w:rPr>
          <w:rtl/>
          <w:lang w:bidi="ar-SA"/>
        </w:rPr>
        <w:t xml:space="preserve"> </w:t>
      </w:r>
      <w:r>
        <w:rPr>
          <w:rtl/>
        </w:rPr>
        <w:t>באם</w:t>
      </w:r>
      <w:r>
        <w:rPr>
          <w:rtl/>
          <w:lang w:bidi="ar-SA"/>
        </w:rPr>
        <w:t xml:space="preserve"> </w:t>
      </w:r>
      <w:r>
        <w:rPr>
          <w:rtl/>
        </w:rPr>
        <w:t>כוונת</w:t>
      </w:r>
      <w:r>
        <w:rPr>
          <w:rtl/>
          <w:lang w:bidi="ar-SA"/>
        </w:rPr>
        <w:t xml:space="preserve"> </w:t>
      </w:r>
      <w:r>
        <w:rPr>
          <w:rtl/>
        </w:rPr>
        <w:t>הגר</w:t>
      </w:r>
      <w:r>
        <w:rPr>
          <w:rtl/>
          <w:lang w:bidi="ar-SA"/>
        </w:rPr>
        <w:t xml:space="preserve"> </w:t>
      </w:r>
      <w:r>
        <w:rPr>
          <w:rtl/>
        </w:rPr>
        <w:t>הוא</w:t>
      </w:r>
      <w:r>
        <w:rPr>
          <w:rtl/>
          <w:lang w:bidi="ar-SA"/>
        </w:rPr>
        <w:t xml:space="preserve"> </w:t>
      </w:r>
      <w:r>
        <w:rPr>
          <w:rtl/>
        </w:rPr>
        <w:t>לשם</w:t>
      </w:r>
      <w:r>
        <w:rPr>
          <w:rtl/>
          <w:lang w:bidi="ar-SA"/>
        </w:rPr>
        <w:t xml:space="preserve"> </w:t>
      </w:r>
      <w:r>
        <w:rPr>
          <w:rtl/>
        </w:rPr>
        <w:t>שמים</w:t>
      </w:r>
      <w:r>
        <w:rPr>
          <w:rtl/>
          <w:lang w:bidi="ar-SA"/>
        </w:rPr>
        <w:t xml:space="preserve">, </w:t>
      </w:r>
      <w:r>
        <w:rPr>
          <w:rtl/>
        </w:rPr>
        <w:t>והוא</w:t>
      </w:r>
      <w:r>
        <w:rPr>
          <w:rtl/>
          <w:lang w:bidi="ar-SA"/>
        </w:rPr>
        <w:t xml:space="preserve"> </w:t>
      </w:r>
      <w:r>
        <w:rPr>
          <w:rtl/>
        </w:rPr>
        <w:t>יקבלם</w:t>
      </w:r>
      <w:r>
        <w:rPr>
          <w:rtl/>
          <w:lang w:bidi="ar-SA"/>
        </w:rPr>
        <w:t xml:space="preserve">, </w:t>
      </w:r>
      <w:r>
        <w:rPr>
          <w:rtl/>
        </w:rPr>
        <w:t>ומה</w:t>
      </w:r>
      <w:r>
        <w:rPr>
          <w:rtl/>
          <w:lang w:bidi="ar-SA"/>
        </w:rPr>
        <w:t xml:space="preserve"> </w:t>
      </w:r>
      <w:r>
        <w:rPr>
          <w:rtl/>
        </w:rPr>
        <w:t>שאמרו</w:t>
      </w:r>
      <w:r>
        <w:rPr>
          <w:rtl/>
          <w:lang w:bidi="ar-SA"/>
        </w:rPr>
        <w:t xml:space="preserve"> </w:t>
      </w:r>
      <w:r>
        <w:rPr>
          <w:rtl/>
        </w:rPr>
        <w:t>בגמרא</w:t>
      </w:r>
      <w:r>
        <w:rPr>
          <w:rtl/>
          <w:lang w:bidi="ar-SA"/>
        </w:rPr>
        <w:t xml:space="preserve"> </w:t>
      </w:r>
      <w:r>
        <w:rPr>
          <w:rtl/>
        </w:rPr>
        <w:t>שאין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לע</w:t>
      </w:r>
      <w:r>
        <w:rPr>
          <w:rtl/>
          <w:lang w:bidi="ar-SA"/>
        </w:rPr>
        <w:t>"</w:t>
      </w:r>
      <w:r>
        <w:rPr>
          <w:rtl/>
        </w:rPr>
        <w:t>ל</w:t>
      </w:r>
      <w:r>
        <w:rPr>
          <w:rtl/>
          <w:lang w:bidi="ar-SA"/>
        </w:rPr>
        <w:t xml:space="preserve"> </w:t>
      </w:r>
      <w:r>
        <w:rPr>
          <w:rtl/>
        </w:rPr>
        <w:t>איירי</w:t>
      </w:r>
      <w:r>
        <w:rPr>
          <w:rtl/>
          <w:lang w:bidi="ar-SA"/>
        </w:rPr>
        <w:t xml:space="preserve"> </w:t>
      </w:r>
      <w:r>
        <w:rPr>
          <w:rtl/>
        </w:rPr>
        <w:t>בשאר</w:t>
      </w:r>
      <w:r>
        <w:rPr>
          <w:rtl/>
          <w:lang w:bidi="ar-SA"/>
        </w:rPr>
        <w:t xml:space="preserve"> </w:t>
      </w:r>
      <w:r>
        <w:rPr>
          <w:rtl/>
        </w:rPr>
        <w:t>בתי</w:t>
      </w:r>
      <w:r>
        <w:rPr>
          <w:rtl/>
          <w:lang w:bidi="ar-SA"/>
        </w:rPr>
        <w:t xml:space="preserve"> </w:t>
      </w:r>
      <w:r>
        <w:rPr>
          <w:rtl/>
        </w:rPr>
        <w:t>דינים</w:t>
      </w:r>
      <w:r>
        <w:rPr>
          <w:rtl/>
          <w:lang w:bidi="ar-SA"/>
        </w:rPr>
        <w:t xml:space="preserve">. </w:t>
      </w:r>
      <w:r>
        <w:rPr>
          <w:rtl/>
        </w:rPr>
        <w:t>ובכמה</w:t>
      </w:r>
      <w:r>
        <w:rPr>
          <w:rtl/>
          <w:lang w:bidi="ar-SA"/>
        </w:rPr>
        <w:t xml:space="preserve"> </w:t>
      </w:r>
      <w:r>
        <w:rPr>
          <w:rtl/>
        </w:rPr>
        <w:t>ספרים</w:t>
      </w:r>
      <w:r>
        <w:rPr>
          <w:rtl/>
          <w:lang w:bidi="ar-SA"/>
        </w:rPr>
        <w:t xml:space="preserve"> </w:t>
      </w:r>
      <w:r>
        <w:rPr>
          <w:rtl/>
        </w:rPr>
        <w:t>כתבו</w:t>
      </w:r>
      <w:r>
        <w:rPr>
          <w:rStyle w:val="FootnoteReference"/>
          <w:rFonts w:cs="Arial"/>
          <w:lang w:bidi="ar-SA"/>
        </w:rPr>
        <w:footnoteReference w:id="17"/>
      </w:r>
      <w:r>
        <w:rPr>
          <w:rtl/>
          <w:lang w:bidi="ar-SA"/>
        </w:rPr>
        <w:t xml:space="preserve">, </w:t>
      </w:r>
      <w:r>
        <w:rPr>
          <w:rtl/>
        </w:rPr>
        <w:t>שהדין</w:t>
      </w:r>
      <w:r>
        <w:rPr>
          <w:rtl/>
          <w:lang w:bidi="ar-SA"/>
        </w:rPr>
        <w:t xml:space="preserve"> </w:t>
      </w:r>
      <w:r>
        <w:rPr>
          <w:rtl/>
        </w:rPr>
        <w:t>שאין</w:t>
      </w:r>
      <w:r>
        <w:rPr>
          <w:rtl/>
          <w:lang w:bidi="ar-SA"/>
        </w:rPr>
        <w:t xml:space="preserve"> </w:t>
      </w:r>
      <w:r>
        <w:rPr>
          <w:rtl/>
        </w:rPr>
        <w:t>מקבלין</w:t>
      </w:r>
      <w:r>
        <w:rPr>
          <w:rtl/>
          <w:lang w:bidi="ar-SA"/>
        </w:rPr>
        <w:t xml:space="preserve"> </w:t>
      </w:r>
      <w:r>
        <w:rPr>
          <w:rtl/>
        </w:rPr>
        <w:t>גרים</w:t>
      </w:r>
      <w:r>
        <w:rPr>
          <w:rtl/>
          <w:lang w:bidi="ar-SA"/>
        </w:rPr>
        <w:t xml:space="preserve"> </w:t>
      </w:r>
      <w:r>
        <w:rPr>
          <w:rtl/>
        </w:rPr>
        <w:t>הוא</w:t>
      </w:r>
      <w:r>
        <w:rPr>
          <w:rtl/>
          <w:lang w:bidi="ar-SA"/>
        </w:rPr>
        <w:t xml:space="preserve"> </w:t>
      </w:r>
      <w:r>
        <w:rPr>
          <w:rtl/>
        </w:rPr>
        <w:lastRenderedPageBreak/>
        <w:t>רק</w:t>
      </w:r>
      <w:r>
        <w:rPr>
          <w:rtl/>
          <w:lang w:bidi="ar-SA"/>
        </w:rPr>
        <w:t xml:space="preserve"> </w:t>
      </w:r>
      <w:r>
        <w:rPr>
          <w:rtl/>
        </w:rPr>
        <w:t>לכתחילה</w:t>
      </w:r>
      <w:r>
        <w:rPr>
          <w:rtl/>
          <w:lang w:bidi="ar-SA"/>
        </w:rPr>
        <w:t xml:space="preserve">, </w:t>
      </w:r>
      <w:r>
        <w:rPr>
          <w:rtl/>
        </w:rPr>
        <w:t>אבל</w:t>
      </w:r>
      <w:r>
        <w:rPr>
          <w:rtl/>
          <w:lang w:bidi="ar-SA"/>
        </w:rPr>
        <w:t xml:space="preserve"> </w:t>
      </w:r>
      <w:r>
        <w:rPr>
          <w:rtl/>
        </w:rPr>
        <w:t>בדיעבד</w:t>
      </w:r>
      <w:r>
        <w:rPr>
          <w:rtl/>
          <w:lang w:bidi="ar-SA"/>
        </w:rPr>
        <w:t xml:space="preserve"> </w:t>
      </w:r>
      <w:r>
        <w:rPr>
          <w:rtl/>
        </w:rPr>
        <w:t>באם</w:t>
      </w:r>
      <w:r>
        <w:rPr>
          <w:rtl/>
          <w:lang w:bidi="ar-SA"/>
        </w:rPr>
        <w:t xml:space="preserve"> </w:t>
      </w:r>
      <w:r>
        <w:rPr>
          <w:rtl/>
        </w:rPr>
        <w:t>יתגיירו</w:t>
      </w:r>
      <w:r>
        <w:rPr>
          <w:rtl/>
          <w:lang w:bidi="ar-SA"/>
        </w:rPr>
        <w:t xml:space="preserve"> </w:t>
      </w:r>
      <w:r>
        <w:rPr>
          <w:rtl/>
        </w:rPr>
        <w:t>יחשבו</w:t>
      </w:r>
      <w:r>
        <w:rPr>
          <w:rtl/>
          <w:lang w:bidi="ar-SA"/>
        </w:rPr>
        <w:t xml:space="preserve"> </w:t>
      </w:r>
      <w:r>
        <w:rPr>
          <w:rtl/>
        </w:rPr>
        <w:t>גרים</w:t>
      </w:r>
      <w:r>
        <w:rPr>
          <w:rtl/>
          <w:lang w:bidi="ar-SA"/>
        </w:rPr>
        <w:t>.</w:t>
      </w:r>
    </w:p>
    <w:p w14:paraId="3B104A02" w14:textId="12C325FE" w:rsidR="00DF4CDD" w:rsidRPr="00DF4CDD" w:rsidRDefault="00DF4CDD" w:rsidP="00423C6D">
      <w:pPr>
        <w:pStyle w:val="a2"/>
        <w:rPr>
          <w:rFonts w:asciiTheme="minorHAnsi" w:hAnsiTheme="minorHAnsi"/>
          <w:lang w:bidi="ar-SA"/>
        </w:rPr>
      </w:pPr>
      <w:r>
        <w:rPr>
          <w:rtl/>
        </w:rPr>
        <w:t>דלכאו</w:t>
      </w:r>
      <w:r>
        <w:rPr>
          <w:rtl/>
          <w:lang w:bidi="ar-SA"/>
        </w:rPr>
        <w:t xml:space="preserve">' </w:t>
      </w:r>
      <w:r>
        <w:rPr>
          <w:rtl/>
        </w:rPr>
        <w:t>כ</w:t>
      </w:r>
      <w:r>
        <w:rPr>
          <w:rtl/>
          <w:lang w:bidi="ar-SA"/>
        </w:rPr>
        <w:t>"</w:t>
      </w:r>
      <w:r>
        <w:rPr>
          <w:rtl/>
        </w:rPr>
        <w:t>ז</w:t>
      </w:r>
      <w:r>
        <w:rPr>
          <w:rtl/>
          <w:lang w:bidi="ar-SA"/>
        </w:rPr>
        <w:t xml:space="preserve"> </w:t>
      </w:r>
      <w:r>
        <w:rPr>
          <w:rtl/>
        </w:rPr>
        <w:t>הוא</w:t>
      </w:r>
      <w:r>
        <w:rPr>
          <w:rtl/>
          <w:lang w:bidi="ar-SA"/>
        </w:rPr>
        <w:t xml:space="preserve"> </w:t>
      </w:r>
      <w:r>
        <w:rPr>
          <w:rtl/>
        </w:rPr>
        <w:t>רק</w:t>
      </w:r>
      <w:r>
        <w:rPr>
          <w:rtl/>
          <w:lang w:bidi="ar-SA"/>
        </w:rPr>
        <w:t xml:space="preserve"> </w:t>
      </w:r>
      <w:r>
        <w:rPr>
          <w:rtl/>
        </w:rPr>
        <w:t>לפי</w:t>
      </w:r>
      <w:r>
        <w:rPr>
          <w:rtl/>
          <w:lang w:bidi="ar-SA"/>
        </w:rPr>
        <w:t xml:space="preserve"> </w:t>
      </w:r>
      <w:r>
        <w:rPr>
          <w:rtl/>
        </w:rPr>
        <w:t>ביאור</w:t>
      </w:r>
      <w:r>
        <w:rPr>
          <w:rtl/>
          <w:lang w:bidi="ar-SA"/>
        </w:rPr>
        <w:t xml:space="preserve"> </w:t>
      </w:r>
      <w:r>
        <w:rPr>
          <w:rtl/>
        </w:rPr>
        <w:t>הא</w:t>
      </w:r>
      <w:r>
        <w:rPr>
          <w:rtl/>
          <w:lang w:bidi="ar-SA"/>
        </w:rPr>
        <w:t xml:space="preserve">', </w:t>
      </w:r>
      <w:r>
        <w:rPr>
          <w:rtl/>
        </w:rPr>
        <w:t>אבל</w:t>
      </w:r>
      <w:r>
        <w:rPr>
          <w:rtl/>
          <w:lang w:bidi="ar-SA"/>
        </w:rPr>
        <w:t xml:space="preserve"> </w:t>
      </w:r>
      <w:r>
        <w:rPr>
          <w:rtl/>
        </w:rPr>
        <w:t>לפי</w:t>
      </w:r>
      <w:r>
        <w:rPr>
          <w:rtl/>
          <w:lang w:bidi="ar-SA"/>
        </w:rPr>
        <w:t xml:space="preserve"> </w:t>
      </w:r>
      <w:r>
        <w:rPr>
          <w:rtl/>
        </w:rPr>
        <w:t>ביאור</w:t>
      </w:r>
      <w:r>
        <w:rPr>
          <w:rtl/>
          <w:lang w:bidi="ar-SA"/>
        </w:rPr>
        <w:t xml:space="preserve"> </w:t>
      </w:r>
      <w:r>
        <w:rPr>
          <w:rtl/>
        </w:rPr>
        <w:t>הב</w:t>
      </w:r>
      <w:r>
        <w:rPr>
          <w:rtl/>
          <w:lang w:bidi="ar-SA"/>
        </w:rPr>
        <w:t xml:space="preserve">' </w:t>
      </w:r>
      <w:r>
        <w:rPr>
          <w:rtl/>
        </w:rPr>
        <w:t>הנ</w:t>
      </w:r>
      <w:r>
        <w:rPr>
          <w:rtl/>
          <w:lang w:bidi="ar-SA"/>
        </w:rPr>
        <w:t>"</w:t>
      </w:r>
      <w:r>
        <w:rPr>
          <w:rtl/>
        </w:rPr>
        <w:t>ל</w:t>
      </w:r>
      <w:r>
        <w:rPr>
          <w:rtl/>
          <w:lang w:bidi="ar-SA"/>
        </w:rPr>
        <w:t xml:space="preserve">, </w:t>
      </w:r>
      <w:r>
        <w:rPr>
          <w:rtl/>
        </w:rPr>
        <w:t>לכאורה</w:t>
      </w:r>
      <w:r>
        <w:rPr>
          <w:rtl/>
          <w:lang w:bidi="ar-SA"/>
        </w:rPr>
        <w:t xml:space="preserve"> </w:t>
      </w:r>
      <w:r>
        <w:rPr>
          <w:rtl/>
        </w:rPr>
        <w:t>גם</w:t>
      </w:r>
      <w:r>
        <w:rPr>
          <w:rtl/>
          <w:lang w:bidi="ar-SA"/>
        </w:rPr>
        <w:t xml:space="preserve"> </w:t>
      </w:r>
      <w:r>
        <w:rPr>
          <w:rtl/>
        </w:rPr>
        <w:t>אם</w:t>
      </w:r>
      <w:r>
        <w:rPr>
          <w:rtl/>
          <w:lang w:bidi="ar-SA"/>
        </w:rPr>
        <w:t xml:space="preserve"> </w:t>
      </w:r>
      <w:r>
        <w:rPr>
          <w:rtl/>
        </w:rPr>
        <w:t>ברור</w:t>
      </w:r>
      <w:r>
        <w:rPr>
          <w:rtl/>
          <w:lang w:bidi="ar-SA"/>
        </w:rPr>
        <w:t xml:space="preserve"> </w:t>
      </w:r>
      <w:r>
        <w:rPr>
          <w:rtl/>
        </w:rPr>
        <w:t>לנו</w:t>
      </w:r>
      <w:r>
        <w:rPr>
          <w:rtl/>
          <w:lang w:bidi="ar-SA"/>
        </w:rPr>
        <w:t xml:space="preserve"> </w:t>
      </w:r>
      <w:r>
        <w:rPr>
          <w:rtl/>
        </w:rPr>
        <w:t>שכוונתו</w:t>
      </w:r>
      <w:r>
        <w:rPr>
          <w:rtl/>
          <w:lang w:bidi="ar-SA"/>
        </w:rPr>
        <w:t xml:space="preserve"> </w:t>
      </w:r>
      <w:r>
        <w:rPr>
          <w:rtl/>
        </w:rPr>
        <w:t>לשמים</w:t>
      </w:r>
      <w:r>
        <w:rPr>
          <w:rtl/>
          <w:lang w:bidi="ar-SA"/>
        </w:rPr>
        <w:t xml:space="preserve">, </w:t>
      </w:r>
      <w:r>
        <w:rPr>
          <w:rtl/>
        </w:rPr>
        <w:t>מ</w:t>
      </w:r>
      <w:r>
        <w:rPr>
          <w:rtl/>
          <w:lang w:bidi="ar-SA"/>
        </w:rPr>
        <w:t>"</w:t>
      </w:r>
      <w:r>
        <w:rPr>
          <w:rtl/>
        </w:rPr>
        <w:t>מ</w:t>
      </w:r>
      <w:r>
        <w:rPr>
          <w:rtl/>
          <w:lang w:bidi="ar-SA"/>
        </w:rPr>
        <w:t xml:space="preserve"> </w:t>
      </w:r>
      <w:r>
        <w:rPr>
          <w:rtl/>
        </w:rPr>
        <w:t>אין</w:t>
      </w:r>
      <w:r>
        <w:rPr>
          <w:rtl/>
          <w:lang w:bidi="ar-SA"/>
        </w:rPr>
        <w:t xml:space="preserve"> </w:t>
      </w:r>
      <w:r>
        <w:rPr>
          <w:rtl/>
        </w:rPr>
        <w:t>מקבלין</w:t>
      </w:r>
      <w:r>
        <w:rPr>
          <w:rtl/>
          <w:lang w:bidi="ar-SA"/>
        </w:rPr>
        <w:t xml:space="preserve"> </w:t>
      </w:r>
      <w:r>
        <w:rPr>
          <w:rtl/>
        </w:rPr>
        <w:t>אותו</w:t>
      </w:r>
      <w:r>
        <w:rPr>
          <w:rtl/>
          <w:lang w:bidi="ar-SA"/>
        </w:rPr>
        <w:t xml:space="preserve">, </w:t>
      </w:r>
      <w:r>
        <w:rPr>
          <w:rtl/>
        </w:rPr>
        <w:t>כי</w:t>
      </w:r>
      <w:r>
        <w:rPr>
          <w:rtl/>
          <w:lang w:bidi="ar-SA"/>
        </w:rPr>
        <w:t xml:space="preserve"> </w:t>
      </w:r>
      <w:r>
        <w:rPr>
          <w:rtl/>
        </w:rPr>
        <w:t>כל</w:t>
      </w:r>
      <w:r>
        <w:rPr>
          <w:rtl/>
          <w:lang w:bidi="ar-SA"/>
        </w:rPr>
        <w:t xml:space="preserve"> </w:t>
      </w:r>
      <w:r>
        <w:rPr>
          <w:rtl/>
        </w:rPr>
        <w:t>ענין</w:t>
      </w:r>
      <w:r>
        <w:rPr>
          <w:rtl/>
          <w:lang w:bidi="ar-SA"/>
        </w:rPr>
        <w:t xml:space="preserve"> </w:t>
      </w:r>
      <w:r>
        <w:rPr>
          <w:rtl/>
        </w:rPr>
        <w:t>הגיור</w:t>
      </w:r>
      <w:r>
        <w:rPr>
          <w:rtl/>
          <w:lang w:bidi="ar-SA"/>
        </w:rPr>
        <w:t xml:space="preserve"> </w:t>
      </w:r>
      <w:r>
        <w:rPr>
          <w:rtl/>
        </w:rPr>
        <w:t>שייך</w:t>
      </w:r>
      <w:r>
        <w:rPr>
          <w:rtl/>
          <w:lang w:bidi="ar-SA"/>
        </w:rPr>
        <w:t xml:space="preserve"> </w:t>
      </w:r>
      <w:r>
        <w:rPr>
          <w:rtl/>
        </w:rPr>
        <w:t>רק</w:t>
      </w:r>
      <w:r>
        <w:rPr>
          <w:rtl/>
          <w:lang w:bidi="ar-SA"/>
        </w:rPr>
        <w:t xml:space="preserve"> </w:t>
      </w:r>
      <w:r>
        <w:rPr>
          <w:rtl/>
        </w:rPr>
        <w:t>בזמן</w:t>
      </w:r>
      <w:r>
        <w:rPr>
          <w:rtl/>
          <w:lang w:bidi="ar-SA"/>
        </w:rPr>
        <w:t xml:space="preserve"> </w:t>
      </w:r>
      <w:r>
        <w:rPr>
          <w:rtl/>
        </w:rPr>
        <w:t>הזה</w:t>
      </w:r>
      <w:r>
        <w:rPr>
          <w:rtl/>
          <w:lang w:bidi="ar-SA"/>
        </w:rPr>
        <w:t xml:space="preserve"> </w:t>
      </w:r>
      <w:r>
        <w:rPr>
          <w:rtl/>
        </w:rPr>
        <w:t>ולא</w:t>
      </w:r>
      <w:r>
        <w:rPr>
          <w:rtl/>
          <w:lang w:bidi="ar-SA"/>
        </w:rPr>
        <w:t xml:space="preserve"> </w:t>
      </w:r>
      <w:r>
        <w:rPr>
          <w:rtl/>
        </w:rPr>
        <w:t>לע</w:t>
      </w:r>
      <w:r>
        <w:rPr>
          <w:rtl/>
          <w:lang w:bidi="ar-SA"/>
        </w:rPr>
        <w:t>"</w:t>
      </w:r>
      <w:r>
        <w:rPr>
          <w:rtl/>
        </w:rPr>
        <w:t>ל</w:t>
      </w:r>
      <w:r>
        <w:rPr>
          <w:rStyle w:val="FootnoteReference"/>
          <w:rFonts w:cs="Arial"/>
          <w:lang w:bidi="ar-SA"/>
        </w:rPr>
        <w:footnoteReference w:id="18"/>
      </w:r>
      <w:r>
        <w:rPr>
          <w:rtl/>
          <w:lang w:bidi="ar-SA"/>
        </w:rPr>
        <w:t xml:space="preserve">. </w:t>
      </w:r>
    </w:p>
    <w:p w14:paraId="0016078C" w14:textId="6395424F" w:rsidR="00DF4CDD" w:rsidRPr="00DF4CDD" w:rsidRDefault="00DF4CDD" w:rsidP="00423C6D">
      <w:pPr>
        <w:pStyle w:val="a2"/>
        <w:rPr>
          <w:rFonts w:asciiTheme="minorHAnsi" w:hAnsiTheme="minorHAnsi"/>
          <w:lang w:bidi="ar-SA"/>
        </w:rPr>
      </w:pPr>
      <w:r>
        <w:rPr>
          <w:b/>
          <w:bCs/>
          <w:rtl/>
        </w:rPr>
        <w:t>ב</w:t>
      </w:r>
      <w:r>
        <w:rPr>
          <w:b/>
          <w:bCs/>
          <w:rtl/>
          <w:lang w:bidi="ar-SA"/>
        </w:rPr>
        <w:t>.</w:t>
      </w:r>
      <w:r>
        <w:rPr>
          <w:rtl/>
          <w:lang w:bidi="ar-SA"/>
        </w:rPr>
        <w:t xml:space="preserve"> </w:t>
      </w:r>
      <w:r>
        <w:rPr>
          <w:rtl/>
        </w:rPr>
        <w:t>והנה</w:t>
      </w:r>
      <w:r>
        <w:rPr>
          <w:rtl/>
          <w:lang w:bidi="ar-SA"/>
        </w:rPr>
        <w:t xml:space="preserve">, </w:t>
      </w:r>
      <w:r>
        <w:rPr>
          <w:rtl/>
        </w:rPr>
        <w:t>הנצי</w:t>
      </w:r>
      <w:r>
        <w:rPr>
          <w:rtl/>
          <w:lang w:bidi="ar-SA"/>
        </w:rPr>
        <w:t>"</w:t>
      </w:r>
      <w:r>
        <w:rPr>
          <w:rtl/>
        </w:rPr>
        <w:t>ב</w:t>
      </w:r>
      <w:r>
        <w:rPr>
          <w:rtl/>
          <w:lang w:bidi="ar-SA"/>
        </w:rPr>
        <w:t xml:space="preserve"> </w:t>
      </w:r>
      <w:r>
        <w:rPr>
          <w:rtl/>
        </w:rPr>
        <w:t>הקשה</w:t>
      </w:r>
      <w:r>
        <w:rPr>
          <w:rStyle w:val="FootnoteReference"/>
          <w:rFonts w:cs="Arial"/>
          <w:lang w:bidi="ar-SA"/>
        </w:rPr>
        <w:footnoteReference w:id="19"/>
      </w:r>
      <w:r>
        <w:rPr>
          <w:rtl/>
          <w:lang w:bidi="ar-SA"/>
        </w:rPr>
        <w:t xml:space="preserve"> </w:t>
      </w:r>
      <w:r>
        <w:rPr>
          <w:rtl/>
        </w:rPr>
        <w:t>דלכאו</w:t>
      </w:r>
      <w:r>
        <w:rPr>
          <w:rtl/>
          <w:lang w:bidi="ar-SA"/>
        </w:rPr>
        <w:t xml:space="preserve">' </w:t>
      </w:r>
      <w:r>
        <w:rPr>
          <w:rtl/>
        </w:rPr>
        <w:t>לע</w:t>
      </w:r>
      <w:r>
        <w:rPr>
          <w:rtl/>
          <w:lang w:bidi="ar-SA"/>
        </w:rPr>
        <w:t>"</w:t>
      </w:r>
      <w:r>
        <w:rPr>
          <w:rtl/>
        </w:rPr>
        <w:t>ל</w:t>
      </w:r>
      <w:r>
        <w:rPr>
          <w:rtl/>
          <w:lang w:bidi="ar-SA"/>
        </w:rPr>
        <w:t xml:space="preserve"> </w:t>
      </w:r>
      <w:r>
        <w:rPr>
          <w:rtl/>
        </w:rPr>
        <w:t>כאשר</w:t>
      </w:r>
      <w:r>
        <w:rPr>
          <w:rtl/>
          <w:lang w:bidi="ar-SA"/>
        </w:rPr>
        <w:t xml:space="preserve"> </w:t>
      </w:r>
      <w:r>
        <w:rPr>
          <w:rtl/>
        </w:rPr>
        <w:t>יקויים</w:t>
      </w:r>
      <w:r>
        <w:rPr>
          <w:rtl/>
          <w:lang w:bidi="ar-SA"/>
        </w:rPr>
        <w:t xml:space="preserve"> </w:t>
      </w:r>
      <w:r>
        <w:rPr>
          <w:rtl/>
        </w:rPr>
        <w:t>הפסוק</w:t>
      </w:r>
      <w:r>
        <w:rPr>
          <w:rtl/>
          <w:lang w:bidi="ar-SA"/>
        </w:rPr>
        <w:t xml:space="preserve"> "</w:t>
      </w:r>
      <w:r>
        <w:rPr>
          <w:rtl/>
        </w:rPr>
        <w:t>אז</w:t>
      </w:r>
      <w:r>
        <w:rPr>
          <w:rtl/>
          <w:lang w:bidi="ar-SA"/>
        </w:rPr>
        <w:t xml:space="preserve"> </w:t>
      </w:r>
      <w:r>
        <w:rPr>
          <w:rtl/>
        </w:rPr>
        <w:t>אהפך</w:t>
      </w:r>
      <w:r>
        <w:rPr>
          <w:rtl/>
          <w:lang w:bidi="ar-SA"/>
        </w:rPr>
        <w:t xml:space="preserve"> </w:t>
      </w:r>
      <w:r>
        <w:rPr>
          <w:rtl/>
        </w:rPr>
        <w:t>אל</w:t>
      </w:r>
      <w:r>
        <w:rPr>
          <w:rtl/>
          <w:lang w:bidi="ar-SA"/>
        </w:rPr>
        <w:t xml:space="preserve"> </w:t>
      </w:r>
      <w:r>
        <w:rPr>
          <w:rtl/>
        </w:rPr>
        <w:t>עמים</w:t>
      </w:r>
      <w:r>
        <w:rPr>
          <w:rtl/>
          <w:lang w:bidi="ar-SA"/>
        </w:rPr>
        <w:t xml:space="preserve"> </w:t>
      </w:r>
      <w:r>
        <w:rPr>
          <w:rtl/>
        </w:rPr>
        <w:t>שפה</w:t>
      </w:r>
      <w:r>
        <w:rPr>
          <w:rtl/>
          <w:lang w:bidi="ar-SA"/>
        </w:rPr>
        <w:t xml:space="preserve"> </w:t>
      </w:r>
      <w:r>
        <w:rPr>
          <w:rtl/>
        </w:rPr>
        <w:t>ברורה</w:t>
      </w:r>
      <w:r>
        <w:rPr>
          <w:rtl/>
          <w:lang w:bidi="ar-SA"/>
        </w:rPr>
        <w:t xml:space="preserve"> </w:t>
      </w:r>
      <w:r>
        <w:rPr>
          <w:rtl/>
        </w:rPr>
        <w:t>לקרא</w:t>
      </w:r>
      <w:r>
        <w:rPr>
          <w:rtl/>
          <w:lang w:bidi="ar-SA"/>
        </w:rPr>
        <w:t xml:space="preserve"> </w:t>
      </w:r>
      <w:r>
        <w:rPr>
          <w:rtl/>
        </w:rPr>
        <w:t>כלם</w:t>
      </w:r>
      <w:r>
        <w:rPr>
          <w:rtl/>
          <w:lang w:bidi="ar-SA"/>
        </w:rPr>
        <w:t xml:space="preserve"> </w:t>
      </w:r>
      <w:r>
        <w:rPr>
          <w:rtl/>
        </w:rPr>
        <w:t>בשם</w:t>
      </w:r>
      <w:r>
        <w:rPr>
          <w:rtl/>
          <w:lang w:bidi="ar-SA"/>
        </w:rPr>
        <w:t xml:space="preserve"> </w:t>
      </w:r>
      <w:r>
        <w:rPr>
          <w:rtl/>
        </w:rPr>
        <w:t>ה</w:t>
      </w:r>
      <w:r>
        <w:rPr>
          <w:rtl/>
          <w:lang w:bidi="ar-SA"/>
        </w:rPr>
        <w:t xml:space="preserve">' </w:t>
      </w:r>
      <w:r>
        <w:rPr>
          <w:rtl/>
        </w:rPr>
        <w:t>לעבדו</w:t>
      </w:r>
      <w:r>
        <w:rPr>
          <w:rtl/>
          <w:lang w:bidi="ar-SA"/>
        </w:rPr>
        <w:t xml:space="preserve"> </w:t>
      </w:r>
      <w:r>
        <w:rPr>
          <w:rtl/>
        </w:rPr>
        <w:t>שכם</w:t>
      </w:r>
      <w:r>
        <w:rPr>
          <w:rtl/>
          <w:lang w:bidi="ar-SA"/>
        </w:rPr>
        <w:t xml:space="preserve"> </w:t>
      </w:r>
      <w:r>
        <w:rPr>
          <w:rtl/>
        </w:rPr>
        <w:t>אחד</w:t>
      </w:r>
      <w:r>
        <w:rPr>
          <w:rtl/>
          <w:lang w:bidi="ar-SA"/>
        </w:rPr>
        <w:t xml:space="preserve">", </w:t>
      </w:r>
      <w:r>
        <w:rPr>
          <w:rtl/>
        </w:rPr>
        <w:t>הרי</w:t>
      </w:r>
      <w:r>
        <w:rPr>
          <w:rtl/>
          <w:lang w:bidi="ar-SA"/>
        </w:rPr>
        <w:t xml:space="preserve"> </w:t>
      </w:r>
      <w:r>
        <w:rPr>
          <w:rtl/>
        </w:rPr>
        <w:t>לכאורה</w:t>
      </w:r>
      <w:r>
        <w:rPr>
          <w:rtl/>
          <w:lang w:bidi="ar-SA"/>
        </w:rPr>
        <w:t xml:space="preserve"> </w:t>
      </w:r>
      <w:r>
        <w:rPr>
          <w:rtl/>
        </w:rPr>
        <w:t>יהי</w:t>
      </w:r>
      <w:r>
        <w:rPr>
          <w:rtl/>
          <w:lang w:bidi="ar-SA"/>
        </w:rPr>
        <w:t xml:space="preserve">' </w:t>
      </w:r>
      <w:r>
        <w:rPr>
          <w:rtl/>
        </w:rPr>
        <w:t>ברור</w:t>
      </w:r>
      <w:r>
        <w:rPr>
          <w:rtl/>
          <w:lang w:bidi="ar-SA"/>
        </w:rPr>
        <w:t xml:space="preserve"> </w:t>
      </w:r>
      <w:r>
        <w:rPr>
          <w:rtl/>
        </w:rPr>
        <w:t>שכוונת</w:t>
      </w:r>
      <w:r>
        <w:rPr>
          <w:rtl/>
          <w:lang w:bidi="ar-SA"/>
        </w:rPr>
        <w:t xml:space="preserve"> </w:t>
      </w:r>
      <w:r>
        <w:rPr>
          <w:rtl/>
        </w:rPr>
        <w:t>הגרים</w:t>
      </w:r>
      <w:r>
        <w:rPr>
          <w:rtl/>
          <w:lang w:bidi="ar-SA"/>
        </w:rPr>
        <w:t xml:space="preserve"> </w:t>
      </w:r>
      <w:r>
        <w:rPr>
          <w:rtl/>
        </w:rPr>
        <w:t>לשמים</w:t>
      </w:r>
      <w:r>
        <w:rPr>
          <w:rtl/>
          <w:lang w:bidi="ar-SA"/>
        </w:rPr>
        <w:t xml:space="preserve">, </w:t>
      </w:r>
      <w:r>
        <w:rPr>
          <w:rtl/>
        </w:rPr>
        <w:t>וא</w:t>
      </w:r>
      <w:r>
        <w:rPr>
          <w:rtl/>
          <w:lang w:bidi="ar-SA"/>
        </w:rPr>
        <w:t>"</w:t>
      </w:r>
      <w:r>
        <w:rPr>
          <w:rtl/>
        </w:rPr>
        <w:t>כ</w:t>
      </w:r>
      <w:r>
        <w:rPr>
          <w:rtl/>
          <w:lang w:bidi="ar-SA"/>
        </w:rPr>
        <w:t xml:space="preserve"> </w:t>
      </w:r>
      <w:r>
        <w:rPr>
          <w:rtl/>
        </w:rPr>
        <w:t>למה</w:t>
      </w:r>
      <w:r>
        <w:rPr>
          <w:rtl/>
          <w:lang w:bidi="ar-SA"/>
        </w:rPr>
        <w:t xml:space="preserve"> </w:t>
      </w:r>
      <w:r>
        <w:rPr>
          <w:rtl/>
        </w:rPr>
        <w:t>אין</w:t>
      </w:r>
      <w:r>
        <w:rPr>
          <w:rtl/>
          <w:lang w:bidi="ar-SA"/>
        </w:rPr>
        <w:t xml:space="preserve"> </w:t>
      </w:r>
      <w:r>
        <w:rPr>
          <w:rtl/>
        </w:rPr>
        <w:t>מקבלין</w:t>
      </w:r>
      <w:r>
        <w:rPr>
          <w:rtl/>
          <w:lang w:bidi="ar-SA"/>
        </w:rPr>
        <w:t xml:space="preserve"> </w:t>
      </w:r>
      <w:r>
        <w:rPr>
          <w:rtl/>
        </w:rPr>
        <w:t>אותם</w:t>
      </w:r>
      <w:r>
        <w:rPr>
          <w:rtl/>
          <w:lang w:bidi="ar-SA"/>
        </w:rPr>
        <w:t xml:space="preserve">. </w:t>
      </w:r>
      <w:r>
        <w:rPr>
          <w:rtl/>
        </w:rPr>
        <w:t>ותירץ</w:t>
      </w:r>
      <w:r>
        <w:rPr>
          <w:rtl/>
          <w:lang w:bidi="ar-SA"/>
        </w:rPr>
        <w:t xml:space="preserve"> </w:t>
      </w:r>
      <w:r>
        <w:rPr>
          <w:rtl/>
        </w:rPr>
        <w:t>שהוא</w:t>
      </w:r>
      <w:r>
        <w:rPr>
          <w:rtl/>
          <w:lang w:bidi="ar-SA"/>
        </w:rPr>
        <w:t xml:space="preserve"> </w:t>
      </w:r>
      <w:r>
        <w:rPr>
          <w:rtl/>
        </w:rPr>
        <w:t>גזירת</w:t>
      </w:r>
      <w:r>
        <w:rPr>
          <w:rtl/>
          <w:lang w:bidi="ar-SA"/>
        </w:rPr>
        <w:t xml:space="preserve"> </w:t>
      </w:r>
      <w:r>
        <w:rPr>
          <w:rtl/>
        </w:rPr>
        <w:t>הכתוב</w:t>
      </w:r>
      <w:r>
        <w:rPr>
          <w:rtl/>
          <w:lang w:bidi="ar-SA"/>
        </w:rPr>
        <w:t xml:space="preserve">. </w:t>
      </w:r>
      <w:r>
        <w:rPr>
          <w:rtl/>
        </w:rPr>
        <w:t>ע</w:t>
      </w:r>
      <w:r>
        <w:rPr>
          <w:rtl/>
          <w:lang w:bidi="ar-SA"/>
        </w:rPr>
        <w:t>"</w:t>
      </w:r>
      <w:r>
        <w:rPr>
          <w:rtl/>
        </w:rPr>
        <w:t>ש</w:t>
      </w:r>
      <w:r>
        <w:rPr>
          <w:rtl/>
          <w:lang w:bidi="ar-SA"/>
        </w:rPr>
        <w:t>. [</w:t>
      </w:r>
      <w:r>
        <w:rPr>
          <w:rtl/>
        </w:rPr>
        <w:t>וצ</w:t>
      </w:r>
      <w:r>
        <w:rPr>
          <w:rtl/>
          <w:lang w:bidi="ar-SA"/>
        </w:rPr>
        <w:t>"</w:t>
      </w:r>
      <w:r>
        <w:rPr>
          <w:rtl/>
        </w:rPr>
        <w:t>ע</w:t>
      </w:r>
      <w:r>
        <w:rPr>
          <w:rtl/>
          <w:lang w:bidi="ar-SA"/>
        </w:rPr>
        <w:t xml:space="preserve"> </w:t>
      </w:r>
      <w:r>
        <w:rPr>
          <w:rtl/>
        </w:rPr>
        <w:t>דלכאורה</w:t>
      </w:r>
      <w:r>
        <w:rPr>
          <w:rtl/>
          <w:lang w:bidi="ar-SA"/>
        </w:rPr>
        <w:t xml:space="preserve"> </w:t>
      </w:r>
      <w:r>
        <w:rPr>
          <w:rtl/>
        </w:rPr>
        <w:t>מפשטות</w:t>
      </w:r>
      <w:r>
        <w:rPr>
          <w:rtl/>
          <w:lang w:bidi="ar-SA"/>
        </w:rPr>
        <w:t xml:space="preserve"> </w:t>
      </w:r>
      <w:r>
        <w:rPr>
          <w:rtl/>
        </w:rPr>
        <w:t>דברי</w:t>
      </w:r>
      <w:r>
        <w:rPr>
          <w:rtl/>
          <w:lang w:bidi="ar-SA"/>
        </w:rPr>
        <w:t xml:space="preserve"> </w:t>
      </w:r>
      <w:r>
        <w:rPr>
          <w:rtl/>
        </w:rPr>
        <w:t>הגמרא</w:t>
      </w:r>
      <w:r>
        <w:rPr>
          <w:rtl/>
          <w:lang w:bidi="ar-SA"/>
        </w:rPr>
        <w:t xml:space="preserve"> </w:t>
      </w:r>
      <w:r>
        <w:rPr>
          <w:rtl/>
        </w:rPr>
        <w:t>משמע</w:t>
      </w:r>
      <w:r>
        <w:rPr>
          <w:rtl/>
          <w:lang w:bidi="ar-SA"/>
        </w:rPr>
        <w:t xml:space="preserve"> </w:t>
      </w:r>
      <w:r>
        <w:rPr>
          <w:rtl/>
        </w:rPr>
        <w:t>שהוא</w:t>
      </w:r>
      <w:r>
        <w:rPr>
          <w:rtl/>
          <w:lang w:bidi="ar-SA"/>
        </w:rPr>
        <w:t xml:space="preserve"> </w:t>
      </w:r>
      <w:r>
        <w:rPr>
          <w:rtl/>
        </w:rPr>
        <w:t>מילתא</w:t>
      </w:r>
      <w:r>
        <w:rPr>
          <w:rtl/>
          <w:lang w:bidi="ar-SA"/>
        </w:rPr>
        <w:t xml:space="preserve"> </w:t>
      </w:r>
      <w:r>
        <w:rPr>
          <w:rtl/>
        </w:rPr>
        <w:t>בטעמא</w:t>
      </w:r>
      <w:r>
        <w:rPr>
          <w:rtl/>
          <w:lang w:bidi="ar-SA"/>
        </w:rPr>
        <w:t xml:space="preserve">, </w:t>
      </w:r>
      <w:r>
        <w:rPr>
          <w:rtl/>
        </w:rPr>
        <w:t>ע</w:t>
      </w:r>
      <w:r>
        <w:rPr>
          <w:rtl/>
          <w:lang w:bidi="ar-SA"/>
        </w:rPr>
        <w:t>"</w:t>
      </w:r>
      <w:r>
        <w:rPr>
          <w:rtl/>
        </w:rPr>
        <w:t>ד</w:t>
      </w:r>
      <w:r>
        <w:rPr>
          <w:rtl/>
          <w:lang w:bidi="ar-SA"/>
        </w:rPr>
        <w:t xml:space="preserve"> </w:t>
      </w:r>
      <w:r>
        <w:rPr>
          <w:rtl/>
        </w:rPr>
        <w:t>שלא</w:t>
      </w:r>
      <w:r>
        <w:rPr>
          <w:rtl/>
          <w:lang w:bidi="ar-SA"/>
        </w:rPr>
        <w:t xml:space="preserve"> </w:t>
      </w:r>
      <w:r>
        <w:rPr>
          <w:rtl/>
        </w:rPr>
        <w:t>קיבלו</w:t>
      </w:r>
      <w:r>
        <w:rPr>
          <w:rtl/>
          <w:lang w:bidi="ar-SA"/>
        </w:rPr>
        <w:t xml:space="preserve"> </w:t>
      </w:r>
      <w:r>
        <w:rPr>
          <w:rtl/>
        </w:rPr>
        <w:t>בימי</w:t>
      </w:r>
      <w:r>
        <w:rPr>
          <w:rtl/>
          <w:lang w:bidi="ar-SA"/>
        </w:rPr>
        <w:t xml:space="preserve"> </w:t>
      </w:r>
      <w:r>
        <w:rPr>
          <w:rtl/>
        </w:rPr>
        <w:t>דוד</w:t>
      </w:r>
      <w:r>
        <w:rPr>
          <w:rtl/>
          <w:lang w:bidi="ar-SA"/>
        </w:rPr>
        <w:t xml:space="preserve"> </w:t>
      </w:r>
      <w:r>
        <w:rPr>
          <w:rtl/>
        </w:rPr>
        <w:t>ושלמה</w:t>
      </w:r>
      <w:r>
        <w:rPr>
          <w:rtl/>
          <w:lang w:bidi="ar-SA"/>
        </w:rPr>
        <w:t xml:space="preserve">, </w:t>
      </w:r>
      <w:r>
        <w:rPr>
          <w:rtl/>
        </w:rPr>
        <w:t>דהוא</w:t>
      </w:r>
      <w:r>
        <w:rPr>
          <w:rtl/>
          <w:lang w:bidi="ar-SA"/>
        </w:rPr>
        <w:t xml:space="preserve"> </w:t>
      </w:r>
      <w:r>
        <w:rPr>
          <w:rtl/>
        </w:rPr>
        <w:t>סברא</w:t>
      </w:r>
      <w:r>
        <w:rPr>
          <w:rtl/>
          <w:lang w:bidi="ar-SA"/>
        </w:rPr>
        <w:t xml:space="preserve"> </w:t>
      </w:r>
      <w:r>
        <w:rPr>
          <w:rtl/>
        </w:rPr>
        <w:t>ולא</w:t>
      </w:r>
      <w:r>
        <w:rPr>
          <w:rtl/>
          <w:lang w:bidi="ar-SA"/>
        </w:rPr>
        <w:t xml:space="preserve"> </w:t>
      </w:r>
      <w:r>
        <w:rPr>
          <w:rtl/>
        </w:rPr>
        <w:t>גזירת</w:t>
      </w:r>
      <w:r>
        <w:rPr>
          <w:rtl/>
          <w:lang w:bidi="ar-SA"/>
        </w:rPr>
        <w:t xml:space="preserve"> </w:t>
      </w:r>
      <w:r>
        <w:rPr>
          <w:rtl/>
        </w:rPr>
        <w:t>הכתוב</w:t>
      </w:r>
      <w:r>
        <w:rPr>
          <w:rtl/>
          <w:lang w:bidi="ar-SA"/>
        </w:rPr>
        <w:t>].</w:t>
      </w:r>
    </w:p>
    <w:p w14:paraId="05AB9262" w14:textId="701DC403" w:rsidR="00DF4CDD" w:rsidRPr="00DF4CDD" w:rsidRDefault="00DF4CDD" w:rsidP="00423C6D">
      <w:pPr>
        <w:pStyle w:val="a2"/>
        <w:rPr>
          <w:rFonts w:asciiTheme="minorHAnsi" w:hAnsiTheme="minorHAnsi"/>
          <w:lang w:bidi="ar-SA"/>
        </w:rPr>
      </w:pPr>
      <w:r>
        <w:rPr>
          <w:rtl/>
        </w:rPr>
        <w:t>ובאמת</w:t>
      </w:r>
      <w:r>
        <w:rPr>
          <w:rtl/>
          <w:lang w:bidi="ar-SA"/>
        </w:rPr>
        <w:t xml:space="preserve"> </w:t>
      </w:r>
      <w:r>
        <w:rPr>
          <w:rtl/>
        </w:rPr>
        <w:t>בדבריו</w:t>
      </w:r>
      <w:r>
        <w:rPr>
          <w:rtl/>
          <w:lang w:bidi="ar-SA"/>
        </w:rPr>
        <w:t xml:space="preserve"> </w:t>
      </w:r>
      <w:r>
        <w:rPr>
          <w:rtl/>
        </w:rPr>
        <w:t>מרמז</w:t>
      </w:r>
      <w:r>
        <w:rPr>
          <w:rtl/>
          <w:lang w:bidi="ar-SA"/>
        </w:rPr>
        <w:t xml:space="preserve"> </w:t>
      </w:r>
      <w:r>
        <w:rPr>
          <w:rtl/>
        </w:rPr>
        <w:t>שם</w:t>
      </w:r>
      <w:r>
        <w:rPr>
          <w:rtl/>
          <w:lang w:bidi="ar-SA"/>
        </w:rPr>
        <w:t xml:space="preserve"> </w:t>
      </w:r>
      <w:r>
        <w:rPr>
          <w:rtl/>
        </w:rPr>
        <w:t>עוד</w:t>
      </w:r>
      <w:r>
        <w:rPr>
          <w:rtl/>
          <w:lang w:bidi="ar-SA"/>
        </w:rPr>
        <w:t xml:space="preserve"> </w:t>
      </w:r>
      <w:r>
        <w:rPr>
          <w:rtl/>
        </w:rPr>
        <w:t>תירוץ</w:t>
      </w:r>
      <w:r>
        <w:rPr>
          <w:rtl/>
          <w:lang w:bidi="ar-SA"/>
        </w:rPr>
        <w:t xml:space="preserve">, </w:t>
      </w:r>
      <w:r>
        <w:rPr>
          <w:rtl/>
        </w:rPr>
        <w:t>והוא</w:t>
      </w:r>
      <w:r>
        <w:rPr>
          <w:rtl/>
          <w:lang w:bidi="ar-SA"/>
        </w:rPr>
        <w:t xml:space="preserve">, </w:t>
      </w:r>
      <w:r>
        <w:rPr>
          <w:rtl/>
        </w:rPr>
        <w:t>שיש</w:t>
      </w:r>
      <w:r>
        <w:rPr>
          <w:rtl/>
          <w:lang w:bidi="ar-SA"/>
        </w:rPr>
        <w:t xml:space="preserve"> </w:t>
      </w:r>
      <w:r>
        <w:rPr>
          <w:rtl/>
        </w:rPr>
        <w:t>חילוק</w:t>
      </w:r>
      <w:r>
        <w:rPr>
          <w:rtl/>
          <w:lang w:bidi="ar-SA"/>
        </w:rPr>
        <w:t xml:space="preserve"> </w:t>
      </w:r>
      <w:r>
        <w:rPr>
          <w:rtl/>
        </w:rPr>
        <w:t>בין</w:t>
      </w:r>
      <w:r>
        <w:rPr>
          <w:rtl/>
          <w:lang w:bidi="ar-SA"/>
        </w:rPr>
        <w:t xml:space="preserve"> </w:t>
      </w:r>
      <w:r>
        <w:rPr>
          <w:rtl/>
        </w:rPr>
        <w:t>תקופת</w:t>
      </w:r>
      <w:r>
        <w:rPr>
          <w:rtl/>
          <w:lang w:bidi="ar-SA"/>
        </w:rPr>
        <w:t xml:space="preserve"> </w:t>
      </w:r>
      <w:r>
        <w:rPr>
          <w:rtl/>
        </w:rPr>
        <w:t>ימות</w:t>
      </w:r>
      <w:r>
        <w:rPr>
          <w:rtl/>
          <w:lang w:bidi="ar-SA"/>
        </w:rPr>
        <w:t xml:space="preserve"> </w:t>
      </w:r>
      <w:r>
        <w:rPr>
          <w:rtl/>
        </w:rPr>
        <w:t>המשיח</w:t>
      </w:r>
      <w:r>
        <w:rPr>
          <w:rtl/>
          <w:lang w:bidi="ar-SA"/>
        </w:rPr>
        <w:t xml:space="preserve">, </w:t>
      </w:r>
      <w:r>
        <w:rPr>
          <w:rtl/>
        </w:rPr>
        <w:t>שאז</w:t>
      </w:r>
      <w:r>
        <w:rPr>
          <w:rtl/>
          <w:lang w:bidi="ar-SA"/>
        </w:rPr>
        <w:t xml:space="preserve"> </w:t>
      </w:r>
      <w:r>
        <w:rPr>
          <w:rtl/>
        </w:rPr>
        <w:t>עדיין</w:t>
      </w:r>
      <w:r>
        <w:rPr>
          <w:rtl/>
          <w:lang w:bidi="ar-SA"/>
        </w:rPr>
        <w:t xml:space="preserve"> </w:t>
      </w:r>
      <w:r>
        <w:rPr>
          <w:rtl/>
        </w:rPr>
        <w:t>יהי</w:t>
      </w:r>
      <w:r>
        <w:rPr>
          <w:rtl/>
          <w:lang w:bidi="ar-SA"/>
        </w:rPr>
        <w:t xml:space="preserve">' </w:t>
      </w:r>
      <w:r>
        <w:rPr>
          <w:rtl/>
        </w:rPr>
        <w:t>טו</w:t>
      </w:r>
      <w:r>
        <w:rPr>
          <w:rtl/>
          <w:lang w:bidi="ar-SA"/>
        </w:rPr>
        <w:t>"</w:t>
      </w:r>
      <w:r>
        <w:rPr>
          <w:rtl/>
        </w:rPr>
        <w:t>ר</w:t>
      </w:r>
      <w:r>
        <w:rPr>
          <w:rtl/>
          <w:lang w:bidi="ar-SA"/>
        </w:rPr>
        <w:t xml:space="preserve"> </w:t>
      </w:r>
      <w:r>
        <w:rPr>
          <w:rtl/>
        </w:rPr>
        <w:t>אצל</w:t>
      </w:r>
      <w:r>
        <w:rPr>
          <w:rtl/>
          <w:lang w:bidi="ar-SA"/>
        </w:rPr>
        <w:t xml:space="preserve"> </w:t>
      </w:r>
      <w:r>
        <w:rPr>
          <w:rtl/>
        </w:rPr>
        <w:t>אומות</w:t>
      </w:r>
      <w:r>
        <w:rPr>
          <w:rtl/>
          <w:lang w:bidi="ar-SA"/>
        </w:rPr>
        <w:t xml:space="preserve"> </w:t>
      </w:r>
      <w:r>
        <w:rPr>
          <w:rtl/>
        </w:rPr>
        <w:t>העולם</w:t>
      </w:r>
      <w:r>
        <w:rPr>
          <w:rtl/>
          <w:lang w:bidi="ar-SA"/>
        </w:rPr>
        <w:t xml:space="preserve"> (</w:t>
      </w:r>
      <w:r>
        <w:rPr>
          <w:rtl/>
        </w:rPr>
        <w:t>ראה</w:t>
      </w:r>
      <w:r>
        <w:rPr>
          <w:rtl/>
          <w:lang w:bidi="ar-SA"/>
        </w:rPr>
        <w:t xml:space="preserve"> </w:t>
      </w:r>
      <w:r>
        <w:rPr>
          <w:rtl/>
        </w:rPr>
        <w:t>תניא</w:t>
      </w:r>
      <w:r>
        <w:rPr>
          <w:rtl/>
          <w:lang w:bidi="ar-SA"/>
        </w:rPr>
        <w:t xml:space="preserve"> </w:t>
      </w:r>
      <w:r>
        <w:rPr>
          <w:rtl/>
        </w:rPr>
        <w:t>אגה</w:t>
      </w:r>
      <w:r>
        <w:rPr>
          <w:rtl/>
          <w:lang w:bidi="ar-SA"/>
        </w:rPr>
        <w:t>"</w:t>
      </w:r>
      <w:r>
        <w:rPr>
          <w:rtl/>
        </w:rPr>
        <w:t>ק</w:t>
      </w:r>
      <w:r>
        <w:rPr>
          <w:rtl/>
          <w:lang w:bidi="ar-SA"/>
        </w:rPr>
        <w:t xml:space="preserve"> </w:t>
      </w:r>
      <w:r>
        <w:rPr>
          <w:rtl/>
        </w:rPr>
        <w:t>סכ</w:t>
      </w:r>
      <w:r>
        <w:rPr>
          <w:rtl/>
          <w:lang w:bidi="ar-SA"/>
        </w:rPr>
        <w:t>"</w:t>
      </w:r>
      <w:r>
        <w:rPr>
          <w:rtl/>
        </w:rPr>
        <w:t>ו</w:t>
      </w:r>
      <w:r>
        <w:rPr>
          <w:rtl/>
          <w:lang w:bidi="ar-SA"/>
        </w:rPr>
        <w:t xml:space="preserve"> </w:t>
      </w:r>
      <w:r>
        <w:rPr>
          <w:rtl/>
        </w:rPr>
        <w:t>בסופו</w:t>
      </w:r>
      <w:r>
        <w:rPr>
          <w:rtl/>
          <w:lang w:bidi="ar-SA"/>
        </w:rPr>
        <w:t xml:space="preserve"> </w:t>
      </w:r>
      <w:r>
        <w:rPr>
          <w:rtl/>
        </w:rPr>
        <w:t>ובכ</w:t>
      </w:r>
      <w:r>
        <w:rPr>
          <w:rtl/>
          <w:lang w:bidi="ar-SA"/>
        </w:rPr>
        <w:t>"</w:t>
      </w:r>
      <w:r>
        <w:rPr>
          <w:rtl/>
        </w:rPr>
        <w:t>מ</w:t>
      </w:r>
      <w:r>
        <w:rPr>
          <w:rtl/>
          <w:lang w:bidi="ar-SA"/>
        </w:rPr>
        <w:t xml:space="preserve">), </w:t>
      </w:r>
      <w:r>
        <w:rPr>
          <w:rtl/>
        </w:rPr>
        <w:t>ואז</w:t>
      </w:r>
      <w:r>
        <w:rPr>
          <w:rtl/>
          <w:lang w:bidi="ar-SA"/>
        </w:rPr>
        <w:t xml:space="preserve"> </w:t>
      </w:r>
      <w:r>
        <w:rPr>
          <w:rtl/>
        </w:rPr>
        <w:t>לא</w:t>
      </w:r>
      <w:r>
        <w:rPr>
          <w:rtl/>
          <w:lang w:bidi="ar-SA"/>
        </w:rPr>
        <w:t xml:space="preserve"> </w:t>
      </w:r>
      <w:r>
        <w:rPr>
          <w:rtl/>
        </w:rPr>
        <w:t>יהי</w:t>
      </w:r>
      <w:r>
        <w:rPr>
          <w:rtl/>
          <w:lang w:bidi="ar-SA"/>
        </w:rPr>
        <w:t xml:space="preserve">' </w:t>
      </w:r>
      <w:r>
        <w:rPr>
          <w:rtl/>
        </w:rPr>
        <w:t>ברור</w:t>
      </w:r>
      <w:r>
        <w:rPr>
          <w:rtl/>
          <w:lang w:bidi="ar-SA"/>
        </w:rPr>
        <w:t xml:space="preserve"> </w:t>
      </w:r>
      <w:r>
        <w:rPr>
          <w:rtl/>
        </w:rPr>
        <w:t>מהו</w:t>
      </w:r>
      <w:r>
        <w:rPr>
          <w:rtl/>
          <w:lang w:bidi="ar-SA"/>
        </w:rPr>
        <w:t xml:space="preserve"> </w:t>
      </w:r>
      <w:r>
        <w:rPr>
          <w:rtl/>
        </w:rPr>
        <w:t>כוונת</w:t>
      </w:r>
      <w:r>
        <w:rPr>
          <w:rtl/>
          <w:lang w:bidi="ar-SA"/>
        </w:rPr>
        <w:t xml:space="preserve"> </w:t>
      </w:r>
      <w:r>
        <w:rPr>
          <w:rtl/>
        </w:rPr>
        <w:t>הגר</w:t>
      </w:r>
      <w:r>
        <w:rPr>
          <w:rtl/>
          <w:lang w:bidi="ar-SA"/>
        </w:rPr>
        <w:t xml:space="preserve"> </w:t>
      </w:r>
      <w:r>
        <w:rPr>
          <w:rtl/>
        </w:rPr>
        <w:t>המתגייר</w:t>
      </w:r>
      <w:r>
        <w:rPr>
          <w:rtl/>
          <w:lang w:bidi="ar-SA"/>
        </w:rPr>
        <w:t xml:space="preserve">, </w:t>
      </w:r>
      <w:r>
        <w:rPr>
          <w:rtl/>
        </w:rPr>
        <w:t>להזמן</w:t>
      </w:r>
      <w:r>
        <w:rPr>
          <w:rtl/>
          <w:lang w:bidi="ar-SA"/>
        </w:rPr>
        <w:t xml:space="preserve"> </w:t>
      </w:r>
      <w:r>
        <w:rPr>
          <w:rtl/>
        </w:rPr>
        <w:t>של</w:t>
      </w:r>
      <w:r>
        <w:rPr>
          <w:rtl/>
          <w:lang w:bidi="ar-SA"/>
        </w:rPr>
        <w:t xml:space="preserve"> </w:t>
      </w:r>
      <w:r>
        <w:rPr>
          <w:rtl/>
        </w:rPr>
        <w:t>תחיית</w:t>
      </w:r>
      <w:r>
        <w:rPr>
          <w:rtl/>
          <w:lang w:bidi="ar-SA"/>
        </w:rPr>
        <w:t xml:space="preserve"> </w:t>
      </w:r>
      <w:r>
        <w:rPr>
          <w:rtl/>
        </w:rPr>
        <w:t>המתים</w:t>
      </w:r>
      <w:r>
        <w:rPr>
          <w:rtl/>
          <w:lang w:bidi="ar-SA"/>
        </w:rPr>
        <w:t xml:space="preserve"> </w:t>
      </w:r>
      <w:r>
        <w:rPr>
          <w:rtl/>
        </w:rPr>
        <w:t>שאז</w:t>
      </w:r>
      <w:r>
        <w:rPr>
          <w:rtl/>
          <w:lang w:bidi="ar-SA"/>
        </w:rPr>
        <w:t xml:space="preserve"> </w:t>
      </w:r>
      <w:r>
        <w:rPr>
          <w:rtl/>
        </w:rPr>
        <w:t>יהי</w:t>
      </w:r>
      <w:r>
        <w:rPr>
          <w:rtl/>
          <w:lang w:bidi="ar-SA"/>
        </w:rPr>
        <w:t xml:space="preserve">' </w:t>
      </w:r>
      <w:r>
        <w:rPr>
          <w:rtl/>
        </w:rPr>
        <w:t>בטול</w:t>
      </w:r>
      <w:r>
        <w:rPr>
          <w:rtl/>
          <w:lang w:bidi="ar-SA"/>
        </w:rPr>
        <w:t xml:space="preserve"> </w:t>
      </w:r>
      <w:r>
        <w:rPr>
          <w:rtl/>
        </w:rPr>
        <w:t>הרע</w:t>
      </w:r>
      <w:r>
        <w:rPr>
          <w:rtl/>
          <w:lang w:bidi="ar-SA"/>
        </w:rPr>
        <w:t xml:space="preserve"> </w:t>
      </w:r>
      <w:r>
        <w:rPr>
          <w:rtl/>
        </w:rPr>
        <w:t>לגמרי</w:t>
      </w:r>
      <w:r>
        <w:rPr>
          <w:rtl/>
          <w:lang w:bidi="ar-SA"/>
        </w:rPr>
        <w:t xml:space="preserve">, </w:t>
      </w:r>
      <w:r>
        <w:rPr>
          <w:rtl/>
        </w:rPr>
        <w:t>ואז</w:t>
      </w:r>
      <w:r>
        <w:rPr>
          <w:rtl/>
          <w:lang w:bidi="ar-SA"/>
        </w:rPr>
        <w:t xml:space="preserve"> </w:t>
      </w:r>
      <w:r>
        <w:rPr>
          <w:rtl/>
        </w:rPr>
        <w:t>יהי</w:t>
      </w:r>
      <w:r>
        <w:rPr>
          <w:rtl/>
          <w:lang w:bidi="ar-SA"/>
        </w:rPr>
        <w:t xml:space="preserve">' </w:t>
      </w:r>
      <w:r>
        <w:rPr>
          <w:rtl/>
        </w:rPr>
        <w:t>ברור</w:t>
      </w:r>
      <w:r>
        <w:rPr>
          <w:rtl/>
          <w:lang w:bidi="ar-SA"/>
        </w:rPr>
        <w:t xml:space="preserve"> </w:t>
      </w:r>
      <w:r>
        <w:rPr>
          <w:rtl/>
        </w:rPr>
        <w:t>שכוונתו</w:t>
      </w:r>
      <w:r>
        <w:rPr>
          <w:rtl/>
          <w:lang w:bidi="ar-SA"/>
        </w:rPr>
        <w:t xml:space="preserve"> </w:t>
      </w:r>
      <w:r>
        <w:rPr>
          <w:rtl/>
        </w:rPr>
        <w:t>לשמים</w:t>
      </w:r>
      <w:r>
        <w:rPr>
          <w:rtl/>
          <w:lang w:bidi="ar-SA"/>
        </w:rPr>
        <w:t xml:space="preserve">. </w:t>
      </w:r>
      <w:r>
        <w:rPr>
          <w:rtl/>
        </w:rPr>
        <w:t>ועיקר</w:t>
      </w:r>
      <w:r>
        <w:rPr>
          <w:rtl/>
          <w:lang w:bidi="ar-SA"/>
        </w:rPr>
        <w:t xml:space="preserve"> </w:t>
      </w:r>
      <w:r>
        <w:rPr>
          <w:rtl/>
        </w:rPr>
        <w:t>הקושי</w:t>
      </w:r>
      <w:r>
        <w:rPr>
          <w:rtl/>
          <w:lang w:bidi="ar-SA"/>
        </w:rPr>
        <w:t xml:space="preserve">' </w:t>
      </w:r>
      <w:r>
        <w:rPr>
          <w:rtl/>
        </w:rPr>
        <w:t>הוא</w:t>
      </w:r>
      <w:r>
        <w:rPr>
          <w:rtl/>
          <w:lang w:bidi="ar-SA"/>
        </w:rPr>
        <w:t xml:space="preserve"> </w:t>
      </w:r>
      <w:r>
        <w:rPr>
          <w:rtl/>
        </w:rPr>
        <w:t>על</w:t>
      </w:r>
      <w:r>
        <w:rPr>
          <w:rtl/>
          <w:lang w:bidi="ar-SA"/>
        </w:rPr>
        <w:t xml:space="preserve"> </w:t>
      </w:r>
      <w:r>
        <w:rPr>
          <w:rtl/>
        </w:rPr>
        <w:t>הזמן</w:t>
      </w:r>
      <w:r>
        <w:rPr>
          <w:rtl/>
          <w:lang w:bidi="ar-SA"/>
        </w:rPr>
        <w:t xml:space="preserve"> </w:t>
      </w:r>
      <w:r>
        <w:rPr>
          <w:rtl/>
        </w:rPr>
        <w:t>של</w:t>
      </w:r>
      <w:r>
        <w:rPr>
          <w:rtl/>
          <w:lang w:bidi="ar-SA"/>
        </w:rPr>
        <w:t xml:space="preserve"> </w:t>
      </w:r>
      <w:r>
        <w:rPr>
          <w:rtl/>
        </w:rPr>
        <w:t>עוה</w:t>
      </w:r>
      <w:r>
        <w:rPr>
          <w:rtl/>
          <w:lang w:bidi="ar-SA"/>
        </w:rPr>
        <w:t>"</w:t>
      </w:r>
      <w:r>
        <w:rPr>
          <w:rtl/>
        </w:rPr>
        <w:t>ב</w:t>
      </w:r>
      <w:r>
        <w:rPr>
          <w:rtl/>
          <w:lang w:bidi="ar-SA"/>
        </w:rPr>
        <w:t xml:space="preserve">. </w:t>
      </w:r>
      <w:r>
        <w:rPr>
          <w:rtl/>
        </w:rPr>
        <w:t>אבל</w:t>
      </w:r>
      <w:r>
        <w:rPr>
          <w:rtl/>
          <w:lang w:bidi="ar-SA"/>
        </w:rPr>
        <w:t xml:space="preserve"> </w:t>
      </w:r>
      <w:r>
        <w:rPr>
          <w:rtl/>
        </w:rPr>
        <w:t>ע</w:t>
      </w:r>
      <w:r>
        <w:rPr>
          <w:rtl/>
          <w:lang w:bidi="ar-SA"/>
        </w:rPr>
        <w:t>"</w:t>
      </w:r>
      <w:r>
        <w:rPr>
          <w:rtl/>
        </w:rPr>
        <w:t>פ</w:t>
      </w:r>
      <w:r>
        <w:rPr>
          <w:rtl/>
          <w:lang w:bidi="ar-SA"/>
        </w:rPr>
        <w:t xml:space="preserve"> </w:t>
      </w:r>
      <w:r>
        <w:rPr>
          <w:rtl/>
        </w:rPr>
        <w:t>הנ</w:t>
      </w:r>
      <w:r>
        <w:rPr>
          <w:rtl/>
          <w:lang w:bidi="ar-SA"/>
        </w:rPr>
        <w:t>"</w:t>
      </w:r>
      <w:r>
        <w:rPr>
          <w:rtl/>
        </w:rPr>
        <w:t>ל</w:t>
      </w:r>
      <w:r>
        <w:rPr>
          <w:rtl/>
          <w:lang w:bidi="ar-SA"/>
        </w:rPr>
        <w:t xml:space="preserve"> </w:t>
      </w:r>
      <w:r>
        <w:rPr>
          <w:rtl/>
        </w:rPr>
        <w:t>לכאו</w:t>
      </w:r>
      <w:r>
        <w:rPr>
          <w:rtl/>
          <w:lang w:bidi="ar-SA"/>
        </w:rPr>
        <w:t xml:space="preserve">' </w:t>
      </w:r>
      <w:r>
        <w:rPr>
          <w:rtl/>
        </w:rPr>
        <w:t>י</w:t>
      </w:r>
      <w:r>
        <w:rPr>
          <w:rtl/>
          <w:lang w:bidi="ar-SA"/>
        </w:rPr>
        <w:t>"</w:t>
      </w:r>
      <w:r>
        <w:rPr>
          <w:rtl/>
        </w:rPr>
        <w:t>ל</w:t>
      </w:r>
      <w:r>
        <w:rPr>
          <w:rtl/>
          <w:lang w:bidi="ar-SA"/>
        </w:rPr>
        <w:t xml:space="preserve"> </w:t>
      </w:r>
      <w:r>
        <w:rPr>
          <w:rtl/>
        </w:rPr>
        <w:t>שלעוה</w:t>
      </w:r>
      <w:r>
        <w:rPr>
          <w:rtl/>
          <w:lang w:bidi="ar-SA"/>
        </w:rPr>
        <w:t>"</w:t>
      </w:r>
      <w:r>
        <w:rPr>
          <w:rtl/>
        </w:rPr>
        <w:t>ב</w:t>
      </w:r>
      <w:r>
        <w:rPr>
          <w:rtl/>
          <w:lang w:bidi="ar-SA"/>
        </w:rPr>
        <w:t xml:space="preserve"> </w:t>
      </w:r>
      <w:r>
        <w:rPr>
          <w:rtl/>
        </w:rPr>
        <w:t>בודאי</w:t>
      </w:r>
      <w:r>
        <w:rPr>
          <w:rtl/>
          <w:lang w:bidi="ar-SA"/>
        </w:rPr>
        <w:t xml:space="preserve"> </w:t>
      </w:r>
      <w:r>
        <w:rPr>
          <w:rtl/>
        </w:rPr>
        <w:t>לא</w:t>
      </w:r>
      <w:r>
        <w:rPr>
          <w:rtl/>
          <w:lang w:bidi="ar-SA"/>
        </w:rPr>
        <w:t xml:space="preserve"> </w:t>
      </w:r>
      <w:r>
        <w:rPr>
          <w:rtl/>
        </w:rPr>
        <w:t>שייך</w:t>
      </w:r>
      <w:r>
        <w:rPr>
          <w:rtl/>
          <w:lang w:bidi="ar-SA"/>
        </w:rPr>
        <w:t xml:space="preserve"> </w:t>
      </w:r>
      <w:r>
        <w:rPr>
          <w:rtl/>
        </w:rPr>
        <w:t>ענין</w:t>
      </w:r>
      <w:r>
        <w:rPr>
          <w:rtl/>
          <w:lang w:bidi="ar-SA"/>
        </w:rPr>
        <w:t xml:space="preserve"> </w:t>
      </w:r>
      <w:r>
        <w:rPr>
          <w:rtl/>
        </w:rPr>
        <w:t>הגירות</w:t>
      </w:r>
      <w:r>
        <w:rPr>
          <w:rtl/>
          <w:lang w:bidi="ar-SA"/>
        </w:rPr>
        <w:t xml:space="preserve"> </w:t>
      </w:r>
      <w:r>
        <w:rPr>
          <w:rtl/>
        </w:rPr>
        <w:t>כלל</w:t>
      </w:r>
      <w:r>
        <w:rPr>
          <w:rtl/>
          <w:lang w:bidi="ar-SA"/>
        </w:rPr>
        <w:t xml:space="preserve">, </w:t>
      </w:r>
      <w:r>
        <w:rPr>
          <w:rtl/>
        </w:rPr>
        <w:t>כי</w:t>
      </w:r>
      <w:r>
        <w:rPr>
          <w:rtl/>
          <w:lang w:bidi="ar-SA"/>
        </w:rPr>
        <w:t xml:space="preserve"> </w:t>
      </w:r>
      <w:r>
        <w:rPr>
          <w:rtl/>
        </w:rPr>
        <w:t>אז</w:t>
      </w:r>
      <w:r>
        <w:rPr>
          <w:rtl/>
          <w:lang w:bidi="ar-SA"/>
        </w:rPr>
        <w:t xml:space="preserve"> </w:t>
      </w:r>
      <w:r>
        <w:rPr>
          <w:rtl/>
        </w:rPr>
        <w:t>כל</w:t>
      </w:r>
      <w:r>
        <w:rPr>
          <w:rtl/>
          <w:lang w:bidi="ar-SA"/>
        </w:rPr>
        <w:t xml:space="preserve"> </w:t>
      </w:r>
      <w:r>
        <w:rPr>
          <w:rtl/>
        </w:rPr>
        <w:t>העולם</w:t>
      </w:r>
      <w:r>
        <w:rPr>
          <w:rtl/>
          <w:lang w:bidi="ar-SA"/>
        </w:rPr>
        <w:t xml:space="preserve"> </w:t>
      </w:r>
      <w:r>
        <w:rPr>
          <w:rtl/>
        </w:rPr>
        <w:t>יהי</w:t>
      </w:r>
      <w:r>
        <w:rPr>
          <w:rtl/>
          <w:lang w:bidi="ar-SA"/>
        </w:rPr>
        <w:t xml:space="preserve">' </w:t>
      </w:r>
      <w:r>
        <w:rPr>
          <w:rtl/>
        </w:rPr>
        <w:t>כבר</w:t>
      </w:r>
      <w:r>
        <w:rPr>
          <w:rtl/>
          <w:lang w:bidi="ar-SA"/>
        </w:rPr>
        <w:t xml:space="preserve"> </w:t>
      </w:r>
      <w:r>
        <w:rPr>
          <w:rtl/>
        </w:rPr>
        <w:t>אחר</w:t>
      </w:r>
      <w:r>
        <w:rPr>
          <w:rtl/>
          <w:lang w:bidi="ar-SA"/>
        </w:rPr>
        <w:t xml:space="preserve"> </w:t>
      </w:r>
      <w:r>
        <w:rPr>
          <w:rtl/>
        </w:rPr>
        <w:t>הבירור</w:t>
      </w:r>
      <w:r>
        <w:rPr>
          <w:rtl/>
          <w:lang w:bidi="ar-SA"/>
        </w:rPr>
        <w:t xml:space="preserve"> </w:t>
      </w:r>
      <w:r>
        <w:rPr>
          <w:rtl/>
        </w:rPr>
        <w:t>וכו</w:t>
      </w:r>
      <w:r>
        <w:rPr>
          <w:rtl/>
          <w:lang w:bidi="ar-SA"/>
        </w:rPr>
        <w:t xml:space="preserve">', </w:t>
      </w:r>
      <w:r>
        <w:rPr>
          <w:rtl/>
        </w:rPr>
        <w:t>ולא</w:t>
      </w:r>
      <w:r>
        <w:rPr>
          <w:rtl/>
          <w:lang w:bidi="ar-SA"/>
        </w:rPr>
        <w:t xml:space="preserve"> </w:t>
      </w:r>
      <w:r>
        <w:rPr>
          <w:rtl/>
        </w:rPr>
        <w:t>יהי</w:t>
      </w:r>
      <w:r>
        <w:rPr>
          <w:rtl/>
          <w:lang w:bidi="ar-SA"/>
        </w:rPr>
        <w:t xml:space="preserve">' </w:t>
      </w:r>
      <w:r>
        <w:rPr>
          <w:rtl/>
        </w:rPr>
        <w:t>שייך</w:t>
      </w:r>
      <w:r>
        <w:rPr>
          <w:rtl/>
          <w:lang w:bidi="ar-SA"/>
        </w:rPr>
        <w:t xml:space="preserve"> </w:t>
      </w:r>
      <w:r>
        <w:rPr>
          <w:rtl/>
        </w:rPr>
        <w:t>העבודה</w:t>
      </w:r>
      <w:r>
        <w:rPr>
          <w:rtl/>
          <w:lang w:bidi="ar-SA"/>
        </w:rPr>
        <w:t xml:space="preserve"> </w:t>
      </w:r>
      <w:r>
        <w:rPr>
          <w:rtl/>
        </w:rPr>
        <w:t>של</w:t>
      </w:r>
      <w:r>
        <w:rPr>
          <w:rtl/>
          <w:lang w:bidi="ar-SA"/>
        </w:rPr>
        <w:t xml:space="preserve"> </w:t>
      </w:r>
      <w:r>
        <w:rPr>
          <w:rtl/>
        </w:rPr>
        <w:t>גירות</w:t>
      </w:r>
      <w:r>
        <w:rPr>
          <w:rtl/>
          <w:lang w:bidi="ar-SA"/>
        </w:rPr>
        <w:t xml:space="preserve">, </w:t>
      </w:r>
      <w:r>
        <w:rPr>
          <w:rtl/>
        </w:rPr>
        <w:t>וכביאור</w:t>
      </w:r>
      <w:r>
        <w:rPr>
          <w:rtl/>
          <w:lang w:bidi="ar-SA"/>
        </w:rPr>
        <w:t xml:space="preserve"> </w:t>
      </w:r>
      <w:r>
        <w:rPr>
          <w:rtl/>
        </w:rPr>
        <w:t>השני</w:t>
      </w:r>
      <w:r>
        <w:rPr>
          <w:rtl/>
          <w:lang w:bidi="ar-SA"/>
        </w:rPr>
        <w:t xml:space="preserve"> </w:t>
      </w:r>
      <w:r>
        <w:rPr>
          <w:rtl/>
        </w:rPr>
        <w:t>הנ</w:t>
      </w:r>
      <w:r>
        <w:rPr>
          <w:rtl/>
          <w:lang w:bidi="ar-SA"/>
        </w:rPr>
        <w:t>"</w:t>
      </w:r>
      <w:r>
        <w:rPr>
          <w:rtl/>
        </w:rPr>
        <w:t>ל</w:t>
      </w:r>
      <w:r>
        <w:rPr>
          <w:rtl/>
          <w:lang w:bidi="ar-SA"/>
        </w:rPr>
        <w:t>.</w:t>
      </w:r>
    </w:p>
    <w:p w14:paraId="1003B7A6" w14:textId="40F595D6" w:rsidR="00DF4CDD" w:rsidRPr="00DF4CDD" w:rsidRDefault="00DF4CDD" w:rsidP="00423C6D">
      <w:pPr>
        <w:pStyle w:val="a2"/>
        <w:rPr>
          <w:rFonts w:asciiTheme="minorHAnsi" w:hAnsiTheme="minorHAnsi"/>
          <w:lang w:bidi="ar-SA"/>
        </w:rPr>
      </w:pPr>
      <w:r>
        <w:rPr>
          <w:rtl/>
        </w:rPr>
        <w:t>ומדאתינן</w:t>
      </w:r>
      <w:r>
        <w:rPr>
          <w:rtl/>
          <w:lang w:bidi="ar-SA"/>
        </w:rPr>
        <w:t xml:space="preserve"> </w:t>
      </w:r>
      <w:r>
        <w:rPr>
          <w:rtl/>
        </w:rPr>
        <w:t>להכי</w:t>
      </w:r>
      <w:r>
        <w:rPr>
          <w:rtl/>
          <w:lang w:bidi="ar-SA"/>
        </w:rPr>
        <w:t xml:space="preserve">, </w:t>
      </w:r>
      <w:r>
        <w:rPr>
          <w:rtl/>
        </w:rPr>
        <w:t>לכאו</w:t>
      </w:r>
      <w:r>
        <w:rPr>
          <w:rtl/>
          <w:lang w:bidi="ar-SA"/>
        </w:rPr>
        <w:t xml:space="preserve">' </w:t>
      </w:r>
      <w:r>
        <w:rPr>
          <w:rtl/>
        </w:rPr>
        <w:t>אולי</w:t>
      </w:r>
      <w:r>
        <w:rPr>
          <w:rtl/>
          <w:lang w:bidi="ar-SA"/>
        </w:rPr>
        <w:t xml:space="preserve"> </w:t>
      </w:r>
      <w:r>
        <w:rPr>
          <w:rtl/>
        </w:rPr>
        <w:t>י</w:t>
      </w:r>
      <w:r>
        <w:rPr>
          <w:rtl/>
          <w:lang w:bidi="ar-SA"/>
        </w:rPr>
        <w:t>"</w:t>
      </w:r>
      <w:r>
        <w:rPr>
          <w:rtl/>
        </w:rPr>
        <w:t>ל</w:t>
      </w:r>
      <w:r>
        <w:rPr>
          <w:rtl/>
          <w:lang w:bidi="ar-SA"/>
        </w:rPr>
        <w:t xml:space="preserve"> </w:t>
      </w:r>
      <w:r>
        <w:rPr>
          <w:rtl/>
        </w:rPr>
        <w:t>שביאור</w:t>
      </w:r>
      <w:r>
        <w:rPr>
          <w:rtl/>
          <w:lang w:bidi="ar-SA"/>
        </w:rPr>
        <w:t xml:space="preserve"> </w:t>
      </w:r>
      <w:r>
        <w:rPr>
          <w:rtl/>
        </w:rPr>
        <w:t>הא</w:t>
      </w:r>
      <w:r>
        <w:rPr>
          <w:rtl/>
          <w:lang w:bidi="ar-SA"/>
        </w:rPr>
        <w:t xml:space="preserve">' </w:t>
      </w:r>
      <w:r>
        <w:rPr>
          <w:rtl/>
        </w:rPr>
        <w:t>הנ</w:t>
      </w:r>
      <w:r>
        <w:rPr>
          <w:rtl/>
          <w:lang w:bidi="ar-SA"/>
        </w:rPr>
        <w:t>"</w:t>
      </w:r>
      <w:r>
        <w:rPr>
          <w:rtl/>
        </w:rPr>
        <w:t>ל</w:t>
      </w:r>
      <w:r>
        <w:rPr>
          <w:rtl/>
          <w:lang w:bidi="ar-SA"/>
        </w:rPr>
        <w:t xml:space="preserve"> </w:t>
      </w:r>
      <w:r>
        <w:rPr>
          <w:rtl/>
        </w:rPr>
        <w:t>שייך</w:t>
      </w:r>
      <w:r>
        <w:rPr>
          <w:rtl/>
          <w:lang w:bidi="ar-SA"/>
        </w:rPr>
        <w:t xml:space="preserve"> (</w:t>
      </w:r>
      <w:r>
        <w:rPr>
          <w:rtl/>
        </w:rPr>
        <w:t>בעיקר</w:t>
      </w:r>
      <w:r>
        <w:rPr>
          <w:rtl/>
          <w:lang w:bidi="ar-SA"/>
        </w:rPr>
        <w:t xml:space="preserve">) </w:t>
      </w:r>
      <w:r>
        <w:rPr>
          <w:rtl/>
        </w:rPr>
        <w:t>להזמן</w:t>
      </w:r>
      <w:r>
        <w:rPr>
          <w:rtl/>
          <w:lang w:bidi="ar-SA"/>
        </w:rPr>
        <w:t xml:space="preserve"> </w:t>
      </w:r>
      <w:r>
        <w:rPr>
          <w:rtl/>
        </w:rPr>
        <w:t>של</w:t>
      </w:r>
      <w:r>
        <w:rPr>
          <w:rtl/>
          <w:lang w:bidi="ar-SA"/>
        </w:rPr>
        <w:t xml:space="preserve"> </w:t>
      </w:r>
      <w:r>
        <w:rPr>
          <w:rtl/>
        </w:rPr>
        <w:t>ימות</w:t>
      </w:r>
      <w:r>
        <w:rPr>
          <w:rtl/>
          <w:lang w:bidi="ar-SA"/>
        </w:rPr>
        <w:t xml:space="preserve"> </w:t>
      </w:r>
      <w:r>
        <w:rPr>
          <w:rtl/>
        </w:rPr>
        <w:t>המשיח</w:t>
      </w:r>
      <w:r>
        <w:rPr>
          <w:rtl/>
          <w:lang w:bidi="ar-SA"/>
        </w:rPr>
        <w:t xml:space="preserve">, </w:t>
      </w:r>
      <w:r>
        <w:rPr>
          <w:rtl/>
        </w:rPr>
        <w:t>שאז</w:t>
      </w:r>
      <w:r>
        <w:rPr>
          <w:rtl/>
          <w:lang w:bidi="ar-SA"/>
        </w:rPr>
        <w:t xml:space="preserve"> </w:t>
      </w:r>
      <w:r>
        <w:rPr>
          <w:rtl/>
        </w:rPr>
        <w:t>עדיין</w:t>
      </w:r>
      <w:r>
        <w:rPr>
          <w:rtl/>
          <w:lang w:bidi="ar-SA"/>
        </w:rPr>
        <w:t xml:space="preserve"> </w:t>
      </w:r>
      <w:r>
        <w:rPr>
          <w:rtl/>
        </w:rPr>
        <w:t>יהי</w:t>
      </w:r>
      <w:r>
        <w:rPr>
          <w:rtl/>
          <w:lang w:bidi="ar-SA"/>
        </w:rPr>
        <w:t xml:space="preserve">' </w:t>
      </w:r>
      <w:r>
        <w:rPr>
          <w:rtl/>
        </w:rPr>
        <w:t>טו</w:t>
      </w:r>
      <w:r>
        <w:rPr>
          <w:rtl/>
          <w:lang w:bidi="ar-SA"/>
        </w:rPr>
        <w:t>"</w:t>
      </w:r>
      <w:r>
        <w:rPr>
          <w:rtl/>
        </w:rPr>
        <w:t>ר</w:t>
      </w:r>
      <w:r>
        <w:rPr>
          <w:rtl/>
          <w:lang w:bidi="ar-SA"/>
        </w:rPr>
        <w:t xml:space="preserve"> </w:t>
      </w:r>
      <w:r>
        <w:rPr>
          <w:rtl/>
        </w:rPr>
        <w:t>אצל</w:t>
      </w:r>
      <w:r>
        <w:rPr>
          <w:rtl/>
          <w:lang w:bidi="ar-SA"/>
        </w:rPr>
        <w:t xml:space="preserve"> </w:t>
      </w:r>
      <w:r>
        <w:rPr>
          <w:rtl/>
        </w:rPr>
        <w:t>אומה</w:t>
      </w:r>
      <w:r>
        <w:rPr>
          <w:rtl/>
          <w:lang w:bidi="ar-SA"/>
        </w:rPr>
        <w:t>"</w:t>
      </w:r>
      <w:r>
        <w:rPr>
          <w:rtl/>
        </w:rPr>
        <w:t>ע</w:t>
      </w:r>
      <w:r>
        <w:rPr>
          <w:rtl/>
          <w:lang w:bidi="ar-SA"/>
        </w:rPr>
        <w:t xml:space="preserve">, </w:t>
      </w:r>
      <w:r>
        <w:rPr>
          <w:rtl/>
        </w:rPr>
        <w:t>וביאור</w:t>
      </w:r>
      <w:r>
        <w:rPr>
          <w:rtl/>
          <w:lang w:bidi="ar-SA"/>
        </w:rPr>
        <w:t xml:space="preserve"> </w:t>
      </w:r>
      <w:r>
        <w:rPr>
          <w:rtl/>
        </w:rPr>
        <w:t>השני</w:t>
      </w:r>
      <w:r>
        <w:rPr>
          <w:rtl/>
          <w:lang w:bidi="ar-SA"/>
        </w:rPr>
        <w:t xml:space="preserve"> </w:t>
      </w:r>
      <w:r>
        <w:rPr>
          <w:rtl/>
        </w:rPr>
        <w:t>שייך</w:t>
      </w:r>
      <w:r>
        <w:rPr>
          <w:rtl/>
          <w:lang w:bidi="ar-SA"/>
        </w:rPr>
        <w:t xml:space="preserve"> (</w:t>
      </w:r>
      <w:r>
        <w:rPr>
          <w:rtl/>
        </w:rPr>
        <w:t>בעיקר</w:t>
      </w:r>
      <w:r>
        <w:rPr>
          <w:rtl/>
          <w:lang w:bidi="ar-SA"/>
        </w:rPr>
        <w:t xml:space="preserve">) </w:t>
      </w:r>
      <w:r>
        <w:rPr>
          <w:rtl/>
        </w:rPr>
        <w:t>להזמן</w:t>
      </w:r>
      <w:r>
        <w:rPr>
          <w:rtl/>
          <w:lang w:bidi="ar-SA"/>
        </w:rPr>
        <w:t xml:space="preserve"> </w:t>
      </w:r>
      <w:r>
        <w:rPr>
          <w:rtl/>
        </w:rPr>
        <w:t>שאז</w:t>
      </w:r>
      <w:r>
        <w:rPr>
          <w:rtl/>
          <w:lang w:bidi="ar-SA"/>
        </w:rPr>
        <w:t xml:space="preserve"> </w:t>
      </w:r>
      <w:r>
        <w:rPr>
          <w:rtl/>
        </w:rPr>
        <w:t>יקויים</w:t>
      </w:r>
      <w:r>
        <w:rPr>
          <w:rtl/>
          <w:lang w:bidi="ar-SA"/>
        </w:rPr>
        <w:t xml:space="preserve"> </w:t>
      </w:r>
      <w:r>
        <w:rPr>
          <w:rtl/>
        </w:rPr>
        <w:t>ואת</w:t>
      </w:r>
      <w:r>
        <w:rPr>
          <w:rtl/>
          <w:lang w:bidi="ar-SA"/>
        </w:rPr>
        <w:t xml:space="preserve"> </w:t>
      </w:r>
      <w:r>
        <w:rPr>
          <w:rtl/>
        </w:rPr>
        <w:t>רוח</w:t>
      </w:r>
      <w:r>
        <w:rPr>
          <w:rtl/>
          <w:lang w:bidi="ar-SA"/>
        </w:rPr>
        <w:t xml:space="preserve"> </w:t>
      </w:r>
      <w:r>
        <w:rPr>
          <w:rtl/>
        </w:rPr>
        <w:t>הטומאה</w:t>
      </w:r>
      <w:r>
        <w:rPr>
          <w:rtl/>
          <w:lang w:bidi="ar-SA"/>
        </w:rPr>
        <w:t xml:space="preserve"> </w:t>
      </w:r>
      <w:r>
        <w:rPr>
          <w:rtl/>
        </w:rPr>
        <w:t>אעביר</w:t>
      </w:r>
      <w:r>
        <w:rPr>
          <w:rtl/>
          <w:lang w:bidi="ar-SA"/>
        </w:rPr>
        <w:t xml:space="preserve"> </w:t>
      </w:r>
      <w:r>
        <w:rPr>
          <w:rtl/>
        </w:rPr>
        <w:t>מן</w:t>
      </w:r>
      <w:r>
        <w:rPr>
          <w:rtl/>
          <w:lang w:bidi="ar-SA"/>
        </w:rPr>
        <w:t xml:space="preserve"> </w:t>
      </w:r>
      <w:r>
        <w:rPr>
          <w:rtl/>
        </w:rPr>
        <w:t>הארץ</w:t>
      </w:r>
      <w:r>
        <w:rPr>
          <w:rtl/>
          <w:lang w:bidi="ar-SA"/>
        </w:rPr>
        <w:t xml:space="preserve"> </w:t>
      </w:r>
      <w:r>
        <w:rPr>
          <w:rtl/>
        </w:rPr>
        <w:t>וכו</w:t>
      </w:r>
      <w:r>
        <w:rPr>
          <w:rtl/>
          <w:lang w:bidi="ar-SA"/>
        </w:rPr>
        <w:t xml:space="preserve">'. </w:t>
      </w:r>
      <w:r>
        <w:rPr>
          <w:rtl/>
        </w:rPr>
        <w:t>ועצ</w:t>
      </w:r>
      <w:r>
        <w:rPr>
          <w:rtl/>
          <w:lang w:bidi="ar-SA"/>
        </w:rPr>
        <w:t>"</w:t>
      </w:r>
      <w:r>
        <w:rPr>
          <w:rtl/>
        </w:rPr>
        <w:t>ע</w:t>
      </w:r>
      <w:r>
        <w:rPr>
          <w:rtl/>
          <w:lang w:bidi="ar-SA"/>
        </w:rPr>
        <w:t xml:space="preserve"> </w:t>
      </w:r>
      <w:r>
        <w:rPr>
          <w:rtl/>
        </w:rPr>
        <w:t>ואכ</w:t>
      </w:r>
      <w:r>
        <w:rPr>
          <w:rtl/>
          <w:lang w:bidi="ar-SA"/>
        </w:rPr>
        <w:t>"</w:t>
      </w:r>
      <w:r>
        <w:rPr>
          <w:rtl/>
        </w:rPr>
        <w:t>מ</w:t>
      </w:r>
      <w:r>
        <w:rPr>
          <w:rtl/>
          <w:lang w:bidi="ar-SA"/>
        </w:rPr>
        <w:t xml:space="preserve">.  </w:t>
      </w:r>
    </w:p>
    <w:p w14:paraId="67D0C77F" w14:textId="2881F834" w:rsidR="00DF4CDD" w:rsidRPr="00DF4CDD" w:rsidRDefault="00DF4CDD" w:rsidP="00423C6D">
      <w:pPr>
        <w:pStyle w:val="a2"/>
        <w:rPr>
          <w:rFonts w:asciiTheme="minorHAnsi" w:hAnsiTheme="minorHAnsi"/>
          <w:lang w:bidi="ar-SA"/>
        </w:rPr>
      </w:pPr>
      <w:r>
        <w:rPr>
          <w:rtl/>
          <w:lang w:bidi="ar-SA"/>
        </w:rPr>
        <w:t>[</w:t>
      </w:r>
      <w:r>
        <w:rPr>
          <w:rtl/>
        </w:rPr>
        <w:t>ואע</w:t>
      </w:r>
      <w:r>
        <w:rPr>
          <w:rtl/>
          <w:lang w:bidi="ar-SA"/>
        </w:rPr>
        <w:t>"</w:t>
      </w:r>
      <w:r>
        <w:rPr>
          <w:rtl/>
        </w:rPr>
        <w:t>פ</w:t>
      </w:r>
      <w:r>
        <w:rPr>
          <w:rtl/>
          <w:lang w:bidi="ar-SA"/>
        </w:rPr>
        <w:t xml:space="preserve"> </w:t>
      </w:r>
      <w:r>
        <w:rPr>
          <w:rtl/>
        </w:rPr>
        <w:t>שכל</w:t>
      </w:r>
      <w:r>
        <w:rPr>
          <w:rtl/>
          <w:lang w:bidi="ar-SA"/>
        </w:rPr>
        <w:t xml:space="preserve"> </w:t>
      </w:r>
      <w:r>
        <w:rPr>
          <w:rtl/>
        </w:rPr>
        <w:t>האומות</w:t>
      </w:r>
      <w:r>
        <w:rPr>
          <w:rtl/>
          <w:lang w:bidi="ar-SA"/>
        </w:rPr>
        <w:t xml:space="preserve"> </w:t>
      </w:r>
      <w:r>
        <w:rPr>
          <w:rtl/>
        </w:rPr>
        <w:t>בין</w:t>
      </w:r>
      <w:r>
        <w:rPr>
          <w:rtl/>
          <w:lang w:bidi="ar-SA"/>
        </w:rPr>
        <w:t xml:space="preserve"> </w:t>
      </w:r>
      <w:r>
        <w:rPr>
          <w:rtl/>
        </w:rPr>
        <w:t>כך</w:t>
      </w:r>
      <w:r>
        <w:rPr>
          <w:rtl/>
          <w:lang w:bidi="ar-SA"/>
        </w:rPr>
        <w:t xml:space="preserve"> </w:t>
      </w:r>
      <w:r>
        <w:rPr>
          <w:rtl/>
        </w:rPr>
        <w:t>יעבדו</w:t>
      </w:r>
      <w:r>
        <w:rPr>
          <w:rtl/>
          <w:lang w:bidi="ar-SA"/>
        </w:rPr>
        <w:t xml:space="preserve"> </w:t>
      </w:r>
      <w:r>
        <w:rPr>
          <w:rtl/>
        </w:rPr>
        <w:t>את</w:t>
      </w:r>
      <w:r>
        <w:rPr>
          <w:rtl/>
          <w:lang w:bidi="ar-SA"/>
        </w:rPr>
        <w:t xml:space="preserve"> </w:t>
      </w:r>
      <w:r>
        <w:rPr>
          <w:rtl/>
        </w:rPr>
        <w:t>ה</w:t>
      </w:r>
      <w:r>
        <w:rPr>
          <w:rtl/>
          <w:lang w:bidi="ar-SA"/>
        </w:rPr>
        <w:t xml:space="preserve">', </w:t>
      </w:r>
      <w:r>
        <w:rPr>
          <w:rtl/>
        </w:rPr>
        <w:t>הרי</w:t>
      </w:r>
      <w:r>
        <w:rPr>
          <w:rtl/>
          <w:lang w:bidi="ar-SA"/>
        </w:rPr>
        <w:t xml:space="preserve"> </w:t>
      </w:r>
      <w:r>
        <w:rPr>
          <w:rtl/>
        </w:rPr>
        <w:t>מ</w:t>
      </w:r>
      <w:r>
        <w:rPr>
          <w:rtl/>
          <w:lang w:bidi="ar-SA"/>
        </w:rPr>
        <w:t>"</w:t>
      </w:r>
      <w:r>
        <w:rPr>
          <w:rtl/>
        </w:rPr>
        <w:t>מ</w:t>
      </w:r>
      <w:r>
        <w:rPr>
          <w:rtl/>
          <w:lang w:bidi="ar-SA"/>
        </w:rPr>
        <w:t xml:space="preserve"> </w:t>
      </w:r>
      <w:r>
        <w:rPr>
          <w:rtl/>
        </w:rPr>
        <w:t>ההבדל</w:t>
      </w:r>
      <w:r>
        <w:rPr>
          <w:rtl/>
          <w:lang w:bidi="ar-SA"/>
        </w:rPr>
        <w:t xml:space="preserve"> </w:t>
      </w:r>
      <w:r>
        <w:rPr>
          <w:rtl/>
        </w:rPr>
        <w:t>העצמי</w:t>
      </w:r>
      <w:r>
        <w:rPr>
          <w:rtl/>
          <w:lang w:bidi="ar-SA"/>
        </w:rPr>
        <w:t xml:space="preserve"> </w:t>
      </w:r>
      <w:r>
        <w:rPr>
          <w:rtl/>
        </w:rPr>
        <w:t>בין</w:t>
      </w:r>
      <w:r>
        <w:rPr>
          <w:rtl/>
          <w:lang w:bidi="ar-SA"/>
        </w:rPr>
        <w:t xml:space="preserve"> </w:t>
      </w:r>
      <w:r>
        <w:rPr>
          <w:rtl/>
        </w:rPr>
        <w:t>בנ</w:t>
      </w:r>
      <w:r>
        <w:rPr>
          <w:rtl/>
          <w:lang w:bidi="ar-SA"/>
        </w:rPr>
        <w:t>"</w:t>
      </w:r>
      <w:r>
        <w:rPr>
          <w:rtl/>
        </w:rPr>
        <w:t>י</w:t>
      </w:r>
      <w:r>
        <w:rPr>
          <w:rtl/>
          <w:lang w:bidi="ar-SA"/>
        </w:rPr>
        <w:t xml:space="preserve"> </w:t>
      </w:r>
      <w:r>
        <w:rPr>
          <w:rtl/>
        </w:rPr>
        <w:t>לאומות</w:t>
      </w:r>
      <w:r>
        <w:rPr>
          <w:rtl/>
          <w:lang w:bidi="ar-SA"/>
        </w:rPr>
        <w:t xml:space="preserve"> </w:t>
      </w:r>
      <w:r>
        <w:rPr>
          <w:rtl/>
        </w:rPr>
        <w:t>העולם</w:t>
      </w:r>
      <w:r>
        <w:rPr>
          <w:rtl/>
          <w:lang w:bidi="ar-SA"/>
        </w:rPr>
        <w:t xml:space="preserve"> </w:t>
      </w:r>
      <w:r>
        <w:rPr>
          <w:rtl/>
        </w:rPr>
        <w:t>עדיין</w:t>
      </w:r>
      <w:r>
        <w:rPr>
          <w:rtl/>
          <w:lang w:bidi="ar-SA"/>
        </w:rPr>
        <w:t xml:space="preserve"> </w:t>
      </w:r>
      <w:r>
        <w:rPr>
          <w:rtl/>
        </w:rPr>
        <w:t>ישאר</w:t>
      </w:r>
      <w:r>
        <w:rPr>
          <w:rtl/>
          <w:lang w:bidi="ar-SA"/>
        </w:rPr>
        <w:t xml:space="preserve">, </w:t>
      </w:r>
      <w:r>
        <w:rPr>
          <w:rtl/>
        </w:rPr>
        <w:t>ואומות</w:t>
      </w:r>
      <w:r>
        <w:rPr>
          <w:rtl/>
          <w:lang w:bidi="ar-SA"/>
        </w:rPr>
        <w:t xml:space="preserve"> </w:t>
      </w:r>
      <w:r>
        <w:rPr>
          <w:rtl/>
        </w:rPr>
        <w:t>העולם</w:t>
      </w:r>
      <w:r>
        <w:rPr>
          <w:rtl/>
          <w:lang w:bidi="ar-SA"/>
        </w:rPr>
        <w:t xml:space="preserve"> </w:t>
      </w:r>
      <w:r>
        <w:rPr>
          <w:rtl/>
        </w:rPr>
        <w:t>יישארו</w:t>
      </w:r>
      <w:r>
        <w:rPr>
          <w:rtl/>
          <w:lang w:bidi="ar-SA"/>
        </w:rPr>
        <w:t xml:space="preserve"> </w:t>
      </w:r>
      <w:r>
        <w:rPr>
          <w:rtl/>
        </w:rPr>
        <w:t>במדריגתם</w:t>
      </w:r>
      <w:r>
        <w:rPr>
          <w:rtl/>
          <w:lang w:bidi="ar-SA"/>
        </w:rPr>
        <w:t xml:space="preserve">, </w:t>
      </w:r>
      <w:r>
        <w:rPr>
          <w:rtl/>
        </w:rPr>
        <w:t>שהם</w:t>
      </w:r>
      <w:r>
        <w:rPr>
          <w:rtl/>
          <w:lang w:bidi="ar-SA"/>
        </w:rPr>
        <w:t xml:space="preserve"> </w:t>
      </w:r>
      <w:r>
        <w:rPr>
          <w:rtl/>
        </w:rPr>
        <w:t>רק</w:t>
      </w:r>
      <w:r>
        <w:rPr>
          <w:rtl/>
          <w:lang w:bidi="ar-SA"/>
        </w:rPr>
        <w:t xml:space="preserve"> </w:t>
      </w:r>
      <w:r>
        <w:rPr>
          <w:rtl/>
        </w:rPr>
        <w:t>טפלים</w:t>
      </w:r>
      <w:r>
        <w:rPr>
          <w:rtl/>
          <w:lang w:bidi="ar-SA"/>
        </w:rPr>
        <w:t xml:space="preserve"> </w:t>
      </w:r>
      <w:r>
        <w:rPr>
          <w:rtl/>
        </w:rPr>
        <w:t>לישראל</w:t>
      </w:r>
      <w:r>
        <w:rPr>
          <w:rtl/>
          <w:lang w:bidi="ar-SA"/>
        </w:rPr>
        <w:t xml:space="preserve">. </w:t>
      </w:r>
      <w:r>
        <w:rPr>
          <w:rtl/>
        </w:rPr>
        <w:t>וכמ</w:t>
      </w:r>
      <w:r>
        <w:rPr>
          <w:rtl/>
          <w:lang w:bidi="ar-SA"/>
        </w:rPr>
        <w:t>"</w:t>
      </w:r>
      <w:r>
        <w:rPr>
          <w:rtl/>
        </w:rPr>
        <w:t>ש</w:t>
      </w:r>
      <w:r>
        <w:rPr>
          <w:rtl/>
          <w:lang w:bidi="ar-SA"/>
        </w:rPr>
        <w:t xml:space="preserve"> </w:t>
      </w:r>
      <w:r>
        <w:rPr>
          <w:rtl/>
        </w:rPr>
        <w:t>הצ</w:t>
      </w:r>
      <w:r>
        <w:rPr>
          <w:rtl/>
          <w:lang w:bidi="ar-SA"/>
        </w:rPr>
        <w:t>"</w:t>
      </w:r>
      <w:r>
        <w:rPr>
          <w:rtl/>
        </w:rPr>
        <w:t>צ</w:t>
      </w:r>
      <w:r>
        <w:rPr>
          <w:rStyle w:val="FootnoteReference"/>
          <w:rFonts w:cs="Arial"/>
          <w:lang w:bidi="ar-SA"/>
        </w:rPr>
        <w:footnoteReference w:id="20"/>
      </w:r>
      <w:r>
        <w:rPr>
          <w:rtl/>
          <w:lang w:bidi="ar-SA"/>
        </w:rPr>
        <w:t xml:space="preserve"> "</w:t>
      </w:r>
      <w:r>
        <w:rPr>
          <w:rtl/>
        </w:rPr>
        <w:t>לעתיד</w:t>
      </w:r>
      <w:r>
        <w:rPr>
          <w:rtl/>
          <w:lang w:bidi="ar-SA"/>
        </w:rPr>
        <w:t xml:space="preserve"> </w:t>
      </w:r>
      <w:r>
        <w:rPr>
          <w:rtl/>
        </w:rPr>
        <w:t>דכתי</w:t>
      </w:r>
      <w:r>
        <w:rPr>
          <w:rtl/>
          <w:lang w:bidi="ar-SA"/>
        </w:rPr>
        <w:t xml:space="preserve">' </w:t>
      </w:r>
      <w:r>
        <w:rPr>
          <w:rtl/>
        </w:rPr>
        <w:t>אז</w:t>
      </w:r>
      <w:r>
        <w:rPr>
          <w:rtl/>
          <w:lang w:bidi="ar-SA"/>
        </w:rPr>
        <w:t xml:space="preserve"> </w:t>
      </w:r>
      <w:r>
        <w:rPr>
          <w:rtl/>
        </w:rPr>
        <w:t>אהפוך</w:t>
      </w:r>
      <w:r>
        <w:rPr>
          <w:rtl/>
          <w:lang w:bidi="ar-SA"/>
        </w:rPr>
        <w:t xml:space="preserve"> </w:t>
      </w:r>
      <w:r>
        <w:rPr>
          <w:rtl/>
        </w:rPr>
        <w:t>אל</w:t>
      </w:r>
      <w:r>
        <w:rPr>
          <w:rtl/>
          <w:lang w:bidi="ar-SA"/>
        </w:rPr>
        <w:t xml:space="preserve"> </w:t>
      </w:r>
      <w:r>
        <w:rPr>
          <w:rtl/>
        </w:rPr>
        <w:t>עמים</w:t>
      </w:r>
      <w:r>
        <w:rPr>
          <w:rtl/>
          <w:lang w:bidi="ar-SA"/>
        </w:rPr>
        <w:t xml:space="preserve"> </w:t>
      </w:r>
      <w:r>
        <w:rPr>
          <w:rtl/>
        </w:rPr>
        <w:t>שפה</w:t>
      </w:r>
      <w:r>
        <w:rPr>
          <w:rtl/>
          <w:lang w:bidi="ar-SA"/>
        </w:rPr>
        <w:t xml:space="preserve"> </w:t>
      </w:r>
      <w:r>
        <w:rPr>
          <w:rtl/>
        </w:rPr>
        <w:t>ברורה</w:t>
      </w:r>
      <w:r>
        <w:rPr>
          <w:rtl/>
          <w:lang w:bidi="ar-SA"/>
        </w:rPr>
        <w:t xml:space="preserve"> </w:t>
      </w:r>
      <w:r>
        <w:rPr>
          <w:rtl/>
        </w:rPr>
        <w:t>לעבדו</w:t>
      </w:r>
      <w:r>
        <w:rPr>
          <w:rtl/>
          <w:lang w:bidi="ar-SA"/>
        </w:rPr>
        <w:t xml:space="preserve"> </w:t>
      </w:r>
      <w:r>
        <w:rPr>
          <w:rtl/>
        </w:rPr>
        <w:t>שכם</w:t>
      </w:r>
      <w:r>
        <w:rPr>
          <w:rtl/>
          <w:lang w:bidi="ar-SA"/>
        </w:rPr>
        <w:t xml:space="preserve"> </w:t>
      </w:r>
      <w:r>
        <w:rPr>
          <w:rtl/>
        </w:rPr>
        <w:t>א</w:t>
      </w:r>
      <w:r>
        <w:rPr>
          <w:rtl/>
          <w:lang w:bidi="ar-SA"/>
        </w:rPr>
        <w:t xml:space="preserve">' </w:t>
      </w:r>
      <w:r>
        <w:rPr>
          <w:rtl/>
        </w:rPr>
        <w:t>פי</w:t>
      </w:r>
      <w:r>
        <w:rPr>
          <w:rtl/>
          <w:lang w:bidi="ar-SA"/>
        </w:rPr>
        <w:t xml:space="preserve">' </w:t>
      </w:r>
      <w:r>
        <w:rPr>
          <w:rtl/>
        </w:rPr>
        <w:t>אהפוך</w:t>
      </w:r>
      <w:r>
        <w:rPr>
          <w:rtl/>
          <w:lang w:bidi="ar-SA"/>
        </w:rPr>
        <w:t xml:space="preserve"> </w:t>
      </w:r>
      <w:r>
        <w:rPr>
          <w:rtl/>
        </w:rPr>
        <w:t>אל</w:t>
      </w:r>
      <w:r>
        <w:rPr>
          <w:rtl/>
          <w:lang w:bidi="ar-SA"/>
        </w:rPr>
        <w:t xml:space="preserve"> </w:t>
      </w:r>
      <w:r>
        <w:rPr>
          <w:rtl/>
        </w:rPr>
        <w:t>עמים</w:t>
      </w:r>
      <w:r>
        <w:rPr>
          <w:rtl/>
          <w:lang w:bidi="ar-SA"/>
        </w:rPr>
        <w:t xml:space="preserve"> </w:t>
      </w:r>
      <w:r>
        <w:rPr>
          <w:rtl/>
        </w:rPr>
        <w:t>שיתהפכו</w:t>
      </w:r>
      <w:r>
        <w:rPr>
          <w:rtl/>
          <w:lang w:bidi="ar-SA"/>
        </w:rPr>
        <w:t xml:space="preserve"> </w:t>
      </w:r>
      <w:r>
        <w:rPr>
          <w:rtl/>
        </w:rPr>
        <w:t>מרע</w:t>
      </w:r>
      <w:r>
        <w:rPr>
          <w:rtl/>
          <w:lang w:bidi="ar-SA"/>
        </w:rPr>
        <w:t xml:space="preserve"> </w:t>
      </w:r>
      <w:r>
        <w:rPr>
          <w:rtl/>
        </w:rPr>
        <w:t>לטוב</w:t>
      </w:r>
      <w:r>
        <w:rPr>
          <w:rtl/>
          <w:lang w:bidi="ar-SA"/>
        </w:rPr>
        <w:t xml:space="preserve"> </w:t>
      </w:r>
      <w:r>
        <w:rPr>
          <w:rtl/>
        </w:rPr>
        <w:t>לגמרי</w:t>
      </w:r>
      <w:r>
        <w:rPr>
          <w:rtl/>
          <w:lang w:bidi="ar-SA"/>
        </w:rPr>
        <w:t xml:space="preserve"> </w:t>
      </w:r>
      <w:r>
        <w:rPr>
          <w:rtl/>
        </w:rPr>
        <w:t>ע</w:t>
      </w:r>
      <w:r>
        <w:rPr>
          <w:rtl/>
          <w:lang w:bidi="ar-SA"/>
        </w:rPr>
        <w:t>"</w:t>
      </w:r>
      <w:r>
        <w:rPr>
          <w:rtl/>
        </w:rPr>
        <w:t>ד</w:t>
      </w:r>
      <w:r>
        <w:rPr>
          <w:rtl/>
          <w:lang w:bidi="ar-SA"/>
        </w:rPr>
        <w:t xml:space="preserve"> </w:t>
      </w:r>
      <w:r>
        <w:rPr>
          <w:rtl/>
        </w:rPr>
        <w:t>ענין</w:t>
      </w:r>
      <w:r>
        <w:rPr>
          <w:rtl/>
          <w:lang w:bidi="ar-SA"/>
        </w:rPr>
        <w:t xml:space="preserve"> </w:t>
      </w:r>
      <w:r>
        <w:rPr>
          <w:rtl/>
        </w:rPr>
        <w:t>בע</w:t>
      </w:r>
      <w:r>
        <w:rPr>
          <w:rtl/>
          <w:lang w:bidi="ar-SA"/>
        </w:rPr>
        <w:t>"</w:t>
      </w:r>
      <w:r>
        <w:rPr>
          <w:rtl/>
        </w:rPr>
        <w:t>ת</w:t>
      </w:r>
      <w:r>
        <w:rPr>
          <w:rtl/>
          <w:lang w:bidi="ar-SA"/>
        </w:rPr>
        <w:t xml:space="preserve"> </w:t>
      </w:r>
      <w:r>
        <w:rPr>
          <w:rtl/>
        </w:rPr>
        <w:t>כשנמחל</w:t>
      </w:r>
      <w:r>
        <w:rPr>
          <w:rtl/>
          <w:lang w:bidi="ar-SA"/>
        </w:rPr>
        <w:t xml:space="preserve"> </w:t>
      </w:r>
      <w:r>
        <w:rPr>
          <w:rtl/>
        </w:rPr>
        <w:t>להם</w:t>
      </w:r>
      <w:r>
        <w:rPr>
          <w:rtl/>
          <w:lang w:bidi="ar-SA"/>
        </w:rPr>
        <w:t xml:space="preserve"> </w:t>
      </w:r>
      <w:r>
        <w:rPr>
          <w:rtl/>
        </w:rPr>
        <w:t>העוון</w:t>
      </w:r>
      <w:r>
        <w:rPr>
          <w:rtl/>
          <w:lang w:bidi="ar-SA"/>
        </w:rPr>
        <w:t xml:space="preserve"> </w:t>
      </w:r>
      <w:r>
        <w:rPr>
          <w:rtl/>
        </w:rPr>
        <w:t>והחטא</w:t>
      </w:r>
      <w:r>
        <w:rPr>
          <w:rtl/>
          <w:lang w:bidi="ar-SA"/>
        </w:rPr>
        <w:t xml:space="preserve"> </w:t>
      </w:r>
      <w:r>
        <w:rPr>
          <w:rtl/>
        </w:rPr>
        <w:t>לגמרי</w:t>
      </w:r>
      <w:r>
        <w:rPr>
          <w:rtl/>
          <w:lang w:bidi="ar-SA"/>
        </w:rPr>
        <w:t xml:space="preserve"> </w:t>
      </w:r>
      <w:r>
        <w:rPr>
          <w:rtl/>
        </w:rPr>
        <w:t>הרי</w:t>
      </w:r>
      <w:r>
        <w:rPr>
          <w:rtl/>
          <w:lang w:bidi="ar-SA"/>
        </w:rPr>
        <w:t xml:space="preserve"> </w:t>
      </w:r>
      <w:r>
        <w:rPr>
          <w:rtl/>
        </w:rPr>
        <w:t>הזדונות</w:t>
      </w:r>
      <w:r>
        <w:rPr>
          <w:rtl/>
          <w:lang w:bidi="ar-SA"/>
        </w:rPr>
        <w:t xml:space="preserve"> </w:t>
      </w:r>
      <w:r>
        <w:rPr>
          <w:rtl/>
        </w:rPr>
        <w:t>נעשה</w:t>
      </w:r>
      <w:r>
        <w:rPr>
          <w:rtl/>
          <w:lang w:bidi="ar-SA"/>
        </w:rPr>
        <w:t xml:space="preserve"> </w:t>
      </w:r>
      <w:r>
        <w:rPr>
          <w:rtl/>
        </w:rPr>
        <w:t>זכיות</w:t>
      </w:r>
      <w:r>
        <w:rPr>
          <w:rtl/>
          <w:lang w:bidi="ar-SA"/>
        </w:rPr>
        <w:t xml:space="preserve"> ... </w:t>
      </w:r>
      <w:r>
        <w:rPr>
          <w:rtl/>
        </w:rPr>
        <w:t>וזהו</w:t>
      </w:r>
      <w:r>
        <w:rPr>
          <w:rtl/>
          <w:lang w:bidi="ar-SA"/>
        </w:rPr>
        <w:t>"</w:t>
      </w:r>
      <w:r>
        <w:rPr>
          <w:rtl/>
        </w:rPr>
        <w:t>ע</w:t>
      </w:r>
      <w:r>
        <w:rPr>
          <w:rtl/>
          <w:lang w:bidi="ar-SA"/>
        </w:rPr>
        <w:t xml:space="preserve"> </w:t>
      </w:r>
      <w:r>
        <w:rPr>
          <w:rtl/>
        </w:rPr>
        <w:t>לאהפכא</w:t>
      </w:r>
      <w:r>
        <w:rPr>
          <w:rtl/>
          <w:lang w:bidi="ar-SA"/>
        </w:rPr>
        <w:t xml:space="preserve"> </w:t>
      </w:r>
      <w:r>
        <w:rPr>
          <w:rtl/>
        </w:rPr>
        <w:t>חשוכא</w:t>
      </w:r>
      <w:r>
        <w:rPr>
          <w:rtl/>
          <w:lang w:bidi="ar-SA"/>
        </w:rPr>
        <w:t xml:space="preserve"> </w:t>
      </w:r>
      <w:r>
        <w:rPr>
          <w:rtl/>
        </w:rPr>
        <w:t>לנהורא</w:t>
      </w:r>
      <w:r>
        <w:rPr>
          <w:rtl/>
          <w:lang w:bidi="ar-SA"/>
        </w:rPr>
        <w:t xml:space="preserve"> </w:t>
      </w:r>
      <w:r>
        <w:rPr>
          <w:rtl/>
        </w:rPr>
        <w:t>ומרירו</w:t>
      </w:r>
      <w:r>
        <w:rPr>
          <w:rtl/>
          <w:lang w:bidi="ar-SA"/>
        </w:rPr>
        <w:t xml:space="preserve"> </w:t>
      </w:r>
      <w:r>
        <w:rPr>
          <w:rtl/>
        </w:rPr>
        <w:t>למיתקא</w:t>
      </w:r>
      <w:r>
        <w:rPr>
          <w:rtl/>
          <w:lang w:bidi="ar-SA"/>
        </w:rPr>
        <w:t xml:space="preserve"> </w:t>
      </w:r>
      <w:r>
        <w:rPr>
          <w:rtl/>
        </w:rPr>
        <w:t>כו</w:t>
      </w:r>
      <w:r>
        <w:rPr>
          <w:rtl/>
          <w:lang w:bidi="ar-SA"/>
        </w:rPr>
        <w:t xml:space="preserve">' </w:t>
      </w:r>
      <w:r>
        <w:rPr>
          <w:rtl/>
        </w:rPr>
        <w:t>אך</w:t>
      </w:r>
      <w:r>
        <w:rPr>
          <w:rtl/>
          <w:lang w:bidi="ar-SA"/>
        </w:rPr>
        <w:t xml:space="preserve"> </w:t>
      </w:r>
      <w:r>
        <w:rPr>
          <w:rtl/>
        </w:rPr>
        <w:t>הנה</w:t>
      </w:r>
      <w:r>
        <w:rPr>
          <w:rtl/>
          <w:lang w:bidi="ar-SA"/>
        </w:rPr>
        <w:t xml:space="preserve"> </w:t>
      </w:r>
      <w:r>
        <w:rPr>
          <w:rtl/>
        </w:rPr>
        <w:t>עכ</w:t>
      </w:r>
      <w:r>
        <w:rPr>
          <w:rtl/>
          <w:lang w:bidi="ar-SA"/>
        </w:rPr>
        <w:t>"</w:t>
      </w:r>
      <w:r>
        <w:rPr>
          <w:rtl/>
        </w:rPr>
        <w:t>ז</w:t>
      </w:r>
      <w:r>
        <w:rPr>
          <w:rtl/>
          <w:lang w:bidi="ar-SA"/>
        </w:rPr>
        <w:t xml:space="preserve"> </w:t>
      </w:r>
      <w:r>
        <w:rPr>
          <w:rtl/>
        </w:rPr>
        <w:t>הגם</w:t>
      </w:r>
      <w:r>
        <w:rPr>
          <w:rtl/>
          <w:lang w:bidi="ar-SA"/>
        </w:rPr>
        <w:t xml:space="preserve"> </w:t>
      </w:r>
      <w:r>
        <w:rPr>
          <w:rtl/>
        </w:rPr>
        <w:t>שנתברר</w:t>
      </w:r>
      <w:r>
        <w:rPr>
          <w:rtl/>
          <w:lang w:bidi="ar-SA"/>
        </w:rPr>
        <w:t xml:space="preserve"> </w:t>
      </w:r>
      <w:r>
        <w:rPr>
          <w:rtl/>
        </w:rPr>
        <w:t>הרע</w:t>
      </w:r>
      <w:r>
        <w:rPr>
          <w:rtl/>
          <w:lang w:bidi="ar-SA"/>
        </w:rPr>
        <w:t xml:space="preserve"> </w:t>
      </w:r>
      <w:r>
        <w:rPr>
          <w:rtl/>
        </w:rPr>
        <w:t>ונעשה</w:t>
      </w:r>
      <w:r>
        <w:rPr>
          <w:rtl/>
          <w:lang w:bidi="ar-SA"/>
        </w:rPr>
        <w:t xml:space="preserve"> </w:t>
      </w:r>
      <w:r>
        <w:rPr>
          <w:rtl/>
        </w:rPr>
        <w:t>טוב</w:t>
      </w:r>
      <w:r>
        <w:rPr>
          <w:rtl/>
          <w:lang w:bidi="ar-SA"/>
        </w:rPr>
        <w:t xml:space="preserve"> </w:t>
      </w:r>
      <w:r>
        <w:rPr>
          <w:rtl/>
        </w:rPr>
        <w:t>אינו</w:t>
      </w:r>
      <w:r>
        <w:rPr>
          <w:rtl/>
          <w:lang w:bidi="ar-SA"/>
        </w:rPr>
        <w:t xml:space="preserve"> </w:t>
      </w:r>
      <w:r>
        <w:rPr>
          <w:rtl/>
        </w:rPr>
        <w:t>עולה</w:t>
      </w:r>
      <w:r>
        <w:rPr>
          <w:rtl/>
          <w:lang w:bidi="ar-SA"/>
        </w:rPr>
        <w:t xml:space="preserve"> </w:t>
      </w:r>
      <w:r>
        <w:rPr>
          <w:rtl/>
        </w:rPr>
        <w:t>להיות</w:t>
      </w:r>
      <w:r>
        <w:rPr>
          <w:rtl/>
          <w:lang w:bidi="ar-SA"/>
        </w:rPr>
        <w:t xml:space="preserve"> </w:t>
      </w:r>
      <w:r>
        <w:rPr>
          <w:rtl/>
        </w:rPr>
        <w:t>בבחי</w:t>
      </w:r>
      <w:r>
        <w:rPr>
          <w:rtl/>
          <w:lang w:bidi="ar-SA"/>
        </w:rPr>
        <w:t xml:space="preserve">' </w:t>
      </w:r>
      <w:r>
        <w:rPr>
          <w:rtl/>
        </w:rPr>
        <w:t>כלי</w:t>
      </w:r>
      <w:r>
        <w:rPr>
          <w:rtl/>
          <w:lang w:bidi="ar-SA"/>
        </w:rPr>
        <w:t xml:space="preserve"> </w:t>
      </w:r>
      <w:r>
        <w:rPr>
          <w:rtl/>
        </w:rPr>
        <w:t>פנימי</w:t>
      </w:r>
      <w:r>
        <w:rPr>
          <w:rtl/>
          <w:lang w:bidi="ar-SA"/>
        </w:rPr>
        <w:t xml:space="preserve">' </w:t>
      </w:r>
      <w:r>
        <w:rPr>
          <w:rtl/>
        </w:rPr>
        <w:t>בבחי</w:t>
      </w:r>
      <w:r>
        <w:rPr>
          <w:rtl/>
          <w:lang w:bidi="ar-SA"/>
        </w:rPr>
        <w:t xml:space="preserve">' </w:t>
      </w:r>
      <w:r>
        <w:rPr>
          <w:rtl/>
        </w:rPr>
        <w:t>הפנימי</w:t>
      </w:r>
      <w:r>
        <w:rPr>
          <w:rtl/>
          <w:lang w:bidi="ar-SA"/>
        </w:rPr>
        <w:t xml:space="preserve">' </w:t>
      </w:r>
      <w:r>
        <w:rPr>
          <w:rtl/>
        </w:rPr>
        <w:t>דקדושה</w:t>
      </w:r>
      <w:r>
        <w:rPr>
          <w:rtl/>
          <w:lang w:bidi="ar-SA"/>
        </w:rPr>
        <w:t xml:space="preserve"> </w:t>
      </w:r>
      <w:r>
        <w:rPr>
          <w:rtl/>
        </w:rPr>
        <w:t>האלקי</w:t>
      </w:r>
      <w:r>
        <w:rPr>
          <w:rtl/>
          <w:lang w:bidi="ar-SA"/>
        </w:rPr>
        <w:t xml:space="preserve">' </w:t>
      </w:r>
      <w:r>
        <w:rPr>
          <w:rtl/>
        </w:rPr>
        <w:t>אלא</w:t>
      </w:r>
      <w:r>
        <w:rPr>
          <w:rtl/>
          <w:lang w:bidi="ar-SA"/>
        </w:rPr>
        <w:t xml:space="preserve"> </w:t>
      </w:r>
      <w:r>
        <w:rPr>
          <w:rtl/>
        </w:rPr>
        <w:t>רק</w:t>
      </w:r>
      <w:r>
        <w:rPr>
          <w:rtl/>
          <w:lang w:bidi="ar-SA"/>
        </w:rPr>
        <w:t xml:space="preserve"> </w:t>
      </w:r>
      <w:r>
        <w:rPr>
          <w:rtl/>
        </w:rPr>
        <w:t>להיות</w:t>
      </w:r>
      <w:r>
        <w:rPr>
          <w:rtl/>
          <w:lang w:bidi="ar-SA"/>
        </w:rPr>
        <w:t xml:space="preserve"> </w:t>
      </w:r>
      <w:r>
        <w:rPr>
          <w:rtl/>
        </w:rPr>
        <w:t>בבתי</w:t>
      </w:r>
      <w:r>
        <w:rPr>
          <w:rtl/>
          <w:lang w:bidi="ar-SA"/>
        </w:rPr>
        <w:t xml:space="preserve">' </w:t>
      </w:r>
      <w:r>
        <w:rPr>
          <w:rtl/>
        </w:rPr>
        <w:t>כלי</w:t>
      </w:r>
      <w:r>
        <w:rPr>
          <w:rtl/>
          <w:lang w:bidi="ar-SA"/>
        </w:rPr>
        <w:t xml:space="preserve"> </w:t>
      </w:r>
      <w:r>
        <w:rPr>
          <w:rtl/>
        </w:rPr>
        <w:t>חיצוני</w:t>
      </w:r>
      <w:r>
        <w:rPr>
          <w:rtl/>
          <w:lang w:bidi="ar-SA"/>
        </w:rPr>
        <w:t xml:space="preserve">' </w:t>
      </w:r>
      <w:r>
        <w:rPr>
          <w:rtl/>
        </w:rPr>
        <w:t>ואחוריים</w:t>
      </w:r>
      <w:r>
        <w:rPr>
          <w:rtl/>
          <w:lang w:bidi="ar-SA"/>
        </w:rPr>
        <w:t xml:space="preserve"> </w:t>
      </w:r>
      <w:r>
        <w:rPr>
          <w:rtl/>
        </w:rPr>
        <w:t>דקדושה</w:t>
      </w:r>
      <w:r>
        <w:rPr>
          <w:rtl/>
          <w:lang w:bidi="ar-SA"/>
        </w:rPr>
        <w:t xml:space="preserve"> </w:t>
      </w:r>
      <w:r>
        <w:rPr>
          <w:rtl/>
        </w:rPr>
        <w:t>וע</w:t>
      </w:r>
      <w:r>
        <w:rPr>
          <w:rtl/>
          <w:lang w:bidi="ar-SA"/>
        </w:rPr>
        <w:t>"</w:t>
      </w:r>
      <w:r>
        <w:rPr>
          <w:rtl/>
        </w:rPr>
        <w:t>ד</w:t>
      </w:r>
      <w:r>
        <w:rPr>
          <w:rtl/>
          <w:lang w:bidi="ar-SA"/>
        </w:rPr>
        <w:t xml:space="preserve"> </w:t>
      </w:r>
      <w:r>
        <w:rPr>
          <w:rtl/>
        </w:rPr>
        <w:t>שנא</w:t>
      </w:r>
      <w:r>
        <w:rPr>
          <w:rtl/>
          <w:lang w:bidi="ar-SA"/>
        </w:rPr>
        <w:t xml:space="preserve">' </w:t>
      </w:r>
      <w:r>
        <w:rPr>
          <w:rtl/>
        </w:rPr>
        <w:t>לעתיד</w:t>
      </w:r>
      <w:r>
        <w:rPr>
          <w:rtl/>
          <w:lang w:bidi="ar-SA"/>
        </w:rPr>
        <w:t xml:space="preserve"> </w:t>
      </w:r>
      <w:r>
        <w:rPr>
          <w:rtl/>
        </w:rPr>
        <w:t>ועמדו</w:t>
      </w:r>
      <w:r>
        <w:rPr>
          <w:rtl/>
          <w:lang w:bidi="ar-SA"/>
        </w:rPr>
        <w:t xml:space="preserve"> </w:t>
      </w:r>
      <w:r>
        <w:rPr>
          <w:rtl/>
        </w:rPr>
        <w:t>זרים</w:t>
      </w:r>
      <w:r>
        <w:rPr>
          <w:rtl/>
          <w:lang w:bidi="ar-SA"/>
        </w:rPr>
        <w:t xml:space="preserve"> </w:t>
      </w:r>
      <w:r>
        <w:rPr>
          <w:rtl/>
        </w:rPr>
        <w:t>ורעו</w:t>
      </w:r>
      <w:r>
        <w:rPr>
          <w:rtl/>
          <w:lang w:bidi="ar-SA"/>
        </w:rPr>
        <w:t xml:space="preserve"> </w:t>
      </w:r>
      <w:r>
        <w:rPr>
          <w:rtl/>
        </w:rPr>
        <w:t>צאנכם</w:t>
      </w:r>
      <w:r>
        <w:rPr>
          <w:rtl/>
          <w:lang w:bidi="ar-SA"/>
        </w:rPr>
        <w:t xml:space="preserve"> </w:t>
      </w:r>
      <w:r>
        <w:rPr>
          <w:rtl/>
        </w:rPr>
        <w:t>שיהי</w:t>
      </w:r>
      <w:r>
        <w:rPr>
          <w:rtl/>
          <w:lang w:bidi="ar-SA"/>
        </w:rPr>
        <w:t xml:space="preserve">' </w:t>
      </w:r>
      <w:r>
        <w:rPr>
          <w:rtl/>
        </w:rPr>
        <w:t>בחי</w:t>
      </w:r>
      <w:r>
        <w:rPr>
          <w:rtl/>
          <w:lang w:bidi="ar-SA"/>
        </w:rPr>
        <w:t xml:space="preserve">' </w:t>
      </w:r>
      <w:r>
        <w:rPr>
          <w:rtl/>
        </w:rPr>
        <w:t>טפל</w:t>
      </w:r>
      <w:r>
        <w:rPr>
          <w:rtl/>
          <w:lang w:bidi="ar-SA"/>
        </w:rPr>
        <w:t xml:space="preserve"> </w:t>
      </w:r>
      <w:r>
        <w:rPr>
          <w:rtl/>
        </w:rPr>
        <w:lastRenderedPageBreak/>
        <w:t>לישראל</w:t>
      </w:r>
      <w:r>
        <w:rPr>
          <w:rtl/>
          <w:lang w:bidi="ar-SA"/>
        </w:rPr>
        <w:t xml:space="preserve"> </w:t>
      </w:r>
      <w:r>
        <w:rPr>
          <w:rtl/>
        </w:rPr>
        <w:t>ולא</w:t>
      </w:r>
      <w:r>
        <w:rPr>
          <w:rtl/>
          <w:lang w:bidi="ar-SA"/>
        </w:rPr>
        <w:t xml:space="preserve"> </w:t>
      </w:r>
      <w:r>
        <w:rPr>
          <w:rtl/>
        </w:rPr>
        <w:t>כמו</w:t>
      </w:r>
      <w:r>
        <w:rPr>
          <w:rtl/>
          <w:lang w:bidi="ar-SA"/>
        </w:rPr>
        <w:t xml:space="preserve"> </w:t>
      </w:r>
      <w:r>
        <w:rPr>
          <w:rtl/>
        </w:rPr>
        <w:t>הגרים</w:t>
      </w:r>
      <w:r>
        <w:rPr>
          <w:rtl/>
          <w:lang w:bidi="ar-SA"/>
        </w:rPr>
        <w:t xml:space="preserve"> …" </w:t>
      </w:r>
      <w:r>
        <w:rPr>
          <w:rtl/>
        </w:rPr>
        <w:t>ע</w:t>
      </w:r>
      <w:r>
        <w:rPr>
          <w:rtl/>
          <w:lang w:bidi="ar-SA"/>
        </w:rPr>
        <w:t>"</w:t>
      </w:r>
      <w:r>
        <w:rPr>
          <w:rtl/>
        </w:rPr>
        <w:t>ש</w:t>
      </w:r>
      <w:r>
        <w:rPr>
          <w:rtl/>
          <w:lang w:bidi="ar-SA"/>
        </w:rPr>
        <w:t>].</w:t>
      </w:r>
    </w:p>
    <w:p w14:paraId="5220AC2E" w14:textId="1D1BA4FB" w:rsidR="00DF4CDD" w:rsidRPr="00DF4CDD" w:rsidRDefault="00DF4CDD" w:rsidP="00423C6D">
      <w:pPr>
        <w:pStyle w:val="a2"/>
        <w:rPr>
          <w:rFonts w:asciiTheme="minorHAnsi" w:hAnsiTheme="minorHAnsi"/>
          <w:lang w:bidi="ar-SA"/>
        </w:rPr>
      </w:pPr>
      <w:r>
        <w:rPr>
          <w:rtl/>
        </w:rPr>
        <w:t>ועוד</w:t>
      </w:r>
      <w:r>
        <w:rPr>
          <w:rtl/>
          <w:lang w:bidi="ar-SA"/>
        </w:rPr>
        <w:t xml:space="preserve"> </w:t>
      </w:r>
      <w:r>
        <w:rPr>
          <w:rtl/>
        </w:rPr>
        <w:t>יש</w:t>
      </w:r>
      <w:r>
        <w:rPr>
          <w:rtl/>
          <w:lang w:bidi="ar-SA"/>
        </w:rPr>
        <w:t xml:space="preserve"> </w:t>
      </w:r>
      <w:r>
        <w:rPr>
          <w:rtl/>
        </w:rPr>
        <w:t>להאריך</w:t>
      </w:r>
      <w:r>
        <w:rPr>
          <w:rtl/>
          <w:lang w:bidi="ar-SA"/>
        </w:rPr>
        <w:t xml:space="preserve"> </w:t>
      </w:r>
      <w:r>
        <w:rPr>
          <w:rtl/>
        </w:rPr>
        <w:t>בכ</w:t>
      </w:r>
      <w:r>
        <w:rPr>
          <w:rtl/>
          <w:lang w:bidi="ar-SA"/>
        </w:rPr>
        <w:t>"</w:t>
      </w:r>
      <w:r>
        <w:rPr>
          <w:rtl/>
        </w:rPr>
        <w:t>ז</w:t>
      </w:r>
      <w:r>
        <w:rPr>
          <w:rtl/>
          <w:lang w:bidi="ar-SA"/>
        </w:rPr>
        <w:t xml:space="preserve"> </w:t>
      </w:r>
      <w:r>
        <w:rPr>
          <w:rtl/>
        </w:rPr>
        <w:t>כהנה</w:t>
      </w:r>
      <w:r>
        <w:rPr>
          <w:rtl/>
          <w:lang w:bidi="ar-SA"/>
        </w:rPr>
        <w:t xml:space="preserve"> </w:t>
      </w:r>
      <w:r>
        <w:rPr>
          <w:rtl/>
        </w:rPr>
        <w:t>וכהנה</w:t>
      </w:r>
      <w:r>
        <w:rPr>
          <w:rtl/>
          <w:lang w:bidi="ar-SA"/>
        </w:rPr>
        <w:t xml:space="preserve">, </w:t>
      </w:r>
      <w:r>
        <w:rPr>
          <w:rtl/>
        </w:rPr>
        <w:t>ותן</w:t>
      </w:r>
      <w:r>
        <w:rPr>
          <w:rtl/>
          <w:lang w:bidi="ar-SA"/>
        </w:rPr>
        <w:t xml:space="preserve"> </w:t>
      </w:r>
      <w:r>
        <w:rPr>
          <w:rtl/>
        </w:rPr>
        <w:t>לחכם</w:t>
      </w:r>
      <w:r>
        <w:rPr>
          <w:rtl/>
          <w:lang w:bidi="ar-SA"/>
        </w:rPr>
        <w:t xml:space="preserve"> </w:t>
      </w:r>
      <w:r>
        <w:rPr>
          <w:rtl/>
        </w:rPr>
        <w:t>ויחכם</w:t>
      </w:r>
      <w:r>
        <w:rPr>
          <w:rtl/>
          <w:lang w:bidi="ar-SA"/>
        </w:rPr>
        <w:t xml:space="preserve"> </w:t>
      </w:r>
      <w:r>
        <w:rPr>
          <w:rtl/>
        </w:rPr>
        <w:t>עוד</w:t>
      </w:r>
      <w:r>
        <w:rPr>
          <w:rtl/>
          <w:lang w:bidi="ar-SA"/>
        </w:rPr>
        <w:t>.</w:t>
      </w:r>
    </w:p>
    <w:p w14:paraId="4A7A329B" w14:textId="77777777" w:rsidR="00DF4CDD" w:rsidRDefault="00DF4CDD" w:rsidP="00423C6D">
      <w:pPr>
        <w:pStyle w:val="a2"/>
        <w:rPr>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14:paraId="0C143FAC" w14:textId="77777777" w:rsidR="006B7334" w:rsidRPr="00347933" w:rsidRDefault="006B7334" w:rsidP="00D25B6F">
      <w:pPr>
        <w:pStyle w:val="a4"/>
        <w:spacing w:after="0"/>
        <w:sectPr w:rsidR="006B733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FDB5A69" w14:textId="0E54E94D" w:rsidR="006B7334" w:rsidRDefault="006B7334" w:rsidP="006B7334">
      <w:pPr>
        <w:pStyle w:val="12"/>
        <w:rPr>
          <w:rtl/>
        </w:rPr>
      </w:pPr>
      <w:bookmarkStart w:id="101" w:name="_Toc531140345"/>
      <w:r>
        <w:rPr>
          <w:rFonts w:hint="cs"/>
          <w:rtl/>
        </w:rPr>
        <w:t>תורת רבינו</w:t>
      </w:r>
      <w:bookmarkEnd w:id="101"/>
    </w:p>
    <w:p w14:paraId="722BB827" w14:textId="77777777" w:rsidR="006B7334" w:rsidRDefault="006B7334" w:rsidP="006B7334">
      <w:pPr>
        <w:pStyle w:val="a"/>
        <w:bidi w:val="0"/>
        <w:rPr>
          <w:rtl/>
        </w:rPr>
      </w:pPr>
      <w:bookmarkStart w:id="102" w:name="_Toc531140346"/>
      <w:r w:rsidRPr="00331367">
        <w:rPr>
          <w:rFonts w:hint="cs"/>
          <w:rtl/>
        </w:rPr>
        <w:t>היטב איטיב עמך</w:t>
      </w:r>
      <w:bookmarkEnd w:id="102"/>
    </w:p>
    <w:p w14:paraId="1244970C" w14:textId="6EEC771F" w:rsidR="006B7334" w:rsidRDefault="006B7334" w:rsidP="00423C6D">
      <w:pPr>
        <w:pStyle w:val="11"/>
        <w:rPr>
          <w:rtl/>
        </w:rPr>
      </w:pPr>
      <w:r>
        <w:rPr>
          <w:rFonts w:hint="cs"/>
          <w:rtl/>
        </w:rPr>
        <w:t>-בטעם שהרבי היה מברך לנשואין ברכת "מזל טוב מזל טוב"-</w:t>
      </w:r>
    </w:p>
    <w:p w14:paraId="799809A7" w14:textId="77777777" w:rsidR="006B7334" w:rsidRPr="008307D7" w:rsidRDefault="006B7334" w:rsidP="00C40DBA">
      <w:pPr>
        <w:pStyle w:val="a0"/>
        <w:rPr>
          <w:rtl/>
        </w:rPr>
      </w:pPr>
      <w:bookmarkStart w:id="103" w:name="_Toc531140347"/>
      <w:r w:rsidRPr="008307D7">
        <w:rPr>
          <w:rFonts w:hint="cs"/>
          <w:rtl/>
          <w:lang w:bidi="he-IL"/>
        </w:rPr>
        <w:t>הרב חנני</w:t>
      </w:r>
      <w:r w:rsidRPr="008307D7">
        <w:rPr>
          <w:rFonts w:hint="cs"/>
          <w:rtl/>
        </w:rPr>
        <w:t xml:space="preserve">' </w:t>
      </w:r>
      <w:r w:rsidRPr="008307D7">
        <w:rPr>
          <w:rFonts w:hint="cs"/>
          <w:rtl/>
          <w:lang w:bidi="he-IL"/>
        </w:rPr>
        <w:t>יוסף אייזנבך</w:t>
      </w:r>
      <w:bookmarkEnd w:id="103"/>
    </w:p>
    <w:p w14:paraId="00A2D408" w14:textId="08F81202" w:rsidR="006B7334" w:rsidRPr="006B7334" w:rsidRDefault="006B7334" w:rsidP="006B7334">
      <w:pPr>
        <w:pStyle w:val="a1"/>
        <w:spacing w:after="0"/>
        <w:rPr>
          <w:rtl/>
        </w:rPr>
      </w:pPr>
      <w:r>
        <w:rPr>
          <w:rFonts w:hint="cs"/>
          <w:rtl/>
        </w:rPr>
        <w:t>בעמ"ח ספרי "מחנה יוסף"</w:t>
      </w:r>
    </w:p>
    <w:p w14:paraId="6C6369F8" w14:textId="77777777" w:rsidR="006B7334" w:rsidRDefault="006B7334" w:rsidP="00423C6D">
      <w:pPr>
        <w:pStyle w:val="11"/>
        <w:bidi/>
        <w:rPr>
          <w:rtl/>
        </w:rPr>
      </w:pPr>
      <w:r>
        <w:rPr>
          <w:rFonts w:hint="cs"/>
          <w:rtl/>
        </w:rPr>
        <w:t>א</w:t>
      </w:r>
    </w:p>
    <w:p w14:paraId="3CE53B4A" w14:textId="77777777" w:rsidR="006B7334" w:rsidRDefault="006B7334" w:rsidP="00423C6D">
      <w:pPr>
        <w:pStyle w:val="a2"/>
        <w:rPr>
          <w:rtl/>
        </w:rPr>
      </w:pPr>
      <w:r>
        <w:rPr>
          <w:rFonts w:hint="cs"/>
          <w:rtl/>
        </w:rPr>
        <w:t xml:space="preserve">"קטונתי מכל החסדים ומכל האמת אשר עשית את עבדך גו' ואתה אמרת היטב אטיב עמך", וברש"י (על פי המדרש): "היטב בזכותך איטיב בזכות אבותיך",  וברשב"ם: "אף על פי שאין אתה מחוייב לקיים לי הבטחתך, שהרי קטונתי וגו', אף על פי כן עשה למען כבוד שמך שתתקיים הבטחתך", ויש כאן יסוד גדול בחיי העם הזה עם אלקיו, ומכבר אמרתי על לשון הברכה בתפילת שמונה עשרה: "ולירושלים עירך ברחמים תשוב ותשכון בתוכה כאשר דברת", ולכאורה "כאשר דברת" מיותר הוא, אנו מבקשים מהקב"ה שישרה שכינתו על ירושלים, כי מחוייב המציאות הוא, שלא יתכן שבני ישראל ישארו ח"ו בגלות? אלא שיותר ממה שאנו מבקשים טובתינו שלנו יהיה טובה וגאולה, אנו מתכוונים לכבודו של הקב"ה: "ותשכון בתוכה </w:t>
      </w:r>
      <w:r w:rsidRPr="00EE58D4">
        <w:rPr>
          <w:rFonts w:hint="cs"/>
          <w:u w:val="single"/>
          <w:rtl/>
        </w:rPr>
        <w:t>כאשר דברת</w:t>
      </w:r>
      <w:r>
        <w:rPr>
          <w:rFonts w:hint="cs"/>
          <w:rtl/>
        </w:rPr>
        <w:t>". ודיבורך מוכרח להתקיים.</w:t>
      </w:r>
    </w:p>
    <w:p w14:paraId="41206AD0" w14:textId="77777777" w:rsidR="006B7334" w:rsidRDefault="006B7334" w:rsidP="00423C6D">
      <w:pPr>
        <w:pStyle w:val="a2"/>
        <w:rPr>
          <w:rtl/>
        </w:rPr>
      </w:pPr>
      <w:r>
        <w:rPr>
          <w:rFonts w:hint="cs"/>
          <w:rtl/>
        </w:rPr>
        <w:t>ומכאן גם לענין "צדיקים דומים לבוראם", אם הרבי מברך ומבטיח, הרי דבריו הק' חייבים להתקיים בפועל ממש, משום כבודו וקדושתו.</w:t>
      </w:r>
    </w:p>
    <w:p w14:paraId="13AE7ABE" w14:textId="77777777" w:rsidR="006B7334" w:rsidRDefault="006B7334" w:rsidP="00423C6D">
      <w:pPr>
        <w:pStyle w:val="11"/>
        <w:bidi/>
        <w:rPr>
          <w:rtl/>
        </w:rPr>
      </w:pPr>
      <w:r>
        <w:rPr>
          <w:rFonts w:hint="cs"/>
          <w:rtl/>
        </w:rPr>
        <w:t>ב</w:t>
      </w:r>
    </w:p>
    <w:p w14:paraId="27A781F3" w14:textId="77777777" w:rsidR="006B7334" w:rsidRDefault="006B7334" w:rsidP="00423C6D">
      <w:pPr>
        <w:pStyle w:val="a2"/>
        <w:rPr>
          <w:rtl/>
        </w:rPr>
      </w:pPr>
      <w:r>
        <w:rPr>
          <w:rFonts w:hint="cs"/>
          <w:rtl/>
        </w:rPr>
        <w:t xml:space="preserve"> ברם יש כאן שאלה אחרת, היכן מצינו באמת שהקדוש ברוך הוא הבטיח כן </w:t>
      </w:r>
      <w:r>
        <w:rPr>
          <w:rFonts w:hint="cs"/>
          <w:rtl/>
        </w:rPr>
        <w:lastRenderedPageBreak/>
        <w:t>ליעקב? ב"שפתי חכמים" בשם ספר "נחלת יעקב" כתב: "אף על גב דלא מצינו שהבטיחו הקדוש ברוך הוא להטיב עמו בזכותו, מכל מקום מכיון שאמר לו בחרן "ואהיה עמך" ופירש הרב "להשרות שכינתי עליך, והיינו היטב בזכותך".  ובספר "ילקוט הגרשוני"  (הובא ב"תורת שלום" להגאון רבי שלום הכהן וייס זצ"ל) הקשה מפורש, היכן ראינו הבטחה כזו של הקדוש ברוך הוא ליעקב "היטב אטיב עמך"?, וכתב ששבעה האושפיזין הרי הם כנגד שבעת ימי בראשית, ונמצא שיעקב אבינו הוא כנגד היום השלישי, שהוכפל בו כי טוב, וזהו "היטב אטיב עמך", ולכאורה הוא נראה דחוק קצת. אבל באמת דבר גדול דיבר, שכל ענינו של יעקב היה כפל "כי טוב" וכמו שיבואר בע"ה.</w:t>
      </w:r>
    </w:p>
    <w:p w14:paraId="60310039" w14:textId="77777777" w:rsidR="006B7334" w:rsidRPr="008279C3" w:rsidRDefault="006B7334" w:rsidP="00423C6D">
      <w:pPr>
        <w:pStyle w:val="a2"/>
      </w:pPr>
      <w:r>
        <w:rPr>
          <w:rFonts w:hint="cs"/>
          <w:rtl/>
        </w:rPr>
        <w:t xml:space="preserve">הנה בזוהר הקדוש פר' עקב (רע"ג ע"א) איתא: "תניינא, למבצע על שני ככרות בשבת, דאינון רמיזין בתרי לוחי אורייתא דאתייהבו בשבת זוגות, </w:t>
      </w:r>
      <w:r w:rsidRPr="005337F3">
        <w:rPr>
          <w:rFonts w:hint="cs"/>
          <w:u w:val="single"/>
          <w:rtl/>
        </w:rPr>
        <w:t>דביומא תליתאה</w:t>
      </w:r>
      <w:r>
        <w:rPr>
          <w:rFonts w:hint="cs"/>
          <w:rtl/>
        </w:rPr>
        <w:t xml:space="preserve"> נחתו, </w:t>
      </w:r>
      <w:r w:rsidRPr="008279C3">
        <w:rPr>
          <w:rFonts w:hint="cs"/>
          <w:u w:val="single"/>
          <w:rtl/>
        </w:rPr>
        <w:t>דביה תרי זימנא טוב"</w:t>
      </w:r>
      <w:r>
        <w:rPr>
          <w:rFonts w:hint="cs"/>
          <w:u w:val="single"/>
          <w:rtl/>
        </w:rPr>
        <w:t xml:space="preserve"> </w:t>
      </w:r>
      <w:r w:rsidRPr="008279C3">
        <w:rPr>
          <w:rFonts w:hint="cs"/>
          <w:rtl/>
        </w:rPr>
        <w:t xml:space="preserve">. </w:t>
      </w:r>
    </w:p>
    <w:p w14:paraId="52E26658" w14:textId="77777777" w:rsidR="006B7334" w:rsidRDefault="006B7334" w:rsidP="00423C6D">
      <w:pPr>
        <w:pStyle w:val="a2"/>
        <w:rPr>
          <w:rtl/>
        </w:rPr>
      </w:pPr>
      <w:r>
        <w:rPr>
          <w:rFonts w:hint="cs"/>
          <w:rtl/>
        </w:rPr>
        <w:t>ומבואר שענין לחם משנה בשבת, הוא משום שהוא כנד שתי הלוחות שניתנו ביום השלישי (ביומא תליתאה") והיום השלישי הרי הוכפל בו כי טוב.</w:t>
      </w:r>
    </w:p>
    <w:p w14:paraId="527D1D6D" w14:textId="77777777" w:rsidR="006B7334" w:rsidRDefault="006B7334" w:rsidP="00423C6D">
      <w:pPr>
        <w:pStyle w:val="a2"/>
        <w:rPr>
          <w:rtl/>
        </w:rPr>
      </w:pPr>
      <w:r>
        <w:rPr>
          <w:rFonts w:hint="cs"/>
          <w:rtl/>
        </w:rPr>
        <w:t>ולפי זה הרי פשוט שיעקב אבינו שהוא עמוד התורה ומדת התפארת, ברכתו והבטחתו של הקב"ה אליו כפולה, היטב אטיב עמך.</w:t>
      </w:r>
    </w:p>
    <w:p w14:paraId="24DEC82C" w14:textId="77777777" w:rsidR="006B7334" w:rsidRDefault="006B7334" w:rsidP="00423C6D">
      <w:pPr>
        <w:pStyle w:val="a2"/>
        <w:rPr>
          <w:rtl/>
        </w:rPr>
      </w:pPr>
      <w:r>
        <w:rPr>
          <w:rFonts w:hint="cs"/>
          <w:rtl/>
        </w:rPr>
        <w:t>וענין כפל "היטב הטיב עמך", שמרמז לשני סוגי טוב, הנה הטוב העיקרי והפנימי שייך לתורה שהיא ענינו של יעקב.</w:t>
      </w:r>
    </w:p>
    <w:p w14:paraId="11B21734" w14:textId="77777777" w:rsidR="006B7334" w:rsidRDefault="006B7334" w:rsidP="00423C6D">
      <w:pPr>
        <w:pStyle w:val="11"/>
        <w:bidi/>
        <w:rPr>
          <w:rtl/>
        </w:rPr>
      </w:pPr>
      <w:r>
        <w:rPr>
          <w:rFonts w:hint="cs"/>
          <w:rtl/>
        </w:rPr>
        <w:t>ג</w:t>
      </w:r>
    </w:p>
    <w:p w14:paraId="7830E9D9" w14:textId="77777777" w:rsidR="006B7334" w:rsidRDefault="006B7334" w:rsidP="00423C6D">
      <w:pPr>
        <w:pStyle w:val="a2"/>
        <w:rPr>
          <w:rtl/>
        </w:rPr>
      </w:pPr>
      <w:r>
        <w:rPr>
          <w:rFonts w:hint="cs"/>
          <w:rtl/>
        </w:rPr>
        <w:t>וביאור הדברים: הנה איתא בסנהדרין ל"ט ריש ע"ב: "רבי אלעזר רמי: כתיב "טוב ה' לכל" (תהלים קמ"ה), וכתיב "טוב ה' לקויו" (איכה ג'), משל לאדם שיש לו פרדס כשהוא משקה משקה את כולו (אינו מונע המים לילך לטובים ולרעים לפי שאינו אלא טורח אחד, רש"י) כשהוא עודר (דהוי טורח לכל אחד, רש"י) אינו עודר אלא לטובים שבהם. (כך הקב"ה זן טובים ורעים הכל בדיבור אחד ממלא את כל העולם כולו טובה שהכל שלו, אבל כשבא להגן מן הפורענות ולשלם שכר אינו אלא לקויו" , רש"י)".</w:t>
      </w:r>
    </w:p>
    <w:p w14:paraId="0788205F" w14:textId="77777777" w:rsidR="006B7334" w:rsidRDefault="006B7334" w:rsidP="00423C6D">
      <w:pPr>
        <w:pStyle w:val="a2"/>
        <w:rPr>
          <w:rtl/>
        </w:rPr>
      </w:pPr>
      <w:r>
        <w:rPr>
          <w:rFonts w:hint="cs"/>
          <w:rtl/>
        </w:rPr>
        <w:t>וב"אור התורה" לפר' בשלח (עמוד תקט"ז), מביא מ"תורה אור" פר' יתרו, וכן הוא בכו"כ מאמרי דא"ח שלאחריו, ש"טוב ה' לכל" הוא ענין של "זיווגייהו תדיר" שהוא יחוד חיצוני, ו"טוב ה' לקויו" הוא "לחדש הנשמות שהוא זיווג פנימי וזה ע"י נשמות הצדיקים דוקא" עי"ש.</w:t>
      </w:r>
    </w:p>
    <w:p w14:paraId="0C4E9DC7" w14:textId="77777777" w:rsidR="006B7334" w:rsidRDefault="006B7334" w:rsidP="00423C6D">
      <w:pPr>
        <w:pStyle w:val="a2"/>
        <w:rPr>
          <w:rtl/>
        </w:rPr>
      </w:pPr>
      <w:r>
        <w:rPr>
          <w:rFonts w:hint="cs"/>
          <w:rtl/>
        </w:rPr>
        <w:lastRenderedPageBreak/>
        <w:t>ועל מה שפירש רש"י בסנהדרין שם ב"משל לאדם שיש לו פרדס: כשהוא משקה משקה את כולו, היינו שאינו מונע המים לילך לטובים ולרעים לפי שאינו אלא טורח אחד, אבל כשהוא עודר "</w:t>
      </w:r>
      <w:r w:rsidRPr="002368ED">
        <w:rPr>
          <w:rFonts w:hint="cs"/>
          <w:u w:val="single"/>
          <w:rtl/>
        </w:rPr>
        <w:t>דהוי טורח לכל אחד</w:t>
      </w:r>
      <w:r>
        <w:rPr>
          <w:rFonts w:hint="cs"/>
          <w:rtl/>
        </w:rPr>
        <w:t xml:space="preserve">" כו', זכורני במאמרי הצ"צ (ואיני זוכר כעת מקומו) ששואל מה שייך "טורח" למעלה כביכול, ומבאר ש"טורח" מורה על כוח פנימי יותר, ועל כן כשהוא עוד הוא טורח לכל אחד ואחד, הוא כוח פנימי יותר. </w:t>
      </w:r>
    </w:p>
    <w:p w14:paraId="5C9458D9" w14:textId="2E5967C2" w:rsidR="006B7334" w:rsidRPr="002368ED" w:rsidRDefault="006B7334" w:rsidP="00423C6D">
      <w:pPr>
        <w:pStyle w:val="a2"/>
        <w:rPr>
          <w:u w:val="single"/>
          <w:rtl/>
        </w:rPr>
      </w:pPr>
      <w:r>
        <w:rPr>
          <w:rFonts w:hint="cs"/>
          <w:rtl/>
        </w:rPr>
        <w:t xml:space="preserve">וב"אור התורה" שם לפני זה כתב: "ועיין במדרש איכה על פסוק "טוב ה' לקויו", ובגמ' פ"ק דברכות דף ז' ע"ב מענין "טוב ה' לכל ורחמיו על כל מעשיו", </w:t>
      </w:r>
      <w:r w:rsidRPr="002368ED">
        <w:rPr>
          <w:rFonts w:hint="cs"/>
          <w:u w:val="single"/>
          <w:rtl/>
        </w:rPr>
        <w:t>ומובן שזהו ב' הבחינות טוב שנזכר כו', ואפשר לומר גם כן שזהו ענין יום שלישי שהוכפל בו כי טוב" עי"ש.</w:t>
      </w:r>
    </w:p>
    <w:p w14:paraId="42217325" w14:textId="77777777" w:rsidR="006B7334" w:rsidRDefault="006B7334" w:rsidP="00423C6D">
      <w:pPr>
        <w:pStyle w:val="11"/>
        <w:bidi/>
        <w:rPr>
          <w:rtl/>
        </w:rPr>
      </w:pPr>
      <w:r>
        <w:rPr>
          <w:rFonts w:hint="cs"/>
          <w:rtl/>
        </w:rPr>
        <w:t>ד</w:t>
      </w:r>
    </w:p>
    <w:p w14:paraId="184B2504" w14:textId="77777777" w:rsidR="006B7334" w:rsidRDefault="006B7334" w:rsidP="00423C6D">
      <w:pPr>
        <w:pStyle w:val="a2"/>
        <w:rPr>
          <w:rtl/>
        </w:rPr>
      </w:pPr>
      <w:r>
        <w:rPr>
          <w:rFonts w:hint="cs"/>
          <w:rtl/>
        </w:rPr>
        <w:t xml:space="preserve">ונמצא שיש ב' סוגי טוב. אחד "טוב ה' לכל", שהיא ההשפעה הסדורה שהיא </w:t>
      </w:r>
      <w:r w:rsidRPr="002B1735">
        <w:rPr>
          <w:rFonts w:hint="cs"/>
          <w:u w:val="single"/>
          <w:rtl/>
        </w:rPr>
        <w:t>לכל אחד ואחד</w:t>
      </w:r>
      <w:r>
        <w:rPr>
          <w:rFonts w:hint="cs"/>
          <w:rtl/>
        </w:rPr>
        <w:t xml:space="preserve"> </w:t>
      </w:r>
      <w:r>
        <w:rPr>
          <w:rtl/>
        </w:rPr>
        <w:t>–</w:t>
      </w:r>
      <w:r>
        <w:rPr>
          <w:rFonts w:hint="cs"/>
          <w:rtl/>
        </w:rPr>
        <w:t xml:space="preserve"> וזהו שאומרים בברכת המזון: "כי הוא א-ל זן </w:t>
      </w:r>
      <w:r w:rsidRPr="00C20AAA">
        <w:rPr>
          <w:rFonts w:hint="cs"/>
          <w:u w:val="single"/>
          <w:rtl/>
        </w:rPr>
        <w:t>ומפרנס לכל ומיטיב לכל</w:t>
      </w:r>
      <w:r>
        <w:rPr>
          <w:rFonts w:hint="cs"/>
          <w:rtl/>
        </w:rPr>
        <w:t xml:space="preserve"> ומכין מזון לכל בריותיו אשר ברא" שהוא ענין ששייך לכל, ועיין ב"תוספות יום טוב" למשניות ברכות פ"ז מ"ג שעמד על נוסח הברכות, מה טעם בברכת התורה מזכירים שם הוי' שאומרים "ברוך ה'" ואילו בברכת המזון אומרים "ברוך אלקינו", וכתב: "אמנם זה מבואר, כי המזון </w:t>
      </w:r>
      <w:r w:rsidRPr="00AA3ABA">
        <w:rPr>
          <w:rFonts w:hint="cs"/>
          <w:u w:val="single"/>
          <w:rtl/>
        </w:rPr>
        <w:t>הדין</w:t>
      </w:r>
      <w:r>
        <w:rPr>
          <w:rFonts w:hint="cs"/>
          <w:rtl/>
        </w:rPr>
        <w:t xml:space="preserve"> נותן לכלכל את ברואיו, ולפיכך תיקנו זה השם שהוא מדת הדין כו', אבל התורה לא ניתנה אלא מחסדו כו', ולפיכך תיקנו בברכת תורה שם זה (הוי') שהוא מדת הרחמים".</w:t>
      </w:r>
    </w:p>
    <w:p w14:paraId="15D7C460" w14:textId="77777777" w:rsidR="006B7334" w:rsidRDefault="006B7334" w:rsidP="00423C6D">
      <w:pPr>
        <w:pStyle w:val="a2"/>
        <w:rPr>
          <w:rtl/>
        </w:rPr>
      </w:pPr>
      <w:r>
        <w:rPr>
          <w:rFonts w:hint="cs"/>
          <w:rtl/>
        </w:rPr>
        <w:t>ונמצא שענין ההשפעה שהקב"ה זן ומפרנס בטובו ובחסדו כל ברואיו, הוא ענין "טוב ה'  לכל". ואילו "טוב ה' לקוויו" לאלו שמקוים ובוטחים בו, שאז זוכים להשפעה פנימית ופרטית יותר. "טורח לכל אחד ואחד".</w:t>
      </w:r>
    </w:p>
    <w:p w14:paraId="11955A04" w14:textId="77777777" w:rsidR="006B7334" w:rsidRDefault="006B7334" w:rsidP="00423C6D">
      <w:pPr>
        <w:pStyle w:val="a2"/>
        <w:rPr>
          <w:rtl/>
        </w:rPr>
      </w:pPr>
      <w:r>
        <w:rPr>
          <w:rFonts w:hint="cs"/>
          <w:rtl/>
        </w:rPr>
        <w:t>ומעתה זה גם פירוש כתוב "היטב אטיב עמך" "היטב" לשון נפעל, שהוא נעשה לכל נברא, אבל "אטיב" היינו שהוא כביכול ייטיב והוא מבחינה פנימית יותר.</w:t>
      </w:r>
    </w:p>
    <w:p w14:paraId="29AAF557" w14:textId="77777777" w:rsidR="006B7334" w:rsidRDefault="006B7334" w:rsidP="00423C6D">
      <w:pPr>
        <w:pStyle w:val="a2"/>
        <w:rPr>
          <w:rtl/>
        </w:rPr>
      </w:pPr>
      <w:r>
        <w:rPr>
          <w:rFonts w:hint="cs"/>
          <w:rtl/>
        </w:rPr>
        <w:t xml:space="preserve">ולהמחיש הדברים: הרה"ח ר' יצחק נמינוב שליט"א עבר לפני הרבי בערב פסח לקבל מצה, וכשהרבי הושיט לו המצה שאלו אם זה בשביל אביו המשפיע ר' ניסן, השיב בשלילה. החזיר הרבי את המצה ונתן לו מצה אחרת.. היינו שיש מצה שהרבי משפיע לכל, אבל יש מצה שבה הוא משקיע כביכול כוח פנימי יותר, בבחינת "טוב ה' לקויו". </w:t>
      </w:r>
    </w:p>
    <w:p w14:paraId="1E92D2B0" w14:textId="77777777" w:rsidR="006B7334" w:rsidRDefault="006B7334" w:rsidP="00423C6D">
      <w:pPr>
        <w:pStyle w:val="11"/>
        <w:bidi/>
        <w:rPr>
          <w:rtl/>
        </w:rPr>
      </w:pPr>
      <w:r>
        <w:rPr>
          <w:rFonts w:hint="cs"/>
          <w:rtl/>
        </w:rPr>
        <w:t>ה</w:t>
      </w:r>
    </w:p>
    <w:p w14:paraId="01A979BE" w14:textId="77777777" w:rsidR="006B7334" w:rsidRDefault="006B7334" w:rsidP="00423C6D">
      <w:pPr>
        <w:pStyle w:val="a2"/>
        <w:rPr>
          <w:rtl/>
        </w:rPr>
      </w:pPr>
      <w:r>
        <w:rPr>
          <w:rFonts w:hint="cs"/>
          <w:rtl/>
        </w:rPr>
        <w:lastRenderedPageBreak/>
        <w:t>הרי היום הוא יום הנשואין הצדי"ק של רבינו הגדול קדוש ישראל, הנה הרבי היה נוהג תמיד במכתביו לנשואין לחתום בכפילא "בברכת מזל טוב מזל טוב" (שלא כמו בבר מצוה וברית מילה), ולא נראה שהוא "מזל טוב" אחד לחתן ו"מזל טוב" אחד לכלה. שהרי מכתבו הק' היה מופנה לחתן ולכלה יחד. כפשוט יש לומר עפ"י מה שכתב ב"דברי תורה" להרה"ק בעהמ"ח "מנחת אלעזר" זי"ע (מהדורה א' אות ז') כי צדיקים גדולי החסידות היו מושיבים החתן בקרן זוית, שענינו של קרן זוית הוא שמחבר שני הצדדים, ו"צד" גימ' מזל טוב, ושני צדדים הם פעמיים מזל טוב, עי"ש.</w:t>
      </w:r>
    </w:p>
    <w:p w14:paraId="5DB00C4B" w14:textId="77777777" w:rsidR="006B7334" w:rsidRDefault="006B7334" w:rsidP="00423C6D">
      <w:pPr>
        <w:pStyle w:val="a2"/>
        <w:rPr>
          <w:rtl/>
        </w:rPr>
      </w:pPr>
      <w:r>
        <w:rPr>
          <w:rFonts w:hint="cs"/>
          <w:rtl/>
        </w:rPr>
        <w:t>אך על פי האמור י"ל שברכת "מזל טוב" בכפילא, הוא ענין של הוכפל בו כי טוב.</w:t>
      </w:r>
    </w:p>
    <w:p w14:paraId="048356C9" w14:textId="36EE55BE" w:rsidR="006B7334" w:rsidRDefault="006B7334" w:rsidP="00423C6D">
      <w:pPr>
        <w:pStyle w:val="a2"/>
        <w:rPr>
          <w:rtl/>
        </w:rPr>
      </w:pPr>
      <w:r>
        <w:rPr>
          <w:rFonts w:hint="cs"/>
          <w:rtl/>
        </w:rPr>
        <w:t xml:space="preserve">ונשואי הרבי בי"ד כסלו תרפ"ט הרי חל </w:t>
      </w:r>
      <w:r w:rsidRPr="00D45814">
        <w:rPr>
          <w:rFonts w:hint="cs"/>
          <w:u w:val="single"/>
          <w:rtl/>
        </w:rPr>
        <w:t>ביום השלישי שהוכפל בו כי טוב</w:t>
      </w:r>
      <w:r>
        <w:rPr>
          <w:rFonts w:hint="cs"/>
          <w:rtl/>
        </w:rPr>
        <w:t>, ועל ענין כפל כי טוב, מביא הרבי בהערה ב"לקוטי שיחות" חלק כ' ע' 289 וכן בעוד כ"מ, שמה שאמרו בקידושין מ' ע"א: "אמרו צדיק כי טוב כי פרי מעלליהם יאכלו, וכי יש צדיק טוב וצדיק שאינו טוב, אלא טוב לשמים ולבריות זהו צדיק טוב", הנה "באור התורה (בראשית לג, ב, משפטים ע' א'קנז, ועוד)  מקשר זה עם יום השלישי שהוכפל בו כי טוב".</w:t>
      </w:r>
    </w:p>
    <w:p w14:paraId="3DA505EE" w14:textId="77777777" w:rsidR="006B7334" w:rsidRDefault="006B7334" w:rsidP="00423C6D">
      <w:pPr>
        <w:pStyle w:val="11"/>
        <w:bidi/>
        <w:rPr>
          <w:rtl/>
        </w:rPr>
      </w:pPr>
      <w:r>
        <w:rPr>
          <w:rFonts w:hint="cs"/>
          <w:rtl/>
        </w:rPr>
        <w:t>ו</w:t>
      </w:r>
    </w:p>
    <w:p w14:paraId="7EE15C0A" w14:textId="77777777" w:rsidR="006B7334" w:rsidRPr="00331367" w:rsidRDefault="006B7334" w:rsidP="00423C6D">
      <w:pPr>
        <w:pStyle w:val="a2"/>
        <w:rPr>
          <w:u w:val="single"/>
          <w:rtl/>
        </w:rPr>
      </w:pPr>
      <w:r>
        <w:rPr>
          <w:rFonts w:hint="cs"/>
          <w:rtl/>
        </w:rPr>
        <w:t xml:space="preserve">והנה על פי הנ"ל בענין פעמיים כי טוב שקשור במיוחד בנשואי הרבי, וגם בפרשת השבוע "היטב אטיב עמך", וכל עניני כפילות הטוב בחז"ל מקורן מהכפלת "כי טוב", ארווחנא להבין את מה ששמעתי מפי הרב החסיד רבי חיים דוב רובינשטיין שליט"א (מחשובי חסידי גור וחותנו של הגאון המפורסם ר' שאול אלתר שליט"א), שהוא בן בתו של החסיד המפורסם ר' בערל משה שמוטקין ע"ה מגדולי החסידים בורשא, </w:t>
      </w:r>
      <w:r w:rsidRPr="00331367">
        <w:rPr>
          <w:rFonts w:hint="cs"/>
          <w:u w:val="single"/>
          <w:rtl/>
        </w:rPr>
        <w:t>אחד מעדי הכתובה של הרבי,</w:t>
      </w:r>
      <w:r>
        <w:rPr>
          <w:rFonts w:hint="cs"/>
          <w:rtl/>
        </w:rPr>
        <w:t xml:space="preserve"> שאמו (בת הרב"מ שמוטקין), סיפרה לו שבנשואי הרבי, </w:t>
      </w:r>
      <w:r w:rsidRPr="00331367">
        <w:rPr>
          <w:rFonts w:hint="cs"/>
          <w:u w:val="single"/>
          <w:rtl/>
        </w:rPr>
        <w:t>הרבי הריי"צ זי"ע רקד ושתי חלות בידיו..</w:t>
      </w:r>
    </w:p>
    <w:p w14:paraId="2694F102" w14:textId="77777777" w:rsidR="006B7334" w:rsidRDefault="006B7334" w:rsidP="00423C6D">
      <w:pPr>
        <w:pStyle w:val="a2"/>
        <w:rPr>
          <w:rtl/>
        </w:rPr>
      </w:pPr>
      <w:r>
        <w:rPr>
          <w:rFonts w:hint="cs"/>
          <w:rtl/>
        </w:rPr>
        <w:t xml:space="preserve">והיה נשמע לי מוזר, מה גם שלא שמעתי דבר כזה מאחרים, אבל ודאי נאמנה עלינו עדותה. אשר לפי האמור לעיל בשם הזוה"ק פר' עקב (רע"ג ע"א) ששתי הככרות בשבת שבוצעים עליהםן בשבת, "רמיזין בתרי לוחי אורייתא דאתייהבו בשבת זוגות, </w:t>
      </w:r>
      <w:r w:rsidRPr="005337F3">
        <w:rPr>
          <w:rFonts w:hint="cs"/>
          <w:u w:val="single"/>
          <w:rtl/>
        </w:rPr>
        <w:t>דביומא תליתאה</w:t>
      </w:r>
      <w:r>
        <w:rPr>
          <w:rFonts w:hint="cs"/>
          <w:rtl/>
        </w:rPr>
        <w:t xml:space="preserve"> נחתו, </w:t>
      </w:r>
      <w:r w:rsidRPr="008279C3">
        <w:rPr>
          <w:rFonts w:hint="cs"/>
          <w:u w:val="single"/>
          <w:rtl/>
        </w:rPr>
        <w:t>דביה תרי זימנא טוב"</w:t>
      </w:r>
      <w:r>
        <w:rPr>
          <w:rFonts w:hint="cs"/>
          <w:u w:val="single"/>
          <w:rtl/>
        </w:rPr>
        <w:t xml:space="preserve"> </w:t>
      </w:r>
      <w:r>
        <w:rPr>
          <w:rFonts w:hint="cs"/>
          <w:rtl/>
        </w:rPr>
        <w:t xml:space="preserve"> הרי יש להבין הדברים היטב.</w:t>
      </w:r>
    </w:p>
    <w:p w14:paraId="3AEE997E" w14:textId="77777777" w:rsidR="006B7334" w:rsidRDefault="006B7334" w:rsidP="000E110A">
      <w:pPr>
        <w:pStyle w:val="11"/>
        <w:bidi/>
        <w:spacing w:before="0" w:after="0"/>
        <w:rPr>
          <w:rtl/>
        </w:rPr>
      </w:pPr>
      <w:r>
        <w:rPr>
          <w:rFonts w:hint="cs"/>
          <w:rtl/>
        </w:rPr>
        <w:t>ז</w:t>
      </w:r>
    </w:p>
    <w:p w14:paraId="6E83405A" w14:textId="77777777" w:rsidR="006B7334" w:rsidRDefault="006B7334" w:rsidP="00423C6D">
      <w:pPr>
        <w:pStyle w:val="a2"/>
        <w:rPr>
          <w:rtl/>
        </w:rPr>
      </w:pPr>
      <w:r>
        <w:rPr>
          <w:rFonts w:hint="cs"/>
          <w:rtl/>
        </w:rPr>
        <w:t xml:space="preserve">כשהרבי אמר ש"היום הזה קישר ביני וביניכם", צריך להבין שבעצם תחילת הנהגתו בקודש כבר היה אז, ועוד לפני זה וכמבואר בענין "ומשה </w:t>
      </w:r>
      <w:r w:rsidRPr="005370CA">
        <w:rPr>
          <w:rFonts w:hint="cs"/>
          <w:u w:val="single"/>
          <w:rtl/>
        </w:rPr>
        <w:t xml:space="preserve">היה </w:t>
      </w:r>
      <w:r>
        <w:rPr>
          <w:rFonts w:hint="cs"/>
          <w:rtl/>
        </w:rPr>
        <w:t>רועה".</w:t>
      </w:r>
    </w:p>
    <w:p w14:paraId="3C48A4C5" w14:textId="77777777" w:rsidR="006B7334" w:rsidRDefault="006B7334" w:rsidP="00423C6D">
      <w:pPr>
        <w:pStyle w:val="a2"/>
        <w:rPr>
          <w:rtl/>
        </w:rPr>
      </w:pPr>
      <w:r>
        <w:rPr>
          <w:rFonts w:hint="cs"/>
          <w:rtl/>
        </w:rPr>
        <w:lastRenderedPageBreak/>
        <w:t>ויש להסביר הדבר, ע"פ הגמרא בחולין ק"ל, שהגמ' שואלת "מרדכי מן התורה מנין" "אסתר מן התורה מנין" ו"המן מן התורה מנין", ומביאים רמזים על כל אחד מהם. אבל הפלא הגדול הוא ששואלים שם גם "משה מן התורה מנין", ומתרצים "בשגם הוא בשר" ש"בשגם" "בגימטריא הכי הוי. ולפי נפלא הרי כל התורה כולה מלאה ב"משה", ובכלל כל התורה נקראת על שמו "זכרו תורת משה עבדי"? ומה זה שהביאו איזה רמז וגימטריא למשה?</w:t>
      </w:r>
    </w:p>
    <w:p w14:paraId="49E5FEF2" w14:textId="77777777" w:rsidR="006B7334" w:rsidRDefault="006B7334" w:rsidP="00423C6D">
      <w:pPr>
        <w:pStyle w:val="a2"/>
        <w:rPr>
          <w:rtl/>
        </w:rPr>
      </w:pPr>
      <w:r>
        <w:rPr>
          <w:rFonts w:hint="cs"/>
          <w:rtl/>
        </w:rPr>
        <w:t>ורש"י בכדי לתרץ קושיא גדולה ופשוטה זו, כתב שם "משה מן התורה מנין קודם שיבא", כלומר שהגמ' רוצה לדעת אם יש רמז למשה רבינו עוד לפני שבא לעולם הזה. ולכאורה מה ענין יש בזה.</w:t>
      </w:r>
    </w:p>
    <w:p w14:paraId="062C39CD" w14:textId="190824B2" w:rsidR="006B7334" w:rsidRPr="006B7334" w:rsidRDefault="006B7334" w:rsidP="00423C6D">
      <w:pPr>
        <w:pStyle w:val="a2"/>
        <w:rPr>
          <w:rtl/>
        </w:rPr>
      </w:pPr>
      <w:r>
        <w:rPr>
          <w:rFonts w:hint="cs"/>
          <w:rtl/>
        </w:rPr>
        <w:t>ופשוט הדבר, שאילו לא היה רמז על משה מלפני ביאתו לעולם, אפשר היה לומר שהקב"ה בדור יציאת מצרים ומתן תורה, בחר אחד מן הדור, הכי חשוב ש'בו, ומינהו רועה ישראל. אבל להוציא מדיעה כזו, בא הגמרא להסביר שמלכתחילה הקב":ה שתל את נשמתו של משה להיות מקבל התורה וגואלם של ישראל, הוא גואל ראשון הוא גואל אחרון. ממילא פשוט שגם עם הרבי כך, שמלכתחילה שתלו הקדוש ברוך הוא להיות רועה ישראל ומנהיגו בדור אחרון של הגלות, וימי הנשואין, היו השלב הראשון שענין זה נמשך ונתגלה לנו בעיני בשר. שהוא הוא אדונינו מורנו ורבינו, יבוא ויוליכנו קוממיות לארצנו.</w:t>
      </w:r>
    </w:p>
    <w:p w14:paraId="0249C0CC" w14:textId="77777777" w:rsidR="006B7334" w:rsidRPr="00347933" w:rsidRDefault="006B7334" w:rsidP="000E110A">
      <w:pPr>
        <w:pStyle w:val="a4"/>
        <w:spacing w:before="0" w:after="0"/>
        <w:sectPr w:rsidR="006B733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F32BD44" w14:textId="18752AD6" w:rsidR="00E670B2" w:rsidRDefault="00E670B2" w:rsidP="000E110A">
      <w:pPr>
        <w:pStyle w:val="a"/>
        <w:spacing w:before="0"/>
        <w:rPr>
          <w:rtl/>
        </w:rPr>
      </w:pPr>
      <w:bookmarkStart w:id="104" w:name="_Toc531140348"/>
      <w:r>
        <w:rPr>
          <w:rFonts w:hint="cs"/>
          <w:rtl/>
        </w:rPr>
        <w:t>שני דינים בקדשים</w:t>
      </w:r>
      <w:bookmarkEnd w:id="104"/>
    </w:p>
    <w:p w14:paraId="78939950" w14:textId="77777777" w:rsidR="00E670B2" w:rsidRPr="008307D7" w:rsidRDefault="00E670B2" w:rsidP="00C40DBA">
      <w:pPr>
        <w:pStyle w:val="a0"/>
        <w:rPr>
          <w:rtl/>
        </w:rPr>
      </w:pPr>
      <w:bookmarkStart w:id="105" w:name="_Toc531140349"/>
      <w:r w:rsidRPr="008307D7">
        <w:rPr>
          <w:rFonts w:hint="cs"/>
          <w:rtl/>
          <w:lang w:bidi="he-IL"/>
        </w:rPr>
        <w:t>הרב אליהו נתן הכהן סילבערבערג</w:t>
      </w:r>
      <w:bookmarkEnd w:id="105"/>
    </w:p>
    <w:p w14:paraId="516D9A6E" w14:textId="77777777" w:rsidR="00E670B2" w:rsidRPr="00170D2C" w:rsidRDefault="00E670B2" w:rsidP="00E670B2">
      <w:pPr>
        <w:pStyle w:val="a1"/>
        <w:rPr>
          <w:rtl/>
        </w:rPr>
      </w:pPr>
      <w:r>
        <w:rPr>
          <w:rFonts w:hint="cs"/>
          <w:rtl/>
        </w:rPr>
        <w:t>ראש מתיבתא ליובאוויטש דשיקאגא</w:t>
      </w:r>
    </w:p>
    <w:p w14:paraId="74CA5E47" w14:textId="77777777" w:rsidR="00E670B2" w:rsidRPr="005E3543" w:rsidRDefault="00E670B2" w:rsidP="00423C6D">
      <w:pPr>
        <w:pStyle w:val="11"/>
        <w:bidi/>
        <w:rPr>
          <w:rtl/>
        </w:rPr>
      </w:pPr>
      <w:r w:rsidRPr="005E3543">
        <w:rPr>
          <w:rFonts w:hint="cs"/>
          <w:rtl/>
        </w:rPr>
        <w:t>שקו"ט בדברי הרבי בענין הקטרה בלילה</w:t>
      </w:r>
    </w:p>
    <w:p w14:paraId="128FAE5A" w14:textId="77777777" w:rsidR="00E670B2" w:rsidRPr="005E3543" w:rsidRDefault="00E670B2" w:rsidP="00423C6D">
      <w:pPr>
        <w:pStyle w:val="a2"/>
        <w:rPr>
          <w:rtl/>
        </w:rPr>
      </w:pPr>
      <w:r w:rsidRPr="005E3543">
        <w:rPr>
          <w:rFonts w:hint="cs"/>
          <w:rtl/>
        </w:rPr>
        <w:t>א. בלקוטי שיחות (ח"ג פרשת צו) מבאר הרבי דבהא דכהנים מצווים לאכול את הקרבנות 'ביום קרבנו', ישנה ב' דברים: א) מ"ע של אכילת הזבח, אשר ע"ז תיקנו לברך כמו בכל מצוה, ב) מה שפועלים עי"ז שהקרבן לא יבוא לידי 'נותר'.</w:t>
      </w:r>
    </w:p>
    <w:p w14:paraId="2D205D2E" w14:textId="77777777" w:rsidR="00E670B2" w:rsidRPr="005E3543" w:rsidRDefault="00E670B2" w:rsidP="00423C6D">
      <w:pPr>
        <w:pStyle w:val="a2"/>
        <w:rPr>
          <w:rtl/>
        </w:rPr>
      </w:pPr>
      <w:r w:rsidRPr="005E3543">
        <w:rPr>
          <w:rFonts w:hint="cs"/>
          <w:rtl/>
        </w:rPr>
        <w:t xml:space="preserve">ומבאר ההבדל בין ב' ענינים אלו; בכדי לקיים ענין הראשון ישנם כמה תנאים, כמו זה שצ"ל באופן של 'למשחה', 'לגדולה', אינו חי </w:t>
      </w:r>
      <w:r w:rsidRPr="005E3543">
        <w:rPr>
          <w:rtl/>
        </w:rPr>
        <w:t>–</w:t>
      </w:r>
      <w:r w:rsidRPr="005E3543">
        <w:rPr>
          <w:rFonts w:hint="cs"/>
          <w:rtl/>
        </w:rPr>
        <w:t xml:space="preserve"> ואם לא נאכל באופן זה לא קיים מצות אכילתו. אמנם לענין השני אין הבדל איך אכלו, דבכל אופן נשמר הקרבן מלהגיע לידי נותר.</w:t>
      </w:r>
    </w:p>
    <w:p w14:paraId="4DA3872D" w14:textId="77777777" w:rsidR="00E670B2" w:rsidRPr="005E3543" w:rsidRDefault="00E670B2" w:rsidP="00423C6D">
      <w:pPr>
        <w:pStyle w:val="a2"/>
        <w:rPr>
          <w:rtl/>
        </w:rPr>
      </w:pPr>
      <w:r w:rsidRPr="005E3543">
        <w:rPr>
          <w:rFonts w:hint="cs"/>
          <w:rtl/>
        </w:rPr>
        <w:lastRenderedPageBreak/>
        <w:t xml:space="preserve">ומוסיף לבאר שעד"ז הוא בדין הקטרת הקרבן על המזבח </w:t>
      </w:r>
      <w:r w:rsidRPr="005E3543">
        <w:rPr>
          <w:rtl/>
        </w:rPr>
        <w:t>–</w:t>
      </w:r>
      <w:r w:rsidRPr="005E3543">
        <w:rPr>
          <w:rFonts w:hint="cs"/>
          <w:rtl/>
        </w:rPr>
        <w:t xml:space="preserve"> שהגמרא (זבחים יג,ב) מדמה שתי האכילות, היינו זה של המזבח וזה של הכהן, זל"ז, ולמדים זמ"ז </w:t>
      </w:r>
      <w:r w:rsidRPr="005E3543">
        <w:rPr>
          <w:rtl/>
        </w:rPr>
        <w:t>–</w:t>
      </w:r>
      <w:r w:rsidRPr="005E3543">
        <w:rPr>
          <w:rFonts w:hint="cs"/>
          <w:rtl/>
        </w:rPr>
        <w:t xml:space="preserve"> דגם בזה איכא ב' דינים אלו, מצות העבודה בהקטרת הקרבן, וזה שעי"ז לא נהי' נותר.</w:t>
      </w:r>
    </w:p>
    <w:p w14:paraId="15859E8B" w14:textId="77777777" w:rsidR="00E670B2" w:rsidRPr="005E3543" w:rsidRDefault="00E670B2" w:rsidP="00423C6D">
      <w:pPr>
        <w:pStyle w:val="a2"/>
        <w:rPr>
          <w:rtl/>
        </w:rPr>
      </w:pPr>
      <w:r w:rsidRPr="005E3543">
        <w:rPr>
          <w:rFonts w:hint="cs"/>
          <w:rtl/>
        </w:rPr>
        <w:t xml:space="preserve">ומבאר עפ"ז ההבדל בין הקטרת אימורי הקרבן ביום להקרבתן בלילה </w:t>
      </w:r>
      <w:r w:rsidRPr="005E3543">
        <w:rPr>
          <w:rtl/>
        </w:rPr>
        <w:t>–</w:t>
      </w:r>
      <w:r w:rsidRPr="005E3543">
        <w:rPr>
          <w:rFonts w:hint="cs"/>
          <w:rtl/>
        </w:rPr>
        <w:t xml:space="preserve"> דאע"פ שמפורש בקרא דיכולים להקטיר כל הלילה עד הבוקר, מ"מ מבואר בגמרא (מנחות עב,א) וברמב"ם (מעה"ק פ"ד ה"ג) שצריכים להשתדל להקריבם ביום;</w:t>
      </w:r>
    </w:p>
    <w:p w14:paraId="42200221" w14:textId="77777777" w:rsidR="00E670B2" w:rsidRPr="005E3543" w:rsidRDefault="00E670B2" w:rsidP="00423C6D">
      <w:pPr>
        <w:pStyle w:val="a2"/>
        <w:rPr>
          <w:rtl/>
        </w:rPr>
      </w:pPr>
      <w:r w:rsidRPr="005E3543">
        <w:rPr>
          <w:rFonts w:hint="cs"/>
          <w:rtl/>
        </w:rPr>
        <w:t xml:space="preserve">אשר הביאור בזה הוא ע"פ הנ"ל: כאשר מקטירים אותן ביום, אז מקיימים המצוה והעבודה של הקטרה, ואילו כאשר מקטירים אותן בלילה מקיימים בזה רק חלק השני, והוא זה שלא יבואו לידי נותר.  </w:t>
      </w:r>
    </w:p>
    <w:p w14:paraId="60FE7857" w14:textId="77777777" w:rsidR="00E670B2" w:rsidRPr="00EA6FAC" w:rsidRDefault="00E670B2" w:rsidP="00423C6D">
      <w:pPr>
        <w:pStyle w:val="a2"/>
        <w:rPr>
          <w:rtl/>
        </w:rPr>
      </w:pPr>
      <w:r w:rsidRPr="005E3543">
        <w:rPr>
          <w:rFonts w:hint="cs"/>
          <w:rtl/>
        </w:rPr>
        <w:t>ב. וה</w:t>
      </w:r>
      <w:r w:rsidRPr="00EA6FAC">
        <w:rPr>
          <w:rFonts w:hint="cs"/>
          <w:rtl/>
        </w:rPr>
        <w:t>נה ז"ל אותה גמרא שהרבי מציין לה אשר אומרת שצריכים להשתדל להקטיר ביום: ".. דתניא</w:t>
      </w:r>
      <w:r w:rsidRPr="00EA6FAC">
        <w:rPr>
          <w:rtl/>
        </w:rPr>
        <w:t xml:space="preserve"> </w:t>
      </w:r>
      <w:r w:rsidRPr="00EA6FAC">
        <w:rPr>
          <w:rFonts w:hint="cs"/>
          <w:rtl/>
        </w:rPr>
        <w:t>אמר</w:t>
      </w:r>
      <w:r w:rsidRPr="00EA6FAC">
        <w:rPr>
          <w:rtl/>
        </w:rPr>
        <w:t xml:space="preserve"> </w:t>
      </w:r>
      <w:r w:rsidRPr="00EA6FAC">
        <w:rPr>
          <w:rFonts w:hint="cs"/>
          <w:rtl/>
        </w:rPr>
        <w:t>ר</w:t>
      </w:r>
      <w:r w:rsidRPr="00EA6FAC">
        <w:rPr>
          <w:rtl/>
        </w:rPr>
        <w:t xml:space="preserve">' </w:t>
      </w:r>
      <w:r w:rsidRPr="00EA6FAC">
        <w:rPr>
          <w:rFonts w:hint="cs"/>
          <w:rtl/>
        </w:rPr>
        <w:t>שמעון</w:t>
      </w:r>
      <w:r w:rsidRPr="00EA6FAC">
        <w:rPr>
          <w:rtl/>
        </w:rPr>
        <w:t xml:space="preserve"> </w:t>
      </w:r>
      <w:r w:rsidRPr="00EA6FAC">
        <w:rPr>
          <w:rFonts w:hint="cs"/>
          <w:rtl/>
        </w:rPr>
        <w:t>בא</w:t>
      </w:r>
      <w:r w:rsidRPr="00EA6FAC">
        <w:rPr>
          <w:rtl/>
        </w:rPr>
        <w:t xml:space="preserve"> </w:t>
      </w:r>
      <w:r w:rsidRPr="00EA6FAC">
        <w:rPr>
          <w:rFonts w:hint="cs"/>
          <w:rtl/>
        </w:rPr>
        <w:t>וראה</w:t>
      </w:r>
      <w:r w:rsidRPr="00EA6FAC">
        <w:rPr>
          <w:rtl/>
        </w:rPr>
        <w:t xml:space="preserve"> </w:t>
      </w:r>
      <w:r w:rsidRPr="00EA6FAC">
        <w:rPr>
          <w:rFonts w:hint="cs"/>
          <w:rtl/>
        </w:rPr>
        <w:t>כמה</w:t>
      </w:r>
      <w:r w:rsidRPr="00EA6FAC">
        <w:rPr>
          <w:rtl/>
        </w:rPr>
        <w:t xml:space="preserve"> </w:t>
      </w:r>
      <w:r w:rsidRPr="00EA6FAC">
        <w:rPr>
          <w:rFonts w:hint="cs"/>
          <w:rtl/>
        </w:rPr>
        <w:t>חביבה</w:t>
      </w:r>
      <w:r w:rsidRPr="00EA6FAC">
        <w:rPr>
          <w:rtl/>
        </w:rPr>
        <w:t xml:space="preserve"> </w:t>
      </w:r>
      <w:r w:rsidRPr="00EA6FAC">
        <w:rPr>
          <w:rFonts w:hint="cs"/>
          <w:rtl/>
        </w:rPr>
        <w:t>מצוה</w:t>
      </w:r>
      <w:r w:rsidRPr="00EA6FAC">
        <w:rPr>
          <w:rtl/>
        </w:rPr>
        <w:t xml:space="preserve"> </w:t>
      </w:r>
      <w:r w:rsidRPr="00EA6FAC">
        <w:rPr>
          <w:rFonts w:hint="cs"/>
          <w:rtl/>
        </w:rPr>
        <w:t>בשעתה</w:t>
      </w:r>
      <w:r w:rsidRPr="00EA6FAC">
        <w:rPr>
          <w:rtl/>
        </w:rPr>
        <w:t xml:space="preserve">, </w:t>
      </w:r>
      <w:r w:rsidRPr="00EA6FAC">
        <w:rPr>
          <w:rFonts w:hint="cs"/>
          <w:rtl/>
        </w:rPr>
        <w:t>שהרי</w:t>
      </w:r>
      <w:r w:rsidRPr="00EA6FAC">
        <w:rPr>
          <w:rtl/>
        </w:rPr>
        <w:t xml:space="preserve"> </w:t>
      </w:r>
      <w:r w:rsidRPr="00EA6FAC">
        <w:rPr>
          <w:rFonts w:hint="cs"/>
          <w:rtl/>
        </w:rPr>
        <w:t>הקטר</w:t>
      </w:r>
      <w:r w:rsidRPr="00EA6FAC">
        <w:rPr>
          <w:rtl/>
        </w:rPr>
        <w:t xml:space="preserve"> </w:t>
      </w:r>
      <w:r w:rsidRPr="00EA6FAC">
        <w:rPr>
          <w:rFonts w:hint="cs"/>
          <w:rtl/>
        </w:rPr>
        <w:t>חלבים</w:t>
      </w:r>
      <w:r w:rsidRPr="00EA6FAC">
        <w:rPr>
          <w:rtl/>
        </w:rPr>
        <w:t xml:space="preserve"> </w:t>
      </w:r>
      <w:r w:rsidRPr="00EA6FAC">
        <w:rPr>
          <w:rFonts w:hint="cs"/>
          <w:rtl/>
        </w:rPr>
        <w:t>ואברים</w:t>
      </w:r>
      <w:r w:rsidRPr="00EA6FAC">
        <w:rPr>
          <w:rtl/>
        </w:rPr>
        <w:t xml:space="preserve"> </w:t>
      </w:r>
      <w:r w:rsidRPr="00EA6FAC">
        <w:rPr>
          <w:rFonts w:hint="cs"/>
          <w:rtl/>
        </w:rPr>
        <w:t>כשרים</w:t>
      </w:r>
      <w:r w:rsidRPr="00EA6FAC">
        <w:rPr>
          <w:rtl/>
        </w:rPr>
        <w:t xml:space="preserve"> </w:t>
      </w:r>
      <w:r w:rsidRPr="00EA6FAC">
        <w:rPr>
          <w:rFonts w:hint="cs"/>
          <w:rtl/>
        </w:rPr>
        <w:t>כל</w:t>
      </w:r>
      <w:r w:rsidRPr="00EA6FAC">
        <w:rPr>
          <w:rtl/>
        </w:rPr>
        <w:t xml:space="preserve"> </w:t>
      </w:r>
      <w:r w:rsidRPr="00EA6FAC">
        <w:rPr>
          <w:rFonts w:hint="cs"/>
          <w:rtl/>
        </w:rPr>
        <w:t>הלילה</w:t>
      </w:r>
      <w:r w:rsidRPr="00EA6FAC">
        <w:rPr>
          <w:rtl/>
        </w:rPr>
        <w:t xml:space="preserve">, </w:t>
      </w:r>
      <w:r w:rsidRPr="00EA6FAC">
        <w:rPr>
          <w:rFonts w:hint="cs"/>
          <w:rtl/>
        </w:rPr>
        <w:t>ולא</w:t>
      </w:r>
      <w:r w:rsidRPr="00EA6FAC">
        <w:rPr>
          <w:rtl/>
        </w:rPr>
        <w:t xml:space="preserve"> </w:t>
      </w:r>
      <w:r w:rsidRPr="00EA6FAC">
        <w:rPr>
          <w:rFonts w:hint="cs"/>
          <w:rtl/>
        </w:rPr>
        <w:t>היה</w:t>
      </w:r>
      <w:r w:rsidRPr="00EA6FAC">
        <w:rPr>
          <w:rtl/>
        </w:rPr>
        <w:t xml:space="preserve"> </w:t>
      </w:r>
      <w:r w:rsidRPr="00EA6FAC">
        <w:rPr>
          <w:rFonts w:hint="cs"/>
          <w:rtl/>
        </w:rPr>
        <w:t>ממתין</w:t>
      </w:r>
      <w:r w:rsidRPr="00EA6FAC">
        <w:rPr>
          <w:rtl/>
        </w:rPr>
        <w:t xml:space="preserve"> </w:t>
      </w:r>
      <w:r w:rsidRPr="00EA6FAC">
        <w:rPr>
          <w:rFonts w:hint="cs"/>
          <w:rtl/>
        </w:rPr>
        <w:t>להן</w:t>
      </w:r>
      <w:r w:rsidRPr="00EA6FAC">
        <w:rPr>
          <w:rtl/>
        </w:rPr>
        <w:t xml:space="preserve"> </w:t>
      </w:r>
      <w:r w:rsidRPr="00EA6FAC">
        <w:rPr>
          <w:rFonts w:hint="cs"/>
          <w:rtl/>
        </w:rPr>
        <w:t>עד</w:t>
      </w:r>
      <w:r w:rsidRPr="00EA6FAC">
        <w:rPr>
          <w:rtl/>
        </w:rPr>
        <w:t xml:space="preserve"> </w:t>
      </w:r>
      <w:r w:rsidRPr="00EA6FAC">
        <w:rPr>
          <w:rFonts w:hint="cs"/>
          <w:rtl/>
        </w:rPr>
        <w:t>שתחשך".</w:t>
      </w:r>
      <w:r w:rsidRPr="00EA6FAC">
        <w:rPr>
          <w:rtl/>
        </w:rPr>
        <w:t xml:space="preserve"> </w:t>
      </w:r>
    </w:p>
    <w:p w14:paraId="1D5B7EF8" w14:textId="77777777" w:rsidR="00E670B2" w:rsidRPr="00EA6FAC" w:rsidRDefault="00E670B2" w:rsidP="00423C6D">
      <w:pPr>
        <w:pStyle w:val="a2"/>
        <w:rPr>
          <w:rtl/>
        </w:rPr>
      </w:pPr>
      <w:r w:rsidRPr="00EA6FAC">
        <w:rPr>
          <w:rFonts w:hint="cs"/>
          <w:rtl/>
        </w:rPr>
        <w:t>והרמב</w:t>
      </w:r>
      <w:r w:rsidRPr="00EA6FAC">
        <w:rPr>
          <w:rtl/>
        </w:rPr>
        <w:t>"</w:t>
      </w:r>
      <w:r w:rsidRPr="00EA6FAC">
        <w:rPr>
          <w:rFonts w:hint="cs"/>
          <w:rtl/>
        </w:rPr>
        <w:t>ם</w:t>
      </w:r>
      <w:r w:rsidRPr="00EA6FAC">
        <w:rPr>
          <w:rtl/>
        </w:rPr>
        <w:t xml:space="preserve"> </w:t>
      </w:r>
      <w:r w:rsidRPr="00EA6FAC">
        <w:rPr>
          <w:rFonts w:hint="cs"/>
          <w:rtl/>
        </w:rPr>
        <w:t>(שמציין לה):</w:t>
      </w:r>
      <w:r w:rsidRPr="00EA6FAC">
        <w:rPr>
          <w:rtl/>
        </w:rPr>
        <w:t xml:space="preserve"> </w:t>
      </w:r>
      <w:r w:rsidRPr="00EA6FAC">
        <w:rPr>
          <w:rFonts w:hint="cs"/>
          <w:rtl/>
        </w:rPr>
        <w:t>"אע"פ</w:t>
      </w:r>
      <w:r w:rsidRPr="00EA6FAC">
        <w:rPr>
          <w:rtl/>
        </w:rPr>
        <w:t xml:space="preserve"> </w:t>
      </w:r>
      <w:r w:rsidRPr="00EA6FAC">
        <w:rPr>
          <w:rFonts w:hint="cs"/>
          <w:rtl/>
        </w:rPr>
        <w:t>שמותר</w:t>
      </w:r>
      <w:r w:rsidRPr="00EA6FAC">
        <w:rPr>
          <w:rtl/>
        </w:rPr>
        <w:t xml:space="preserve"> </w:t>
      </w:r>
      <w:r w:rsidRPr="00EA6FAC">
        <w:rPr>
          <w:rFonts w:hint="cs"/>
          <w:rtl/>
        </w:rPr>
        <w:t>להקטיר</w:t>
      </w:r>
      <w:r w:rsidRPr="00EA6FAC">
        <w:rPr>
          <w:rtl/>
        </w:rPr>
        <w:t xml:space="preserve"> </w:t>
      </w:r>
      <w:r w:rsidRPr="00EA6FAC">
        <w:rPr>
          <w:rFonts w:hint="cs"/>
          <w:rtl/>
        </w:rPr>
        <w:t>אימורין</w:t>
      </w:r>
      <w:r w:rsidRPr="00EA6FAC">
        <w:rPr>
          <w:rtl/>
        </w:rPr>
        <w:t xml:space="preserve"> </w:t>
      </w:r>
      <w:r w:rsidRPr="00EA6FAC">
        <w:rPr>
          <w:rFonts w:hint="cs"/>
          <w:rtl/>
        </w:rPr>
        <w:t>ואיברים</w:t>
      </w:r>
      <w:r w:rsidRPr="00EA6FAC">
        <w:rPr>
          <w:rtl/>
        </w:rPr>
        <w:t xml:space="preserve"> </w:t>
      </w:r>
      <w:r w:rsidRPr="00EA6FAC">
        <w:rPr>
          <w:rFonts w:hint="cs"/>
          <w:rtl/>
        </w:rPr>
        <w:t>בלילה</w:t>
      </w:r>
      <w:r w:rsidRPr="00EA6FAC">
        <w:rPr>
          <w:rtl/>
        </w:rPr>
        <w:t xml:space="preserve"> </w:t>
      </w:r>
      <w:r w:rsidRPr="00EA6FAC">
        <w:rPr>
          <w:rFonts w:hint="cs"/>
          <w:rtl/>
        </w:rPr>
        <w:t>אין</w:t>
      </w:r>
      <w:r w:rsidRPr="00EA6FAC">
        <w:rPr>
          <w:rtl/>
        </w:rPr>
        <w:t xml:space="preserve"> </w:t>
      </w:r>
      <w:r w:rsidRPr="00EA6FAC">
        <w:rPr>
          <w:rFonts w:hint="cs"/>
          <w:rtl/>
        </w:rPr>
        <w:t>מאחרין</w:t>
      </w:r>
      <w:r w:rsidRPr="00EA6FAC">
        <w:rPr>
          <w:rtl/>
        </w:rPr>
        <w:t xml:space="preserve"> </w:t>
      </w:r>
      <w:r w:rsidRPr="00EA6FAC">
        <w:rPr>
          <w:rFonts w:hint="cs"/>
          <w:rtl/>
        </w:rPr>
        <w:t>אותן</w:t>
      </w:r>
      <w:r w:rsidRPr="00EA6FAC">
        <w:rPr>
          <w:rtl/>
        </w:rPr>
        <w:t xml:space="preserve"> </w:t>
      </w:r>
      <w:r w:rsidRPr="00EA6FAC">
        <w:rPr>
          <w:rFonts w:hint="cs"/>
          <w:rtl/>
        </w:rPr>
        <w:t>לדעת</w:t>
      </w:r>
      <w:r w:rsidRPr="00EA6FAC">
        <w:rPr>
          <w:rtl/>
        </w:rPr>
        <w:t xml:space="preserve">, </w:t>
      </w:r>
      <w:r w:rsidRPr="00EA6FAC">
        <w:rPr>
          <w:rFonts w:hint="cs"/>
          <w:rtl/>
        </w:rPr>
        <w:t>אלא</w:t>
      </w:r>
      <w:r w:rsidRPr="00EA6FAC">
        <w:rPr>
          <w:rtl/>
        </w:rPr>
        <w:t xml:space="preserve"> </w:t>
      </w:r>
      <w:r w:rsidRPr="00EA6FAC">
        <w:rPr>
          <w:rFonts w:hint="cs"/>
          <w:rtl/>
        </w:rPr>
        <w:t>משתדלין</w:t>
      </w:r>
      <w:r w:rsidRPr="00EA6FAC">
        <w:rPr>
          <w:rtl/>
        </w:rPr>
        <w:t xml:space="preserve"> </w:t>
      </w:r>
      <w:r w:rsidRPr="00EA6FAC">
        <w:rPr>
          <w:rFonts w:hint="cs"/>
          <w:rtl/>
        </w:rPr>
        <w:t>להקטיר</w:t>
      </w:r>
      <w:r w:rsidRPr="00EA6FAC">
        <w:rPr>
          <w:rtl/>
        </w:rPr>
        <w:t xml:space="preserve"> </w:t>
      </w:r>
      <w:r w:rsidRPr="00EA6FAC">
        <w:rPr>
          <w:rFonts w:hint="cs"/>
          <w:rtl/>
        </w:rPr>
        <w:t>הכל</w:t>
      </w:r>
      <w:r w:rsidRPr="00EA6FAC">
        <w:rPr>
          <w:rtl/>
        </w:rPr>
        <w:t xml:space="preserve"> </w:t>
      </w:r>
      <w:r w:rsidRPr="00EA6FAC">
        <w:rPr>
          <w:rFonts w:hint="cs"/>
          <w:rtl/>
        </w:rPr>
        <w:t>ביום</w:t>
      </w:r>
      <w:r w:rsidRPr="00EA6FAC">
        <w:rPr>
          <w:rtl/>
        </w:rPr>
        <w:t xml:space="preserve">, </w:t>
      </w:r>
      <w:r w:rsidRPr="00EA6FAC">
        <w:rPr>
          <w:rFonts w:hint="cs"/>
          <w:rtl/>
        </w:rPr>
        <w:t>חביבה</w:t>
      </w:r>
      <w:r w:rsidRPr="00EA6FAC">
        <w:rPr>
          <w:rtl/>
        </w:rPr>
        <w:t xml:space="preserve"> </w:t>
      </w:r>
      <w:r w:rsidRPr="00EA6FAC">
        <w:rPr>
          <w:rFonts w:hint="cs"/>
          <w:rtl/>
        </w:rPr>
        <w:t>מצוה</w:t>
      </w:r>
      <w:r w:rsidRPr="00EA6FAC">
        <w:rPr>
          <w:rtl/>
        </w:rPr>
        <w:t xml:space="preserve"> </w:t>
      </w:r>
      <w:r w:rsidRPr="00EA6FAC">
        <w:rPr>
          <w:rFonts w:hint="cs"/>
          <w:rtl/>
        </w:rPr>
        <w:t>בשעתה.</w:t>
      </w:r>
      <w:r w:rsidRPr="00EA6FAC">
        <w:rPr>
          <w:rtl/>
        </w:rPr>
        <w:t xml:space="preserve"> </w:t>
      </w:r>
      <w:r w:rsidRPr="00EA6FAC">
        <w:rPr>
          <w:rFonts w:hint="cs"/>
          <w:rtl/>
        </w:rPr>
        <w:t>שהרי</w:t>
      </w:r>
      <w:r w:rsidRPr="00EA6FAC">
        <w:rPr>
          <w:rtl/>
        </w:rPr>
        <w:t xml:space="preserve"> </w:t>
      </w:r>
      <w:r w:rsidRPr="00EA6FAC">
        <w:rPr>
          <w:rFonts w:hint="cs"/>
          <w:rtl/>
        </w:rPr>
        <w:t>הקטר</w:t>
      </w:r>
      <w:r w:rsidRPr="00EA6FAC">
        <w:rPr>
          <w:rtl/>
        </w:rPr>
        <w:t xml:space="preserve"> </w:t>
      </w:r>
      <w:r w:rsidRPr="00EA6FAC">
        <w:rPr>
          <w:rFonts w:hint="cs"/>
          <w:rtl/>
        </w:rPr>
        <w:t>אימורין</w:t>
      </w:r>
      <w:r w:rsidRPr="00EA6FAC">
        <w:rPr>
          <w:rtl/>
        </w:rPr>
        <w:t xml:space="preserve"> </w:t>
      </w:r>
      <w:r w:rsidRPr="00EA6FAC">
        <w:rPr>
          <w:rFonts w:hint="cs"/>
          <w:rtl/>
        </w:rPr>
        <w:t>ואיברים</w:t>
      </w:r>
      <w:r w:rsidRPr="00EA6FAC">
        <w:rPr>
          <w:rtl/>
        </w:rPr>
        <w:t xml:space="preserve"> </w:t>
      </w:r>
      <w:r w:rsidRPr="00EA6FAC">
        <w:rPr>
          <w:rFonts w:hint="cs"/>
          <w:rtl/>
        </w:rPr>
        <w:t>אף</w:t>
      </w:r>
      <w:r w:rsidRPr="00EA6FAC">
        <w:rPr>
          <w:rtl/>
        </w:rPr>
        <w:t xml:space="preserve"> </w:t>
      </w:r>
      <w:r w:rsidRPr="00EA6FAC">
        <w:rPr>
          <w:rFonts w:hint="cs"/>
          <w:rtl/>
        </w:rPr>
        <w:t>על</w:t>
      </w:r>
      <w:r w:rsidRPr="00EA6FAC">
        <w:rPr>
          <w:rtl/>
        </w:rPr>
        <w:t xml:space="preserve"> </w:t>
      </w:r>
      <w:r w:rsidRPr="00EA6FAC">
        <w:rPr>
          <w:rFonts w:hint="cs"/>
          <w:rtl/>
        </w:rPr>
        <w:t>פי</w:t>
      </w:r>
      <w:r w:rsidRPr="00EA6FAC">
        <w:rPr>
          <w:rtl/>
        </w:rPr>
        <w:t xml:space="preserve"> </w:t>
      </w:r>
      <w:r w:rsidRPr="00EA6FAC">
        <w:rPr>
          <w:rFonts w:hint="cs"/>
          <w:rtl/>
        </w:rPr>
        <w:t>שכשרים</w:t>
      </w:r>
      <w:r w:rsidRPr="00EA6FAC">
        <w:rPr>
          <w:rtl/>
        </w:rPr>
        <w:t xml:space="preserve"> </w:t>
      </w:r>
      <w:r w:rsidRPr="00EA6FAC">
        <w:rPr>
          <w:rFonts w:hint="cs"/>
          <w:rtl/>
        </w:rPr>
        <w:t>בלילה</w:t>
      </w:r>
      <w:r w:rsidRPr="00EA6FAC">
        <w:rPr>
          <w:rtl/>
        </w:rPr>
        <w:t xml:space="preserve"> </w:t>
      </w:r>
      <w:r w:rsidRPr="00EA6FAC">
        <w:rPr>
          <w:rFonts w:hint="cs"/>
          <w:rtl/>
        </w:rPr>
        <w:t>דוחין</w:t>
      </w:r>
      <w:r w:rsidRPr="00EA6FAC">
        <w:rPr>
          <w:rtl/>
        </w:rPr>
        <w:t xml:space="preserve"> </w:t>
      </w:r>
      <w:r w:rsidRPr="00EA6FAC">
        <w:rPr>
          <w:rFonts w:hint="cs"/>
          <w:rtl/>
        </w:rPr>
        <w:t>את</w:t>
      </w:r>
      <w:r w:rsidRPr="00EA6FAC">
        <w:rPr>
          <w:rtl/>
        </w:rPr>
        <w:t xml:space="preserve"> </w:t>
      </w:r>
      <w:r w:rsidRPr="00EA6FAC">
        <w:rPr>
          <w:rFonts w:hint="cs"/>
          <w:rtl/>
        </w:rPr>
        <w:t>השבת</w:t>
      </w:r>
      <w:r w:rsidRPr="00EA6FAC">
        <w:rPr>
          <w:rtl/>
        </w:rPr>
        <w:t xml:space="preserve"> </w:t>
      </w:r>
      <w:r w:rsidRPr="00EA6FAC">
        <w:rPr>
          <w:rFonts w:hint="cs"/>
          <w:rtl/>
        </w:rPr>
        <w:t>בזמנן</w:t>
      </w:r>
      <w:r w:rsidRPr="00EA6FAC">
        <w:rPr>
          <w:rtl/>
        </w:rPr>
        <w:t xml:space="preserve"> </w:t>
      </w:r>
      <w:r w:rsidRPr="00EA6FAC">
        <w:rPr>
          <w:rFonts w:hint="cs"/>
          <w:rtl/>
        </w:rPr>
        <w:t>ואין</w:t>
      </w:r>
      <w:r w:rsidRPr="00EA6FAC">
        <w:rPr>
          <w:rtl/>
        </w:rPr>
        <w:t xml:space="preserve"> </w:t>
      </w:r>
      <w:r w:rsidRPr="00EA6FAC">
        <w:rPr>
          <w:rFonts w:hint="cs"/>
          <w:rtl/>
        </w:rPr>
        <w:t>מאחרין</w:t>
      </w:r>
      <w:r w:rsidRPr="00EA6FAC">
        <w:rPr>
          <w:rtl/>
        </w:rPr>
        <w:t xml:space="preserve"> </w:t>
      </w:r>
      <w:r w:rsidRPr="00EA6FAC">
        <w:rPr>
          <w:rFonts w:hint="cs"/>
          <w:rtl/>
        </w:rPr>
        <w:t>אותן</w:t>
      </w:r>
      <w:r w:rsidRPr="00EA6FAC">
        <w:rPr>
          <w:rtl/>
        </w:rPr>
        <w:t xml:space="preserve"> </w:t>
      </w:r>
      <w:r w:rsidRPr="00EA6FAC">
        <w:rPr>
          <w:rFonts w:hint="cs"/>
          <w:rtl/>
        </w:rPr>
        <w:t>למוצאי</w:t>
      </w:r>
      <w:r w:rsidRPr="00EA6FAC">
        <w:rPr>
          <w:rtl/>
        </w:rPr>
        <w:t xml:space="preserve"> </w:t>
      </w:r>
      <w:r w:rsidRPr="00EA6FAC">
        <w:rPr>
          <w:rFonts w:hint="cs"/>
          <w:rtl/>
        </w:rPr>
        <w:t>שבת</w:t>
      </w:r>
      <w:r w:rsidRPr="00EA6FAC">
        <w:rPr>
          <w:rtl/>
        </w:rPr>
        <w:t xml:space="preserve">. </w:t>
      </w:r>
    </w:p>
    <w:p w14:paraId="5A22B002" w14:textId="77777777" w:rsidR="00E670B2" w:rsidRPr="00EA6FAC" w:rsidRDefault="00E670B2" w:rsidP="00423C6D">
      <w:pPr>
        <w:pStyle w:val="a2"/>
        <w:rPr>
          <w:rtl/>
        </w:rPr>
      </w:pPr>
      <w:r w:rsidRPr="00EA6FAC">
        <w:rPr>
          <w:rFonts w:hint="cs"/>
          <w:rtl/>
        </w:rPr>
        <w:t>עכ"פ מבואר בגמרא ורמב"ם דהא דצריכים לעשות ההקטרה ביום, הוה מדין 'חביבה מצוה בשעתה'.</w:t>
      </w:r>
    </w:p>
    <w:p w14:paraId="7FC7143D" w14:textId="77777777" w:rsidR="00E670B2" w:rsidRPr="00EA6FAC" w:rsidRDefault="00E670B2" w:rsidP="00423C6D">
      <w:pPr>
        <w:pStyle w:val="a2"/>
        <w:rPr>
          <w:rtl/>
        </w:rPr>
      </w:pPr>
      <w:r w:rsidRPr="00EA6FAC">
        <w:rPr>
          <w:rFonts w:hint="cs"/>
          <w:rtl/>
        </w:rPr>
        <w:t xml:space="preserve">ולכאורה צ"ע הרי הרבי ביאר </w:t>
      </w:r>
      <w:r w:rsidRPr="00EA6FAC">
        <w:rPr>
          <w:rtl/>
        </w:rPr>
        <w:t>–</w:t>
      </w:r>
      <w:r w:rsidRPr="00EA6FAC">
        <w:rPr>
          <w:rFonts w:hint="cs"/>
          <w:rtl/>
        </w:rPr>
        <w:t xml:space="preserve"> על יסוד דין זה בגמרא ורמב"ם (!) </w:t>
      </w:r>
      <w:r w:rsidRPr="00EA6FAC">
        <w:rPr>
          <w:rtl/>
        </w:rPr>
        <w:t>–</w:t>
      </w:r>
      <w:r w:rsidRPr="00EA6FAC">
        <w:rPr>
          <w:rFonts w:hint="cs"/>
          <w:rtl/>
        </w:rPr>
        <w:t xml:space="preserve"> שרק ביום ישנה למצות ההקטרה, ואילו בלילה אינו מקיים המצוה והוה רק שמירה שלא יבוא לידי נותר, ואיך מתאים ביאור זה עם המבואר במקור הדברים דהעדיפות של הקטרה ביום הוה רק גדר של חביב מצוה בשעתה אשר מורה לכאורה דהוא רק חביבות נוספת (וכן שמעתי וראיתי מקשים)!?</w:t>
      </w:r>
    </w:p>
    <w:p w14:paraId="13606E5C" w14:textId="77777777" w:rsidR="00E670B2" w:rsidRPr="005E3543" w:rsidRDefault="00E670B2" w:rsidP="00423C6D">
      <w:pPr>
        <w:pStyle w:val="a2"/>
        <w:rPr>
          <w:rtl/>
        </w:rPr>
      </w:pPr>
      <w:r w:rsidRPr="00EA6FAC">
        <w:rPr>
          <w:rFonts w:hint="cs"/>
          <w:rtl/>
        </w:rPr>
        <w:t xml:space="preserve">ויעויין במאירי (פסחים סה,ב ועד"ז במגילה כ,ב) שמוסיף "ועיקר מצותה ביום". ובלח"מ (הל' קרבן פסח פ"א הי"ח) ".. </w:t>
      </w:r>
      <w:r w:rsidRPr="00EA6FAC">
        <w:rPr>
          <w:rtl/>
        </w:rPr>
        <w:t>מצ</w:t>
      </w:r>
      <w:r w:rsidRPr="005E3543">
        <w:rPr>
          <w:rtl/>
        </w:rPr>
        <w:t>ותן הוי ביום וזו היא מצוה מן המובחר</w:t>
      </w:r>
      <w:r w:rsidRPr="005E3543">
        <w:rPr>
          <w:rFonts w:hint="cs"/>
          <w:rtl/>
        </w:rPr>
        <w:t>". ובשו"ת אבנ"ז (או"ח סי' כ"ג)</w:t>
      </w:r>
      <w:r w:rsidRPr="005E3543">
        <w:rPr>
          <w:rtl/>
        </w:rPr>
        <w:t xml:space="preserve"> </w:t>
      </w:r>
      <w:r w:rsidRPr="005E3543">
        <w:rPr>
          <w:rFonts w:hint="cs"/>
          <w:rtl/>
        </w:rPr>
        <w:t>"</w:t>
      </w:r>
      <w:r w:rsidRPr="005E3543">
        <w:rPr>
          <w:rtl/>
        </w:rPr>
        <w:t>ואף דהקטר כשר כל הלילה</w:t>
      </w:r>
      <w:r w:rsidRPr="005E3543">
        <w:rPr>
          <w:rFonts w:hint="cs"/>
          <w:rtl/>
        </w:rPr>
        <w:t>,</w:t>
      </w:r>
      <w:r w:rsidRPr="005E3543">
        <w:rPr>
          <w:rtl/>
        </w:rPr>
        <w:t xml:space="preserve"> היינו שאין האברים נפסלים בשקיעת החמה</w:t>
      </w:r>
      <w:r w:rsidRPr="005E3543">
        <w:rPr>
          <w:rFonts w:hint="cs"/>
          <w:rtl/>
        </w:rPr>
        <w:t>,</w:t>
      </w:r>
      <w:r w:rsidRPr="005E3543">
        <w:rPr>
          <w:rtl/>
        </w:rPr>
        <w:t xml:space="preserve"> אבל מכל מקום חיוב גמור להקטירם ביום</w:t>
      </w:r>
      <w:r w:rsidRPr="005E3543">
        <w:rPr>
          <w:rFonts w:hint="cs"/>
          <w:rtl/>
        </w:rPr>
        <w:t xml:space="preserve"> ..".</w:t>
      </w:r>
    </w:p>
    <w:p w14:paraId="75767F2F" w14:textId="77777777" w:rsidR="00E670B2" w:rsidRPr="005E3543" w:rsidRDefault="00E670B2" w:rsidP="00423C6D">
      <w:pPr>
        <w:pStyle w:val="a2"/>
        <w:rPr>
          <w:rtl/>
        </w:rPr>
      </w:pPr>
      <w:r w:rsidRPr="005E3543">
        <w:rPr>
          <w:rFonts w:hint="cs"/>
          <w:rtl/>
        </w:rPr>
        <w:t xml:space="preserve">אז אף שיש בדבריהם קצת מקור לדברי הרבי הנ"ל (ובפרט מדברי האבנ"ז), אז יוקשה על דבריהם כנ"ל; דאיך כ"ז מונח בדברי הגמרא שמעלת ההקטרה ביום הוה </w:t>
      </w:r>
      <w:r w:rsidRPr="005E3543">
        <w:rPr>
          <w:rFonts w:hint="cs"/>
          <w:rtl/>
        </w:rPr>
        <w:lastRenderedPageBreak/>
        <w:t>(רק) ענין של חביבה מצוה בשעתה!?</w:t>
      </w:r>
    </w:p>
    <w:p w14:paraId="5DFA1E04" w14:textId="77777777" w:rsidR="00E670B2" w:rsidRPr="005E3543" w:rsidRDefault="00E670B2" w:rsidP="00423C6D">
      <w:pPr>
        <w:pStyle w:val="a2"/>
        <w:rPr>
          <w:rFonts w:cs="Times New Roman"/>
          <w:rtl/>
        </w:rPr>
      </w:pPr>
      <w:r w:rsidRPr="005E3543">
        <w:rPr>
          <w:rFonts w:hint="cs"/>
          <w:rtl/>
        </w:rPr>
        <w:t xml:space="preserve">ויש להוסיף על כ"ז עוד תמיהה; הרי התורה אומרת במפורש שיכולים להקטיר האימורין על המזבח כל הלילה </w:t>
      </w:r>
      <w:r w:rsidRPr="005E3543">
        <w:rPr>
          <w:rtl/>
        </w:rPr>
        <w:t>–</w:t>
      </w:r>
      <w:r w:rsidRPr="005E3543">
        <w:rPr>
          <w:rFonts w:hint="cs"/>
          <w:rtl/>
        </w:rPr>
        <w:t xml:space="preserve"> "היא העולה על מוקדה על המזבח כל הלילה ..", אז מהו המקור והיסוד לומר שהוא רק דין של מניעה מאיסור נותר!?</w:t>
      </w:r>
    </w:p>
    <w:p w14:paraId="5F5E67AD" w14:textId="77777777" w:rsidR="00E670B2" w:rsidRPr="005E3543" w:rsidRDefault="00E670B2" w:rsidP="00423C6D">
      <w:pPr>
        <w:pStyle w:val="11"/>
        <w:bidi/>
        <w:rPr>
          <w:rtl/>
        </w:rPr>
      </w:pPr>
      <w:r w:rsidRPr="005E3543">
        <w:rPr>
          <w:rFonts w:hint="cs"/>
          <w:rtl/>
        </w:rPr>
        <w:t>חידוש כללי בקדשים לעומת שאר מצות</w:t>
      </w:r>
    </w:p>
    <w:p w14:paraId="43BC4B16" w14:textId="77777777" w:rsidR="00E670B2" w:rsidRPr="005E3543" w:rsidRDefault="00E670B2" w:rsidP="00423C6D">
      <w:pPr>
        <w:pStyle w:val="a2"/>
        <w:rPr>
          <w:rtl/>
        </w:rPr>
      </w:pPr>
      <w:r w:rsidRPr="005E3543">
        <w:rPr>
          <w:rFonts w:hint="cs"/>
          <w:rtl/>
        </w:rPr>
        <w:t>ג. ואולי יש לבאר הדברים על יסוד חידוש כללי שמצינו בענין קדשים;</w:t>
      </w:r>
    </w:p>
    <w:p w14:paraId="299972C5" w14:textId="77777777" w:rsidR="00E670B2" w:rsidRPr="005E3543" w:rsidRDefault="00E670B2" w:rsidP="00423C6D">
      <w:pPr>
        <w:pStyle w:val="a2"/>
        <w:rPr>
          <w:rtl/>
        </w:rPr>
      </w:pPr>
      <w:r w:rsidRPr="005E3543">
        <w:rPr>
          <w:rFonts w:hint="cs"/>
          <w:rtl/>
        </w:rPr>
        <w:t>בריש מסכת זבחים תנן "כל הזבחים שנזבחו שלא לשמן כשרים אלא שלא עלו לבעלים לשם חובה ..". ובגמרא מבואר דדין זה נלמד מקרא: "מוצא שפתיך תשמר ועשית כאשר נדרת לה' אלוקיך נדבה אשר דיברת בפיך .. אם כמו שנדרת עשית יהא נדר ואם לא נדבה יהא".</w:t>
      </w:r>
    </w:p>
    <w:p w14:paraId="7ED4B8FE" w14:textId="77777777" w:rsidR="00E670B2" w:rsidRPr="005E3543" w:rsidRDefault="00E670B2" w:rsidP="00423C6D">
      <w:pPr>
        <w:pStyle w:val="a2"/>
        <w:rPr>
          <w:rtl/>
        </w:rPr>
      </w:pPr>
      <w:r w:rsidRPr="005E3543">
        <w:rPr>
          <w:rFonts w:hint="cs"/>
          <w:rtl/>
        </w:rPr>
        <w:t>אשר יוצא מזה חידוש גדול לכאורה בענין קדשים, אשר יש בהם ב' דינים; א) ה'חפצא' של הקרבן, והיינו מה שהיא קרבן כשרה, ומקריבין אותה ומקטירין אותה וכו'. ב) המצוה וחיוב שעל האדם (ה'גברא') אשר מקיימו ע"י הבאת קרבן זה. ושני דינים אלו אינם תלויין זב"ז, אשר לכן יתכן להיות מצב כזה של "</w:t>
      </w:r>
      <w:r w:rsidRPr="005E3543">
        <w:rPr>
          <w:rFonts w:hint="cs"/>
          <w:b/>
          <w:bCs/>
          <w:rtl/>
        </w:rPr>
        <w:t>כשרים</w:t>
      </w:r>
      <w:r w:rsidRPr="005E3543">
        <w:rPr>
          <w:rFonts w:hint="cs"/>
          <w:rtl/>
        </w:rPr>
        <w:t xml:space="preserve"> אלא </w:t>
      </w:r>
      <w:r w:rsidRPr="005E3543">
        <w:rPr>
          <w:rFonts w:hint="cs"/>
          <w:b/>
          <w:bCs/>
          <w:rtl/>
        </w:rPr>
        <w:t>שלא עלו לבעלים לשם חובה</w:t>
      </w:r>
      <w:r w:rsidRPr="005E3543">
        <w:rPr>
          <w:rFonts w:hint="cs"/>
          <w:rtl/>
        </w:rPr>
        <w:t>".</w:t>
      </w:r>
    </w:p>
    <w:p w14:paraId="41C9E8C7" w14:textId="77777777" w:rsidR="00E670B2" w:rsidRPr="005E3543" w:rsidRDefault="00E670B2" w:rsidP="00423C6D">
      <w:pPr>
        <w:pStyle w:val="a2"/>
        <w:rPr>
          <w:rtl/>
        </w:rPr>
      </w:pPr>
      <w:r w:rsidRPr="005E3543">
        <w:rPr>
          <w:rFonts w:hint="cs"/>
          <w:rtl/>
        </w:rPr>
        <w:t>ויעויין בלקו"ש חכ"ז (שיחה ב' לפרשת ויקרא) איך שהרבי מבאר הבדל כללי בין קיום המצות בכלל לענין הקרבנות; דקיום המצות עיקרו מעשה הגברא, מה שהוא מקיים ציווי ה', אלא שמשתמש עם איזה חפצא בכדי לקיים המצוה שעליו, משא"כ בקרבנות הרי גדר המצוה מה שמקדיש את החפצא ומוסרו לה' (עיי"ש איך שמסביר לפ"ז הבדל ביניהם בגדר הידור מצוה שבהם ואכ"מ).</w:t>
      </w:r>
    </w:p>
    <w:p w14:paraId="79F3E18C" w14:textId="77777777" w:rsidR="00E670B2" w:rsidRPr="005E3543" w:rsidRDefault="00E670B2" w:rsidP="00423C6D">
      <w:pPr>
        <w:pStyle w:val="a2"/>
        <w:rPr>
          <w:rtl/>
        </w:rPr>
      </w:pPr>
      <w:r w:rsidRPr="005E3543">
        <w:rPr>
          <w:rFonts w:hint="cs"/>
          <w:rtl/>
        </w:rPr>
        <w:t xml:space="preserve">ולכאורה י"ל דזהו סיבת חידוש הנ"ל בריש מסכת זבחים, שהקרבן נשארת כשרה בשלימותה אע"פ שהאדם לא קיים חיובו על ידה </w:t>
      </w:r>
      <w:r w:rsidRPr="005E3543">
        <w:rPr>
          <w:rtl/>
        </w:rPr>
        <w:t>–</w:t>
      </w:r>
      <w:r w:rsidRPr="005E3543">
        <w:rPr>
          <w:rFonts w:hint="cs"/>
          <w:rtl/>
        </w:rPr>
        <w:t xml:space="preserve"> דהוא חידוש מיוחד בקדשים מחמת זה שגדרו אינו חיוב על הגברא (בלחוד) אלא קדושת החפצא שמוסרו לה'.</w:t>
      </w:r>
    </w:p>
    <w:p w14:paraId="1C20AE19" w14:textId="77777777" w:rsidR="00E670B2" w:rsidRPr="005E3543" w:rsidRDefault="00E670B2" w:rsidP="00423C6D">
      <w:pPr>
        <w:pStyle w:val="11"/>
        <w:bidi/>
        <w:rPr>
          <w:rtl/>
        </w:rPr>
      </w:pPr>
      <w:r w:rsidRPr="005E3543">
        <w:rPr>
          <w:rFonts w:hint="cs"/>
          <w:rtl/>
        </w:rPr>
        <w:t>לכתחילה ובדיעבד בקדשים ובשאר מצות</w:t>
      </w:r>
    </w:p>
    <w:p w14:paraId="2CC3C0D6" w14:textId="77777777" w:rsidR="00E670B2" w:rsidRPr="005E3543" w:rsidRDefault="00E670B2" w:rsidP="00423C6D">
      <w:pPr>
        <w:pStyle w:val="a2"/>
        <w:rPr>
          <w:rtl/>
        </w:rPr>
      </w:pPr>
      <w:r w:rsidRPr="005E3543">
        <w:rPr>
          <w:rFonts w:hint="cs"/>
          <w:rtl/>
        </w:rPr>
        <w:t>ד. והנה ידועים הדברים דבאופן כללי הרי בדאורייתא אין חילוק בין לכתחילה לבדיעבד (אף דיש בענין זה יוצאים מן הכלל. וכבר דנו בזה רבים, ראה באנציק' תלמודית ערך 'דיעבד', ובלקח טוב כלל ה' ועוד, ובשד"ח כתוב שהוא "מקצוע גדול בתורה").</w:t>
      </w:r>
    </w:p>
    <w:p w14:paraId="6CC99DB8" w14:textId="77777777" w:rsidR="00E670B2" w:rsidRPr="005E3543" w:rsidRDefault="00E670B2" w:rsidP="00423C6D">
      <w:pPr>
        <w:pStyle w:val="a2"/>
        <w:rPr>
          <w:rtl/>
        </w:rPr>
      </w:pPr>
      <w:r w:rsidRPr="005E3543">
        <w:rPr>
          <w:rFonts w:hint="cs"/>
          <w:rtl/>
        </w:rPr>
        <w:lastRenderedPageBreak/>
        <w:t>אמנם שונה הדבר בקדשים אשר בהם הכלל הוא להיפך, דבעינן "שינה הכתוב לעכב", והיינו שאם כתוב איזה דין בתורה רק פעם אחת הר"ז נחשב לדין לכתחילה, אשר אינן מעכב את כשרות הקרבן בדיעבד, ורק אם התורה אומרת את הדין פעם שני אז ה"ה לעכב.</w:t>
      </w:r>
    </w:p>
    <w:p w14:paraId="0DB47CBB" w14:textId="77777777" w:rsidR="00E670B2" w:rsidRPr="005E3543" w:rsidRDefault="00E670B2" w:rsidP="00423C6D">
      <w:pPr>
        <w:pStyle w:val="a2"/>
        <w:rPr>
          <w:rtl/>
        </w:rPr>
      </w:pPr>
      <w:r w:rsidRPr="005E3543">
        <w:rPr>
          <w:rFonts w:hint="cs"/>
          <w:rtl/>
        </w:rPr>
        <w:t xml:space="preserve">וכתבו התוספות (זבחים ה,א) דאפשר שמקור דין זה הוא פסוק הנ"ל של "מוצא שפתיך תשמור .." אשר ממנו נלמד הדין שגם אם לא קיים החיוב שלו מ"מ הקרבן כשרה </w:t>
      </w:r>
      <w:r w:rsidRPr="005E3543">
        <w:rPr>
          <w:rtl/>
        </w:rPr>
        <w:t>–</w:t>
      </w:r>
      <w:r w:rsidRPr="005E3543">
        <w:rPr>
          <w:rFonts w:hint="cs"/>
          <w:rtl/>
        </w:rPr>
        <w:t xml:space="preserve"> והיינו דהחיוב שלו הוה רק בגדר לכתחילה, ואילו בדיעבד נשארת הקרבן בכשרותה.</w:t>
      </w:r>
    </w:p>
    <w:p w14:paraId="6021C02A" w14:textId="77777777" w:rsidR="00E670B2" w:rsidRPr="005E3543" w:rsidRDefault="00E670B2" w:rsidP="00423C6D">
      <w:pPr>
        <w:pStyle w:val="a2"/>
        <w:rPr>
          <w:rtl/>
        </w:rPr>
      </w:pPr>
      <w:r w:rsidRPr="005E3543">
        <w:rPr>
          <w:rFonts w:hint="cs"/>
          <w:rtl/>
        </w:rPr>
        <w:t xml:space="preserve">ולדברינו דלעיל נראה להסביר באופן מרווח גם הבדל זה בין קרבנות לשאר מצות; דבשאר מצות דהכל הוא דין בגברא המקיים, אין מקום לחלק (מדאורייתא כמובן) בין לכתחילה לבדיעבד </w:t>
      </w:r>
      <w:r w:rsidRPr="005E3543">
        <w:rPr>
          <w:rtl/>
        </w:rPr>
        <w:t>–</w:t>
      </w:r>
      <w:r w:rsidRPr="005E3543">
        <w:rPr>
          <w:rFonts w:hint="cs"/>
          <w:rtl/>
        </w:rPr>
        <w:t xml:space="preserve"> דהרי או שקיים מה שמוטל עליו או שלא קיים. משא"כ בקרבנות דעיקר גדרו הוא בהחפצא, ורק שיש גם חיוב על הגברא, יש מקום גדול לחלק ולומר, דגם אם לא קיים חיוב המוטל עליו, מ"מ החפצא של הקרבן נשארת בשלימותה.</w:t>
      </w:r>
    </w:p>
    <w:p w14:paraId="09D5E7DF" w14:textId="77777777" w:rsidR="00E670B2" w:rsidRPr="005E3543" w:rsidRDefault="00E670B2" w:rsidP="00423C6D">
      <w:pPr>
        <w:pStyle w:val="11"/>
        <w:bidi/>
        <w:rPr>
          <w:rtl/>
        </w:rPr>
      </w:pPr>
      <w:r w:rsidRPr="005E3543">
        <w:rPr>
          <w:rFonts w:hint="cs"/>
          <w:rtl/>
        </w:rPr>
        <w:t>ביאור דברי הרבי בדרך אפשר</w:t>
      </w:r>
    </w:p>
    <w:p w14:paraId="6E2D1CF7" w14:textId="77777777" w:rsidR="00E670B2" w:rsidRPr="005E3543" w:rsidRDefault="00E670B2" w:rsidP="00423C6D">
      <w:pPr>
        <w:pStyle w:val="a2"/>
        <w:rPr>
          <w:rtl/>
        </w:rPr>
      </w:pPr>
      <w:r w:rsidRPr="005E3543">
        <w:rPr>
          <w:rFonts w:hint="cs"/>
          <w:rtl/>
        </w:rPr>
        <w:t xml:space="preserve">ה. ועפ"ז אולי י"ל ביאור בדברי הרבי בשיחה בראש דברינו;    </w:t>
      </w:r>
    </w:p>
    <w:p w14:paraId="53BD3075" w14:textId="77777777" w:rsidR="00E670B2" w:rsidRPr="005E3543" w:rsidRDefault="00E670B2" w:rsidP="00423C6D">
      <w:pPr>
        <w:pStyle w:val="a2"/>
        <w:rPr>
          <w:rtl/>
        </w:rPr>
      </w:pPr>
      <w:r w:rsidRPr="005E3543">
        <w:rPr>
          <w:rFonts w:hint="cs"/>
          <w:rtl/>
        </w:rPr>
        <w:t>זה שמבואר בשיחה דכשמקטירים בלילה ישנה רק הענין שעי"ז לא נהי' נותר (ואין בזה מצוה החיובית וכו'), י"ל דאין הכוונה בזה לפרט שולי וטכני במצות הקרבן, אלא אדרבה זהו עיקר ענין הקרבן מצד עצמו!</w:t>
      </w:r>
    </w:p>
    <w:p w14:paraId="1BF8D4BE" w14:textId="77777777" w:rsidR="00E670B2" w:rsidRPr="005E3543" w:rsidRDefault="00E670B2" w:rsidP="00423C6D">
      <w:pPr>
        <w:pStyle w:val="a2"/>
        <w:rPr>
          <w:rtl/>
        </w:rPr>
      </w:pPr>
      <w:r w:rsidRPr="005E3543">
        <w:rPr>
          <w:rFonts w:hint="cs"/>
          <w:rtl/>
        </w:rPr>
        <w:t>פירוש: הענין שהקרבן לא תהי' נותר הוה חלק מעצם ענין הקרבן מצ"ע, והיינו שהוא יוקרב ויוקטר בשלימותו ולא יוותר ממנו שום דבר. וענין זה מתקיים בשלימות גם ע"י הקטרה בלילה.</w:t>
      </w:r>
    </w:p>
    <w:p w14:paraId="34064781" w14:textId="77777777" w:rsidR="00E670B2" w:rsidRPr="005E3543" w:rsidRDefault="00E670B2" w:rsidP="00423C6D">
      <w:pPr>
        <w:pStyle w:val="a2"/>
        <w:rPr>
          <w:rtl/>
        </w:rPr>
      </w:pPr>
      <w:r w:rsidRPr="005E3543">
        <w:rPr>
          <w:rFonts w:hint="cs"/>
          <w:rtl/>
        </w:rPr>
        <w:t xml:space="preserve">ואילו ענין השני בקרבן, והיינו המצות שהאדם מקיים על ידו, זה יכולים לקיים רק כשעושים אותו בזמן ה'לכתחילה' של הקטרתו, והיינו ביום הבאת הקרבן.      </w:t>
      </w:r>
    </w:p>
    <w:p w14:paraId="6FF1E877" w14:textId="77777777" w:rsidR="00E670B2" w:rsidRPr="005E3543" w:rsidRDefault="00E670B2" w:rsidP="00423C6D">
      <w:pPr>
        <w:pStyle w:val="a2"/>
        <w:rPr>
          <w:rtl/>
        </w:rPr>
      </w:pPr>
      <w:r w:rsidRPr="005E3543">
        <w:rPr>
          <w:rFonts w:hint="cs"/>
          <w:rtl/>
        </w:rPr>
        <w:t xml:space="preserve">ואם כנים הדברים אז מבואר היטיב איך שזה מתאים לגמרי עם דברי הגמרא דהקטרת הקרבן ביום הוה ה'בשעתה' של הקרבן, אמנם גם לולי זה לא נחסר כלום בשלימותה כמשנ"ת. </w:t>
      </w:r>
    </w:p>
    <w:p w14:paraId="2E701DCF" w14:textId="77777777" w:rsidR="00E670B2" w:rsidRPr="005E3543" w:rsidRDefault="00E670B2" w:rsidP="00423C6D">
      <w:pPr>
        <w:pStyle w:val="11"/>
        <w:bidi/>
        <w:rPr>
          <w:rtl/>
        </w:rPr>
      </w:pPr>
      <w:r w:rsidRPr="005E3543">
        <w:rPr>
          <w:rtl/>
        </w:rPr>
        <w:t>זמן אכילת קדשים</w:t>
      </w:r>
      <w:r w:rsidRPr="005E3543">
        <w:rPr>
          <w:rFonts w:hint="cs"/>
          <w:rtl/>
        </w:rPr>
        <w:t xml:space="preserve"> הנאכלים לשני ימים</w:t>
      </w:r>
    </w:p>
    <w:p w14:paraId="1E345C5A" w14:textId="77777777" w:rsidR="00E670B2" w:rsidRPr="005E3543" w:rsidRDefault="00E670B2" w:rsidP="00423C6D">
      <w:pPr>
        <w:pStyle w:val="a2"/>
        <w:rPr>
          <w:rtl/>
        </w:rPr>
      </w:pPr>
      <w:r w:rsidRPr="005E3543">
        <w:rPr>
          <w:rFonts w:hint="cs"/>
          <w:rtl/>
        </w:rPr>
        <w:lastRenderedPageBreak/>
        <w:t>ו</w:t>
      </w:r>
      <w:r w:rsidRPr="005E3543">
        <w:rPr>
          <w:rtl/>
        </w:rPr>
        <w:t>. בדין שלמים הנאכלים לשני ימים גרסינן בגמרא (</w:t>
      </w:r>
      <w:r w:rsidRPr="005E3543">
        <w:rPr>
          <w:rFonts w:hint="cs"/>
          <w:rtl/>
        </w:rPr>
        <w:t xml:space="preserve">פסחים </w:t>
      </w:r>
      <w:r w:rsidRPr="005E3543">
        <w:rPr>
          <w:rtl/>
        </w:rPr>
        <w:t>ג,א) "יכול יהא נאכל אור לשלישי</w:t>
      </w:r>
      <w:r w:rsidRPr="005E3543">
        <w:rPr>
          <w:rFonts w:hint="cs"/>
          <w:rtl/>
        </w:rPr>
        <w:t xml:space="preserve"> .. </w:t>
      </w:r>
      <w:r w:rsidRPr="005E3543">
        <w:rPr>
          <w:rtl/>
        </w:rPr>
        <w:t>ת"ל ביום זבחכם יאכל וממחרת</w:t>
      </w:r>
      <w:r w:rsidRPr="005E3543">
        <w:rPr>
          <w:rFonts w:hint="cs"/>
          <w:rtl/>
        </w:rPr>
        <w:t xml:space="preserve"> </w:t>
      </w:r>
      <w:r w:rsidRPr="005E3543">
        <w:rPr>
          <w:rtl/>
        </w:rPr>
        <w:t>והנותר עד יום</w:t>
      </w:r>
      <w:r w:rsidRPr="005E3543">
        <w:rPr>
          <w:rFonts w:hint="cs"/>
          <w:rtl/>
        </w:rPr>
        <w:t>,</w:t>
      </w:r>
      <w:r w:rsidRPr="005E3543">
        <w:rPr>
          <w:rtl/>
        </w:rPr>
        <w:t xml:space="preserve"> בעוד יום הוא נאכל ואינו נאכל לאור שלישי"</w:t>
      </w:r>
      <w:r w:rsidRPr="005E3543">
        <w:rPr>
          <w:rFonts w:hint="cs"/>
          <w:rtl/>
        </w:rPr>
        <w:t>.</w:t>
      </w:r>
    </w:p>
    <w:p w14:paraId="59C7AD7A" w14:textId="77777777" w:rsidR="00E670B2" w:rsidRPr="005E3543" w:rsidRDefault="00E670B2" w:rsidP="00423C6D">
      <w:pPr>
        <w:pStyle w:val="a2"/>
        <w:rPr>
          <w:rtl/>
        </w:rPr>
      </w:pPr>
      <w:r w:rsidRPr="005E3543">
        <w:rPr>
          <w:rFonts w:hint="cs"/>
          <w:rtl/>
        </w:rPr>
        <w:t>ובתור"פ כתב ע"ז: "וקשה דא"כ כיון דר"ל בעוד שהוא יום שני נאכל, אמאי קרי ליה נותר מיום ראשון הא כל יום שני יהי' זמנו לאכול? וי"ל לפי דאמרינן (תו"כ צו ז,טז) קדשים קלים מצוה לאוכלם ביום ראשון, לא אכלם ביום ראשון אוכלם ביום שני, וכיון דמצוה לאוכלם ביום ראשון משו"ה קרי ליה נותר אע"ג שהוא מותר באכילה. וה"נ אשכחנא במק"א דאע"ג דהוא ראוי לאכילה קרי ליה נותר, דכתיב (ויקרא ז,טז) והנותר ממנו יאכל".</w:t>
      </w:r>
    </w:p>
    <w:p w14:paraId="5C5717C8" w14:textId="77777777" w:rsidR="00E670B2" w:rsidRPr="005E3543" w:rsidRDefault="00E670B2" w:rsidP="00423C6D">
      <w:pPr>
        <w:pStyle w:val="a2"/>
        <w:rPr>
          <w:rtl/>
        </w:rPr>
      </w:pPr>
      <w:r w:rsidRPr="005E3543">
        <w:rPr>
          <w:rFonts w:hint="cs"/>
          <w:rtl/>
        </w:rPr>
        <w:t xml:space="preserve">ויסוד זה </w:t>
      </w:r>
      <w:r w:rsidRPr="005E3543">
        <w:rPr>
          <w:rtl/>
        </w:rPr>
        <w:t>–</w:t>
      </w:r>
      <w:r w:rsidRPr="005E3543">
        <w:rPr>
          <w:rFonts w:hint="cs"/>
          <w:rtl/>
        </w:rPr>
        <w:t xml:space="preserve"> דקדשים קלים מצוה לאכלם לכתחילה ביום ראשון ורק אם נותרו ליום שני אכלינן להו גם אז </w:t>
      </w:r>
      <w:r w:rsidRPr="005E3543">
        <w:rPr>
          <w:rtl/>
        </w:rPr>
        <w:t>–</w:t>
      </w:r>
      <w:r w:rsidRPr="005E3543">
        <w:rPr>
          <w:rFonts w:hint="cs"/>
          <w:rtl/>
        </w:rPr>
        <w:t xml:space="preserve"> כתבו גם הרמב"ן בפירושו עה"פ בפרשת צו (שם) בשם התו"כ שהביא תור"פ כאן;</w:t>
      </w:r>
    </w:p>
    <w:p w14:paraId="1438342B" w14:textId="77777777" w:rsidR="00E670B2" w:rsidRPr="00EA6FAC" w:rsidRDefault="00E670B2" w:rsidP="00423C6D">
      <w:pPr>
        <w:pStyle w:val="a2"/>
        <w:rPr>
          <w:rtl/>
        </w:rPr>
      </w:pPr>
      <w:r w:rsidRPr="00EA6FAC">
        <w:rPr>
          <w:rtl/>
        </w:rPr>
        <w:t>"וממחרת והנותר ממנו יאכל .. ולפי דעתי ענין הכתוב הזה, בעבור שאמר ביום הקריבו את זבחו יאכל וממחרת, והיה במשמע שתהא מצוה שיאכל בשני ימים, יאכל מקצתו ביום הראשון ויניח מקצתו למחר, ולפיכך חזר לבאר והנותר ממנו בראשון יאכל ממחרת, לא שישאיר ממנו בכונה, ולא שיהא רשאי להניח כלו ליום המחרת, אבל מצוה שיאכל ממנו בראשון, והנותר במקרה יאכל במחרת הנזכר ..".</w:t>
      </w:r>
    </w:p>
    <w:p w14:paraId="4B36074C" w14:textId="77777777" w:rsidR="00E670B2" w:rsidRPr="005E3543" w:rsidRDefault="00E670B2" w:rsidP="00423C6D">
      <w:pPr>
        <w:pStyle w:val="a2"/>
        <w:rPr>
          <w:rtl/>
        </w:rPr>
      </w:pPr>
      <w:r w:rsidRPr="005E3543">
        <w:rPr>
          <w:rFonts w:hint="cs"/>
          <w:rtl/>
        </w:rPr>
        <w:t xml:space="preserve">ויל"ע מהו גדר 'מצוה' זו, דאף דמחד גיסא מפורש בתורה שקדשים אלו נאכלים גם ביום שני מ"מ אמרינן דישנה מצוה לאכלו ביום ראשון דוקא ורק בדיעבד אפשר לאכלו גם ביום שני. </w:t>
      </w:r>
    </w:p>
    <w:p w14:paraId="72C2D8DB" w14:textId="77777777" w:rsidR="00E670B2" w:rsidRPr="005E3543" w:rsidRDefault="00E670B2" w:rsidP="00423C6D">
      <w:pPr>
        <w:pStyle w:val="a2"/>
        <w:rPr>
          <w:rtl/>
        </w:rPr>
      </w:pPr>
      <w:r w:rsidRPr="005E3543">
        <w:rPr>
          <w:rFonts w:hint="cs"/>
          <w:rtl/>
        </w:rPr>
        <w:t>ז. ולכאורה אפ"ל שהוא ממש ע"ד הבדל הנ"ל בין הקטרה ביום להקטרה בלילה; שבאכילתם ביום הראשון שהוא הזמן של 'לכתחילה' לאכילתה, מקיים המצוה שעל הגברא שישנה באכילתה, ואילו באכילתם ביום השני מתקיים (רק) ענין הקרבן מצד עצמו, והיינו החפצא של הבאת הקרבן ושיהא נאכל כמשנ"ת.</w:t>
      </w:r>
    </w:p>
    <w:p w14:paraId="38063921" w14:textId="77777777" w:rsidR="00E670B2" w:rsidRPr="005E3543" w:rsidRDefault="00E670B2" w:rsidP="00423C6D">
      <w:pPr>
        <w:pStyle w:val="a2"/>
        <w:rPr>
          <w:rtl/>
        </w:rPr>
      </w:pPr>
      <w:r w:rsidRPr="005E3543">
        <w:rPr>
          <w:rFonts w:hint="cs"/>
          <w:rtl/>
        </w:rPr>
        <w:t xml:space="preserve">(ולהעיר שהתורה אינה אומרת שנאכל את הקרבן לשני ימים (היינו לכלול שני הימים יחד כזמן האכילה), אלא שנאכלו ביום קרבנו וממחרת, והיינו שתורה מחלקת בין יום הראשון ליום המחרת, והיינו ענין של לכתחילה ובדיעבד. וכנ"ל שבקדשים קיימת ענין זה של לכתחילה ובדיעבד מטעם זה שקיימים שתי הגדרים בקרבנות כנ"ל באורך לפ"ע).  </w:t>
      </w:r>
    </w:p>
    <w:p w14:paraId="46DEEC43" w14:textId="77777777" w:rsidR="000E110A" w:rsidRDefault="000E110A" w:rsidP="00423C6D">
      <w:pPr>
        <w:pStyle w:val="11"/>
        <w:bidi/>
        <w:rPr>
          <w:rtl/>
        </w:rPr>
      </w:pPr>
    </w:p>
    <w:p w14:paraId="61CA6C4C" w14:textId="77777777" w:rsidR="00E670B2" w:rsidRPr="005E3543" w:rsidRDefault="00E670B2" w:rsidP="000E110A">
      <w:pPr>
        <w:pStyle w:val="11"/>
        <w:bidi/>
        <w:rPr>
          <w:rtl/>
        </w:rPr>
      </w:pPr>
      <w:r w:rsidRPr="005E3543">
        <w:rPr>
          <w:rFonts w:hint="cs"/>
          <w:rtl/>
        </w:rPr>
        <w:lastRenderedPageBreak/>
        <w:t>דין אכילת כזית בקדשים</w:t>
      </w:r>
    </w:p>
    <w:p w14:paraId="2DA97A20" w14:textId="77777777" w:rsidR="00E670B2" w:rsidRPr="00DF4CDD" w:rsidRDefault="00E670B2" w:rsidP="00423C6D">
      <w:pPr>
        <w:pStyle w:val="a2"/>
        <w:rPr>
          <w:rtl/>
        </w:rPr>
      </w:pPr>
      <w:r w:rsidRPr="00DF4CDD">
        <w:rPr>
          <w:rFonts w:hint="cs"/>
          <w:rtl/>
        </w:rPr>
        <w:t>ח. והנה יעויין לקמן (ג,ב) בהמשך סוגיית הגמרא בענין דיבור בלשון נקייה; "</w:t>
      </w:r>
      <w:r w:rsidRPr="00DF4CDD">
        <w:rPr>
          <w:rtl/>
        </w:rPr>
        <w:t>הנהו תלתא כהני חד אמר להו הגיעני כפול, וחד אמר הגיעני כזית, וחד אמר הגיעני כזנב הלטאה. בדקו אחריו ומצאו בו שמץ פסול</w:t>
      </w:r>
      <w:r w:rsidRPr="00DF4CDD">
        <w:rPr>
          <w:rFonts w:hint="cs"/>
          <w:rtl/>
        </w:rPr>
        <w:t>"</w:t>
      </w:r>
      <w:r w:rsidRPr="00DF4CDD">
        <w:t>.</w:t>
      </w:r>
      <w:r w:rsidRPr="00DF4CDD">
        <w:rPr>
          <w:rFonts w:hint="cs"/>
          <w:rtl/>
        </w:rPr>
        <w:t xml:space="preserve"> ומבואר (ע"פ פשטות הגמרא עכ"פ) שלאחד מהכהנים הגיע חלק פחות מכזית מהקדשים הנאכלים.</w:t>
      </w:r>
    </w:p>
    <w:p w14:paraId="59BEE149" w14:textId="77777777" w:rsidR="00E670B2" w:rsidRPr="00DF4CDD" w:rsidRDefault="00E670B2" w:rsidP="00423C6D">
      <w:pPr>
        <w:pStyle w:val="a2"/>
        <w:rPr>
          <w:rtl/>
        </w:rPr>
      </w:pPr>
      <w:r w:rsidRPr="00DF4CDD">
        <w:rPr>
          <w:rFonts w:hint="cs"/>
          <w:rtl/>
        </w:rPr>
        <w:t xml:space="preserve">ויש בזה אריכות בגדולי האחרונים האם צ"ל שיעור כזית באכילת קדשים. ובהקדם:  </w:t>
      </w:r>
    </w:p>
    <w:p w14:paraId="0AD58830" w14:textId="77777777" w:rsidR="00E670B2" w:rsidRPr="00DF4CDD" w:rsidRDefault="00E670B2" w:rsidP="00423C6D">
      <w:pPr>
        <w:pStyle w:val="a2"/>
        <w:rPr>
          <w:rtl/>
        </w:rPr>
      </w:pPr>
      <w:r w:rsidRPr="00DF4CDD">
        <w:rPr>
          <w:rFonts w:hint="cs"/>
          <w:rtl/>
        </w:rPr>
        <w:t>איתא בגמרא יומא (לט,א) "</w:t>
      </w:r>
      <w:r w:rsidRPr="00DF4CDD">
        <w:rPr>
          <w:rtl/>
        </w:rPr>
        <w:t xml:space="preserve">תנו רבנן ארבעים שנה ששמש שמעון הצדיק </w:t>
      </w:r>
      <w:r w:rsidRPr="00DF4CDD">
        <w:rPr>
          <w:rFonts w:hint="cs"/>
          <w:rtl/>
        </w:rPr>
        <w:t xml:space="preserve">.. </w:t>
      </w:r>
      <w:r w:rsidRPr="00DF4CDD">
        <w:rPr>
          <w:rtl/>
        </w:rPr>
        <w:t>ונשתלחה ברכה בעומר ובשתי הלחם ובלחם הפנים, וכל כהן שמגיעו כזית יש אוכלו ושבע, ויש אוכלו ומותיר. מכאן ואילך נשתלחה מאירה בעומר ובשתי הלחם ובלחם הפנים, וכל כהן מגיעו כפול, הצנועין מושכין את ידיהן והגרגרנין נוטלין ואוכלין</w:t>
      </w:r>
      <w:r w:rsidRPr="00DF4CDD">
        <w:rPr>
          <w:rFonts w:hint="cs"/>
          <w:rtl/>
        </w:rPr>
        <w:t xml:space="preserve"> ..".</w:t>
      </w:r>
      <w:r w:rsidRPr="00DF4CDD">
        <w:rPr>
          <w:rtl/>
        </w:rPr>
        <w:t xml:space="preserve"> </w:t>
      </w:r>
    </w:p>
    <w:p w14:paraId="3CD644AC" w14:textId="77777777" w:rsidR="00E670B2" w:rsidRPr="00DF4CDD" w:rsidRDefault="00E670B2" w:rsidP="00423C6D">
      <w:pPr>
        <w:pStyle w:val="a2"/>
        <w:rPr>
          <w:rtl/>
        </w:rPr>
      </w:pPr>
      <w:r w:rsidRPr="00DF4CDD">
        <w:rPr>
          <w:rFonts w:hint="cs"/>
          <w:rtl/>
        </w:rPr>
        <w:t>וב</w:t>
      </w:r>
      <w:r w:rsidRPr="00DF4CDD">
        <w:rPr>
          <w:rtl/>
        </w:rPr>
        <w:t xml:space="preserve">תוספות ישנים </w:t>
      </w:r>
      <w:r w:rsidRPr="00DF4CDD">
        <w:rPr>
          <w:rFonts w:hint="cs"/>
          <w:rtl/>
        </w:rPr>
        <w:t>שם כתוב: "</w:t>
      </w:r>
      <w:r w:rsidRPr="00DF4CDD">
        <w:rPr>
          <w:rtl/>
        </w:rPr>
        <w:t>שמגיעו כפול הצנועין מושכין ידיהם. אומר רבי דדוקא מגיעו כפול אבל בכזית לא היו מושכין ידיהם כי דימו לקיים מצות אכילה אבל כאן לא היה מצות אכילה לגמרי כיון שאין שם אלא כפול ולא היו שביעין</w:t>
      </w:r>
      <w:r w:rsidRPr="00DF4CDD">
        <w:rPr>
          <w:rFonts w:hint="cs"/>
          <w:rtl/>
        </w:rPr>
        <w:t>.</w:t>
      </w:r>
      <w:r w:rsidRPr="00DF4CDD">
        <w:rPr>
          <w:rtl/>
        </w:rPr>
        <w:t xml:space="preserve"> וא"ת היכא דמגיעין כפול ושביעין כדאמרינן בריש פסחים (דף ג ב)</w:t>
      </w:r>
      <w:r w:rsidRPr="00DF4CDD">
        <w:rPr>
          <w:rFonts w:hint="cs"/>
          <w:rtl/>
        </w:rPr>
        <w:t>,</w:t>
      </w:r>
      <w:r w:rsidRPr="00DF4CDD">
        <w:rPr>
          <w:rtl/>
        </w:rPr>
        <w:t xml:space="preserve"> איך מיקיימא מצות אכילה</w:t>
      </w:r>
      <w:r w:rsidRPr="00DF4CDD">
        <w:rPr>
          <w:rFonts w:hint="cs"/>
          <w:rtl/>
        </w:rPr>
        <w:t>?</w:t>
      </w:r>
      <w:r w:rsidRPr="00DF4CDD">
        <w:rPr>
          <w:rtl/>
        </w:rPr>
        <w:t xml:space="preserve"> י"ל דלא בעי כזית לגמרי אלא כזית עדיף וחשיבא אכילה </w:t>
      </w:r>
      <w:r w:rsidRPr="00DF4CDD">
        <w:rPr>
          <w:rFonts w:hint="cs"/>
          <w:rtl/>
        </w:rPr>
        <w:t>..".</w:t>
      </w:r>
    </w:p>
    <w:p w14:paraId="03154CE9" w14:textId="77777777" w:rsidR="00E670B2" w:rsidRPr="00DF4CDD" w:rsidRDefault="00E670B2" w:rsidP="00423C6D">
      <w:pPr>
        <w:pStyle w:val="a2"/>
        <w:rPr>
          <w:rtl/>
        </w:rPr>
      </w:pPr>
      <w:r w:rsidRPr="00DF4CDD">
        <w:rPr>
          <w:rFonts w:hint="cs"/>
          <w:rtl/>
        </w:rPr>
        <w:t>ועכ"פ יוצא מדברי ת"י הללו שתי סברות שלכאורה הפוכות הן זמ"ז; מחד גיסא מסביר דרק כשהגיע להם פחות מכזית היו מושכין ידיהן</w:t>
      </w:r>
      <w:r w:rsidRPr="00DF4CDD">
        <w:rPr>
          <w:rtl/>
        </w:rPr>
        <w:t xml:space="preserve"> </w:t>
      </w:r>
      <w:r w:rsidRPr="00DF4CDD">
        <w:rPr>
          <w:rFonts w:hint="cs"/>
          <w:rtl/>
        </w:rPr>
        <w:t>משום דבאכילה כזו "</w:t>
      </w:r>
      <w:r w:rsidRPr="00DF4CDD">
        <w:rPr>
          <w:rtl/>
        </w:rPr>
        <w:t>לא היה מצות אכילה לגמרי</w:t>
      </w:r>
      <w:r w:rsidRPr="00DF4CDD">
        <w:rPr>
          <w:rFonts w:hint="cs"/>
          <w:rtl/>
        </w:rPr>
        <w:t>", ומאידך מסביר "</w:t>
      </w:r>
      <w:r w:rsidRPr="00DF4CDD">
        <w:rPr>
          <w:rtl/>
        </w:rPr>
        <w:t>דלא בעי כזית לגמרי אלא כזית עדיף וחשיבא אכילה</w:t>
      </w:r>
      <w:r w:rsidRPr="00DF4CDD">
        <w:rPr>
          <w:rFonts w:hint="cs"/>
          <w:rtl/>
        </w:rPr>
        <w:t>". ולכאורה צ"ע טובא, האם צריכים לשיעור כזית כאן לקיום המצוה או לא!?</w:t>
      </w:r>
    </w:p>
    <w:p w14:paraId="633432A0" w14:textId="77777777" w:rsidR="00E670B2" w:rsidRPr="00DF4CDD" w:rsidRDefault="00E670B2" w:rsidP="00423C6D">
      <w:pPr>
        <w:pStyle w:val="a2"/>
        <w:rPr>
          <w:rtl/>
        </w:rPr>
      </w:pPr>
      <w:r w:rsidRPr="00DF4CDD">
        <w:rPr>
          <w:rFonts w:hint="cs"/>
          <w:rtl/>
        </w:rPr>
        <w:t xml:space="preserve">ט. ונחלקו בזה האחרונים; </w:t>
      </w:r>
    </w:p>
    <w:p w14:paraId="648715DE" w14:textId="77777777" w:rsidR="00E670B2" w:rsidRPr="00DF4CDD" w:rsidRDefault="00E670B2" w:rsidP="00423C6D">
      <w:pPr>
        <w:pStyle w:val="a2"/>
        <w:rPr>
          <w:rtl/>
        </w:rPr>
      </w:pPr>
      <w:r w:rsidRPr="00DF4CDD">
        <w:rPr>
          <w:rFonts w:hint="cs"/>
          <w:rtl/>
        </w:rPr>
        <w:t>דעת האבנ"ז (שו"ת או"ח סי' תי"ג) ובית הלוי (</w:t>
      </w:r>
      <w:r w:rsidRPr="00DF4CDD">
        <w:rPr>
          <w:rtl/>
        </w:rPr>
        <w:t>ח</w:t>
      </w:r>
      <w:r w:rsidRPr="00DF4CDD">
        <w:rPr>
          <w:rFonts w:hint="cs"/>
          <w:rtl/>
        </w:rPr>
        <w:t>"</w:t>
      </w:r>
      <w:r w:rsidRPr="00DF4CDD">
        <w:rPr>
          <w:rtl/>
        </w:rPr>
        <w:t>א סי</w:t>
      </w:r>
      <w:r w:rsidRPr="00DF4CDD">
        <w:rPr>
          <w:rFonts w:hint="cs"/>
          <w:rtl/>
        </w:rPr>
        <w:t>'</w:t>
      </w:r>
      <w:r w:rsidRPr="00DF4CDD">
        <w:rPr>
          <w:rtl/>
        </w:rPr>
        <w:t xml:space="preserve"> ב</w:t>
      </w:r>
      <w:r w:rsidRPr="00DF4CDD">
        <w:rPr>
          <w:rFonts w:hint="cs"/>
          <w:rtl/>
        </w:rPr>
        <w:t>') דמצות אכילת קדשים לא הוה כשאר מצוה של אכילה דבעי כזית, משום דתוכן המצוה הוה רק שהקרבן תהא נאכלת, ואינה חיובא אקרקפתא דגברא בכדי לחייבו באכילת כזית דוקא (והאריכו בדבריהם וביססו אותם באופנים שונים כדרכם בקודש).</w:t>
      </w:r>
    </w:p>
    <w:p w14:paraId="2D5ECC27" w14:textId="77777777" w:rsidR="00E670B2" w:rsidRPr="00DF4CDD" w:rsidRDefault="00E670B2" w:rsidP="00423C6D">
      <w:pPr>
        <w:pStyle w:val="a2"/>
        <w:rPr>
          <w:rtl/>
        </w:rPr>
      </w:pPr>
      <w:r w:rsidRPr="00DF4CDD">
        <w:rPr>
          <w:rFonts w:hint="cs"/>
          <w:rtl/>
        </w:rPr>
        <w:t>ואילו דעת החת"ס (שו"ת או"ח סי' מ"ט) והמנ"ח (במצוה קל"ד בתחלתו) דגם בקדשים חייבת האכילה להיות בשיעור כזית בכדי להחשב מצוה (וגם הם האריכו בזה. ויש להעיר דבמק"א באמת צידד החת"ס כשיטת האבנ"ז וביה"ל הנ"ל).</w:t>
      </w:r>
    </w:p>
    <w:p w14:paraId="28CABA3A" w14:textId="77777777" w:rsidR="00E670B2" w:rsidRPr="00DF4CDD" w:rsidRDefault="00E670B2" w:rsidP="00423C6D">
      <w:pPr>
        <w:pStyle w:val="a2"/>
        <w:rPr>
          <w:rtl/>
        </w:rPr>
      </w:pPr>
      <w:r w:rsidRPr="00DF4CDD">
        <w:rPr>
          <w:rFonts w:hint="cs"/>
          <w:rtl/>
        </w:rPr>
        <w:lastRenderedPageBreak/>
        <w:t xml:space="preserve">ולכאורה על כל צד יוקשה דברי הת"י המורים באופן ההפכי וכנ"ל שבדבריו מוצאים לכאורה  יסוד לב' השיטות בזה!?   </w:t>
      </w:r>
    </w:p>
    <w:p w14:paraId="0457168B" w14:textId="77777777" w:rsidR="00E670B2" w:rsidRPr="00DF4CDD" w:rsidRDefault="00E670B2" w:rsidP="00423C6D">
      <w:pPr>
        <w:pStyle w:val="a2"/>
        <w:rPr>
          <w:rtl/>
        </w:rPr>
      </w:pPr>
      <w:r w:rsidRPr="00DF4CDD">
        <w:rPr>
          <w:rFonts w:hint="cs"/>
          <w:rtl/>
        </w:rPr>
        <w:t>אמנם לכאורה ע"פ משנ"ת לעיל מיוסד על דברי הרבי בענין הקטרת האימורין (ועד"ז בדבריו בחילוקו בין גדר קרבנות לשאר מצות) לכאורה אפשר לומר דתרוייהו איתנהו ביה;</w:t>
      </w:r>
    </w:p>
    <w:p w14:paraId="1C089350" w14:textId="77777777" w:rsidR="00E670B2" w:rsidRPr="00DF4CDD" w:rsidRDefault="00E670B2" w:rsidP="00423C6D">
      <w:pPr>
        <w:pStyle w:val="a2"/>
        <w:rPr>
          <w:rtl/>
        </w:rPr>
      </w:pPr>
      <w:r w:rsidRPr="00DF4CDD">
        <w:rPr>
          <w:rFonts w:hint="cs"/>
          <w:rtl/>
        </w:rPr>
        <w:t xml:space="preserve">והיינו דמצד עצם הענין דקרבנות מצ"ע </w:t>
      </w:r>
      <w:r w:rsidRPr="00DF4CDD">
        <w:rPr>
          <w:rtl/>
        </w:rPr>
        <w:t>–</w:t>
      </w:r>
      <w:r w:rsidRPr="00DF4CDD">
        <w:rPr>
          <w:rFonts w:hint="cs"/>
          <w:rtl/>
        </w:rPr>
        <w:t xml:space="preserve"> החפצא של הקרבן </w:t>
      </w:r>
      <w:r w:rsidRPr="00DF4CDD">
        <w:rPr>
          <w:rtl/>
        </w:rPr>
        <w:t>–</w:t>
      </w:r>
      <w:r w:rsidRPr="00DF4CDD">
        <w:rPr>
          <w:rFonts w:hint="cs"/>
          <w:rtl/>
        </w:rPr>
        <w:t xml:space="preserve"> הרי מה שנוגע הוא רק זה שהוא יהא נאכל לגמרי, ואשר לזה אכן אינו נוגע שיהי' אכילה בכזית וכדברי הת"י "</w:t>
      </w:r>
      <w:r w:rsidRPr="00DF4CDD">
        <w:rPr>
          <w:rtl/>
        </w:rPr>
        <w:t>דלא בעי כזית לגמרי</w:t>
      </w:r>
      <w:r w:rsidRPr="00DF4CDD">
        <w:rPr>
          <w:rFonts w:hint="cs"/>
          <w:rtl/>
        </w:rPr>
        <w:t xml:space="preserve">", והיינו ממש כדברי האבנ"ז וביה"ל. </w:t>
      </w:r>
    </w:p>
    <w:p w14:paraId="10081C1D" w14:textId="77777777" w:rsidR="00E670B2" w:rsidRPr="00DF4CDD" w:rsidRDefault="00E670B2" w:rsidP="00423C6D">
      <w:pPr>
        <w:pStyle w:val="a2"/>
        <w:rPr>
          <w:rtl/>
        </w:rPr>
      </w:pPr>
      <w:r w:rsidRPr="00DF4CDD">
        <w:rPr>
          <w:rFonts w:hint="cs"/>
          <w:rtl/>
        </w:rPr>
        <w:t xml:space="preserve">ואילו מצד ענין המצוה של הכהנים שמקיימים באכילתו, בזה באמת צריכים כזית כמו בכל אכילה של מצוה וכדברי הת"י ".. </w:t>
      </w:r>
      <w:r w:rsidRPr="00DF4CDD">
        <w:rPr>
          <w:rtl/>
        </w:rPr>
        <w:t>אבל כאן לא היה מצות אכילה לגמרי כיון שאין שם אלא כפול</w:t>
      </w:r>
      <w:r w:rsidRPr="00DF4CDD">
        <w:rPr>
          <w:rFonts w:hint="cs"/>
          <w:rtl/>
        </w:rPr>
        <w:t>", וכדברי החת"ס והמנ"ח.</w:t>
      </w:r>
    </w:p>
    <w:p w14:paraId="222B32EB" w14:textId="77777777" w:rsidR="00E670B2" w:rsidRPr="00DF4CDD" w:rsidRDefault="00E670B2" w:rsidP="00423C6D">
      <w:pPr>
        <w:pStyle w:val="a2"/>
        <w:rPr>
          <w:rtl/>
        </w:rPr>
      </w:pPr>
      <w:r w:rsidRPr="00DF4CDD">
        <w:rPr>
          <w:rFonts w:hint="cs"/>
          <w:rtl/>
        </w:rPr>
        <w:t xml:space="preserve">ומבואר לפ"ז נמי מדוע אם היו מקבלים כזית לא היו מושכין ידיהם משא"כ כשלא קיבלו כזית; </w:t>
      </w:r>
    </w:p>
    <w:p w14:paraId="6E4D258E" w14:textId="0781CE59" w:rsidR="00E670B2" w:rsidRPr="00DF4CDD" w:rsidRDefault="00E670B2" w:rsidP="00423C6D">
      <w:pPr>
        <w:pStyle w:val="a2"/>
        <w:rPr>
          <w:rtl/>
        </w:rPr>
      </w:pPr>
      <w:r w:rsidRPr="00DF4CDD">
        <w:rPr>
          <w:rFonts w:hint="cs"/>
          <w:rtl/>
        </w:rPr>
        <w:t>דאם באמת היו מקבלים כזית, אז היו יכולים לקיים המצוה שעליהם, וא"כ אין מקום שהאחד יוותר על מצוה שלו בכדי שחבירו יקיים מצוה שעלי., משא"כ כשלא קיבלו כזית אז הרי מה שנתקיים היא מה שהקרבן תהא נאכלת לגמרי (היינו המצוה שבחפצא של קרבן ולא זה של הגברא), ולענין זה באמת אין הבדל אם זה נאכל ע"י האחד או ע"י חבירו, ולכן היו מושכין ידיהם ומרשים לכהן אחר להשלים הענין</w:t>
      </w:r>
      <w:r w:rsidR="007F5702" w:rsidRPr="007F5702">
        <w:rPr>
          <w:rStyle w:val="FootnoteReference"/>
        </w:rPr>
        <w:footnoteReference w:customMarkFollows="1" w:id="21"/>
        <w:sym w:font="Symbol" w:char="F02A"/>
      </w:r>
      <w:r w:rsidRPr="00DF4CDD">
        <w:rPr>
          <w:rFonts w:hint="cs"/>
          <w:rtl/>
        </w:rPr>
        <w:t xml:space="preserve">. </w:t>
      </w:r>
    </w:p>
    <w:p w14:paraId="0E29FE4A" w14:textId="77777777" w:rsidR="00652896" w:rsidRDefault="00652896" w:rsidP="00652896">
      <w:pPr>
        <w:pStyle w:val="a4"/>
        <w:spacing w:after="0"/>
        <w:rPr>
          <w:rtl/>
        </w:rPr>
      </w:pPr>
      <w:r w:rsidRPr="00347933">
        <w:t>g</w:t>
      </w:r>
    </w:p>
    <w:p w14:paraId="7C81C799" w14:textId="77777777" w:rsidR="000E110A" w:rsidRDefault="000E110A" w:rsidP="00652896">
      <w:pPr>
        <w:pStyle w:val="a4"/>
        <w:spacing w:after="0"/>
        <w:rPr>
          <w:rtl/>
        </w:rPr>
      </w:pPr>
    </w:p>
    <w:p w14:paraId="00EFB120" w14:textId="77777777" w:rsidR="000E110A" w:rsidRPr="00347933" w:rsidRDefault="000E110A" w:rsidP="00652896">
      <w:pPr>
        <w:pStyle w:val="a4"/>
        <w:spacing w:after="0"/>
        <w:sectPr w:rsidR="000E110A" w:rsidRPr="00347933" w:rsidSect="00E65DD5">
          <w:footnotePr>
            <w:numRestart w:val="eachSect"/>
          </w:footnotePr>
          <w:type w:val="continuous"/>
          <w:pgSz w:w="7920" w:h="12240"/>
          <w:pgMar w:top="-810" w:right="864" w:bottom="720" w:left="864" w:header="270" w:footer="0" w:gutter="0"/>
          <w:cols w:space="720"/>
          <w:docGrid w:linePitch="360"/>
        </w:sectPr>
      </w:pPr>
    </w:p>
    <w:p w14:paraId="51925297" w14:textId="249FBF1B" w:rsidR="000E110A" w:rsidRPr="000E110A" w:rsidRDefault="00652896" w:rsidP="000E110A">
      <w:pPr>
        <w:pStyle w:val="a"/>
        <w:bidi w:val="0"/>
        <w:rPr>
          <w:rtl/>
        </w:rPr>
      </w:pPr>
      <w:bookmarkStart w:id="106" w:name="_Toc531140350"/>
      <w:r w:rsidRPr="00CF452B">
        <w:rPr>
          <w:rtl/>
        </w:rPr>
        <w:lastRenderedPageBreak/>
        <w:t>נענש יעקב שמנעה מאחיו שמא תחזירנו למוטב</w:t>
      </w:r>
      <w:bookmarkEnd w:id="106"/>
    </w:p>
    <w:p w14:paraId="1F1F09BB" w14:textId="77777777" w:rsidR="00652896" w:rsidRPr="008307D7" w:rsidRDefault="00652896" w:rsidP="00C40DBA">
      <w:pPr>
        <w:pStyle w:val="a0"/>
        <w:rPr>
          <w:rtl/>
        </w:rPr>
      </w:pPr>
      <w:bookmarkStart w:id="107" w:name="_Toc531140351"/>
      <w:r w:rsidRPr="008307D7">
        <w:rPr>
          <w:rtl/>
          <w:lang w:bidi="he-IL"/>
        </w:rPr>
        <w:t>הרב ישכר דוד קלויזנר</w:t>
      </w:r>
      <w:bookmarkEnd w:id="107"/>
    </w:p>
    <w:p w14:paraId="04C508E7" w14:textId="77777777" w:rsidR="00652896" w:rsidRPr="005B6091" w:rsidRDefault="00652896" w:rsidP="00652896">
      <w:pPr>
        <w:pStyle w:val="a1"/>
        <w:rPr>
          <w:rtl/>
        </w:rPr>
      </w:pPr>
      <w:r w:rsidRPr="005B6091">
        <w:rPr>
          <w:rtl/>
        </w:rPr>
        <w:t>נחלת הר חב"ד, אה"ק</w:t>
      </w:r>
    </w:p>
    <w:p w14:paraId="15F341B7" w14:textId="77777777" w:rsidR="00652896" w:rsidRPr="00682009" w:rsidRDefault="00652896" w:rsidP="00423C6D">
      <w:pPr>
        <w:pStyle w:val="a2"/>
        <w:rPr>
          <w:rtl/>
        </w:rPr>
      </w:pPr>
      <w:r w:rsidRPr="00682009">
        <w:rPr>
          <w:rFonts w:hint="cs"/>
          <w:rtl/>
        </w:rPr>
        <w:t>בפרשת ויצא</w:t>
      </w:r>
      <w:r w:rsidRPr="00682009">
        <w:rPr>
          <w:rStyle w:val="FootnoteReference"/>
          <w:rtl/>
        </w:rPr>
        <w:footnoteReference w:id="22"/>
      </w:r>
      <w:r w:rsidRPr="00682009">
        <w:rPr>
          <w:rFonts w:hint="cs"/>
          <w:rtl/>
        </w:rPr>
        <w:t xml:space="preserve"> בד"ה '</w:t>
      </w:r>
      <w:r w:rsidRPr="00682009">
        <w:rPr>
          <w:rtl/>
        </w:rPr>
        <w:t>ועיני לאה רכות</w:t>
      </w:r>
      <w:r w:rsidRPr="00682009">
        <w:rPr>
          <w:rFonts w:hint="cs"/>
          <w:rtl/>
        </w:rPr>
        <w:t>' כתב רש"י: "</w:t>
      </w:r>
      <w:r w:rsidRPr="00682009">
        <w:rPr>
          <w:rtl/>
        </w:rPr>
        <w:t>שהיתה סבורה לעלות בגורלו של עשו ובוכה שהיו הכל אומרים שני בנים לרבקה ושתי בנות ללבן, הגדולה לגדול והקטנה לקט</w:t>
      </w:r>
      <w:r w:rsidRPr="00682009">
        <w:rPr>
          <w:rFonts w:hint="cs"/>
          <w:rtl/>
        </w:rPr>
        <w:t xml:space="preserve">נה". </w:t>
      </w:r>
    </w:p>
    <w:p w14:paraId="302CBB02" w14:textId="7ED7F202" w:rsidR="00652896" w:rsidRPr="00682009" w:rsidRDefault="00652896" w:rsidP="008E0521">
      <w:pPr>
        <w:pStyle w:val="a2"/>
      </w:pPr>
      <w:r w:rsidRPr="00682009">
        <w:rPr>
          <w:rtl/>
        </w:rPr>
        <w:tab/>
      </w:r>
      <w:r w:rsidRPr="00682009">
        <w:rPr>
          <w:rFonts w:hint="cs"/>
          <w:rtl/>
        </w:rPr>
        <w:t>ובפ' וישלח</w:t>
      </w:r>
      <w:r w:rsidRPr="00682009">
        <w:rPr>
          <w:rStyle w:val="FootnoteReference"/>
          <w:rtl/>
        </w:rPr>
        <w:footnoteReference w:id="23"/>
      </w:r>
      <w:r w:rsidRPr="00682009">
        <w:rPr>
          <w:rFonts w:hint="cs"/>
          <w:rtl/>
        </w:rPr>
        <w:t xml:space="preserve"> בד"ה</w:t>
      </w:r>
      <w:r w:rsidRPr="00682009">
        <w:rPr>
          <w:rFonts w:ascii="Cambria" w:hAnsi="Cambria" w:cs="Cambria"/>
        </w:rPr>
        <w:t> </w:t>
      </w:r>
      <w:r w:rsidRPr="00682009">
        <w:rPr>
          <w:rFonts w:hint="cs"/>
          <w:rtl/>
        </w:rPr>
        <w:t>'</w:t>
      </w:r>
      <w:r w:rsidRPr="00682009">
        <w:rPr>
          <w:rtl/>
        </w:rPr>
        <w:t>ואת אחד עשר ילדיו</w:t>
      </w:r>
      <w:r w:rsidRPr="00682009">
        <w:rPr>
          <w:rFonts w:hint="cs"/>
          <w:rtl/>
        </w:rPr>
        <w:t>' כתב:</w:t>
      </w:r>
      <w:r w:rsidRPr="00682009">
        <w:rPr>
          <w:rFonts w:ascii="Cambria" w:hAnsi="Cambria" w:cs="Cambria"/>
        </w:rPr>
        <w:t> </w:t>
      </w:r>
      <w:r w:rsidRPr="00682009">
        <w:rPr>
          <w:rFonts w:hint="cs"/>
          <w:rtl/>
        </w:rPr>
        <w:t>"</w:t>
      </w:r>
      <w:r w:rsidRPr="00682009">
        <w:rPr>
          <w:rtl/>
        </w:rPr>
        <w:t>ודינה היכן היתה, נתנה בתבה ונעל בפניה שלא יתן בה עשו עיניו, ולכך נענש יעקב שמנעה מאחיו שמא תחזירנו למוטב, ונפלה ביד שכם</w:t>
      </w:r>
      <w:r w:rsidRPr="00682009">
        <w:rPr>
          <w:rFonts w:hint="cs"/>
          <w:rtl/>
        </w:rPr>
        <w:t>".</w:t>
      </w:r>
    </w:p>
    <w:p w14:paraId="3F0F180A" w14:textId="77777777" w:rsidR="00652896" w:rsidRPr="00682009" w:rsidRDefault="00652896" w:rsidP="00423C6D">
      <w:pPr>
        <w:pStyle w:val="a2"/>
        <w:rPr>
          <w:rtl/>
        </w:rPr>
      </w:pPr>
      <w:r w:rsidRPr="00682009">
        <w:rPr>
          <w:rFonts w:hint="cs"/>
          <w:rtl/>
        </w:rPr>
        <w:t xml:space="preserve">ומקשים, </w:t>
      </w:r>
      <w:r w:rsidRPr="00682009">
        <w:rPr>
          <w:rtl/>
        </w:rPr>
        <w:t>מאי שנא חשש</w:t>
      </w:r>
      <w:r w:rsidRPr="00682009">
        <w:rPr>
          <w:rFonts w:hint="cs"/>
          <w:rtl/>
        </w:rPr>
        <w:t>ה של</w:t>
      </w:r>
      <w:r w:rsidRPr="00682009">
        <w:rPr>
          <w:rtl/>
        </w:rPr>
        <w:t xml:space="preserve"> לאה להינשא לעשו שנראה מוצדק</w:t>
      </w:r>
      <w:r w:rsidRPr="00682009">
        <w:rPr>
          <w:rFonts w:hint="cs"/>
          <w:rtl/>
        </w:rPr>
        <w:t xml:space="preserve"> ולא נענשה,</w:t>
      </w:r>
      <w:r w:rsidRPr="00682009">
        <w:rPr>
          <w:rtl/>
        </w:rPr>
        <w:t xml:space="preserve"> מחשש</w:t>
      </w:r>
      <w:r w:rsidRPr="00682009">
        <w:rPr>
          <w:rFonts w:hint="cs"/>
          <w:rtl/>
        </w:rPr>
        <w:t>ו של</w:t>
      </w:r>
      <w:r w:rsidRPr="00682009">
        <w:rPr>
          <w:rtl/>
        </w:rPr>
        <w:t xml:space="preserve"> יעקב</w:t>
      </w:r>
      <w:r w:rsidRPr="00682009">
        <w:rPr>
          <w:rFonts w:hint="cs"/>
          <w:rtl/>
        </w:rPr>
        <w:t xml:space="preserve"> </w:t>
      </w:r>
      <w:r w:rsidRPr="00682009">
        <w:rPr>
          <w:rtl/>
        </w:rPr>
        <w:t>לתת לו את דינה</w:t>
      </w:r>
      <w:r w:rsidRPr="00682009">
        <w:rPr>
          <w:rFonts w:hint="cs"/>
          <w:rtl/>
        </w:rPr>
        <w:t>,</w:t>
      </w:r>
      <w:r w:rsidRPr="00682009">
        <w:rPr>
          <w:rtl/>
        </w:rPr>
        <w:t xml:space="preserve"> שלא היה מוצדק ונענש?</w:t>
      </w:r>
    </w:p>
    <w:p w14:paraId="411A0915" w14:textId="77777777" w:rsidR="00652896" w:rsidRPr="00682009" w:rsidRDefault="00652896" w:rsidP="00423C6D">
      <w:pPr>
        <w:pStyle w:val="a2"/>
        <w:rPr>
          <w:rtl/>
        </w:rPr>
      </w:pPr>
      <w:r w:rsidRPr="00682009">
        <w:rPr>
          <w:rtl/>
        </w:rPr>
        <w:t>ונראה לתרץ, בהקדם מ"ש ב'לקוטי שיחות' חלק ד</w:t>
      </w:r>
      <w:r w:rsidRPr="00682009">
        <w:rPr>
          <w:rStyle w:val="FootnoteReference"/>
          <w:rtl/>
        </w:rPr>
        <w:footnoteReference w:id="24"/>
      </w:r>
      <w:r w:rsidRPr="00682009">
        <w:rPr>
          <w:rtl/>
        </w:rPr>
        <w:t>, בענין מה שכתב בהגדה, "וירד מצרימה אנוס על פי הדיבור", דלכאורה כיון שיעקב ידע שהירידה למצרים הוא "על פי הדיבור", היה צריך להיות הירידה ברצון ובחיות, ולא "אנוס"?</w:t>
      </w:r>
    </w:p>
    <w:p w14:paraId="1EDB2F1E" w14:textId="3F981B0A" w:rsidR="00652896" w:rsidRPr="00682009" w:rsidRDefault="00652896" w:rsidP="00782605">
      <w:pPr>
        <w:pStyle w:val="a2"/>
        <w:rPr>
          <w:rtl/>
        </w:rPr>
      </w:pPr>
      <w:r w:rsidRPr="00682009">
        <w:rPr>
          <w:rtl/>
        </w:rPr>
        <w:t>ומבאר שם</w:t>
      </w:r>
      <w:r w:rsidRPr="00682009">
        <w:rPr>
          <w:rFonts w:hint="cs"/>
          <w:rtl/>
        </w:rPr>
        <w:t xml:space="preserve"> כ"ק אדמו"ר</w:t>
      </w:r>
      <w:r w:rsidRPr="00682009">
        <w:rPr>
          <w:rtl/>
        </w:rPr>
        <w:t>: דכיון שמדובר בירידה למצרים, שזה ירידה גדולה ביותר, א"כ הגם שזה</w:t>
      </w:r>
      <w:r w:rsidRPr="00682009">
        <w:rPr>
          <w:rFonts w:hint="cs"/>
          <w:rtl/>
        </w:rPr>
        <w:t>ו</w:t>
      </w:r>
      <w:r w:rsidRPr="00682009">
        <w:rPr>
          <w:rtl/>
        </w:rPr>
        <w:t xml:space="preserve"> רצונו של הקב"ה שע"י ירידה זו יגיע לעליה גבוה ביותר, מ"מ כיון שזה ירידה גדולה ו"כל הדרכים בחזקת סכנה", לכן היה אצלו גם הענין של "אנוס", ועוד, מתי מתבצע באמת כוונת הירידה של 'ואנכי אעלך' גו', היינו דוקא כשהירידה הוא באופן של "אנוס" - בעל כרחו, כאילו כפאו שד, ע</w:t>
      </w:r>
      <w:r w:rsidRPr="00682009">
        <w:rPr>
          <w:rFonts w:hint="cs"/>
          <w:rtl/>
        </w:rPr>
        <w:t xml:space="preserve">"ש </w:t>
      </w:r>
      <w:r w:rsidRPr="00682009">
        <w:rPr>
          <w:rtl/>
        </w:rPr>
        <w:t>ה</w:t>
      </w:r>
      <w:r w:rsidRPr="00682009">
        <w:rPr>
          <w:rFonts w:hint="cs"/>
          <w:rtl/>
        </w:rPr>
        <w:t>ביאור</w:t>
      </w:r>
      <w:r w:rsidRPr="00682009">
        <w:rPr>
          <w:rtl/>
        </w:rPr>
        <w:t>.</w:t>
      </w:r>
    </w:p>
    <w:p w14:paraId="59AB461F" w14:textId="77777777" w:rsidR="00652896" w:rsidRPr="00682009" w:rsidRDefault="00652896" w:rsidP="00423C6D">
      <w:pPr>
        <w:pStyle w:val="a2"/>
        <w:rPr>
          <w:rtl/>
        </w:rPr>
      </w:pPr>
      <w:r w:rsidRPr="00682009">
        <w:rPr>
          <w:rtl/>
        </w:rPr>
        <w:t xml:space="preserve">ועיין גם </w:t>
      </w:r>
      <w:r w:rsidRPr="00682009">
        <w:rPr>
          <w:rFonts w:hint="cs"/>
          <w:rtl/>
        </w:rPr>
        <w:t>'</w:t>
      </w:r>
      <w:r w:rsidRPr="00682009">
        <w:rPr>
          <w:rtl/>
        </w:rPr>
        <w:t>לקוטי שיחות</w:t>
      </w:r>
      <w:r w:rsidRPr="00682009">
        <w:rPr>
          <w:rFonts w:hint="cs"/>
          <w:rtl/>
        </w:rPr>
        <w:t>'</w:t>
      </w:r>
      <w:r w:rsidRPr="00682009">
        <w:rPr>
          <w:rtl/>
        </w:rPr>
        <w:t xml:space="preserve"> חלק ז</w:t>
      </w:r>
      <w:r>
        <w:rPr>
          <w:rFonts w:hint="cs"/>
          <w:rtl/>
        </w:rPr>
        <w:t>'</w:t>
      </w:r>
      <w:r w:rsidRPr="00682009">
        <w:rPr>
          <w:rStyle w:val="FootnoteReference"/>
          <w:rtl/>
        </w:rPr>
        <w:footnoteReference w:id="25"/>
      </w:r>
      <w:r w:rsidRPr="00682009">
        <w:rPr>
          <w:rtl/>
        </w:rPr>
        <w:t xml:space="preserve">: "דהגם שדורשים מיהודי שיהי' בתוך העולם, ולבצע את הכוונה ד"נתאוה הקב"ה להיות לו דירה בתחתונים", מ"מ צריך תמיד להיות (העבודה) באופן של "ועל כרחך אתה חי" - שהצמאון והתשוקה צריך להיות תמיד לצאת מחיי חול וללכת לקדשי קדשים, והמניעה לעשות כן בפועל הוא אך ורק מצד </w:t>
      </w:r>
      <w:r w:rsidRPr="00682009">
        <w:rPr>
          <w:rtl/>
        </w:rPr>
        <w:lastRenderedPageBreak/>
        <w:t>הציווי (וזירוז) שצריכים לעשות דירה לו ית' בתחתונים", ע"ש.</w:t>
      </w:r>
    </w:p>
    <w:p w14:paraId="1AAE0442" w14:textId="49523702" w:rsidR="00652896" w:rsidRPr="00682009" w:rsidRDefault="00652896" w:rsidP="00782605">
      <w:pPr>
        <w:pStyle w:val="a2"/>
        <w:rPr>
          <w:rtl/>
        </w:rPr>
      </w:pPr>
      <w:r w:rsidRPr="00682009">
        <w:rPr>
          <w:rtl/>
        </w:rPr>
        <w:t>והנה ב</w:t>
      </w:r>
      <w:r w:rsidRPr="00682009">
        <w:rPr>
          <w:rFonts w:hint="cs"/>
          <w:rtl/>
        </w:rPr>
        <w:t>'</w:t>
      </w:r>
      <w:r w:rsidRPr="00682009">
        <w:rPr>
          <w:rtl/>
        </w:rPr>
        <w:t>לקוטי שיחות</w:t>
      </w:r>
      <w:r w:rsidRPr="00682009">
        <w:rPr>
          <w:rFonts w:hint="cs"/>
          <w:rtl/>
        </w:rPr>
        <w:t>'</w:t>
      </w:r>
      <w:r w:rsidRPr="00682009">
        <w:rPr>
          <w:rtl/>
        </w:rPr>
        <w:t xml:space="preserve"> חלק ב</w:t>
      </w:r>
      <w:r w:rsidRPr="00682009">
        <w:rPr>
          <w:rStyle w:val="FootnoteReference"/>
          <w:rtl/>
        </w:rPr>
        <w:footnoteReference w:id="26"/>
      </w:r>
      <w:r w:rsidRPr="00682009">
        <w:rPr>
          <w:rtl/>
        </w:rPr>
        <w:t xml:space="preserve"> מביא מ'ספר החיים'</w:t>
      </w:r>
      <w:r w:rsidRPr="00682009">
        <w:rPr>
          <w:rStyle w:val="FootnoteReference"/>
          <w:rtl/>
        </w:rPr>
        <w:footnoteReference w:id="27"/>
      </w:r>
      <w:r w:rsidRPr="00682009">
        <w:rPr>
          <w:rtl/>
        </w:rPr>
        <w:t xml:space="preserve"> - חלק גאולה וישועה - לפרש מה שכתב בגמ' כתובות</w:t>
      </w:r>
      <w:r w:rsidRPr="00682009">
        <w:rPr>
          <w:rStyle w:val="FootnoteReference"/>
          <w:rtl/>
        </w:rPr>
        <w:footnoteReference w:id="28"/>
      </w:r>
      <w:r w:rsidRPr="00682009">
        <w:rPr>
          <w:rtl/>
        </w:rPr>
        <w:t>, שכל הדר בחוץ לארץ כאלו אין לו כו' - שהכוונה ל"דר" דוקא, דהיינו בקביעות, כלומר שדר בחו"ל בקביעות, ואינו חושב כלל אודות הגאולה, משא"כ מי שגר בחו"ל וחושב ומצפה למשיח וארץ ישראל, אז איפה שלא נמצא, הוה "המקום אשר יבחר ה'", ע"ש.</w:t>
      </w:r>
    </w:p>
    <w:p w14:paraId="20E60828" w14:textId="77777777" w:rsidR="00652896" w:rsidRPr="00682009" w:rsidRDefault="00652896" w:rsidP="00423C6D">
      <w:pPr>
        <w:pStyle w:val="a2"/>
        <w:rPr>
          <w:rtl/>
        </w:rPr>
      </w:pPr>
      <w:r w:rsidRPr="00682009">
        <w:rPr>
          <w:rtl/>
        </w:rPr>
        <w:t xml:space="preserve">עד"ז יבואר בנדו"ד, יהודי לא רק שאסור לחפש נסיונות, אלא שגם צריך לברוח מהם, ולכן לאה בצדק ברחה מהניסיון של "שמא תחזירנו למוטב", כיון שיש גם סכנה הפוך, 'שמא הוא יקלקל אותה'. רק אם הנסיון מגיע לאדם מלמעלה בלתי צפוי אזי חייב להתמודד עמו, "אנוס על פי הדיבור", </w:t>
      </w:r>
      <w:r w:rsidRPr="00682009">
        <w:rPr>
          <w:rFonts w:hint="cs"/>
          <w:rtl/>
        </w:rPr>
        <w:t xml:space="preserve">ע"ד </w:t>
      </w:r>
      <w:r w:rsidRPr="00682009">
        <w:rPr>
          <w:rtl/>
        </w:rPr>
        <w:t>שהיה אצל יוסף הצדיק.</w:t>
      </w:r>
    </w:p>
    <w:p w14:paraId="3AACB1B3" w14:textId="2D6FCAAB" w:rsidR="00652896" w:rsidRDefault="00652896" w:rsidP="00423C6D">
      <w:pPr>
        <w:pStyle w:val="a2"/>
        <w:rPr>
          <w:rtl/>
        </w:rPr>
      </w:pPr>
      <w:r w:rsidRPr="00682009">
        <w:rPr>
          <w:rtl/>
        </w:rPr>
        <w:tab/>
        <w:t>משא"כ אצל יעקב אבינו הבעי' היה ש</w:t>
      </w:r>
      <w:r w:rsidRPr="00682009">
        <w:rPr>
          <w:rFonts w:hint="cs"/>
          <w:rtl/>
        </w:rPr>
        <w:t xml:space="preserve">אפילו </w:t>
      </w:r>
      <w:r w:rsidRPr="00682009">
        <w:rPr>
          <w:rtl/>
        </w:rPr>
        <w:t>לא נתן מקום בטבע</w:t>
      </w:r>
      <w:r w:rsidRPr="00682009">
        <w:rPr>
          <w:rFonts w:hint="cs"/>
          <w:rtl/>
        </w:rPr>
        <w:t xml:space="preserve"> </w:t>
      </w:r>
      <w:r w:rsidRPr="00682009">
        <w:rPr>
          <w:rtl/>
        </w:rPr>
        <w:t xml:space="preserve">לנסיון </w:t>
      </w:r>
      <w:r w:rsidRPr="00682009">
        <w:rPr>
          <w:rFonts w:hint="cs"/>
          <w:rtl/>
        </w:rPr>
        <w:t xml:space="preserve">מלמעלה </w:t>
      </w:r>
      <w:r w:rsidRPr="00682009">
        <w:rPr>
          <w:rtl/>
        </w:rPr>
        <w:t>של "שמא תחזירנו למוטב"</w:t>
      </w:r>
      <w:r w:rsidRPr="00682009">
        <w:rPr>
          <w:rFonts w:hint="cs"/>
          <w:rtl/>
        </w:rPr>
        <w:t xml:space="preserve">, </w:t>
      </w:r>
      <w:r w:rsidRPr="00682009">
        <w:rPr>
          <w:rtl/>
        </w:rPr>
        <w:t>בזה ש"נעל אותה בתיבה", ע"ד שנאמר שיעקב אבינו ח"ו לא היה יורד למצרים, - זה כבר נגד הדיבור, ולכן נענש שנפלה ביד שכם. וא"ש</w:t>
      </w:r>
      <w:r w:rsidRPr="00682009">
        <w:rPr>
          <w:rStyle w:val="FootnoteReference"/>
          <w:rtl/>
        </w:rPr>
        <w:footnoteReference w:id="29"/>
      </w:r>
      <w:r w:rsidRPr="00682009">
        <w:rPr>
          <w:rtl/>
        </w:rPr>
        <w:t>.</w:t>
      </w:r>
    </w:p>
    <w:p w14:paraId="03F983B9" w14:textId="77777777" w:rsidR="00652896" w:rsidRPr="00347933" w:rsidRDefault="00652896" w:rsidP="000E110A">
      <w:pPr>
        <w:pStyle w:val="a4"/>
        <w:spacing w:before="0" w:after="0"/>
        <w:sectPr w:rsidR="0065289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63F00EA" w14:textId="54CBA485" w:rsidR="00652896" w:rsidRPr="00390778" w:rsidRDefault="00652896" w:rsidP="000E110A">
      <w:pPr>
        <w:pStyle w:val="a"/>
        <w:spacing w:before="0"/>
        <w:rPr>
          <w:rtl/>
        </w:rPr>
      </w:pPr>
      <w:bookmarkStart w:id="108" w:name="_Toc531140352"/>
      <w:r w:rsidRPr="00390778">
        <w:rPr>
          <w:rFonts w:hint="cs"/>
          <w:rtl/>
        </w:rPr>
        <w:t>הטעם שלא נשא יצחק אשה מבנות ישמעאל ולוט</w:t>
      </w:r>
      <w:bookmarkEnd w:id="108"/>
    </w:p>
    <w:p w14:paraId="0A12C709" w14:textId="77777777" w:rsidR="00652896" w:rsidRDefault="00652896" w:rsidP="00C40DBA">
      <w:pPr>
        <w:pStyle w:val="a0"/>
        <w:rPr>
          <w:rtl/>
        </w:rPr>
      </w:pPr>
      <w:bookmarkStart w:id="109" w:name="_Toc531140353"/>
      <w:r>
        <w:rPr>
          <w:rFonts w:hint="cs"/>
          <w:rtl/>
          <w:lang w:bidi="he-IL"/>
        </w:rPr>
        <w:t>הת</w:t>
      </w:r>
      <w:r>
        <w:rPr>
          <w:rFonts w:hint="cs"/>
          <w:rtl/>
        </w:rPr>
        <w:t xml:space="preserve">' </w:t>
      </w:r>
      <w:r>
        <w:rPr>
          <w:rFonts w:hint="cs"/>
          <w:rtl/>
          <w:lang w:bidi="he-IL"/>
        </w:rPr>
        <w:t>שמואל יוסף גרינבוים</w:t>
      </w:r>
      <w:bookmarkEnd w:id="109"/>
    </w:p>
    <w:p w14:paraId="0D6A5653" w14:textId="77777777" w:rsidR="00652896" w:rsidRPr="00652896" w:rsidRDefault="00652896" w:rsidP="00652896">
      <w:pPr>
        <w:pStyle w:val="a1"/>
        <w:rPr>
          <w:rtl/>
          <w:lang w:val="en-GB"/>
        </w:rPr>
      </w:pPr>
      <w:r>
        <w:rPr>
          <w:rFonts w:hint="cs"/>
          <w:rtl/>
          <w:lang w:val="en-GB"/>
        </w:rPr>
        <w:t>תלמיד בישיבה</w:t>
      </w:r>
    </w:p>
    <w:p w14:paraId="437E6E84" w14:textId="77777777" w:rsidR="00652896" w:rsidRPr="00390778" w:rsidRDefault="00652896" w:rsidP="00423C6D">
      <w:pPr>
        <w:pStyle w:val="a2"/>
        <w:rPr>
          <w:rtl/>
        </w:rPr>
      </w:pPr>
      <w:r w:rsidRPr="00390778">
        <w:rPr>
          <w:rtl/>
        </w:rPr>
        <w:t xml:space="preserve">בלקו"ש חט"ו </w:t>
      </w:r>
      <w:r w:rsidRPr="00390778">
        <w:rPr>
          <w:rFonts w:hint="cs"/>
          <w:rtl/>
        </w:rPr>
        <w:t>(ע' 158)</w:t>
      </w:r>
      <w:r>
        <w:rPr>
          <w:rFonts w:hint="cs"/>
          <w:rtl/>
        </w:rPr>
        <w:t xml:space="preserve"> כתב:</w:t>
      </w:r>
      <w:r w:rsidRPr="00390778">
        <w:rPr>
          <w:rtl/>
        </w:rPr>
        <w:t xml:space="preserve"> שהטעם שאליעזר הוצרך לילך דוקא לחרן ליקח </w:t>
      </w:r>
      <w:r w:rsidRPr="00390778">
        <w:rPr>
          <w:rFonts w:hint="cs"/>
          <w:rtl/>
        </w:rPr>
        <w:t>אשה ליצחק</w:t>
      </w:r>
      <w:r w:rsidRPr="00390778">
        <w:rPr>
          <w:rtl/>
        </w:rPr>
        <w:t>, הוא "צוליב דער מעלה וואס זייענדיק פון משפחת אברהם זיינען זיי</w:t>
      </w:r>
      <w:r w:rsidRPr="00390778">
        <w:rPr>
          <w:rFonts w:hint="cs"/>
          <w:rtl/>
        </w:rPr>
        <w:t xml:space="preserve"> מצד עצמם</w:t>
      </w:r>
      <w:r w:rsidRPr="00390778">
        <w:rPr>
          <w:rtl/>
        </w:rPr>
        <w:t xml:space="preserve"> בעסער</w:t>
      </w:r>
      <w:r w:rsidRPr="00390778">
        <w:rPr>
          <w:rFonts w:hint="cs"/>
          <w:rtl/>
        </w:rPr>
        <w:t>,</w:t>
      </w:r>
      <w:r w:rsidRPr="00390778">
        <w:rPr>
          <w:rtl/>
        </w:rPr>
        <w:t xml:space="preserve"> איידלער</w:t>
      </w:r>
      <w:r w:rsidRPr="00390778">
        <w:rPr>
          <w:rFonts w:hint="cs"/>
          <w:rtl/>
        </w:rPr>
        <w:t>,</w:t>
      </w:r>
      <w:r w:rsidRPr="00390778">
        <w:rPr>
          <w:rtl/>
        </w:rPr>
        <w:t xml:space="preserve"> און נ</w:t>
      </w:r>
      <w:r w:rsidRPr="00390778">
        <w:rPr>
          <w:rFonts w:hint="cs"/>
          <w:rtl/>
        </w:rPr>
        <w:t>אע</w:t>
      </w:r>
      <w:r w:rsidRPr="00390778">
        <w:rPr>
          <w:rtl/>
        </w:rPr>
        <w:t>נטער צו די תכונות פון אברהם</w:t>
      </w:r>
      <w:r w:rsidRPr="00390778">
        <w:rPr>
          <w:rFonts w:hint="cs"/>
          <w:rtl/>
        </w:rPr>
        <w:t>".</w:t>
      </w:r>
    </w:p>
    <w:p w14:paraId="646298EA" w14:textId="77777777" w:rsidR="00652896" w:rsidRPr="00390778" w:rsidRDefault="00652896" w:rsidP="00423C6D">
      <w:pPr>
        <w:pStyle w:val="a2"/>
        <w:rPr>
          <w:rtl/>
        </w:rPr>
      </w:pPr>
      <w:r w:rsidRPr="00390778">
        <w:rPr>
          <w:rFonts w:hint="cs"/>
          <w:rtl/>
        </w:rPr>
        <w:lastRenderedPageBreak/>
        <w:t>ובהמשך השיחה</w:t>
      </w:r>
      <w:r w:rsidRPr="00390778">
        <w:t xml:space="preserve"> </w:t>
      </w:r>
      <w:r>
        <w:rPr>
          <w:rFonts w:hint="cs"/>
          <w:rtl/>
        </w:rPr>
        <w:t xml:space="preserve">מבאר </w:t>
      </w:r>
      <w:r w:rsidRPr="00390778">
        <w:rPr>
          <w:rFonts w:hint="cs"/>
          <w:rtl/>
        </w:rPr>
        <w:t xml:space="preserve">שההו"א שיצחק יקח אשה מבנות הכנעני הוא מזה ש"נאענט צו אברהם און אונטער זיין השפעה" וכמ"ש "אנכי יושב </w:t>
      </w:r>
      <w:r w:rsidRPr="00390778">
        <w:rPr>
          <w:rFonts w:hint="cs"/>
          <w:b/>
          <w:bCs/>
          <w:rtl/>
        </w:rPr>
        <w:t>בקרבו</w:t>
      </w:r>
      <w:r w:rsidRPr="00390778">
        <w:rPr>
          <w:rFonts w:hint="cs"/>
          <w:rtl/>
        </w:rPr>
        <w:t>".</w:t>
      </w:r>
    </w:p>
    <w:p w14:paraId="3591367B" w14:textId="77777777" w:rsidR="00652896" w:rsidRPr="00390778" w:rsidRDefault="00652896" w:rsidP="00423C6D">
      <w:pPr>
        <w:pStyle w:val="a2"/>
        <w:rPr>
          <w:rtl/>
        </w:rPr>
      </w:pPr>
      <w:r w:rsidRPr="00390778">
        <w:rPr>
          <w:rtl/>
        </w:rPr>
        <w:t xml:space="preserve">וצ"ב </w:t>
      </w:r>
      <w:r w:rsidRPr="00390778">
        <w:rPr>
          <w:rFonts w:hint="cs"/>
          <w:rtl/>
        </w:rPr>
        <w:t xml:space="preserve">מ"ש </w:t>
      </w:r>
      <w:r w:rsidRPr="00390778">
        <w:rPr>
          <w:rtl/>
        </w:rPr>
        <w:t>רש"י בהמשך דברי אליעזר ל</w:t>
      </w:r>
      <w:r w:rsidRPr="00390778">
        <w:rPr>
          <w:rFonts w:hint="cs"/>
          <w:rtl/>
        </w:rPr>
        <w:t xml:space="preserve">לבן ובתואל </w:t>
      </w:r>
      <w:r w:rsidRPr="00390778">
        <w:rPr>
          <w:rtl/>
        </w:rPr>
        <w:t xml:space="preserve">עה"פ (פ' כ"ד פ' מ"ט) "ועתה אם ישכם עושים חסד ואמת את אדוני הגידו לי, ואם לאו הגידו לי ואפנה על ימין או על שמאל" וז"ל "על ימין" מבנות ישמעאל. "על שמאל" מבנות לוט, שהיה יושב לשמאלו של אברהם". הרי שהי' אפשרות לילך לבנות לוט </w:t>
      </w:r>
      <w:r w:rsidRPr="00390778">
        <w:rPr>
          <w:rFonts w:hint="cs"/>
          <w:rtl/>
        </w:rPr>
        <w:t>וישמעאל</w:t>
      </w:r>
      <w:r w:rsidRPr="00390778">
        <w:rPr>
          <w:rtl/>
        </w:rPr>
        <w:t xml:space="preserve"> וא"כ לכאורה הי' לו לילך לכתחילה לבנות לוט</w:t>
      </w:r>
      <w:r w:rsidRPr="00390778">
        <w:rPr>
          <w:rFonts w:hint="cs"/>
          <w:rtl/>
        </w:rPr>
        <w:t xml:space="preserve"> וישמעאל</w:t>
      </w:r>
      <w:r w:rsidRPr="00390778">
        <w:rPr>
          <w:rtl/>
        </w:rPr>
        <w:t xml:space="preserve"> שהרי </w:t>
      </w:r>
      <w:r w:rsidRPr="00390778">
        <w:rPr>
          <w:rFonts w:hint="cs"/>
          <w:rtl/>
        </w:rPr>
        <w:t>בהם יש ב' המעלות, א' שהם ממשפחת אברהם ולכן ה"ה "</w:t>
      </w:r>
      <w:r w:rsidRPr="00390778">
        <w:rPr>
          <w:rtl/>
        </w:rPr>
        <w:t>נ</w:t>
      </w:r>
      <w:r w:rsidRPr="00390778">
        <w:rPr>
          <w:rFonts w:hint="cs"/>
          <w:rtl/>
        </w:rPr>
        <w:t>ע</w:t>
      </w:r>
      <w:r w:rsidRPr="00390778">
        <w:rPr>
          <w:rtl/>
        </w:rPr>
        <w:t>נטער צו די תכונות פון אברהם</w:t>
      </w:r>
      <w:r w:rsidRPr="00390778">
        <w:rPr>
          <w:rFonts w:hint="cs"/>
          <w:rtl/>
        </w:rPr>
        <w:t>", וב' שהם בקירוב מקום לאברהם ומקבלים השפעה ממנו. משא"כ רבקה שיש בה רק מעלה הא'.</w:t>
      </w:r>
    </w:p>
    <w:p w14:paraId="1EE3CE9F" w14:textId="77777777" w:rsidR="00652896" w:rsidRPr="00390778" w:rsidRDefault="00652896" w:rsidP="00423C6D">
      <w:pPr>
        <w:pStyle w:val="a2"/>
        <w:rPr>
          <w:rtl/>
        </w:rPr>
      </w:pPr>
      <w:r w:rsidRPr="00390778">
        <w:rPr>
          <w:rFonts w:hint="cs"/>
          <w:rtl/>
        </w:rPr>
        <w:t>(ואין לומר שבנות לוט היו רעות ולכן לא רצה יצחק לינשא להם, שהרי י"ל שפירושו של "בנות" אינו בנותיו ממש אלא כמו שפרש"י (שמות ו' כ"ה) עה"פ מבנות פוטיאל מזרע יתרו כו' ומזרע יוסף כו'"),</w:t>
      </w:r>
    </w:p>
    <w:p w14:paraId="247A7D9C" w14:textId="77777777" w:rsidR="00652896" w:rsidRPr="00390778" w:rsidRDefault="00652896" w:rsidP="00423C6D">
      <w:pPr>
        <w:pStyle w:val="a2"/>
        <w:rPr>
          <w:rtl/>
        </w:rPr>
      </w:pPr>
      <w:r w:rsidRPr="00390778">
        <w:rPr>
          <w:rFonts w:hint="cs"/>
          <w:rtl/>
        </w:rPr>
        <w:t>ובפרט בנוגע לבנות ישמעאל יש להקשות ע"פ מה שמבאר הרבי בלקו"ש ח"ה (ע' 170) אודות מחלת בתו של ישמעאל שלא היתה מרשעת וכו' וכמ"ש שם "</w:t>
      </w:r>
      <w:r w:rsidRPr="00390778">
        <w:rPr>
          <w:rFonts w:hint="cs"/>
          <w:b/>
          <w:bCs/>
          <w:rtl/>
        </w:rPr>
        <w:t>אז עשו'ס דריטע פרוי איז געווען אן אשה כשרה כו'</w:t>
      </w:r>
      <w:r w:rsidRPr="00390778">
        <w:rPr>
          <w:rFonts w:hint="cs"/>
          <w:rtl/>
        </w:rPr>
        <w:t>", וא"כ הו"ל ליצחק לישא אשה מבנות ישמעאל.</w:t>
      </w:r>
    </w:p>
    <w:p w14:paraId="0A3186F8" w14:textId="6E23719F" w:rsidR="00652896" w:rsidRPr="00390778" w:rsidRDefault="00652896" w:rsidP="00CA1464">
      <w:pPr>
        <w:pStyle w:val="a2"/>
        <w:rPr>
          <w:rtl/>
        </w:rPr>
      </w:pPr>
      <w:r w:rsidRPr="00390778">
        <w:rPr>
          <w:rFonts w:hint="cs"/>
          <w:rtl/>
        </w:rPr>
        <w:t>ומצאתי בפי' "משכיל לדוד" עה"פ: "</w:t>
      </w:r>
      <w:r w:rsidRPr="00390778">
        <w:rPr>
          <w:rtl/>
        </w:rPr>
        <w:t>אמר כן כדי שלא יגבה לבם  באמרם הכל תלוי בנו ולכך אמר להם דעו שלא איכפית לי לי מידי שאם אין אתם שולחים אותה הרי יש לי מקומות אחרים לפנות שהם ג"כ משפחתו של אברהם</w:t>
      </w:r>
      <w:r w:rsidRPr="00390778">
        <w:rPr>
          <w:rFonts w:hint="cs"/>
          <w:rtl/>
        </w:rPr>
        <w:t xml:space="preserve">, </w:t>
      </w:r>
      <w:r w:rsidRPr="00390778">
        <w:rPr>
          <w:rtl/>
        </w:rPr>
        <w:t>דהיינו מבנות ישמעאל ובנות לוט</w:t>
      </w:r>
      <w:r w:rsidR="00CA1464">
        <w:rPr>
          <w:rFonts w:hint="cs"/>
          <w:rtl/>
        </w:rPr>
        <w:t>.</w:t>
      </w:r>
      <w:r w:rsidRPr="00390778">
        <w:rPr>
          <w:rtl/>
        </w:rPr>
        <w:t xml:space="preserve"> </w:t>
      </w:r>
    </w:p>
    <w:p w14:paraId="29137B89" w14:textId="77777777" w:rsidR="00652896" w:rsidRPr="00390778" w:rsidRDefault="00652896" w:rsidP="00423C6D">
      <w:pPr>
        <w:pStyle w:val="a2"/>
        <w:rPr>
          <w:rtl/>
        </w:rPr>
      </w:pPr>
      <w:r w:rsidRPr="00390778">
        <w:rPr>
          <w:rFonts w:hint="cs"/>
          <w:rtl/>
        </w:rPr>
        <w:t>"</w:t>
      </w:r>
      <w:r w:rsidRPr="00390778">
        <w:rPr>
          <w:rtl/>
        </w:rPr>
        <w:t>ואע"פ שלפי האמת לא צוה כן אברהם אלא מבנות ענר אשכול וממרא כדלעיל והטעם שלא בחר אברהם בהם אעפ"י שהם ממשפחתו</w:t>
      </w:r>
      <w:r w:rsidRPr="00390778">
        <w:rPr>
          <w:rFonts w:hint="cs"/>
          <w:rtl/>
        </w:rPr>
        <w:t xml:space="preserve"> </w:t>
      </w:r>
      <w:r w:rsidRPr="00390778">
        <w:rPr>
          <w:rtl/>
        </w:rPr>
        <w:t>לפי שהי' בקי בהם ויודע במעשיהם הרעים ולכך לא רצה מבנותיהם אבל מ</w:t>
      </w:r>
      <w:r w:rsidRPr="00390778">
        <w:rPr>
          <w:rFonts w:hint="cs"/>
          <w:rtl/>
        </w:rPr>
        <w:t>א</w:t>
      </w:r>
      <w:r w:rsidRPr="00390778">
        <w:rPr>
          <w:rtl/>
        </w:rPr>
        <w:t>לה הרחוקים לא הי' יודע בהם</w:t>
      </w:r>
      <w:r w:rsidRPr="00390778">
        <w:rPr>
          <w:rFonts w:hint="cs"/>
          <w:rtl/>
        </w:rPr>
        <w:t>".</w:t>
      </w:r>
    </w:p>
    <w:p w14:paraId="6B770D62" w14:textId="5F455695" w:rsidR="00652896" w:rsidRPr="00390778" w:rsidRDefault="00652896" w:rsidP="00CA1464">
      <w:pPr>
        <w:pStyle w:val="a2"/>
        <w:rPr>
          <w:rtl/>
        </w:rPr>
      </w:pPr>
      <w:r w:rsidRPr="00390778">
        <w:rPr>
          <w:rFonts w:hint="cs"/>
          <w:rtl/>
        </w:rPr>
        <w:t>ושוב מצאתי בספר "באר בשדה" על רש"י (פכ"ד פ"ח) שכתב "</w:t>
      </w:r>
      <w:r w:rsidRPr="00390778">
        <w:rPr>
          <w:b/>
          <w:bCs/>
          <w:rtl/>
        </w:rPr>
        <w:t>ובנות ישמעאל ולוט פשיטא שהן בכלל ההיתר</w:t>
      </w:r>
      <w:r w:rsidRPr="00390778">
        <w:rPr>
          <w:rFonts w:hint="cs"/>
          <w:rtl/>
        </w:rPr>
        <w:t>,</w:t>
      </w:r>
      <w:r w:rsidRPr="00390778">
        <w:rPr>
          <w:rtl/>
        </w:rPr>
        <w:t xml:space="preserve"> שהרי אעיקרא לא נאסרו שהרי הן ממשפחתו.</w:t>
      </w:r>
    </w:p>
    <w:p w14:paraId="514967E7" w14:textId="61D7442D" w:rsidR="00652896" w:rsidRPr="00390778" w:rsidRDefault="00652896" w:rsidP="00CA1464">
      <w:pPr>
        <w:pStyle w:val="a2"/>
        <w:rPr>
          <w:rtl/>
        </w:rPr>
      </w:pPr>
      <w:r w:rsidRPr="00390778">
        <w:rPr>
          <w:rtl/>
        </w:rPr>
        <w:t xml:space="preserve"> </w:t>
      </w:r>
      <w:r w:rsidRPr="00390778">
        <w:rPr>
          <w:rFonts w:hint="cs"/>
          <w:rtl/>
        </w:rPr>
        <w:t>"</w:t>
      </w:r>
      <w:r w:rsidRPr="00390778">
        <w:rPr>
          <w:rtl/>
        </w:rPr>
        <w:t xml:space="preserve">ומ"ש עוד הרב הנז' והגדיל התמיהא איך יעלה על הדעת שאברהם ירצה לקחת מבנות ישמעאל ולוט שהי' רשעים עיי"ש שהאריך לספר בגנותם, גם אני אשאל ממנו מי יהי' ערב על בתואל ולבן שהי' טובים מהם, ואנכי הרואה בדברי רז"ל </w:t>
      </w:r>
      <w:r w:rsidRPr="00390778">
        <w:rPr>
          <w:b/>
          <w:bCs/>
          <w:rtl/>
        </w:rPr>
        <w:t>שגם בתואל ולבן הי' רשעים גמורים ועובדי ע"ז ג"ע וש"ד</w:t>
      </w:r>
      <w:r w:rsidRPr="00390778">
        <w:rPr>
          <w:rtl/>
        </w:rPr>
        <w:t xml:space="preserve"> עיין בילקוט בסידרין</w:t>
      </w:r>
      <w:r w:rsidR="00CA1464">
        <w:rPr>
          <w:rFonts w:hint="cs"/>
          <w:rtl/>
        </w:rPr>
        <w:t>.</w:t>
      </w:r>
    </w:p>
    <w:p w14:paraId="0823FA23" w14:textId="77777777" w:rsidR="00652896" w:rsidRPr="00390778" w:rsidRDefault="00652896" w:rsidP="00423C6D">
      <w:pPr>
        <w:pStyle w:val="a2"/>
        <w:rPr>
          <w:rtl/>
        </w:rPr>
      </w:pPr>
      <w:r w:rsidRPr="00390778">
        <w:rPr>
          <w:rFonts w:hint="cs"/>
          <w:rtl/>
        </w:rPr>
        <w:lastRenderedPageBreak/>
        <w:t>"</w:t>
      </w:r>
      <w:r w:rsidRPr="00390778">
        <w:rPr>
          <w:rtl/>
        </w:rPr>
        <w:t>ומ"ש הנח"י ובתו"ר שאין רצון אברהם שיקח מישמעאל ולוט אלה שהעבד בדה הדברים מלבו כדי להפחידם ויתנו לו את רבקה ע"ש חלילה להאמין שהרי ארז"ל יפה שיחתן של עבדי האבות מתורתן של בנים</w:t>
      </w:r>
      <w:r w:rsidRPr="00390778">
        <w:rPr>
          <w:rFonts w:hint="cs"/>
          <w:rtl/>
        </w:rPr>
        <w:t>,</w:t>
      </w:r>
      <w:r w:rsidRPr="00390778">
        <w:rPr>
          <w:rtl/>
        </w:rPr>
        <w:t xml:space="preserve"> ולפחות התורה </w:t>
      </w:r>
      <w:r w:rsidRPr="00390778">
        <w:rPr>
          <w:b/>
          <w:bCs/>
          <w:rtl/>
        </w:rPr>
        <w:t>לא היתה כותבת דברים בדויים</w:t>
      </w:r>
      <w:r w:rsidRPr="00390778">
        <w:rPr>
          <w:rtl/>
        </w:rPr>
        <w:t xml:space="preserve"> כו'</w:t>
      </w:r>
      <w:r w:rsidRPr="00390778">
        <w:rPr>
          <w:rFonts w:hint="cs"/>
          <w:rtl/>
        </w:rPr>
        <w:t>".</w:t>
      </w:r>
    </w:p>
    <w:p w14:paraId="5EB2948B" w14:textId="16F9DF15" w:rsidR="00652896" w:rsidRDefault="00652896" w:rsidP="00423C6D">
      <w:pPr>
        <w:pStyle w:val="a2"/>
        <w:rPr>
          <w:rtl/>
        </w:rPr>
      </w:pPr>
      <w:r w:rsidRPr="00390778">
        <w:rPr>
          <w:rFonts w:hint="cs"/>
          <w:rtl/>
        </w:rPr>
        <w:t xml:space="preserve"> וא"כ מודגש השאלה למה לא הלך לינשא להם לכתחילה. וצ"ע.</w:t>
      </w:r>
    </w:p>
    <w:p w14:paraId="20A69DAB" w14:textId="77777777" w:rsidR="00E670B2" w:rsidRPr="00347933" w:rsidRDefault="00E670B2" w:rsidP="00E670B2">
      <w:pPr>
        <w:pStyle w:val="a4"/>
        <w:spacing w:after="0"/>
        <w:sectPr w:rsidR="00E670B2"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BC06320" w14:textId="5C20B26D" w:rsidR="006B7334" w:rsidRDefault="006B7334" w:rsidP="00E670B2">
      <w:pPr>
        <w:pStyle w:val="a"/>
        <w:spacing w:before="0"/>
        <w:rPr>
          <w:rtl/>
        </w:rPr>
      </w:pPr>
      <w:bookmarkStart w:id="110" w:name="_Toc531140354"/>
      <w:r>
        <w:rPr>
          <w:rFonts w:hint="cs"/>
          <w:rtl/>
        </w:rPr>
        <w:t>הספק בסוכה תחת האילן</w:t>
      </w:r>
      <w:bookmarkEnd w:id="110"/>
    </w:p>
    <w:p w14:paraId="4EA7C00E" w14:textId="77777777" w:rsidR="006B7334" w:rsidRPr="008307D7" w:rsidRDefault="006B7334" w:rsidP="00C40DBA">
      <w:pPr>
        <w:pStyle w:val="a0"/>
        <w:rPr>
          <w:rtl/>
        </w:rPr>
      </w:pPr>
      <w:bookmarkStart w:id="111" w:name="_Toc531140355"/>
      <w:r w:rsidRPr="008307D7">
        <w:rPr>
          <w:rFonts w:hint="cs"/>
          <w:rtl/>
          <w:lang w:bidi="he-IL"/>
        </w:rPr>
        <w:t>הת</w:t>
      </w:r>
      <w:r w:rsidRPr="008307D7">
        <w:rPr>
          <w:rFonts w:hint="cs"/>
          <w:rtl/>
        </w:rPr>
        <w:t xml:space="preserve">' </w:t>
      </w:r>
      <w:r w:rsidRPr="008307D7">
        <w:rPr>
          <w:rFonts w:hint="cs"/>
          <w:rtl/>
          <w:lang w:bidi="he-IL"/>
        </w:rPr>
        <w:t>שמואל קאפלאן</w:t>
      </w:r>
      <w:bookmarkEnd w:id="111"/>
    </w:p>
    <w:p w14:paraId="7E022952" w14:textId="4FABE093" w:rsidR="00E771D2" w:rsidRPr="00E771D2" w:rsidRDefault="00E771D2" w:rsidP="00E771D2">
      <w:pPr>
        <w:pStyle w:val="a1"/>
        <w:rPr>
          <w:rtl/>
          <w:lang w:val="en-GB"/>
        </w:rPr>
      </w:pPr>
      <w:r>
        <w:rPr>
          <w:rFonts w:hint="cs"/>
          <w:rtl/>
          <w:lang w:val="en-GB"/>
        </w:rPr>
        <w:t>תלמיד בישיבה</w:t>
      </w:r>
    </w:p>
    <w:p w14:paraId="147FB5A0" w14:textId="77777777" w:rsidR="006B7334" w:rsidRDefault="006B7334" w:rsidP="00423C6D">
      <w:pPr>
        <w:pStyle w:val="a2"/>
        <w:rPr>
          <w:rtl/>
        </w:rPr>
      </w:pPr>
      <w:r>
        <w:rPr>
          <w:rFonts w:hint="cs"/>
          <w:rtl/>
        </w:rPr>
        <w:t>ברשימות כ"ק אדמו"ר (רשימה ס"ו) מבאר ג' אופנים בסוכה, וזלה"ק "סוכה ג' אופנים, אברהם אבינו ע"ה אמר והשענו תחת העץ, בזכות זה מצות סוכה, שהעושה תחת העץ פסולה [מה"ת או דרבנן?]. וכל המקיים מצות סוכה בעוה"ז זוכה לישב בסוכת עורו של לויתן".</w:t>
      </w:r>
    </w:p>
    <w:p w14:paraId="02677B1E" w14:textId="77777777" w:rsidR="006B7334" w:rsidRDefault="006B7334" w:rsidP="00423C6D">
      <w:pPr>
        <w:pStyle w:val="a2"/>
        <w:rPr>
          <w:rtl/>
        </w:rPr>
      </w:pPr>
      <w:r>
        <w:rPr>
          <w:rFonts w:hint="cs"/>
          <w:rtl/>
        </w:rPr>
        <w:t>וצ"ל מה שכותב כ"ק אדמו"ר "מה"ת או דרבנן?" ,דלכאורה מפורש במשנה במסכת סוכה "העושה סוכתו תחת העילן כאילו עשאה בתוך הבית". וכן בהמשך הגמ' מביא ברייתא "ת"ר, בסוכות תשבו, ולא בסוכה שתחת הסוכה, ולא בסוכה שתחת האילן, ולא בתוך הסוכה שבתוך הבית". וא"כ מצינו מפורש מקור מה"ת להפסול דסוכה תחת האילן. וא"כ מהי הסברא בכלל לומר שהוא דין דרבנן, ועוד יותר דמביא סימן של שאלה, וצ"ל ספיקא זו.</w:t>
      </w:r>
    </w:p>
    <w:p w14:paraId="56EAE605" w14:textId="77777777" w:rsidR="006B7334" w:rsidRDefault="006B7334" w:rsidP="00423C6D">
      <w:pPr>
        <w:pStyle w:val="a2"/>
        <w:rPr>
          <w:rtl/>
        </w:rPr>
      </w:pPr>
      <w:r>
        <w:rPr>
          <w:rFonts w:hint="cs"/>
          <w:rtl/>
        </w:rPr>
        <w:t>והנה, המהרש"א (י,א) מביא בנוגע לפסול זו דסוכה תחת האילן אינו מהפסוק עצמו, וצ"ל "והנה תלית דבריך באילן שתחת הסוכה לפוסלה מ"בסוכות תשבו", תיפוק לי' משום פסול מחובר? וכמ"ש הפ"י עליו "כמ"ש המהרש"א ז"ל . . דבסוכות תשבו ולא בסוכה שתחת האילן, לאו דרשה גמורה היא . . אלא מסברא ידעינן לה", ונמצא שאכן יש שיטה שהפסול של סוכה תחת האילן אינו מה"ת, כ"א דרבנן, והפסוק בסוכות תשבו הוא רק אסמכתא בעלמא.</w:t>
      </w:r>
    </w:p>
    <w:p w14:paraId="0C872989" w14:textId="77777777" w:rsidR="006B7334" w:rsidRDefault="006B7334" w:rsidP="00423C6D">
      <w:pPr>
        <w:pStyle w:val="a2"/>
        <w:rPr>
          <w:rtl/>
        </w:rPr>
      </w:pPr>
      <w:r>
        <w:rPr>
          <w:rFonts w:hint="cs"/>
          <w:rtl/>
        </w:rPr>
        <w:t xml:space="preserve">והפ"י הוכיח שלא כהמהרש"א, וחולק עליו לומר, שזה שמביא פסוק הוא דהפסול הוא אכן מה"ת, ולא רק אסמכתא. וא"כ נמצא שיש מחלוקת אחרונים בזה, אם הפסול הוא מה"ת או מד"ס, ועפ"ז י"ל דלכן מביא כ"ק אדמו"ר בהרשימה שניהם </w:t>
      </w:r>
      <w:r>
        <w:rPr>
          <w:rFonts w:hint="cs"/>
          <w:rtl/>
        </w:rPr>
        <w:lastRenderedPageBreak/>
        <w:t>"מה"ת או דרבנן".</w:t>
      </w:r>
    </w:p>
    <w:p w14:paraId="38511D79" w14:textId="77777777" w:rsidR="006B7334" w:rsidRDefault="006B7334" w:rsidP="00423C6D">
      <w:pPr>
        <w:pStyle w:val="a2"/>
        <w:rPr>
          <w:rtl/>
        </w:rPr>
      </w:pPr>
      <w:r>
        <w:rPr>
          <w:rFonts w:hint="cs"/>
          <w:rtl/>
        </w:rPr>
        <w:t>ובנוגע לזה שמציין סימן של שאלה, י"ל דמספק במה היא שיטת אדה"ז בזה, דהנה הלבוש מביא טעם הפסול דתחת האילן, מפני שצ"ל תחת אויר השמים, כמו העננים. וז"ל "כמו העננים היו תחת אויר השמים, כן יעשה סוכה תחת אויר השמים". וא"כ משמע שהוא אכן דרבנן, שרק צ"ל דומה לענני הכבוד.</w:t>
      </w:r>
    </w:p>
    <w:p w14:paraId="6275FBD8" w14:textId="4C291362" w:rsidR="006B7334" w:rsidRPr="006B7334" w:rsidRDefault="006B7334" w:rsidP="00423C6D">
      <w:pPr>
        <w:pStyle w:val="a2"/>
        <w:rPr>
          <w:rtl/>
          <w:lang w:val="en-US"/>
        </w:rPr>
      </w:pPr>
      <w:r>
        <w:rPr>
          <w:rFonts w:hint="cs"/>
          <w:rtl/>
        </w:rPr>
        <w:t>ובשו"ע מביא אדה"ז טעמו של הלבוש, אבל בלבוש מביא הפסור של בסוכות תשבו ג"כ, ובשו"ע אינו מביאו, רק לקמן בסי' תרכח בנוגע לסוכה תחת סוכה מביא דרוש הנ"ל. ולכן י"ל עכ"פ, שמסופק לכ"ק אדמו"ר דעת אדה"ז בזה דמצ"א בגמ' כל מביא פסוק זו. ומצד שני בשו"ע אינו מביא הפסוק, ולכן מביא סי' של שאלה דמסופק בשיטת אדה"ז בכ"ז.</w:t>
      </w:r>
    </w:p>
    <w:p w14:paraId="17BAD59F" w14:textId="77777777" w:rsidR="00A53290" w:rsidRPr="00347933" w:rsidRDefault="00A53290" w:rsidP="00D25B6F">
      <w:pPr>
        <w:pStyle w:val="a4"/>
        <w:spacing w:after="0"/>
        <w:sectPr w:rsidR="00A5329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5A20156" w14:textId="054AF3B1" w:rsidR="00A53290" w:rsidRDefault="00A53290" w:rsidP="00A53290">
      <w:pPr>
        <w:pStyle w:val="12"/>
        <w:rPr>
          <w:rtl/>
        </w:rPr>
      </w:pPr>
      <w:bookmarkStart w:id="112" w:name="_Toc531140356"/>
      <w:r>
        <w:rPr>
          <w:rFonts w:hint="cs"/>
          <w:rtl/>
        </w:rPr>
        <w:t>אגרות קודש</w:t>
      </w:r>
      <w:bookmarkEnd w:id="112"/>
    </w:p>
    <w:p w14:paraId="5E9BC917" w14:textId="77777777" w:rsidR="001774F8" w:rsidRPr="00274AD1" w:rsidRDefault="001774F8" w:rsidP="00F46279">
      <w:pPr>
        <w:pStyle w:val="a"/>
        <w:bidi w:val="0"/>
        <w:rPr>
          <w:rtl/>
        </w:rPr>
      </w:pPr>
      <w:bookmarkStart w:id="113" w:name="_Toc531140357"/>
      <w:r>
        <w:rPr>
          <w:rFonts w:hint="cs"/>
          <w:rtl/>
        </w:rPr>
        <w:t>חובת ה</w:t>
      </w:r>
      <w:r w:rsidRPr="00274AD1">
        <w:rPr>
          <w:rFonts w:hint="cs"/>
          <w:rtl/>
        </w:rPr>
        <w:t>חיסונים לילדים</w:t>
      </w:r>
      <w:bookmarkEnd w:id="113"/>
    </w:p>
    <w:p w14:paraId="197E6BA6" w14:textId="0FD34045" w:rsidR="001774F8" w:rsidRPr="008307D7" w:rsidRDefault="00E771D2" w:rsidP="00C40DBA">
      <w:pPr>
        <w:pStyle w:val="a0"/>
        <w:rPr>
          <w:rtl/>
        </w:rPr>
      </w:pPr>
      <w:bookmarkStart w:id="114" w:name="_Toc531140358"/>
      <w:r w:rsidRPr="008307D7">
        <w:rPr>
          <w:rFonts w:hint="cs"/>
          <w:rtl/>
          <w:lang w:bidi="he-IL"/>
        </w:rPr>
        <w:t xml:space="preserve">הרב </w:t>
      </w:r>
      <w:r w:rsidR="001774F8" w:rsidRPr="008307D7">
        <w:rPr>
          <w:rtl/>
          <w:lang w:bidi="he-IL"/>
        </w:rPr>
        <w:t>ברוך אבערלאנדער</w:t>
      </w:r>
      <w:bookmarkEnd w:id="114"/>
    </w:p>
    <w:p w14:paraId="21F46F30" w14:textId="77777777" w:rsidR="001774F8" w:rsidRPr="00DF313D" w:rsidRDefault="001774F8" w:rsidP="00F46279">
      <w:pPr>
        <w:pStyle w:val="a1"/>
        <w:bidi w:val="0"/>
        <w:spacing w:after="0"/>
        <w:jc w:val="left"/>
        <w:rPr>
          <w:rtl/>
          <w:lang w:val="hu-HU"/>
        </w:rPr>
      </w:pPr>
      <w:r w:rsidRPr="00DF313D">
        <w:rPr>
          <w:rtl/>
          <w:lang w:val="hu-HU"/>
        </w:rPr>
        <w:t>אב"ד הבד"צ דקהילות החרדים</w:t>
      </w:r>
    </w:p>
    <w:p w14:paraId="395A3A89" w14:textId="7FA9280F" w:rsidR="001774F8" w:rsidRPr="00DF313D" w:rsidRDefault="001774F8" w:rsidP="00F46279">
      <w:pPr>
        <w:pStyle w:val="a1"/>
        <w:bidi w:val="0"/>
        <w:spacing w:after="0"/>
        <w:jc w:val="left"/>
        <w:rPr>
          <w:rtl/>
          <w:lang w:val="hu-HU"/>
        </w:rPr>
      </w:pPr>
      <w:r w:rsidRPr="00DF313D">
        <w:rPr>
          <w:rtl/>
          <w:lang w:val="hu-HU"/>
        </w:rPr>
        <w:t xml:space="preserve">ושליח כ"ק אדמו"ר </w:t>
      </w:r>
      <w:r w:rsidR="00CA1464">
        <w:rPr>
          <w:rFonts w:hint="cs"/>
          <w:rtl/>
          <w:lang w:val="hu-HU"/>
        </w:rPr>
        <w:t>זי"ע</w:t>
      </w:r>
    </w:p>
    <w:p w14:paraId="55847927" w14:textId="77777777" w:rsidR="001774F8" w:rsidRPr="00DF313D" w:rsidRDefault="001774F8" w:rsidP="00F46279">
      <w:pPr>
        <w:pStyle w:val="a1"/>
        <w:bidi w:val="0"/>
        <w:spacing w:after="0"/>
        <w:jc w:val="left"/>
        <w:rPr>
          <w:rtl/>
          <w:lang w:val="hu-HU"/>
        </w:rPr>
      </w:pPr>
      <w:r w:rsidRPr="00DF313D">
        <w:rPr>
          <w:rtl/>
          <w:lang w:val="hu-HU"/>
        </w:rPr>
        <w:t>בודאפעסט, הונגריה</w:t>
      </w:r>
    </w:p>
    <w:p w14:paraId="5628AFC6" w14:textId="77777777" w:rsidR="001774F8" w:rsidRPr="00CE5751" w:rsidRDefault="001774F8" w:rsidP="00423C6D">
      <w:pPr>
        <w:pStyle w:val="11"/>
        <w:rPr>
          <w:rtl/>
        </w:rPr>
      </w:pPr>
      <w:r w:rsidRPr="00CE5751">
        <w:rPr>
          <w:rFonts w:hint="cs"/>
          <w:rtl/>
        </w:rPr>
        <w:t>פיתוח החיסון נגד פוליו</w:t>
      </w:r>
    </w:p>
    <w:p w14:paraId="09B88CA8" w14:textId="61471078" w:rsidR="001774F8" w:rsidRPr="00F46279" w:rsidRDefault="001774F8" w:rsidP="00423C6D">
      <w:pPr>
        <w:pStyle w:val="a2"/>
        <w:rPr>
          <w:rtl/>
        </w:rPr>
      </w:pPr>
      <w:r w:rsidRPr="00F46279">
        <w:rPr>
          <w:rFonts w:hint="cs"/>
          <w:rtl/>
        </w:rPr>
        <w:t>לפני כמה עשרות שנים</w:t>
      </w:r>
      <w:r w:rsidRPr="00F46279">
        <w:rPr>
          <w:rtl/>
        </w:rPr>
        <w:t xml:space="preserve"> היה שיתוק הילדים</w:t>
      </w:r>
      <w:r w:rsidRPr="00F46279">
        <w:rPr>
          <w:rFonts w:hint="cs"/>
          <w:rtl/>
        </w:rPr>
        <w:t>, הנגרמת על ידי נגיף הפוליו,</w:t>
      </w:r>
      <w:r w:rsidRPr="00F46279">
        <w:rPr>
          <w:rtl/>
        </w:rPr>
        <w:t xml:space="preserve"> מהמחלות הנפוצות בעולם, והביא למותם של רבים</w:t>
      </w:r>
      <w:r w:rsidRPr="00F46279">
        <w:rPr>
          <w:rFonts w:hint="cs"/>
          <w:rtl/>
        </w:rPr>
        <w:t xml:space="preserve">, </w:t>
      </w:r>
      <w:r w:rsidRPr="00F46279">
        <w:rPr>
          <w:rtl/>
        </w:rPr>
        <w:t>עד לפיתוח החיסון נגדה</w:t>
      </w:r>
      <w:r w:rsidRPr="00F46279">
        <w:rPr>
          <w:rFonts w:hint="cs"/>
          <w:rtl/>
        </w:rPr>
        <w:t xml:space="preserve"> על ידי הרופא היהודי האמריקאי </w:t>
      </w:r>
      <w:r w:rsidRPr="00F46279">
        <w:rPr>
          <w:rtl/>
        </w:rPr>
        <w:t>ד"ר יונה סאלק</w:t>
      </w:r>
      <w:r w:rsidRPr="00F46279">
        <w:rPr>
          <w:rFonts w:hint="cs"/>
          <w:rtl/>
        </w:rPr>
        <w:t xml:space="preserve">. </w:t>
      </w:r>
      <w:r w:rsidRPr="00F46279">
        <w:rPr>
          <w:rtl/>
        </w:rPr>
        <w:t xml:space="preserve">במהלך השנים </w:t>
      </w:r>
      <w:r w:rsidRPr="00F46279">
        <w:rPr>
          <w:rFonts w:hint="cs"/>
          <w:rtl/>
        </w:rPr>
        <w:t xml:space="preserve">תשי"ב-תשט"ו </w:t>
      </w:r>
      <w:r w:rsidRPr="00F46279">
        <w:rPr>
          <w:rtl/>
        </w:rPr>
        <w:t>בדק סאלק את החיסון על כמיליון ילדים. כל משתתפי הניסוי פיתחו נוגדנים כנגד פוליו, ואיש מהם לא פיתח תסמינים מסוכנים. החיסון הוכרז כבטוח לשימוש ב</w:t>
      </w:r>
      <w:r w:rsidRPr="00F46279">
        <w:rPr>
          <w:rFonts w:hint="cs"/>
          <w:rtl/>
        </w:rPr>
        <w:t>יום כ' ניסן, ד' דחוה"מ פסח תשט"ו.</w:t>
      </w:r>
    </w:p>
    <w:p w14:paraId="07F8B684" w14:textId="77777777" w:rsidR="001774F8" w:rsidRDefault="001774F8" w:rsidP="00423C6D">
      <w:pPr>
        <w:pStyle w:val="11"/>
        <w:rPr>
          <w:rtl/>
        </w:rPr>
      </w:pPr>
      <w:r>
        <w:rPr>
          <w:rFonts w:hint="cs"/>
          <w:rtl/>
        </w:rPr>
        <w:t>עמדת כ"ק אדמו"ר  לחיסון</w:t>
      </w:r>
    </w:p>
    <w:p w14:paraId="744971B0" w14:textId="7E4FBE4E" w:rsidR="001774F8" w:rsidRPr="00F46279" w:rsidRDefault="001774F8" w:rsidP="00423C6D">
      <w:pPr>
        <w:pStyle w:val="a2"/>
        <w:rPr>
          <w:rtl/>
        </w:rPr>
      </w:pPr>
      <w:r>
        <w:rPr>
          <w:rFonts w:hint="cs"/>
          <w:rtl/>
        </w:rPr>
        <w:t xml:space="preserve">כדי לעמוד בדיוק על ייחסו של כ"ק אדמו"ר לחיסון נגד פוליו כדאי להעתיק </w:t>
      </w:r>
      <w:r>
        <w:rPr>
          <w:rFonts w:hint="cs"/>
          <w:rtl/>
        </w:rPr>
        <w:lastRenderedPageBreak/>
        <w:t>קטעים ממכתבים שנתפרסמו בכרכי ה'אגרות קודש', מה שענה הרבי באותה תקופה בסמיכות לזמן שבו התחילו לחסן את הילדים.</w:t>
      </w:r>
    </w:p>
    <w:p w14:paraId="409B69FE" w14:textId="77777777" w:rsidR="001774F8" w:rsidRPr="00410352" w:rsidRDefault="001774F8" w:rsidP="00423C6D">
      <w:pPr>
        <w:pStyle w:val="11"/>
        <w:rPr>
          <w:rtl/>
        </w:rPr>
      </w:pPr>
      <w:r>
        <w:rPr>
          <w:rFonts w:hint="cs"/>
          <w:rtl/>
        </w:rPr>
        <w:t xml:space="preserve">א) </w:t>
      </w:r>
      <w:r w:rsidRPr="00410352">
        <w:rPr>
          <w:rFonts w:hint="cs"/>
          <w:rtl/>
        </w:rPr>
        <w:t>ב' סיון תשט"ו</w:t>
      </w:r>
      <w:r w:rsidRPr="00410352">
        <w:rPr>
          <w:rFonts w:hint="cs"/>
          <w:sz w:val="20"/>
          <w:szCs w:val="20"/>
          <w:rtl/>
        </w:rPr>
        <w:t xml:space="preserve">: </w:t>
      </w:r>
      <w:r w:rsidRPr="00410352">
        <w:rPr>
          <w:rFonts w:hint="cs"/>
          <w:rtl/>
        </w:rPr>
        <w:t>"</w:t>
      </w:r>
      <w:r w:rsidRPr="00410352">
        <w:rPr>
          <w:rtl/>
        </w:rPr>
        <w:t>ינהג כמו שעושים רוב</w:t>
      </w:r>
      <w:r w:rsidRPr="00410352">
        <w:rPr>
          <w:rFonts w:hint="cs"/>
          <w:rtl/>
        </w:rPr>
        <w:t xml:space="preserve"> </w:t>
      </w:r>
      <w:r w:rsidRPr="00410352">
        <w:rPr>
          <w:rtl/>
        </w:rPr>
        <w:t>הכתה בבית הספר</w:t>
      </w:r>
      <w:r w:rsidRPr="00410352">
        <w:rPr>
          <w:rFonts w:hint="cs"/>
          <w:rtl/>
        </w:rPr>
        <w:t>"</w:t>
      </w:r>
    </w:p>
    <w:p w14:paraId="59C2529A" w14:textId="544CCB41" w:rsidR="001774F8" w:rsidRPr="00F46279" w:rsidRDefault="001774F8" w:rsidP="00423C6D">
      <w:pPr>
        <w:pStyle w:val="a2"/>
        <w:rPr>
          <w:rtl/>
        </w:rPr>
      </w:pPr>
      <w:r>
        <w:rPr>
          <w:rFonts w:hint="cs"/>
          <w:rtl/>
        </w:rPr>
        <w:t>ההתייחסות הראשונה שמצאתי אודות החיסון היא מעבור כחודש לאחרי הנ"ל, בב' סיון תשט"ו</w:t>
      </w:r>
      <w:r>
        <w:rPr>
          <w:rStyle w:val="FootnoteReference"/>
          <w:rtl/>
        </w:rPr>
        <w:footnoteReference w:id="30"/>
      </w:r>
      <w:r>
        <w:rPr>
          <w:rFonts w:hint="cs"/>
          <w:rtl/>
        </w:rPr>
        <w:t>: "</w:t>
      </w:r>
      <w:r w:rsidRPr="005D7969">
        <w:rPr>
          <w:rtl/>
        </w:rPr>
        <w:t>במענה על מכתבו מעש"ק</w:t>
      </w:r>
      <w:r>
        <w:rPr>
          <w:rFonts w:hint="cs"/>
          <w:rtl/>
        </w:rPr>
        <w:t>,</w:t>
      </w:r>
      <w:r w:rsidRPr="005D7969">
        <w:rPr>
          <w:rtl/>
        </w:rPr>
        <w:t xml:space="preserve"> בו שואל אודות הזריקות </w:t>
      </w:r>
      <w:r>
        <w:rPr>
          <w:rFonts w:hint="cs"/>
          <w:rtl/>
        </w:rPr>
        <w:t>(</w:t>
      </w:r>
      <w:r w:rsidRPr="005D7969">
        <w:rPr>
          <w:rtl/>
        </w:rPr>
        <w:t>איינשפריצונגען</w:t>
      </w:r>
      <w:r>
        <w:rPr>
          <w:rFonts w:hint="cs"/>
          <w:rtl/>
        </w:rPr>
        <w:t>)</w:t>
      </w:r>
      <w:r w:rsidRPr="005D7969">
        <w:rPr>
          <w:rtl/>
        </w:rPr>
        <w:t xml:space="preserve"> שעושים עתה לילדים קטנים</w:t>
      </w:r>
      <w:r>
        <w:rPr>
          <w:rFonts w:hint="cs"/>
          <w:rtl/>
        </w:rPr>
        <w:t>,</w:t>
      </w:r>
      <w:r w:rsidRPr="005D7969">
        <w:rPr>
          <w:rtl/>
        </w:rPr>
        <w:t xml:space="preserve"> איך ינהג בזה</w:t>
      </w:r>
      <w:r>
        <w:rPr>
          <w:rFonts w:hint="cs"/>
          <w:rtl/>
        </w:rPr>
        <w:t>.</w:t>
      </w:r>
      <w:r w:rsidRPr="005D7969">
        <w:rPr>
          <w:rtl/>
        </w:rPr>
        <w:t xml:space="preserve"> הנה בכגון דא נאמר</w:t>
      </w:r>
      <w:r>
        <w:rPr>
          <w:rStyle w:val="FootnoteReference"/>
          <w:rtl/>
        </w:rPr>
        <w:footnoteReference w:id="31"/>
      </w:r>
      <w:r w:rsidRPr="005D7969">
        <w:rPr>
          <w:rtl/>
        </w:rPr>
        <w:t xml:space="preserve"> אל תפרוש מן הצבור</w:t>
      </w:r>
      <w:r>
        <w:rPr>
          <w:rFonts w:hint="cs"/>
          <w:rtl/>
        </w:rPr>
        <w:t>,</w:t>
      </w:r>
      <w:r w:rsidRPr="005D7969">
        <w:rPr>
          <w:rtl/>
        </w:rPr>
        <w:t xml:space="preserve"> וינהג כמו שעושים רוב</w:t>
      </w:r>
      <w:r>
        <w:rPr>
          <w:rFonts w:hint="cs"/>
          <w:rtl/>
        </w:rPr>
        <w:t xml:space="preserve"> </w:t>
      </w:r>
      <w:r w:rsidRPr="005D7969">
        <w:rPr>
          <w:rtl/>
        </w:rPr>
        <w:t>הכתה בבית הספר בה לומדים ילידיה</w:t>
      </w:r>
      <w:r>
        <w:rPr>
          <w:rFonts w:hint="cs"/>
          <w:rtl/>
        </w:rPr>
        <w:t>ם</w:t>
      </w:r>
      <w:r w:rsidRPr="005D7969">
        <w:rPr>
          <w:rtl/>
        </w:rPr>
        <w:t xml:space="preserve"> שיחיו</w:t>
      </w:r>
      <w:r>
        <w:rPr>
          <w:rFonts w:hint="cs"/>
          <w:rtl/>
        </w:rPr>
        <w:t>,</w:t>
      </w:r>
      <w:r w:rsidRPr="005D7969">
        <w:rPr>
          <w:rtl/>
        </w:rPr>
        <w:t xml:space="preserve"> ויעזרם השי"ת לגדל את כל ילידיה</w:t>
      </w:r>
      <w:r>
        <w:rPr>
          <w:rFonts w:hint="cs"/>
          <w:rtl/>
        </w:rPr>
        <w:t>ם</w:t>
      </w:r>
      <w:r w:rsidRPr="005D7969">
        <w:rPr>
          <w:rtl/>
        </w:rPr>
        <w:t xml:space="preserve"> שיחיו לתורה ולח</w:t>
      </w:r>
      <w:r>
        <w:rPr>
          <w:rFonts w:hint="cs"/>
          <w:rtl/>
        </w:rPr>
        <w:t>ו</w:t>
      </w:r>
      <w:r w:rsidRPr="005D7969">
        <w:rPr>
          <w:rtl/>
        </w:rPr>
        <w:t>פה ולמעשים טובים מתוך הרחבה</w:t>
      </w:r>
      <w:r>
        <w:rPr>
          <w:rFonts w:hint="cs"/>
          <w:rtl/>
        </w:rPr>
        <w:t>".</w:t>
      </w:r>
    </w:p>
    <w:p w14:paraId="0EE7BEAE" w14:textId="77777777" w:rsidR="001774F8" w:rsidRPr="00410352" w:rsidRDefault="001774F8" w:rsidP="00423C6D">
      <w:pPr>
        <w:pStyle w:val="11"/>
        <w:rPr>
          <w:rtl/>
        </w:rPr>
      </w:pPr>
      <w:r>
        <w:rPr>
          <w:rFonts w:hint="cs"/>
          <w:rtl/>
        </w:rPr>
        <w:t xml:space="preserve">ב) </w:t>
      </w:r>
      <w:r w:rsidRPr="00410352">
        <w:rPr>
          <w:rFonts w:hint="cs"/>
          <w:rtl/>
        </w:rPr>
        <w:t>ט"ו טבת תשט"ז לשיקגו: "</w:t>
      </w:r>
      <w:r w:rsidRPr="00410352">
        <w:rPr>
          <w:rtl/>
        </w:rPr>
        <w:t>דעתי נוטה להשתמש בה</w:t>
      </w:r>
      <w:r w:rsidRPr="00410352">
        <w:rPr>
          <w:rFonts w:hint="cs"/>
          <w:rtl/>
        </w:rPr>
        <w:t>"</w:t>
      </w:r>
    </w:p>
    <w:p w14:paraId="49B84CA2" w14:textId="211E4F7C" w:rsidR="001774F8" w:rsidRPr="00F46279" w:rsidRDefault="001774F8" w:rsidP="00423C6D">
      <w:pPr>
        <w:pStyle w:val="a2"/>
        <w:rPr>
          <w:rtl/>
        </w:rPr>
      </w:pPr>
      <w:r>
        <w:rPr>
          <w:rFonts w:hint="cs"/>
          <w:rtl/>
        </w:rPr>
        <w:t>ושוב ישנה אגרת מט"ו טבת תשט"ז להרב צבי שוסטרמן בשיקגו</w:t>
      </w:r>
      <w:r>
        <w:rPr>
          <w:rStyle w:val="FootnoteReference"/>
          <w:rtl/>
        </w:rPr>
        <w:footnoteReference w:id="32"/>
      </w:r>
      <w:r>
        <w:rPr>
          <w:rFonts w:hint="cs"/>
          <w:rtl/>
        </w:rPr>
        <w:t>: "</w:t>
      </w:r>
      <w:r w:rsidRPr="007469DF">
        <w:rPr>
          <w:rtl/>
        </w:rPr>
        <w:t>במ"ש א</w:t>
      </w:r>
      <w:r>
        <w:rPr>
          <w:rFonts w:hint="cs"/>
          <w:rtl/>
        </w:rPr>
        <w:t>ו</w:t>
      </w:r>
      <w:r w:rsidRPr="007469DF">
        <w:rPr>
          <w:rtl/>
        </w:rPr>
        <w:t>דות הסאלק וואקס</w:t>
      </w:r>
      <w:r>
        <w:rPr>
          <w:rFonts w:hint="cs"/>
          <w:rtl/>
        </w:rPr>
        <w:t>ין,</w:t>
      </w:r>
      <w:r w:rsidRPr="007469DF">
        <w:rPr>
          <w:rtl/>
        </w:rPr>
        <w:t xml:space="preserve"> בכלל </w:t>
      </w:r>
      <w:r>
        <w:rPr>
          <w:rtl/>
        </w:rPr>
        <w:t>–</w:t>
      </w:r>
      <w:r>
        <w:rPr>
          <w:rFonts w:hint="cs"/>
          <w:rtl/>
        </w:rPr>
        <w:t xml:space="preserve"> </w:t>
      </w:r>
      <w:r w:rsidRPr="007469DF">
        <w:rPr>
          <w:rtl/>
        </w:rPr>
        <w:t>דעתי נוטה להשתמש בה</w:t>
      </w:r>
      <w:r>
        <w:rPr>
          <w:rFonts w:hint="cs"/>
          <w:rtl/>
        </w:rPr>
        <w:t>.</w:t>
      </w:r>
      <w:r w:rsidRPr="007469DF">
        <w:rPr>
          <w:rtl/>
        </w:rPr>
        <w:t xml:space="preserve"> אלא שא</w:t>
      </w:r>
      <w:r>
        <w:rPr>
          <w:rFonts w:hint="cs"/>
          <w:rtl/>
        </w:rPr>
        <w:t>ין</w:t>
      </w:r>
      <w:r w:rsidRPr="007469DF">
        <w:rPr>
          <w:rtl/>
        </w:rPr>
        <w:t xml:space="preserve"> להיות פורש מן הצבור</w:t>
      </w:r>
      <w:r>
        <w:rPr>
          <w:rFonts w:hint="cs"/>
          <w:rtl/>
        </w:rPr>
        <w:t>,</w:t>
      </w:r>
      <w:r w:rsidRPr="007469DF">
        <w:rPr>
          <w:rtl/>
        </w:rPr>
        <w:t xml:space="preserve"> ואם</w:t>
      </w:r>
      <w:r>
        <w:rPr>
          <w:rFonts w:hint="cs"/>
          <w:rtl/>
        </w:rPr>
        <w:t>,</w:t>
      </w:r>
      <w:r w:rsidRPr="007469DF">
        <w:rPr>
          <w:rtl/>
        </w:rPr>
        <w:t xml:space="preserve"> כפי הנראה ממכתבו</w:t>
      </w:r>
      <w:r>
        <w:rPr>
          <w:rFonts w:hint="cs"/>
          <w:rtl/>
        </w:rPr>
        <w:t>,</w:t>
      </w:r>
      <w:r w:rsidRPr="007469DF">
        <w:rPr>
          <w:rtl/>
        </w:rPr>
        <w:t xml:space="preserve"> משתמשים בזה בשיקאגא</w:t>
      </w:r>
      <w:r>
        <w:rPr>
          <w:rFonts w:hint="cs"/>
          <w:rtl/>
        </w:rPr>
        <w:t>,</w:t>
      </w:r>
      <w:r w:rsidRPr="007469DF">
        <w:rPr>
          <w:rtl/>
        </w:rPr>
        <w:t xml:space="preserve"> טוב שגם הם יעשו זה</w:t>
      </w:r>
      <w:r>
        <w:rPr>
          <w:rFonts w:hint="cs"/>
          <w:rtl/>
        </w:rPr>
        <w:t>,</w:t>
      </w:r>
      <w:r w:rsidRPr="007469DF">
        <w:rPr>
          <w:rtl/>
        </w:rPr>
        <w:t xml:space="preserve"> והשי"ת יצליחו להודיע תכה"י בשורות טובות בהנוגע לילידיהם</w:t>
      </w:r>
      <w:r>
        <w:rPr>
          <w:rFonts w:hint="cs"/>
          <w:rtl/>
        </w:rPr>
        <w:t>...".</w:t>
      </w:r>
    </w:p>
    <w:p w14:paraId="3E60AD41" w14:textId="77777777" w:rsidR="001774F8" w:rsidRPr="00C00ACA" w:rsidRDefault="001774F8" w:rsidP="00423C6D">
      <w:pPr>
        <w:pStyle w:val="11"/>
        <w:rPr>
          <w:rtl/>
        </w:rPr>
      </w:pPr>
      <w:r>
        <w:rPr>
          <w:rFonts w:hint="cs"/>
          <w:rtl/>
        </w:rPr>
        <w:t xml:space="preserve">ג) </w:t>
      </w:r>
      <w:r w:rsidRPr="00C00ACA">
        <w:rPr>
          <w:rFonts w:hint="cs"/>
          <w:rtl/>
        </w:rPr>
        <w:t>כ"ד חשון תשי"ז לאה"ק: "</w:t>
      </w:r>
      <w:r w:rsidRPr="00C00ACA">
        <w:rPr>
          <w:rtl/>
        </w:rPr>
        <w:t>כבר נהגו בזה כאן זה כו"כ חדשים</w:t>
      </w:r>
      <w:r w:rsidRPr="00C00ACA">
        <w:rPr>
          <w:rFonts w:hint="cs"/>
          <w:rtl/>
        </w:rPr>
        <w:t>"</w:t>
      </w:r>
    </w:p>
    <w:p w14:paraId="1DE37E9E" w14:textId="77777777" w:rsidR="001774F8" w:rsidRDefault="001774F8" w:rsidP="00423C6D">
      <w:pPr>
        <w:pStyle w:val="a2"/>
        <w:rPr>
          <w:rtl/>
        </w:rPr>
      </w:pPr>
      <w:r>
        <w:rPr>
          <w:rFonts w:hint="cs"/>
          <w:rtl/>
        </w:rPr>
        <w:t>וביום כ"ד חשון תשי"ז ישנה אגרת ארוכה ומפורטת למו"ה יצחק ווייל משדה אליהו שבאה"ק</w:t>
      </w:r>
      <w:r>
        <w:rPr>
          <w:rStyle w:val="FootnoteReference"/>
          <w:rtl/>
        </w:rPr>
        <w:footnoteReference w:id="33"/>
      </w:r>
      <w:r>
        <w:rPr>
          <w:rFonts w:hint="cs"/>
          <w:rtl/>
        </w:rPr>
        <w:t xml:space="preserve"> בו נכתב: "</w:t>
      </w:r>
      <w:r w:rsidRPr="000A22B6">
        <w:rPr>
          <w:rtl/>
        </w:rPr>
        <w:t xml:space="preserve">במענה על מכתבו מי"ד חשון </w:t>
      </w:r>
      <w:r>
        <w:rPr>
          <w:rFonts w:hint="cs"/>
          <w:rtl/>
        </w:rPr>
        <w:t>(</w:t>
      </w:r>
      <w:r w:rsidRPr="000A22B6">
        <w:rPr>
          <w:rtl/>
        </w:rPr>
        <w:t>והקודמו</w:t>
      </w:r>
      <w:r>
        <w:rPr>
          <w:rFonts w:hint="cs"/>
          <w:rtl/>
        </w:rPr>
        <w:t>),</w:t>
      </w:r>
      <w:r w:rsidRPr="000A22B6">
        <w:rPr>
          <w:rtl/>
        </w:rPr>
        <w:t xml:space="preserve"> בו שואל</w:t>
      </w:r>
      <w:r>
        <w:rPr>
          <w:rFonts w:hint="cs"/>
          <w:rtl/>
        </w:rPr>
        <w:t>:</w:t>
      </w:r>
    </w:p>
    <w:p w14:paraId="3B7D2B5F" w14:textId="77777777" w:rsidR="001774F8" w:rsidRDefault="001774F8" w:rsidP="00423C6D">
      <w:pPr>
        <w:pStyle w:val="a2"/>
        <w:rPr>
          <w:rtl/>
        </w:rPr>
      </w:pPr>
      <w:r w:rsidRPr="000A22B6">
        <w:rPr>
          <w:rtl/>
        </w:rPr>
        <w:t>א</w:t>
      </w:r>
      <w:r>
        <w:rPr>
          <w:rFonts w:hint="cs"/>
          <w:rtl/>
        </w:rPr>
        <w:t>)</w:t>
      </w:r>
      <w:r w:rsidRPr="000A22B6">
        <w:rPr>
          <w:rtl/>
        </w:rPr>
        <w:t xml:space="preserve"> אם מותר לעסוק בטפול רפואי רק לחולה</w:t>
      </w:r>
      <w:r>
        <w:rPr>
          <w:rFonts w:hint="cs"/>
          <w:rtl/>
        </w:rPr>
        <w:t>,</w:t>
      </w:r>
      <w:r w:rsidRPr="000A22B6">
        <w:rPr>
          <w:rtl/>
        </w:rPr>
        <w:t xml:space="preserve"> או שמותר גם להשתמש באותן הרפואות שהם מונעים ממחלות</w:t>
      </w:r>
      <w:r>
        <w:rPr>
          <w:rFonts w:hint="cs"/>
          <w:rtl/>
        </w:rPr>
        <w:t>,</w:t>
      </w:r>
      <w:r w:rsidRPr="000A22B6">
        <w:rPr>
          <w:rtl/>
        </w:rPr>
        <w:t xml:space="preserve"> זאת אומרת המחסנים את הבריאות שלא יחלה</w:t>
      </w:r>
      <w:r>
        <w:rPr>
          <w:rFonts w:hint="cs"/>
          <w:rtl/>
        </w:rPr>
        <w:t>.</w:t>
      </w:r>
      <w:r w:rsidRPr="000A22B6">
        <w:rPr>
          <w:rtl/>
        </w:rPr>
        <w:t xml:space="preserve"> </w:t>
      </w:r>
      <w:r>
        <w:rPr>
          <w:rFonts w:hint="cs"/>
          <w:rtl/>
        </w:rPr>
        <w:t xml:space="preserve">[מענה:] </w:t>
      </w:r>
      <w:r w:rsidRPr="000A22B6">
        <w:rPr>
          <w:rtl/>
        </w:rPr>
        <w:t>והנה מעשים בכל יום שעושים כן גם גדולי ישראל ומנהיגיו</w:t>
      </w:r>
      <w:r>
        <w:rPr>
          <w:rFonts w:hint="cs"/>
          <w:rtl/>
        </w:rPr>
        <w:t>,</w:t>
      </w:r>
      <w:r w:rsidRPr="000A22B6">
        <w:rPr>
          <w:rtl/>
        </w:rPr>
        <w:t xml:space="preserve"> ועיין ג"כ</w:t>
      </w:r>
      <w:r>
        <w:rPr>
          <w:rFonts w:hint="cs"/>
          <w:rtl/>
        </w:rPr>
        <w:t xml:space="preserve"> </w:t>
      </w:r>
      <w:r w:rsidRPr="000A22B6">
        <w:rPr>
          <w:rtl/>
        </w:rPr>
        <w:t>הלכות דיעות להרמב"ם פרק ד'</w:t>
      </w:r>
      <w:r>
        <w:rPr>
          <w:rFonts w:hint="cs"/>
          <w:rtl/>
        </w:rPr>
        <w:t>,</w:t>
      </w:r>
      <w:r w:rsidRPr="000A22B6">
        <w:rPr>
          <w:rtl/>
        </w:rPr>
        <w:t xml:space="preserve"> ומקרא מלא דבר הכתוב</w:t>
      </w:r>
      <w:r>
        <w:rPr>
          <w:rFonts w:hint="cs"/>
          <w:rtl/>
        </w:rPr>
        <w:t>,</w:t>
      </w:r>
      <w:r w:rsidRPr="000A22B6">
        <w:rPr>
          <w:rtl/>
        </w:rPr>
        <w:t xml:space="preserve"> כל המחלה גו' לא אשים עליך</w:t>
      </w:r>
      <w:r>
        <w:rPr>
          <w:rFonts w:hint="cs"/>
          <w:rtl/>
        </w:rPr>
        <w:t>,</w:t>
      </w:r>
      <w:r w:rsidRPr="000A22B6">
        <w:rPr>
          <w:rtl/>
        </w:rPr>
        <w:t xml:space="preserve"> כי אני ה' רופאך</w:t>
      </w:r>
      <w:r>
        <w:rPr>
          <w:rFonts w:hint="cs"/>
          <w:rtl/>
        </w:rPr>
        <w:t>,</w:t>
      </w:r>
      <w:r w:rsidRPr="000A22B6">
        <w:rPr>
          <w:rtl/>
        </w:rPr>
        <w:t xml:space="preserve"> שגם זה בכלל הרפואות</w:t>
      </w:r>
      <w:r>
        <w:rPr>
          <w:rFonts w:hint="cs"/>
          <w:rtl/>
        </w:rPr>
        <w:t>.</w:t>
      </w:r>
    </w:p>
    <w:p w14:paraId="4BF5A949" w14:textId="77777777" w:rsidR="001774F8" w:rsidRDefault="001774F8" w:rsidP="00423C6D">
      <w:pPr>
        <w:pStyle w:val="a2"/>
        <w:rPr>
          <w:rtl/>
        </w:rPr>
      </w:pPr>
      <w:r w:rsidRPr="000A22B6">
        <w:rPr>
          <w:rtl/>
        </w:rPr>
        <w:t>ב</w:t>
      </w:r>
      <w:r>
        <w:rPr>
          <w:rFonts w:hint="cs"/>
          <w:rtl/>
        </w:rPr>
        <w:t>)</w:t>
      </w:r>
      <w:r w:rsidRPr="000A22B6">
        <w:rPr>
          <w:rtl/>
        </w:rPr>
        <w:t xml:space="preserve"> אותם הסממנים שמזריקים בתוך הגוף</w:t>
      </w:r>
      <w:r>
        <w:rPr>
          <w:rFonts w:hint="cs"/>
          <w:rtl/>
        </w:rPr>
        <w:t>,</w:t>
      </w:r>
      <w:r w:rsidRPr="000A22B6">
        <w:rPr>
          <w:rtl/>
        </w:rPr>
        <w:t xml:space="preserve"> אם מותר להשתמש בהם</w:t>
      </w:r>
      <w:r>
        <w:rPr>
          <w:rFonts w:hint="cs"/>
          <w:rtl/>
        </w:rPr>
        <w:t>,</w:t>
      </w:r>
      <w:r w:rsidRPr="000A22B6">
        <w:rPr>
          <w:rtl/>
        </w:rPr>
        <w:t xml:space="preserve"> וכנראה </w:t>
      </w:r>
      <w:r w:rsidRPr="000A22B6">
        <w:rPr>
          <w:rtl/>
        </w:rPr>
        <w:lastRenderedPageBreak/>
        <w:t>ששאלתו בהנוגע לאלו שנעשים מדברים בלתי כשרים</w:t>
      </w:r>
      <w:r>
        <w:rPr>
          <w:rFonts w:hint="cs"/>
          <w:rtl/>
        </w:rPr>
        <w:t>.</w:t>
      </w:r>
      <w:r w:rsidRPr="000A22B6">
        <w:rPr>
          <w:rtl/>
        </w:rPr>
        <w:t xml:space="preserve"> </w:t>
      </w:r>
      <w:r>
        <w:rPr>
          <w:rFonts w:hint="cs"/>
          <w:rtl/>
        </w:rPr>
        <w:t xml:space="preserve">[מענה:] </w:t>
      </w:r>
      <w:r w:rsidRPr="000A22B6">
        <w:rPr>
          <w:rtl/>
        </w:rPr>
        <w:t>והנה גם בהנ"ל מעשים בכל יום אשר אנשים יראים וחרדים נוהגים ככה מבלי כל פקפוק</w:t>
      </w:r>
      <w:r>
        <w:rPr>
          <w:rFonts w:hint="cs"/>
          <w:rtl/>
        </w:rPr>
        <w:t>,</w:t>
      </w:r>
      <w:r w:rsidRPr="000A22B6">
        <w:rPr>
          <w:rtl/>
        </w:rPr>
        <w:t xml:space="preserve"> והרי מותר ליהנות מדברים האסורים באכילה ומותרים בהנא</w:t>
      </w:r>
      <w:r>
        <w:rPr>
          <w:rFonts w:hint="cs"/>
          <w:rtl/>
        </w:rPr>
        <w:t>[ה].</w:t>
      </w:r>
      <w:r w:rsidRPr="000A22B6">
        <w:rPr>
          <w:rtl/>
        </w:rPr>
        <w:t xml:space="preserve"> </w:t>
      </w:r>
    </w:p>
    <w:p w14:paraId="2A6C4431" w14:textId="77777777" w:rsidR="001774F8" w:rsidRDefault="001774F8" w:rsidP="00423C6D">
      <w:pPr>
        <w:pStyle w:val="a2"/>
        <w:rPr>
          <w:rtl/>
        </w:rPr>
      </w:pPr>
      <w:r w:rsidRPr="000A22B6">
        <w:rPr>
          <w:rtl/>
        </w:rPr>
        <w:t>ג</w:t>
      </w:r>
      <w:r>
        <w:rPr>
          <w:rFonts w:hint="cs"/>
          <w:rtl/>
        </w:rPr>
        <w:t>)</w:t>
      </w:r>
      <w:r w:rsidRPr="000A22B6">
        <w:rPr>
          <w:rtl/>
        </w:rPr>
        <w:t xml:space="preserve"> איך לנהוג בהנוגע לתרכיב של סאלק</w:t>
      </w:r>
      <w:r>
        <w:rPr>
          <w:rFonts w:hint="cs"/>
          <w:rtl/>
        </w:rPr>
        <w:t>,</w:t>
      </w:r>
      <w:r w:rsidRPr="000A22B6">
        <w:rPr>
          <w:rtl/>
        </w:rPr>
        <w:t xml:space="preserve"> שמתחילים עתה להזריק לילדים</w:t>
      </w:r>
      <w:r>
        <w:rPr>
          <w:rFonts w:hint="cs"/>
          <w:rtl/>
        </w:rPr>
        <w:t>.</w:t>
      </w:r>
      <w:r w:rsidRPr="000A22B6">
        <w:rPr>
          <w:rtl/>
        </w:rPr>
        <w:t xml:space="preserve"> </w:t>
      </w:r>
      <w:r>
        <w:rPr>
          <w:rFonts w:hint="cs"/>
          <w:rtl/>
        </w:rPr>
        <w:t xml:space="preserve">[מענה:] </w:t>
      </w:r>
      <w:r w:rsidRPr="000A22B6">
        <w:rPr>
          <w:rtl/>
        </w:rPr>
        <w:t>כבר נהגו בזה כאן זה כו"כ חדשים</w:t>
      </w:r>
      <w:r>
        <w:rPr>
          <w:rFonts w:hint="cs"/>
          <w:rtl/>
        </w:rPr>
        <w:t>,</w:t>
      </w:r>
      <w:r w:rsidRPr="000A22B6">
        <w:rPr>
          <w:rtl/>
        </w:rPr>
        <w:t xml:space="preserve"> וגם כנ"ל בחוגי</w:t>
      </w:r>
      <w:r>
        <w:rPr>
          <w:rFonts w:hint="cs"/>
          <w:rtl/>
        </w:rPr>
        <w:t>[ם]</w:t>
      </w:r>
      <w:r w:rsidRPr="000A22B6">
        <w:rPr>
          <w:rtl/>
        </w:rPr>
        <w:t xml:space="preserve"> הכי חרדים</w:t>
      </w:r>
      <w:r>
        <w:rPr>
          <w:rFonts w:hint="cs"/>
          <w:rtl/>
        </w:rPr>
        <w:t>,</w:t>
      </w:r>
      <w:r w:rsidRPr="000A22B6">
        <w:rPr>
          <w:rtl/>
        </w:rPr>
        <w:t xml:space="preserve"> ז</w:t>
      </w:r>
      <w:r>
        <w:rPr>
          <w:rFonts w:hint="cs"/>
          <w:rtl/>
        </w:rPr>
        <w:t>.</w:t>
      </w:r>
      <w:r w:rsidRPr="000A22B6">
        <w:rPr>
          <w:rtl/>
        </w:rPr>
        <w:t>א</w:t>
      </w:r>
      <w:r>
        <w:rPr>
          <w:rFonts w:hint="cs"/>
          <w:rtl/>
        </w:rPr>
        <w:t>.</w:t>
      </w:r>
      <w:r w:rsidRPr="000A22B6">
        <w:rPr>
          <w:rtl/>
        </w:rPr>
        <w:t xml:space="preserve"> שאין כאן שאלה בהנוגע לכשרות וכיו"ב</w:t>
      </w:r>
      <w:r>
        <w:rPr>
          <w:rFonts w:hint="cs"/>
          <w:rtl/>
        </w:rPr>
        <w:t>,</w:t>
      </w:r>
      <w:r w:rsidRPr="000A22B6">
        <w:rPr>
          <w:rtl/>
        </w:rPr>
        <w:t xml:space="preserve"> אבל מובן שיש לברר שיהי' התרכיב ממעבדה טובה בת סמכא</w:t>
      </w:r>
      <w:r>
        <w:rPr>
          <w:rFonts w:hint="cs"/>
          <w:rtl/>
        </w:rPr>
        <w:t xml:space="preserve">... </w:t>
      </w:r>
    </w:p>
    <w:p w14:paraId="1680CA25" w14:textId="77777777" w:rsidR="001774F8" w:rsidRDefault="001774F8" w:rsidP="00423C6D">
      <w:pPr>
        <w:pStyle w:val="a2"/>
        <w:rPr>
          <w:rtl/>
        </w:rPr>
      </w:pPr>
      <w:r w:rsidRPr="000A22B6">
        <w:rPr>
          <w:rtl/>
        </w:rPr>
        <w:t xml:space="preserve">מובן אשר שאלה בפ"ע היא </w:t>
      </w:r>
      <w:r>
        <w:rPr>
          <w:rtl/>
        </w:rPr>
        <w:t>–</w:t>
      </w:r>
      <w:r>
        <w:rPr>
          <w:rFonts w:hint="cs"/>
          <w:rtl/>
        </w:rPr>
        <w:t xml:space="preserve"> </w:t>
      </w:r>
      <w:r w:rsidRPr="000A22B6">
        <w:rPr>
          <w:rtl/>
        </w:rPr>
        <w:t>עירוי דם</w:t>
      </w:r>
      <w:r>
        <w:rPr>
          <w:rFonts w:hint="cs"/>
          <w:rtl/>
        </w:rPr>
        <w:t>,</w:t>
      </w:r>
      <w:r w:rsidRPr="000A22B6">
        <w:rPr>
          <w:rtl/>
        </w:rPr>
        <w:t xml:space="preserve"> שהורגלו בזה בזמן האחרון והולך נוהג זה ורווח יותר ויותר</w:t>
      </w:r>
      <w:r>
        <w:rPr>
          <w:rFonts w:hint="cs"/>
          <w:rtl/>
        </w:rPr>
        <w:t>.</w:t>
      </w:r>
      <w:r w:rsidRPr="000A22B6">
        <w:rPr>
          <w:rtl/>
        </w:rPr>
        <w:t xml:space="preserve"> שאין מדקדקים כלל מי הוא נותן הדם</w:t>
      </w:r>
      <w:r>
        <w:rPr>
          <w:rFonts w:hint="cs"/>
          <w:rtl/>
        </w:rPr>
        <w:t>...</w:t>
      </w:r>
    </w:p>
    <w:p w14:paraId="65D7A5B6" w14:textId="77777777" w:rsidR="001774F8" w:rsidRDefault="001774F8" w:rsidP="00423C6D">
      <w:pPr>
        <w:pStyle w:val="a2"/>
        <w:rPr>
          <w:rtl/>
        </w:rPr>
      </w:pPr>
      <w:r>
        <w:rPr>
          <w:rtl/>
        </w:rPr>
        <w:t>–</w:t>
      </w:r>
      <w:r>
        <w:rPr>
          <w:rFonts w:hint="cs"/>
          <w:rtl/>
        </w:rPr>
        <w:t xml:space="preserve"> </w:t>
      </w:r>
      <w:r w:rsidRPr="000A22B6">
        <w:rPr>
          <w:rtl/>
        </w:rPr>
        <w:t>להעיר</w:t>
      </w:r>
      <w:r>
        <w:rPr>
          <w:rFonts w:hint="cs"/>
          <w:rtl/>
        </w:rPr>
        <w:t>:</w:t>
      </w:r>
      <w:r w:rsidRPr="000A22B6">
        <w:rPr>
          <w:rtl/>
        </w:rPr>
        <w:t xml:space="preserve"> הקזה המוזכרת בש"ס </w:t>
      </w:r>
      <w:r>
        <w:rPr>
          <w:rtl/>
        </w:rPr>
        <w:t>–</w:t>
      </w:r>
      <w:r>
        <w:rPr>
          <w:rFonts w:hint="cs"/>
          <w:rtl/>
        </w:rPr>
        <w:t xml:space="preserve"> </w:t>
      </w:r>
      <w:r w:rsidRPr="000A22B6">
        <w:rPr>
          <w:rtl/>
        </w:rPr>
        <w:t xml:space="preserve">ברוב הפעמים המדובר הם </w:t>
      </w:r>
      <w:r w:rsidRPr="00D52148">
        <w:rPr>
          <w:b/>
          <w:bCs/>
          <w:rtl/>
        </w:rPr>
        <w:t>בבריא</w:t>
      </w:r>
      <w:r w:rsidRPr="000A22B6">
        <w:rPr>
          <w:rtl/>
        </w:rPr>
        <w:t xml:space="preserve"> המקיז דם</w:t>
      </w:r>
      <w:r>
        <w:rPr>
          <w:rFonts w:hint="cs"/>
          <w:rtl/>
        </w:rPr>
        <w:t>.</w:t>
      </w:r>
    </w:p>
    <w:p w14:paraId="1CFD20C5" w14:textId="77777777" w:rsidR="001774F8" w:rsidRDefault="001774F8" w:rsidP="00423C6D">
      <w:pPr>
        <w:pStyle w:val="a2"/>
        <w:rPr>
          <w:rtl/>
        </w:rPr>
      </w:pPr>
      <w:r w:rsidRPr="000A22B6">
        <w:rPr>
          <w:rtl/>
        </w:rPr>
        <w:t xml:space="preserve">דיני רפואה </w:t>
      </w:r>
      <w:r>
        <w:rPr>
          <w:rtl/>
        </w:rPr>
        <w:t>–</w:t>
      </w:r>
      <w:r>
        <w:rPr>
          <w:rFonts w:hint="cs"/>
          <w:rtl/>
        </w:rPr>
        <w:t xml:space="preserve"> </w:t>
      </w:r>
      <w:r w:rsidRPr="000A22B6">
        <w:rPr>
          <w:rtl/>
        </w:rPr>
        <w:t>ראה שו"ע יו"ד סי' קנה שלו</w:t>
      </w:r>
      <w:r>
        <w:rPr>
          <w:rFonts w:hint="cs"/>
          <w:rtl/>
        </w:rPr>
        <w:t>...".</w:t>
      </w:r>
    </w:p>
    <w:p w14:paraId="35DEDD64" w14:textId="77777777" w:rsidR="001774F8" w:rsidRDefault="001774F8" w:rsidP="00423C6D">
      <w:pPr>
        <w:pStyle w:val="a2"/>
        <w:rPr>
          <w:rtl/>
        </w:rPr>
      </w:pPr>
      <w:r>
        <w:rPr>
          <w:rFonts w:hint="cs"/>
          <w:rtl/>
        </w:rPr>
        <w:t>[נראה בפשטות שההערה אודות הקזה ש"</w:t>
      </w:r>
      <w:r w:rsidRPr="000A22B6">
        <w:rPr>
          <w:rtl/>
        </w:rPr>
        <w:t xml:space="preserve">ברוב הפעמים המדובר הם </w:t>
      </w:r>
      <w:r w:rsidRPr="00D52148">
        <w:rPr>
          <w:b/>
          <w:bCs/>
          <w:rtl/>
        </w:rPr>
        <w:t>בבריא</w:t>
      </w:r>
      <w:r w:rsidRPr="000A22B6">
        <w:rPr>
          <w:rtl/>
        </w:rPr>
        <w:t xml:space="preserve"> המקיז דם</w:t>
      </w:r>
      <w:r>
        <w:rPr>
          <w:rFonts w:hint="cs"/>
          <w:rtl/>
        </w:rPr>
        <w:t>" אינו שייך לנאמר מיד לפניו, אודות עירוי דם ושאינם מקפידים מי התורם, אלא שזה שייך לדיון לעיל לפני-לפניו (אות א): "</w:t>
      </w:r>
      <w:r w:rsidRPr="000A22B6">
        <w:rPr>
          <w:rtl/>
        </w:rPr>
        <w:t>אם מותר</w:t>
      </w:r>
      <w:r>
        <w:rPr>
          <w:rFonts w:hint="cs"/>
          <w:rtl/>
        </w:rPr>
        <w:t xml:space="preserve">... </w:t>
      </w:r>
      <w:r w:rsidRPr="000A22B6">
        <w:rPr>
          <w:rtl/>
        </w:rPr>
        <w:t>להשתמש באותן הרפואות שהם מונעים ממחלות</w:t>
      </w:r>
      <w:r>
        <w:rPr>
          <w:rFonts w:hint="cs"/>
          <w:rtl/>
        </w:rPr>
        <w:t>", ובקשר לזה העיר כאן הרבי, שענין הקזה בדרך כלל עשו אותו אנשים בריאים, והרי זו ראיה נוספת שרפואה מונעת מותרת, והיתה נפוצה בזמן חכמי התלמוד.</w:t>
      </w:r>
    </w:p>
    <w:p w14:paraId="71719A1E" w14:textId="2E326903" w:rsidR="00F46279" w:rsidRPr="00F46279" w:rsidRDefault="001774F8" w:rsidP="00423C6D">
      <w:pPr>
        <w:pStyle w:val="a2"/>
        <w:rPr>
          <w:rFonts w:asciiTheme="minorHAnsi" w:hAnsiTheme="minorHAnsi"/>
          <w:rtl/>
        </w:rPr>
      </w:pPr>
      <w:r>
        <w:rPr>
          <w:rFonts w:hint="cs"/>
          <w:rtl/>
        </w:rPr>
        <w:t>וטעו בהבנת הערה זה עורכי הספר 'שלחן מנחם'</w:t>
      </w:r>
      <w:r>
        <w:rPr>
          <w:rStyle w:val="FootnoteReference"/>
          <w:rtl/>
        </w:rPr>
        <w:footnoteReference w:id="34"/>
      </w:r>
      <w:r>
        <w:rPr>
          <w:rFonts w:hint="cs"/>
          <w:rtl/>
        </w:rPr>
        <w:t xml:space="preserve"> שהכניסו הערה זו תחת הכותרת "עירוי דם" ולא תחת הכותרת שלפני זה "טיפול רפואי מונע". וגם בזה טעות גדולה שחילקו את האגרת הנ"ל לחלקים שונים בכותרות שונות: "טיפול רפואי מונע", "עירוי דם" ו"הזרקת סממני רפואה לגוף", וכך יצא שהקורא אינו מבחין כלל שכל עיקרו של האגרת בא להורות על חיוב החיסון לילדים.]</w:t>
      </w:r>
    </w:p>
    <w:p w14:paraId="24733C94" w14:textId="7B9B7D2C" w:rsidR="001774F8" w:rsidRPr="009653EA" w:rsidRDefault="001774F8" w:rsidP="00423C6D">
      <w:pPr>
        <w:pStyle w:val="11"/>
        <w:rPr>
          <w:rtl/>
        </w:rPr>
      </w:pPr>
      <w:r>
        <w:rPr>
          <w:rFonts w:hint="cs"/>
          <w:rtl/>
        </w:rPr>
        <w:t xml:space="preserve">ד) </w:t>
      </w:r>
      <w:r w:rsidRPr="009653EA">
        <w:rPr>
          <w:rFonts w:hint="cs"/>
          <w:rtl/>
        </w:rPr>
        <w:t>ב' טבת תשי"ז: "</w:t>
      </w:r>
      <w:r w:rsidRPr="009653EA">
        <w:rPr>
          <w:rtl/>
        </w:rPr>
        <w:t>יחסי לזריקות תרכיב סאלק</w:t>
      </w:r>
      <w:r w:rsidRPr="009653EA">
        <w:rPr>
          <w:rFonts w:hint="cs"/>
          <w:rtl/>
        </w:rPr>
        <w:t>... [ש</w:t>
      </w:r>
      <w:r w:rsidR="00F46279">
        <w:rPr>
          <w:rFonts w:hint="cs"/>
          <w:rtl/>
        </w:rPr>
        <w:t>]</w:t>
      </w:r>
      <w:r w:rsidRPr="009653EA">
        <w:rPr>
          <w:rtl/>
        </w:rPr>
        <w:t>נכונה עשי' זו</w:t>
      </w:r>
      <w:r w:rsidRPr="009653EA">
        <w:rPr>
          <w:rFonts w:hint="cs"/>
          <w:rtl/>
        </w:rPr>
        <w:t>"</w:t>
      </w:r>
    </w:p>
    <w:p w14:paraId="1BB420C4" w14:textId="4F709CD4" w:rsidR="001774F8" w:rsidRPr="00555637" w:rsidRDefault="001774F8" w:rsidP="00423C6D">
      <w:pPr>
        <w:pStyle w:val="a2"/>
        <w:rPr>
          <w:rtl/>
        </w:rPr>
      </w:pPr>
      <w:r w:rsidRPr="001774F8">
        <w:rPr>
          <w:rFonts w:hint="cs"/>
          <w:rtl/>
        </w:rPr>
        <w:t>וביום ב' טבת תשי"ז לארגון נשי ובנות חב"ד</w:t>
      </w:r>
      <w:r w:rsidRPr="00F46279">
        <w:rPr>
          <w:rStyle w:val="FootnoteReference"/>
          <w:rtl/>
        </w:rPr>
        <w:footnoteReference w:id="35"/>
      </w:r>
      <w:r w:rsidRPr="001774F8">
        <w:rPr>
          <w:rFonts w:hint="cs"/>
          <w:rtl/>
        </w:rPr>
        <w:t xml:space="preserve"> כתב הרבי: "</w:t>
      </w:r>
      <w:r w:rsidRPr="001774F8">
        <w:rPr>
          <w:rtl/>
        </w:rPr>
        <w:t>במענה למכתבן אודות יחסי לזריקות תרכיב סאלק</w:t>
      </w:r>
      <w:r w:rsidRPr="001774F8">
        <w:rPr>
          <w:rFonts w:hint="cs"/>
          <w:rtl/>
        </w:rPr>
        <w:t>,</w:t>
      </w:r>
      <w:r w:rsidRPr="001774F8">
        <w:rPr>
          <w:rtl/>
        </w:rPr>
        <w:t xml:space="preserve"> בשביל חיסון הילדים שליט"א</w:t>
      </w:r>
      <w:r w:rsidRPr="001774F8">
        <w:rPr>
          <w:rFonts w:hint="cs"/>
          <w:rtl/>
        </w:rPr>
        <w:t>.</w:t>
      </w:r>
      <w:r w:rsidRPr="001774F8">
        <w:rPr>
          <w:rtl/>
        </w:rPr>
        <w:t xml:space="preserve"> </w:t>
      </w:r>
      <w:r w:rsidRPr="001774F8">
        <w:rPr>
          <w:rFonts w:hint="cs"/>
          <w:rtl/>
        </w:rPr>
        <w:t xml:space="preserve">[מענה:] </w:t>
      </w:r>
      <w:r w:rsidRPr="001774F8">
        <w:rPr>
          <w:rtl/>
        </w:rPr>
        <w:t>כבר נהגו בזה בכמה מדינות</w:t>
      </w:r>
      <w:r w:rsidRPr="001774F8">
        <w:rPr>
          <w:rFonts w:hint="cs"/>
          <w:rtl/>
        </w:rPr>
        <w:t>,</w:t>
      </w:r>
      <w:r w:rsidRPr="001774F8">
        <w:rPr>
          <w:rtl/>
        </w:rPr>
        <w:t xml:space="preserve"> ובארצוה"ב נעשה זה ע"י רובם ככולם ובהצלחה</w:t>
      </w:r>
      <w:r w:rsidRPr="001774F8">
        <w:rPr>
          <w:rFonts w:hint="cs"/>
          <w:rtl/>
        </w:rPr>
        <w:t>,</w:t>
      </w:r>
      <w:r w:rsidRPr="001774F8">
        <w:rPr>
          <w:rtl/>
        </w:rPr>
        <w:t xml:space="preserve"> ולכן נכונה עשי' </w:t>
      </w:r>
      <w:r w:rsidRPr="001774F8">
        <w:rPr>
          <w:rtl/>
        </w:rPr>
        <w:lastRenderedPageBreak/>
        <w:t>זו</w:t>
      </w:r>
      <w:r w:rsidRPr="001774F8">
        <w:rPr>
          <w:rFonts w:hint="cs"/>
          <w:rtl/>
        </w:rPr>
        <w:t>.</w:t>
      </w:r>
      <w:r w:rsidRPr="001774F8">
        <w:rPr>
          <w:rtl/>
        </w:rPr>
        <w:t xml:space="preserve"> ובשאלתן אם לעשות זה בתרכיב סאלק מתוצרות חוץ או תוצרת הארץ</w:t>
      </w:r>
      <w:r w:rsidRPr="001774F8">
        <w:rPr>
          <w:rFonts w:hint="cs"/>
          <w:rtl/>
        </w:rPr>
        <w:t>,</w:t>
      </w:r>
      <w:r w:rsidRPr="001774F8">
        <w:rPr>
          <w:rtl/>
        </w:rPr>
        <w:t xml:space="preserve"> מובן שתלוי זה בסמכות המייצרים שכמה מהם ישנם כאן</w:t>
      </w:r>
      <w:r w:rsidRPr="001774F8">
        <w:rPr>
          <w:rFonts w:hint="cs"/>
          <w:rtl/>
        </w:rPr>
        <w:t>,</w:t>
      </w:r>
      <w:r w:rsidRPr="001774F8">
        <w:rPr>
          <w:rtl/>
        </w:rPr>
        <w:t xml:space="preserve"> ובטח גם באה"ק ת"ו</w:t>
      </w:r>
      <w:r w:rsidRPr="001774F8">
        <w:rPr>
          <w:rFonts w:hint="cs"/>
          <w:rtl/>
        </w:rPr>
        <w:t>,</w:t>
      </w:r>
      <w:r w:rsidRPr="001774F8">
        <w:rPr>
          <w:rtl/>
        </w:rPr>
        <w:t xml:space="preserve"> ולכן יחליטו בזה אחרי שידעו הפרטים בזה ואיזה מהם עדיף</w:t>
      </w:r>
      <w:r w:rsidRPr="001774F8">
        <w:rPr>
          <w:rFonts w:hint="cs"/>
          <w:rtl/>
        </w:rPr>
        <w:t>,</w:t>
      </w:r>
      <w:r w:rsidRPr="001774F8">
        <w:rPr>
          <w:rtl/>
        </w:rPr>
        <w:t xml:space="preserve"> ואיך שיחליטו יהי' להצלחה בטוב הנראה והנגלה</w:t>
      </w:r>
      <w:r w:rsidRPr="001774F8">
        <w:rPr>
          <w:rFonts w:hint="cs"/>
          <w:rtl/>
        </w:rPr>
        <w:t>...".</w:t>
      </w:r>
    </w:p>
    <w:p w14:paraId="6859B347" w14:textId="77777777" w:rsidR="001774F8" w:rsidRPr="0070700A" w:rsidRDefault="001774F8" w:rsidP="00423C6D">
      <w:pPr>
        <w:pStyle w:val="11"/>
        <w:rPr>
          <w:rtl/>
        </w:rPr>
      </w:pPr>
      <w:r>
        <w:rPr>
          <w:rFonts w:hint="cs"/>
          <w:rtl/>
        </w:rPr>
        <w:t>ה) ט'</w:t>
      </w:r>
      <w:r w:rsidRPr="00C526A5">
        <w:rPr>
          <w:rFonts w:hint="cs"/>
          <w:rtl/>
        </w:rPr>
        <w:t xml:space="preserve"> שבט תשי"ז: "</w:t>
      </w:r>
      <w:r w:rsidRPr="0070700A">
        <w:rPr>
          <w:rtl/>
        </w:rPr>
        <w:t>אין חשש כלל לעשות הזריקות ואדרבה</w:t>
      </w:r>
      <w:r w:rsidRPr="0070700A">
        <w:rPr>
          <w:rFonts w:hint="cs"/>
          <w:rtl/>
        </w:rPr>
        <w:t>"</w:t>
      </w:r>
    </w:p>
    <w:p w14:paraId="543F8DD9" w14:textId="77777777" w:rsidR="001774F8" w:rsidRDefault="001774F8" w:rsidP="00423C6D">
      <w:pPr>
        <w:pStyle w:val="a2"/>
        <w:rPr>
          <w:rtl/>
        </w:rPr>
      </w:pPr>
      <w:r>
        <w:rPr>
          <w:rFonts w:hint="cs"/>
          <w:rtl/>
        </w:rPr>
        <w:t>ביום ט' שבט תשי"ז כותב הרבי שאין לחשוש מהחיסון: "</w:t>
      </w:r>
      <w:r w:rsidRPr="0070700A">
        <w:rPr>
          <w:rtl/>
        </w:rPr>
        <w:t>במ"ש אודות הזריקות חיסון ומה שקרה ל"ע ול"ע בארצוה"ב מלפנים בכגון דא</w:t>
      </w:r>
      <w:r>
        <w:rPr>
          <w:rFonts w:hint="cs"/>
          <w:rtl/>
        </w:rPr>
        <w:t>,</w:t>
      </w:r>
      <w:r w:rsidRPr="0070700A">
        <w:rPr>
          <w:rtl/>
        </w:rPr>
        <w:t xml:space="preserve"> </w:t>
      </w:r>
      <w:r>
        <w:rPr>
          <w:rtl/>
        </w:rPr>
        <w:t>–</w:t>
      </w:r>
      <w:r>
        <w:rPr>
          <w:rFonts w:hint="cs"/>
          <w:rtl/>
        </w:rPr>
        <w:t xml:space="preserve"> </w:t>
      </w:r>
      <w:r w:rsidRPr="0070700A">
        <w:rPr>
          <w:rtl/>
        </w:rPr>
        <w:t>הנה המאורע בארצוה"ב הי' בתחלת ההשתמשות בזריקות אלו</w:t>
      </w:r>
      <w:r>
        <w:rPr>
          <w:rFonts w:hint="cs"/>
          <w:rtl/>
        </w:rPr>
        <w:t>,</w:t>
      </w:r>
      <w:r w:rsidRPr="0070700A">
        <w:rPr>
          <w:rtl/>
        </w:rPr>
        <w:t xml:space="preserve"> קודם שקבעו בדיוק אופן הכנת התרכיבים וכ</w:t>
      </w:r>
      <w:r>
        <w:rPr>
          <w:rFonts w:hint="cs"/>
          <w:rtl/>
        </w:rPr>
        <w:t>ו',</w:t>
      </w:r>
      <w:r w:rsidRPr="0070700A">
        <w:rPr>
          <w:rtl/>
        </w:rPr>
        <w:t xml:space="preserve"> משא"כ עתה שכבר ישנם כ</w:t>
      </w:r>
      <w:r>
        <w:rPr>
          <w:rFonts w:hint="cs"/>
          <w:rtl/>
        </w:rPr>
        <w:t>ו</w:t>
      </w:r>
      <w:r w:rsidRPr="0070700A">
        <w:rPr>
          <w:rtl/>
        </w:rPr>
        <w:t>"כ חדשים של נסיון בזה</w:t>
      </w:r>
      <w:r>
        <w:rPr>
          <w:rFonts w:hint="cs"/>
          <w:rtl/>
        </w:rPr>
        <w:t>,</w:t>
      </w:r>
      <w:r w:rsidRPr="0070700A">
        <w:rPr>
          <w:rtl/>
        </w:rPr>
        <w:t xml:space="preserve"> ולכן לאחרי שיבררו סמכות תוצרת התרכיב אין חשש כלל לעשות הזריקות ואדרבה</w:t>
      </w:r>
      <w:r>
        <w:rPr>
          <w:rFonts w:hint="cs"/>
          <w:rtl/>
        </w:rPr>
        <w:t>...".</w:t>
      </w:r>
    </w:p>
    <w:p w14:paraId="25319C9E" w14:textId="77777777" w:rsidR="001774F8" w:rsidRDefault="001774F8" w:rsidP="001774F8">
      <w:pPr>
        <w:rPr>
          <w:rFonts w:cs="Narkisim"/>
          <w:sz w:val="24"/>
          <w:szCs w:val="24"/>
          <w:rtl/>
        </w:rPr>
      </w:pPr>
    </w:p>
    <w:p w14:paraId="7B522A9E" w14:textId="77777777" w:rsidR="001774F8" w:rsidRPr="00C526A5" w:rsidRDefault="001774F8" w:rsidP="00423C6D">
      <w:pPr>
        <w:pStyle w:val="11"/>
        <w:rPr>
          <w:rtl/>
        </w:rPr>
      </w:pPr>
      <w:r>
        <w:rPr>
          <w:rFonts w:hint="cs"/>
          <w:rtl/>
        </w:rPr>
        <w:t xml:space="preserve">ו) </w:t>
      </w:r>
      <w:r w:rsidRPr="00C526A5">
        <w:rPr>
          <w:rFonts w:hint="cs"/>
          <w:rtl/>
        </w:rPr>
        <w:t>ח"י שבט תשי"ז: "</w:t>
      </w:r>
      <w:r w:rsidRPr="00C526A5">
        <w:rPr>
          <w:rtl/>
        </w:rPr>
        <w:t>ממהר הנני לענות</w:t>
      </w:r>
      <w:r w:rsidRPr="00C526A5">
        <w:rPr>
          <w:rFonts w:hint="cs"/>
          <w:rtl/>
        </w:rPr>
        <w:t xml:space="preserve">... </w:t>
      </w:r>
      <w:r w:rsidRPr="00C526A5">
        <w:rPr>
          <w:rtl/>
        </w:rPr>
        <w:t>מפני ענין הזריקות לחיסון</w:t>
      </w:r>
      <w:r w:rsidRPr="00C526A5">
        <w:rPr>
          <w:rFonts w:hint="cs"/>
          <w:rtl/>
        </w:rPr>
        <w:t>"</w:t>
      </w:r>
    </w:p>
    <w:p w14:paraId="3B143F6B" w14:textId="2E3D4666" w:rsidR="001774F8" w:rsidRDefault="001774F8" w:rsidP="00555637">
      <w:pPr>
        <w:bidi/>
        <w:jc w:val="both"/>
        <w:rPr>
          <w:rFonts w:cs="Narkisim"/>
          <w:sz w:val="24"/>
          <w:szCs w:val="24"/>
          <w:rtl/>
        </w:rPr>
      </w:pPr>
      <w:r w:rsidRPr="001774F8">
        <w:rPr>
          <w:rStyle w:val="Char2"/>
          <w:rFonts w:hint="cs"/>
          <w:rtl/>
        </w:rPr>
        <w:t>ושוב ישנה אגרת מח"י שבט תשי"ז</w:t>
      </w:r>
      <w:r w:rsidRPr="001774F8">
        <w:rPr>
          <w:rStyle w:val="Char2"/>
          <w:rtl/>
        </w:rPr>
        <w:footnoteReference w:id="36"/>
      </w:r>
      <w:r w:rsidRPr="001774F8">
        <w:rPr>
          <w:rStyle w:val="Char2"/>
          <w:rFonts w:hint="cs"/>
          <w:rtl/>
        </w:rPr>
        <w:t>) שבו כתב הרבי: "</w:t>
      </w:r>
      <w:r w:rsidRPr="001774F8">
        <w:rPr>
          <w:rStyle w:val="Char2"/>
          <w:rtl/>
        </w:rPr>
        <w:t xml:space="preserve">מאשר הנני קבלת מכתבו מי"א שבט </w:t>
      </w:r>
      <w:r w:rsidRPr="001774F8">
        <w:rPr>
          <w:rStyle w:val="Char2"/>
          <w:rFonts w:hint="cs"/>
          <w:rtl/>
        </w:rPr>
        <w:t>(</w:t>
      </w:r>
      <w:r w:rsidRPr="001774F8">
        <w:rPr>
          <w:rStyle w:val="Char2"/>
          <w:rtl/>
        </w:rPr>
        <w:t>והקודמו</w:t>
      </w:r>
      <w:r w:rsidRPr="001774F8">
        <w:rPr>
          <w:rStyle w:val="Char2"/>
          <w:rFonts w:hint="cs"/>
          <w:rtl/>
        </w:rPr>
        <w:t>)</w:t>
      </w:r>
      <w:r w:rsidRPr="001774F8">
        <w:rPr>
          <w:rStyle w:val="Char2"/>
          <w:rtl/>
        </w:rPr>
        <w:t xml:space="preserve"> וממהר הנני לענות עליו שלא בתור אפילו של מכתבים התכופים מפני ענין הזריקות לחיסון</w:t>
      </w:r>
      <w:r w:rsidRPr="001774F8">
        <w:rPr>
          <w:rStyle w:val="Char2"/>
          <w:rFonts w:hint="cs"/>
          <w:rtl/>
        </w:rPr>
        <w:t>,</w:t>
      </w:r>
      <w:r w:rsidRPr="001774F8">
        <w:rPr>
          <w:rStyle w:val="Char2"/>
          <w:rtl/>
        </w:rPr>
        <w:t xml:space="preserve"> אף שלפלא שאלתו בזה שהרי כמה מאה"ק כבר שאלוני ועניתי להם בחיוב כיון שכאן עושים זה רובם ככולם ובהצלחה</w:t>
      </w:r>
      <w:r w:rsidRPr="001774F8">
        <w:rPr>
          <w:rStyle w:val="Char2"/>
          <w:rFonts w:hint="cs"/>
          <w:rtl/>
        </w:rPr>
        <w:t>,</w:t>
      </w:r>
      <w:r w:rsidRPr="001774F8">
        <w:rPr>
          <w:rStyle w:val="Char2"/>
          <w:rtl/>
        </w:rPr>
        <w:t xml:space="preserve"> ומובן שבאם ישנם זריקות מתוצרת בתי סממני רפואה שונים צריך להשתמש בזו הבדוקה ומנוסה</w:t>
      </w:r>
      <w:r w:rsidRPr="001774F8">
        <w:rPr>
          <w:rStyle w:val="Char2"/>
          <w:rFonts w:hint="cs"/>
          <w:rtl/>
        </w:rPr>
        <w:t>"</w:t>
      </w:r>
      <w:r>
        <w:rPr>
          <w:rFonts w:cs="Narkisim" w:hint="cs"/>
          <w:sz w:val="24"/>
          <w:szCs w:val="24"/>
          <w:rtl/>
        </w:rPr>
        <w:t>.</w:t>
      </w:r>
    </w:p>
    <w:p w14:paraId="12D1BC59" w14:textId="77777777" w:rsidR="001774F8" w:rsidRPr="00041A90" w:rsidRDefault="001774F8" w:rsidP="00423C6D">
      <w:pPr>
        <w:pStyle w:val="11"/>
        <w:rPr>
          <w:rtl/>
        </w:rPr>
      </w:pPr>
      <w:r>
        <w:rPr>
          <w:rFonts w:hint="cs"/>
          <w:rtl/>
        </w:rPr>
        <w:t xml:space="preserve">ז) </w:t>
      </w:r>
      <w:r w:rsidRPr="00041A90">
        <w:rPr>
          <w:rFonts w:hint="cs"/>
          <w:rtl/>
        </w:rPr>
        <w:t>י"ג אדר ראשון תשי"ז: "</w:t>
      </w:r>
      <w:r w:rsidRPr="00041A90">
        <w:rPr>
          <w:rtl/>
        </w:rPr>
        <w:t>במדינה זו נהגו לעשות זה לכל הילדים</w:t>
      </w:r>
      <w:r w:rsidRPr="00041A90">
        <w:rPr>
          <w:rFonts w:hint="cs"/>
          <w:rtl/>
        </w:rPr>
        <w:t>"</w:t>
      </w:r>
    </w:p>
    <w:p w14:paraId="33E87271" w14:textId="7FC27CE2" w:rsidR="001774F8" w:rsidRDefault="001774F8" w:rsidP="00555637">
      <w:pPr>
        <w:bidi/>
        <w:jc w:val="both"/>
        <w:rPr>
          <w:rFonts w:cs="Narkisim"/>
          <w:sz w:val="24"/>
          <w:szCs w:val="24"/>
          <w:rtl/>
        </w:rPr>
      </w:pPr>
      <w:r w:rsidRPr="001774F8">
        <w:rPr>
          <w:rStyle w:val="Char2"/>
          <w:rFonts w:hint="cs"/>
          <w:rtl/>
        </w:rPr>
        <w:t>עוד התייחסות לחיסון ישנה באגרת מי"ג אדר ראשון תשי"ז</w:t>
      </w:r>
      <w:r w:rsidRPr="001774F8">
        <w:rPr>
          <w:rStyle w:val="Char2"/>
          <w:rtl/>
        </w:rPr>
        <w:footnoteReference w:id="37"/>
      </w:r>
      <w:r w:rsidRPr="001774F8">
        <w:rPr>
          <w:rStyle w:val="Char2"/>
          <w:rFonts w:hint="cs"/>
          <w:rtl/>
        </w:rPr>
        <w:t xml:space="preserve"> למו"ה צבי הירש צאלער מבאזעל: "</w:t>
      </w:r>
      <w:r w:rsidRPr="001774F8">
        <w:rPr>
          <w:rStyle w:val="Char2"/>
          <w:rtl/>
        </w:rPr>
        <w:t>ומ</w:t>
      </w:r>
      <w:r w:rsidRPr="001774F8">
        <w:rPr>
          <w:rStyle w:val="Char2"/>
          <w:rFonts w:hint="cs"/>
          <w:rtl/>
        </w:rPr>
        <w:t>"</w:t>
      </w:r>
      <w:r w:rsidRPr="001774F8">
        <w:rPr>
          <w:rStyle w:val="Char2"/>
          <w:rtl/>
        </w:rPr>
        <w:t>ש אודות הוואקסיניישאן</w:t>
      </w:r>
      <w:r w:rsidRPr="001774F8">
        <w:rPr>
          <w:rStyle w:val="Char2"/>
          <w:rFonts w:hint="cs"/>
          <w:rtl/>
        </w:rPr>
        <w:t>,</w:t>
      </w:r>
      <w:r w:rsidRPr="001774F8">
        <w:rPr>
          <w:rStyle w:val="Char2"/>
          <w:rtl/>
        </w:rPr>
        <w:t xml:space="preserve"> במדינה זו נהגו לעשות זה לכל הילדים</w:t>
      </w:r>
      <w:r w:rsidRPr="001774F8">
        <w:rPr>
          <w:rStyle w:val="Char2"/>
          <w:rFonts w:hint="cs"/>
          <w:rtl/>
        </w:rPr>
        <w:t>,</w:t>
      </w:r>
      <w:r w:rsidRPr="001774F8">
        <w:rPr>
          <w:rStyle w:val="Char2"/>
          <w:rtl/>
        </w:rPr>
        <w:t xml:space="preserve"> אלא שמקודם יש לברר מאיזה תוצרת הוא הוואקסיניישאן</w:t>
      </w:r>
      <w:r w:rsidRPr="001774F8">
        <w:rPr>
          <w:rStyle w:val="Char2"/>
          <w:rFonts w:hint="cs"/>
          <w:rtl/>
        </w:rPr>
        <w:t>,</w:t>
      </w:r>
      <w:r w:rsidRPr="001774F8">
        <w:rPr>
          <w:rStyle w:val="Char2"/>
          <w:rtl/>
        </w:rPr>
        <w:t xml:space="preserve"> זאת אומרת</w:t>
      </w:r>
      <w:r w:rsidRPr="001774F8">
        <w:rPr>
          <w:rStyle w:val="Char2"/>
          <w:rFonts w:hint="cs"/>
          <w:rtl/>
        </w:rPr>
        <w:t>,</w:t>
      </w:r>
      <w:r w:rsidRPr="001774F8">
        <w:rPr>
          <w:rStyle w:val="Char2"/>
          <w:rtl/>
        </w:rPr>
        <w:t xml:space="preserve"> מאיזה פאבריק ובאם בדוק ומנוסה הוא</w:t>
      </w:r>
      <w:r w:rsidRPr="001774F8">
        <w:rPr>
          <w:rStyle w:val="Char2"/>
          <w:rFonts w:hint="cs"/>
          <w:rtl/>
        </w:rPr>
        <w:t>,</w:t>
      </w:r>
      <w:r w:rsidRPr="001774F8">
        <w:rPr>
          <w:rStyle w:val="Char2"/>
          <w:rtl/>
        </w:rPr>
        <w:t xml:space="preserve"> ושכפי כתבו כמה וכמה בעירו עושים זה אין להיות יוצא מן הכלל בזה</w:t>
      </w:r>
      <w:r w:rsidRPr="001774F8">
        <w:rPr>
          <w:rStyle w:val="Char2"/>
          <w:rFonts w:hint="cs"/>
          <w:rtl/>
        </w:rPr>
        <w:t>..."</w:t>
      </w:r>
      <w:r w:rsidRPr="00B01415">
        <w:rPr>
          <w:rFonts w:cs="Narkisim" w:hint="cs"/>
          <w:sz w:val="24"/>
          <w:szCs w:val="24"/>
          <w:rtl/>
        </w:rPr>
        <w:t>.</w:t>
      </w:r>
    </w:p>
    <w:p w14:paraId="777B1ECE" w14:textId="77777777" w:rsidR="001774F8" w:rsidRPr="00CC6004" w:rsidRDefault="001774F8" w:rsidP="00423C6D">
      <w:pPr>
        <w:pStyle w:val="11"/>
        <w:rPr>
          <w:rtl/>
        </w:rPr>
      </w:pPr>
      <w:r w:rsidRPr="00CC6004">
        <w:rPr>
          <w:rFonts w:hint="cs"/>
          <w:rtl/>
        </w:rPr>
        <w:t>סיכום ייחסו של הרבי לחיסון</w:t>
      </w:r>
      <w:r>
        <w:rPr>
          <w:rFonts w:hint="cs"/>
          <w:rtl/>
        </w:rPr>
        <w:t xml:space="preserve"> נגד פוליו</w:t>
      </w:r>
    </w:p>
    <w:p w14:paraId="4959C929" w14:textId="77777777" w:rsidR="001774F8" w:rsidRDefault="001774F8" w:rsidP="00423C6D">
      <w:pPr>
        <w:pStyle w:val="a2"/>
        <w:rPr>
          <w:rtl/>
        </w:rPr>
      </w:pPr>
      <w:r>
        <w:rPr>
          <w:rFonts w:hint="cs"/>
          <w:rtl/>
        </w:rPr>
        <w:t>לאחרי עיון בקטעי האגרות הנ"ל יוצא שתמיכתו של הרבי לחיסון התחיל בהיסוס קצת, והתחזק מיום ליום ומחודש לחודש. הרי בשנת תשט"ו, חודש אחרי שהתחילו החיסונים, עוד לא כתב הרבי בפירוש אם לחסן או לא, אלא שהורה ש"</w:t>
      </w:r>
      <w:r w:rsidRPr="005D7969">
        <w:rPr>
          <w:rtl/>
        </w:rPr>
        <w:t xml:space="preserve">ינהג </w:t>
      </w:r>
      <w:r w:rsidRPr="005D7969">
        <w:rPr>
          <w:rtl/>
        </w:rPr>
        <w:lastRenderedPageBreak/>
        <w:t>כמו שעושים רוב</w:t>
      </w:r>
      <w:r>
        <w:rPr>
          <w:rFonts w:hint="cs"/>
          <w:rtl/>
        </w:rPr>
        <w:t xml:space="preserve"> </w:t>
      </w:r>
      <w:r w:rsidRPr="005D7969">
        <w:rPr>
          <w:rtl/>
        </w:rPr>
        <w:t>הכתה בבית הספר בה לומדים ילידיה</w:t>
      </w:r>
      <w:r>
        <w:rPr>
          <w:rFonts w:hint="cs"/>
          <w:rtl/>
        </w:rPr>
        <w:t>ם" (אות א). בשנת תשט"ז, שבע חודשים לאחרי זה, הרבי כבר כותב ש"</w:t>
      </w:r>
      <w:r w:rsidRPr="007469DF">
        <w:rPr>
          <w:rtl/>
        </w:rPr>
        <w:t>דעתי נוטה להשתמש בה</w:t>
      </w:r>
      <w:r>
        <w:rPr>
          <w:rFonts w:hint="cs"/>
          <w:rtl/>
        </w:rPr>
        <w:t xml:space="preserve">... </w:t>
      </w:r>
      <w:r w:rsidRPr="007469DF">
        <w:rPr>
          <w:rtl/>
        </w:rPr>
        <w:t>ואם</w:t>
      </w:r>
      <w:r>
        <w:rPr>
          <w:rFonts w:hint="cs"/>
          <w:rtl/>
        </w:rPr>
        <w:t xml:space="preserve">... </w:t>
      </w:r>
      <w:r w:rsidRPr="007469DF">
        <w:rPr>
          <w:rtl/>
        </w:rPr>
        <w:t>משתמשים בזה בשיקאגא</w:t>
      </w:r>
      <w:r>
        <w:rPr>
          <w:rFonts w:hint="cs"/>
          <w:rtl/>
        </w:rPr>
        <w:t>,</w:t>
      </w:r>
      <w:r w:rsidRPr="007469DF">
        <w:rPr>
          <w:rtl/>
        </w:rPr>
        <w:t xml:space="preserve"> טוב שגם הם יעשו זה</w:t>
      </w:r>
      <w:r>
        <w:rPr>
          <w:rFonts w:hint="cs"/>
          <w:rtl/>
        </w:rPr>
        <w:t>" (אות ב). בשנת תשי"ז כבר תומך בזה לגמרי: "</w:t>
      </w:r>
      <w:r w:rsidRPr="000A22B6">
        <w:rPr>
          <w:rtl/>
        </w:rPr>
        <w:t>כבר נהגו בזה כאן זה כו"כ חדשים</w:t>
      </w:r>
      <w:r>
        <w:rPr>
          <w:rFonts w:hint="cs"/>
          <w:rtl/>
        </w:rPr>
        <w:t>... [ו]</w:t>
      </w:r>
      <w:r w:rsidRPr="00ED0AA0">
        <w:rPr>
          <w:rtl/>
        </w:rPr>
        <w:t>נכונה עשי' זו</w:t>
      </w:r>
      <w:r>
        <w:rPr>
          <w:rFonts w:hint="cs"/>
          <w:rtl/>
        </w:rPr>
        <w:t xml:space="preserve">... </w:t>
      </w:r>
      <w:r w:rsidRPr="0070700A">
        <w:rPr>
          <w:rtl/>
        </w:rPr>
        <w:t>אין חשש כלל לעשות הזריקות ואדרבה</w:t>
      </w:r>
      <w:r>
        <w:rPr>
          <w:rFonts w:hint="cs"/>
          <w:rtl/>
        </w:rPr>
        <w:t xml:space="preserve">... עניתי להם בחיוב... </w:t>
      </w:r>
      <w:r w:rsidRPr="00B01415">
        <w:rPr>
          <w:rtl/>
        </w:rPr>
        <w:t>במדינה זו נהגו לעשות זה לכל הילדים</w:t>
      </w:r>
      <w:r>
        <w:rPr>
          <w:rFonts w:hint="cs"/>
          <w:rtl/>
        </w:rPr>
        <w:t>" (אות ג-ז). אמנם כמעט בכל האגרות עורר הרבי שצריך להבטיח שהחיסון נעשה על-ידי חברה מוכרת, ושאין בה חשש.</w:t>
      </w:r>
    </w:p>
    <w:p w14:paraId="19652375" w14:textId="633DF564" w:rsidR="001774F8" w:rsidRPr="00555637" w:rsidRDefault="001774F8" w:rsidP="00423C6D">
      <w:pPr>
        <w:pStyle w:val="a2"/>
        <w:rPr>
          <w:rtl/>
        </w:rPr>
      </w:pPr>
      <w:r>
        <w:rPr>
          <w:rFonts w:hint="cs"/>
          <w:rtl/>
        </w:rPr>
        <w:t>[ומעתה חבל שעורכי הספר 'שלחן מנחם'</w:t>
      </w:r>
      <w:r>
        <w:rPr>
          <w:rStyle w:val="FootnoteReference"/>
          <w:rtl/>
        </w:rPr>
        <w:footnoteReference w:id="38"/>
      </w:r>
      <w:r>
        <w:rPr>
          <w:rFonts w:hint="cs"/>
          <w:rtl/>
        </w:rPr>
        <w:t xml:space="preserve"> כשבאו לכתוב אודות "חיסונים לילדים", העתיקו רק את האגרת הראשונה שבענין זה (אות א), שבה אין הוראה ברורה אין לנהוג, ולא העתיקו את האגרות שנכתבו כעבור חצי שנה ושנה, שבהם ישנם תמיכה ברורה ומפורשת.]</w:t>
      </w:r>
    </w:p>
    <w:p w14:paraId="580DF3BA" w14:textId="0A8919C0" w:rsidR="001774F8" w:rsidRPr="00CC6004" w:rsidRDefault="001774F8" w:rsidP="00423C6D">
      <w:pPr>
        <w:pStyle w:val="11"/>
        <w:bidi/>
        <w:rPr>
          <w:rtl/>
        </w:rPr>
      </w:pPr>
      <w:r w:rsidRPr="00CC6004">
        <w:rPr>
          <w:rFonts w:hint="cs"/>
          <w:rtl/>
        </w:rPr>
        <w:t>ייחסו של הרבי לחיסון</w:t>
      </w:r>
      <w:r>
        <w:rPr>
          <w:rFonts w:hint="cs"/>
          <w:rtl/>
        </w:rPr>
        <w:t xml:space="preserve"> נגד חצבת (</w:t>
      </w:r>
      <w:r>
        <w:t>measels</w:t>
      </w:r>
      <w:r>
        <w:rPr>
          <w:rFonts w:hint="cs"/>
          <w:rtl/>
        </w:rPr>
        <w:t>)</w:t>
      </w:r>
    </w:p>
    <w:p w14:paraId="2A4C1790" w14:textId="77777777" w:rsidR="001774F8" w:rsidRPr="001774F8" w:rsidRDefault="001774F8" w:rsidP="00423C6D">
      <w:pPr>
        <w:pStyle w:val="a2"/>
        <w:rPr>
          <w:rtl/>
        </w:rPr>
      </w:pPr>
      <w:r w:rsidRPr="001774F8">
        <w:rPr>
          <w:rFonts w:hint="cs"/>
          <w:rtl/>
        </w:rPr>
        <w:t xml:space="preserve">לאחרונה נתפרסמה צילום מכתב השאלה של החסיד </w:t>
      </w:r>
      <w:r w:rsidRPr="001774F8">
        <w:rPr>
          <w:rtl/>
        </w:rPr>
        <w:t>ר' מאיר אבצן</w:t>
      </w:r>
      <w:r w:rsidRPr="001774F8">
        <w:rPr>
          <w:rFonts w:hint="cs"/>
          <w:rtl/>
        </w:rPr>
        <w:t xml:space="preserve"> שביום </w:t>
      </w:r>
      <w:r w:rsidRPr="001774F8">
        <w:rPr>
          <w:rtl/>
        </w:rPr>
        <w:t>כ"ו תשרי תשכ"ד</w:t>
      </w:r>
      <w:r w:rsidRPr="001774F8">
        <w:rPr>
          <w:rFonts w:hint="cs"/>
          <w:rtl/>
        </w:rPr>
        <w:t xml:space="preserve"> הוא שאל את הרבי אודות החיסון נגד חצבת (שאושר בחודש אדר תשכ"ג):</w:t>
      </w:r>
    </w:p>
    <w:p w14:paraId="4430C5DB" w14:textId="6ECE7B3A" w:rsidR="001774F8" w:rsidRPr="001774F8" w:rsidRDefault="001774F8" w:rsidP="00423C6D">
      <w:pPr>
        <w:pStyle w:val="a2"/>
        <w:rPr>
          <w:rtl/>
        </w:rPr>
      </w:pPr>
      <w:r w:rsidRPr="001774F8">
        <w:rPr>
          <w:rFonts w:hint="cs"/>
          <w:rtl/>
        </w:rPr>
        <w:t>"</w:t>
      </w:r>
      <w:r w:rsidRPr="001774F8">
        <w:rPr>
          <w:rtl/>
        </w:rPr>
        <w:t>בהמשך לזה ששאלתי מאת כ"ק אד"ש אודות המיזול-שאַט</w:t>
      </w:r>
      <w:r>
        <w:rPr>
          <w:lang w:val="en-US"/>
        </w:rPr>
        <w:t>measles] vaccine</w:t>
      </w:r>
      <w:r>
        <w:rPr>
          <w:rFonts w:hint="cs"/>
          <w:rtl/>
        </w:rPr>
        <w:t xml:space="preserve">] </w:t>
      </w:r>
      <w:r w:rsidRPr="001774F8">
        <w:rPr>
          <w:rtl/>
        </w:rPr>
        <w:t>עבור ילדים וכדו' שלא שמעתי חוו"ד כ"ק אד"ש בזה. רצוני להוסיף שהשאַט הזה הוא כפול, היינו לבד השאַט הזה נותנים עוד נוסף לזה שאַט אחר, שלא יגרום ענינים הבלתי רצוים.</w:t>
      </w:r>
      <w:r w:rsidRPr="001774F8">
        <w:rPr>
          <w:rFonts w:hint="cs"/>
          <w:rtl/>
        </w:rPr>
        <w:t xml:space="preserve"> </w:t>
      </w:r>
      <w:r w:rsidRPr="001774F8">
        <w:rPr>
          <w:rtl/>
        </w:rPr>
        <w:t>רצוני לדעת חוו"ד כ"ק אד"ש בזה</w:t>
      </w:r>
      <w:r w:rsidRPr="001774F8">
        <w:rPr>
          <w:rFonts w:hint="cs"/>
          <w:rtl/>
        </w:rPr>
        <w:t>"</w:t>
      </w:r>
      <w:r w:rsidRPr="001774F8">
        <w:rPr>
          <w:rtl/>
        </w:rPr>
        <w:t>.</w:t>
      </w:r>
    </w:p>
    <w:p w14:paraId="1E233488" w14:textId="77777777" w:rsidR="001774F8" w:rsidRPr="001774F8" w:rsidRDefault="001774F8" w:rsidP="00423C6D">
      <w:pPr>
        <w:pStyle w:val="a2"/>
        <w:rPr>
          <w:rtl/>
        </w:rPr>
      </w:pPr>
      <w:r w:rsidRPr="001774F8">
        <w:rPr>
          <w:rtl/>
        </w:rPr>
        <w:t>ועל זה ענה הרבי:</w:t>
      </w:r>
      <w:r w:rsidRPr="001774F8">
        <w:rPr>
          <w:rFonts w:hint="cs"/>
          <w:rtl/>
        </w:rPr>
        <w:t xml:space="preserve"> "</w:t>
      </w:r>
      <w:r w:rsidRPr="001774F8">
        <w:rPr>
          <w:rtl/>
        </w:rPr>
        <w:t>יעשה כפי הנהוג בעירו. אזכיר עה"צ</w:t>
      </w:r>
      <w:r w:rsidRPr="001774F8">
        <w:rPr>
          <w:rFonts w:hint="cs"/>
          <w:rtl/>
        </w:rPr>
        <w:t>".</w:t>
      </w:r>
    </w:p>
    <w:p w14:paraId="564ED870" w14:textId="5AFBF0F1" w:rsidR="001774F8" w:rsidRPr="00555637" w:rsidRDefault="001774F8" w:rsidP="00423C6D">
      <w:pPr>
        <w:pStyle w:val="a2"/>
        <w:rPr>
          <w:rtl/>
        </w:rPr>
      </w:pPr>
      <w:r w:rsidRPr="001774F8">
        <w:rPr>
          <w:rFonts w:hint="cs"/>
          <w:rtl/>
        </w:rPr>
        <w:t>מעניין מאד שגם כאן בתחילת תקופת החיסון נגד חצבת, ענה הרבי באותו סגנון כמו שענה כמה שנים לפני זה בתחילת החיסון נגד פוליו, היינו שלא הורה הוראה ברורה האם לחסן או לא, אלא הורה לעשות "כפי שנהוג בעירו" או "</w:t>
      </w:r>
      <w:r w:rsidRPr="001774F8">
        <w:rPr>
          <w:rtl/>
        </w:rPr>
        <w:t>כמו שעושים רוב</w:t>
      </w:r>
      <w:r w:rsidRPr="001774F8">
        <w:rPr>
          <w:rFonts w:hint="cs"/>
          <w:rtl/>
        </w:rPr>
        <w:t xml:space="preserve"> </w:t>
      </w:r>
      <w:r w:rsidRPr="001774F8">
        <w:rPr>
          <w:rtl/>
        </w:rPr>
        <w:t>הכתה</w:t>
      </w:r>
      <w:r w:rsidRPr="001774F8">
        <w:rPr>
          <w:rFonts w:hint="cs"/>
          <w:rtl/>
        </w:rPr>
        <w:t>". ומסתבר שכעבור זמן החל הרבי גם בזה להורות שחובה לחסן</w:t>
      </w:r>
      <w:r>
        <w:rPr>
          <w:rFonts w:hint="cs"/>
          <w:rtl/>
        </w:rPr>
        <w:t>.</w:t>
      </w:r>
    </w:p>
    <w:p w14:paraId="29D2344E" w14:textId="77777777" w:rsidR="001774F8" w:rsidRPr="00CC6004" w:rsidRDefault="001774F8" w:rsidP="00423C6D">
      <w:pPr>
        <w:pStyle w:val="11"/>
        <w:bidi/>
        <w:rPr>
          <w:rtl/>
        </w:rPr>
      </w:pPr>
      <w:r>
        <w:rPr>
          <w:rFonts w:hint="cs"/>
          <w:rtl/>
        </w:rPr>
        <w:t>הנהגת הרבים מכוון את היחיד לחוש לסכנה</w:t>
      </w:r>
    </w:p>
    <w:p w14:paraId="002D523B" w14:textId="77777777" w:rsidR="001774F8" w:rsidRDefault="001774F8" w:rsidP="00423C6D">
      <w:pPr>
        <w:pStyle w:val="a2"/>
        <w:rPr>
          <w:rtl/>
        </w:rPr>
      </w:pPr>
      <w:r>
        <w:rPr>
          <w:rFonts w:hint="cs"/>
          <w:rtl/>
        </w:rPr>
        <w:t xml:space="preserve">ועדיין יש להבחין במשהו מעניין, גם באגרת הראשונה הנ"ל, וכן בכל האגרות </w:t>
      </w:r>
      <w:r>
        <w:rPr>
          <w:rFonts w:hint="cs"/>
          <w:rtl/>
        </w:rPr>
        <w:lastRenderedPageBreak/>
        <w:t xml:space="preserve">שלאחרי זה, תלה הרבי ההוראה אודות חיוב החיסון בזה שכך נוהגים הרבים: </w:t>
      </w:r>
    </w:p>
    <w:p w14:paraId="65B85642" w14:textId="77777777" w:rsidR="001774F8" w:rsidRDefault="001774F8" w:rsidP="00423C6D">
      <w:pPr>
        <w:pStyle w:val="a2"/>
        <w:rPr>
          <w:rtl/>
        </w:rPr>
      </w:pPr>
      <w:r>
        <w:rPr>
          <w:rFonts w:hint="cs"/>
          <w:rtl/>
        </w:rPr>
        <w:t>"</w:t>
      </w:r>
      <w:r w:rsidRPr="005D7969">
        <w:rPr>
          <w:rtl/>
        </w:rPr>
        <w:t>הנה בכגון דא נאמר אל תפרוש מן הצבור</w:t>
      </w:r>
      <w:r>
        <w:rPr>
          <w:rFonts w:hint="cs"/>
          <w:rtl/>
        </w:rPr>
        <w:t>,</w:t>
      </w:r>
      <w:r w:rsidRPr="005D7969">
        <w:rPr>
          <w:rtl/>
        </w:rPr>
        <w:t xml:space="preserve"> וינהג כמו שעושים רוב</w:t>
      </w:r>
      <w:r>
        <w:rPr>
          <w:rFonts w:hint="cs"/>
          <w:rtl/>
        </w:rPr>
        <w:t xml:space="preserve"> </w:t>
      </w:r>
      <w:r w:rsidRPr="005D7969">
        <w:rPr>
          <w:rtl/>
        </w:rPr>
        <w:t>הכתה</w:t>
      </w:r>
      <w:r>
        <w:rPr>
          <w:rFonts w:hint="cs"/>
          <w:rtl/>
        </w:rPr>
        <w:t>" (אות א); "</w:t>
      </w:r>
      <w:r w:rsidRPr="007469DF">
        <w:rPr>
          <w:rtl/>
        </w:rPr>
        <w:t>א</w:t>
      </w:r>
      <w:r>
        <w:rPr>
          <w:rFonts w:hint="cs"/>
          <w:rtl/>
        </w:rPr>
        <w:t>ין</w:t>
      </w:r>
      <w:r w:rsidRPr="007469DF">
        <w:rPr>
          <w:rtl/>
        </w:rPr>
        <w:t xml:space="preserve"> להיות פורש מן הצבור</w:t>
      </w:r>
      <w:r>
        <w:rPr>
          <w:rFonts w:hint="cs"/>
          <w:rtl/>
        </w:rPr>
        <w:t>" (אות ב); "</w:t>
      </w:r>
      <w:r w:rsidRPr="00ED0AA0">
        <w:rPr>
          <w:rtl/>
        </w:rPr>
        <w:t>נעשה זה ע"י רובם ככולם ובהצלחה</w:t>
      </w:r>
      <w:r>
        <w:rPr>
          <w:rFonts w:hint="cs"/>
          <w:rtl/>
        </w:rPr>
        <w:t>,</w:t>
      </w:r>
      <w:r w:rsidRPr="00ED0AA0">
        <w:rPr>
          <w:rtl/>
        </w:rPr>
        <w:t xml:space="preserve"> </w:t>
      </w:r>
      <w:r w:rsidRPr="0095707F">
        <w:rPr>
          <w:b/>
          <w:bCs/>
          <w:rtl/>
        </w:rPr>
        <w:t>ולכן</w:t>
      </w:r>
      <w:r w:rsidRPr="00ED0AA0">
        <w:rPr>
          <w:rtl/>
        </w:rPr>
        <w:t xml:space="preserve"> נכונה עשי' זו</w:t>
      </w:r>
      <w:r>
        <w:rPr>
          <w:rFonts w:hint="cs"/>
          <w:rtl/>
        </w:rPr>
        <w:t>" (אות ד); "</w:t>
      </w:r>
      <w:r w:rsidRPr="00B43FE2">
        <w:rPr>
          <w:rtl/>
        </w:rPr>
        <w:t>עניתי להם בחיוב כיון שכאן עושים זה רובם ככולם ובהצלחה</w:t>
      </w:r>
      <w:r>
        <w:rPr>
          <w:rFonts w:hint="cs"/>
          <w:rtl/>
        </w:rPr>
        <w:t>" (אות ו); "</w:t>
      </w:r>
      <w:r w:rsidRPr="00B01415">
        <w:rPr>
          <w:rtl/>
        </w:rPr>
        <w:t>אין להיות יוצא מן הכלל בזה</w:t>
      </w:r>
      <w:r>
        <w:rPr>
          <w:rFonts w:hint="cs"/>
          <w:rtl/>
        </w:rPr>
        <w:t xml:space="preserve">" (אות ז); </w:t>
      </w:r>
      <w:r w:rsidRPr="007215BA">
        <w:rPr>
          <w:rFonts w:hint="cs"/>
          <w:rtl/>
        </w:rPr>
        <w:t>"</w:t>
      </w:r>
      <w:r w:rsidRPr="007215BA">
        <w:rPr>
          <w:rtl/>
        </w:rPr>
        <w:t>יעשה כפי הנהוג בעירו</w:t>
      </w:r>
      <w:r>
        <w:rPr>
          <w:rFonts w:hint="cs"/>
          <w:rtl/>
        </w:rPr>
        <w:t>" (מענה לאבצן).</w:t>
      </w:r>
    </w:p>
    <w:p w14:paraId="6BD1FDFD" w14:textId="77777777" w:rsidR="001774F8" w:rsidRDefault="001774F8" w:rsidP="00423C6D">
      <w:pPr>
        <w:pStyle w:val="a2"/>
        <w:rPr>
          <w:rtl/>
        </w:rPr>
      </w:pPr>
      <w:r>
        <w:rPr>
          <w:rFonts w:hint="cs"/>
          <w:rtl/>
        </w:rPr>
        <w:t>ולכאורה יש לעיין מה זה מעלה או מוריד לענין של בריאות מה שרוב האנשים והציבור נוהגים כן או לא נוהגים כן.</w:t>
      </w:r>
    </w:p>
    <w:p w14:paraId="7209BD3B" w14:textId="77777777" w:rsidR="001774F8" w:rsidRDefault="001774F8" w:rsidP="00423C6D">
      <w:pPr>
        <w:pStyle w:val="a2"/>
        <w:rPr>
          <w:rtl/>
        </w:rPr>
      </w:pPr>
      <w:r>
        <w:rPr>
          <w:rFonts w:hint="cs"/>
          <w:rtl/>
        </w:rPr>
        <w:t>ואולי י"ל על פי שהאריכו בפוסקים</w:t>
      </w:r>
      <w:r>
        <w:rPr>
          <w:rStyle w:val="FootnoteReference"/>
          <w:rtl/>
        </w:rPr>
        <w:footnoteReference w:id="39"/>
      </w:r>
      <w:r>
        <w:rPr>
          <w:rFonts w:hint="cs"/>
          <w:rtl/>
        </w:rPr>
        <w:t xml:space="preserve"> לדון בעניני סכנה מתי אפשר לסמוך על ההיתר דשומר פתאים ה'</w:t>
      </w:r>
      <w:r>
        <w:rPr>
          <w:rStyle w:val="FootnoteReference"/>
          <w:rtl/>
        </w:rPr>
        <w:footnoteReference w:id="40"/>
      </w:r>
      <w:r>
        <w:rPr>
          <w:rFonts w:hint="cs"/>
          <w:rtl/>
        </w:rPr>
        <w:t xml:space="preserve">, המובא להלכה בכמה מקומות בגמרא. ולדוגמא: </w:t>
      </w:r>
      <w:r w:rsidRPr="00B565E5">
        <w:rPr>
          <w:rtl/>
        </w:rPr>
        <w:t>תניא רבי אליעזר אומר</w:t>
      </w:r>
      <w:r>
        <w:rPr>
          <w:rFonts w:hint="cs"/>
          <w:rtl/>
        </w:rPr>
        <w:t>,</w:t>
      </w:r>
      <w:r w:rsidRPr="00B565E5">
        <w:rPr>
          <w:rtl/>
        </w:rPr>
        <w:t xml:space="preserve"> אוכל אדם ענבים ותאנים בלילה ואינו חושש, משום שנאמר: שומר פתאים ה'</w:t>
      </w:r>
      <w:r>
        <w:rPr>
          <w:rStyle w:val="FootnoteReference"/>
          <w:rtl/>
        </w:rPr>
        <w:footnoteReference w:id="41"/>
      </w:r>
      <w:r>
        <w:rPr>
          <w:rFonts w:hint="cs"/>
          <w:rtl/>
        </w:rPr>
        <w:t xml:space="preserve">. </w:t>
      </w:r>
    </w:p>
    <w:p w14:paraId="7AAD770B" w14:textId="77777777" w:rsidR="001774F8" w:rsidRDefault="001774F8" w:rsidP="00423C6D">
      <w:pPr>
        <w:pStyle w:val="a2"/>
        <w:rPr>
          <w:rtl/>
        </w:rPr>
      </w:pPr>
      <w:r>
        <w:rPr>
          <w:rFonts w:hint="cs"/>
          <w:rtl/>
        </w:rPr>
        <w:t>ובשו"ת 'צמח צדק'</w:t>
      </w:r>
      <w:r>
        <w:rPr>
          <w:rStyle w:val="FootnoteReference"/>
          <w:rtl/>
        </w:rPr>
        <w:footnoteReference w:id="42"/>
      </w:r>
      <w:r>
        <w:rPr>
          <w:rFonts w:hint="cs"/>
          <w:rtl/>
        </w:rPr>
        <w:t xml:space="preserve"> כתב אודות המבואר ביבמות</w:t>
      </w:r>
      <w:r>
        <w:rPr>
          <w:rStyle w:val="FootnoteReference"/>
          <w:rtl/>
        </w:rPr>
        <w:footnoteReference w:id="43"/>
      </w:r>
      <w:r>
        <w:rPr>
          <w:rFonts w:hint="cs"/>
          <w:rtl/>
        </w:rPr>
        <w:t xml:space="preserve">: </w:t>
      </w:r>
      <w:r w:rsidRPr="00B565E5">
        <w:rPr>
          <w:rtl/>
        </w:rPr>
        <w:t xml:space="preserve">שלש נשים משמשות במוך </w:t>
      </w:r>
      <w:r>
        <w:rPr>
          <w:rFonts w:hint="cs"/>
          <w:rtl/>
        </w:rPr>
        <w:t xml:space="preserve">וכו', </w:t>
      </w:r>
      <w:r w:rsidRPr="00B565E5">
        <w:rPr>
          <w:rtl/>
        </w:rPr>
        <w:t>וחכמים אומרים: אחת זו ואחת זו משמשת כדרכה והולכת, ומן השמים ירחמו, משום שנאמר</w:t>
      </w:r>
      <w:r>
        <w:rPr>
          <w:rtl/>
        </w:rPr>
        <w:t xml:space="preserve"> שומר פתאים ה'</w:t>
      </w:r>
      <w:r>
        <w:rPr>
          <w:rFonts w:hint="cs"/>
          <w:rtl/>
        </w:rPr>
        <w:t>, "</w:t>
      </w:r>
      <w:r w:rsidRPr="00B565E5">
        <w:rPr>
          <w:rtl/>
        </w:rPr>
        <w:t>יש לומר הטעם משום שכן שם הבורא יתברך בטבע הבריאה אשר ג' נשים הנ"ל ע"פ רוב אינן מתעברות.</w:t>
      </w:r>
      <w:r>
        <w:rPr>
          <w:rFonts w:hint="cs"/>
          <w:rtl/>
        </w:rPr>
        <w:t xml:space="preserve">.. </w:t>
      </w:r>
      <w:r w:rsidRPr="00B565E5">
        <w:rPr>
          <w:rtl/>
        </w:rPr>
        <w:t>אבל באשה שראויה להתעבר, כגון שאינה משלשה נשים הנ"ל, וא"כ ע"פ רוב תתעבר...</w:t>
      </w:r>
      <w:r>
        <w:rPr>
          <w:rFonts w:hint="cs"/>
          <w:rtl/>
        </w:rPr>
        <w:t xml:space="preserve"> ודאי בכה"ג מודו חכמים לר"מ דמותרות לשמש במוך, ולא שייך ע"ז לסמוך לכתחלה על שומר פתאים ה', דהא אמרינן אסור לסמוך על הנס".</w:t>
      </w:r>
    </w:p>
    <w:p w14:paraId="6BBCCF83" w14:textId="77777777" w:rsidR="001774F8" w:rsidRDefault="001774F8" w:rsidP="00423C6D">
      <w:pPr>
        <w:pStyle w:val="a2"/>
        <w:rPr>
          <w:rtl/>
        </w:rPr>
      </w:pPr>
      <w:r>
        <w:rPr>
          <w:rFonts w:hint="cs"/>
          <w:rtl/>
        </w:rPr>
        <w:t>ואפילו במקרה שאינו סכנה ממש על-פי הרוב, כתבו הפוסקים</w:t>
      </w:r>
      <w:r>
        <w:rPr>
          <w:rStyle w:val="FootnoteReference"/>
          <w:rtl/>
        </w:rPr>
        <w:footnoteReference w:id="44"/>
      </w:r>
      <w:r>
        <w:rPr>
          <w:rFonts w:hint="cs"/>
          <w:rtl/>
        </w:rPr>
        <w:t xml:space="preserve"> דאין לסמוך אלא על "דבר שהעולם נוהגים לעשות כן ולא לחוש". וכנראה שלזה נתכוונו בגמרא</w:t>
      </w:r>
      <w:r>
        <w:rPr>
          <w:rStyle w:val="FootnoteReference"/>
          <w:rtl/>
        </w:rPr>
        <w:footnoteReference w:id="45"/>
      </w:r>
      <w:r>
        <w:rPr>
          <w:rFonts w:hint="cs"/>
          <w:rtl/>
        </w:rPr>
        <w:t xml:space="preserve">: </w:t>
      </w:r>
      <w:r w:rsidRPr="00251E88">
        <w:rPr>
          <w:rtl/>
        </w:rPr>
        <w:t>והאידנא דדשו בה רבים, שומר פתאים ה'</w:t>
      </w:r>
      <w:r>
        <w:rPr>
          <w:rFonts w:hint="cs"/>
          <w:rtl/>
        </w:rPr>
        <w:t xml:space="preserve">, שרק במקרה ש"רבים" היינו רוב האנשים </w:t>
      </w:r>
      <w:r>
        <w:rPr>
          <w:rFonts w:hint="cs"/>
          <w:rtl/>
        </w:rPr>
        <w:lastRenderedPageBreak/>
        <w:t>דשו בה, יש לסמוך על ההיתר דשומר פתאים ה'.</w:t>
      </w:r>
    </w:p>
    <w:p w14:paraId="4571D1CC" w14:textId="63C408CA" w:rsidR="001774F8" w:rsidRDefault="001774F8" w:rsidP="00423C6D">
      <w:pPr>
        <w:pStyle w:val="a2"/>
        <w:rPr>
          <w:rtl/>
        </w:rPr>
      </w:pPr>
      <w:r>
        <w:rPr>
          <w:rFonts w:hint="cs"/>
          <w:rtl/>
        </w:rPr>
        <w:t xml:space="preserve">ואולי לזה נתכוון הרבי כשהדגיש וחזר והדגיש שמאחרי שרוב האנשים מחסנים את הילדים, מעתה כבר אין </w:t>
      </w:r>
      <w:r w:rsidR="00555637">
        <w:rPr>
          <w:rFonts w:hint="cs"/>
          <w:rtl/>
        </w:rPr>
        <w:t xml:space="preserve">היתר שלא </w:t>
      </w:r>
      <w:r>
        <w:rPr>
          <w:rFonts w:hint="cs"/>
          <w:rtl/>
        </w:rPr>
        <w:t>לחוש לסכנה שב</w:t>
      </w:r>
      <w:r w:rsidR="00555637">
        <w:rPr>
          <w:rFonts w:hint="cs"/>
          <w:rtl/>
        </w:rPr>
        <w:t>מחלה וחייבים לחסן</w:t>
      </w:r>
      <w:r>
        <w:rPr>
          <w:rFonts w:hint="cs"/>
          <w:rtl/>
        </w:rPr>
        <w:t>.</w:t>
      </w:r>
    </w:p>
    <w:p w14:paraId="30B95280" w14:textId="77777777" w:rsidR="00575325" w:rsidRPr="00347933" w:rsidRDefault="00575325" w:rsidP="00D25B6F">
      <w:pPr>
        <w:pStyle w:val="a4"/>
        <w:spacing w:after="0"/>
        <w:sectPr w:rsidR="00575325"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80C8354" w14:textId="44943C77" w:rsidR="00575325" w:rsidRPr="007F5A3D" w:rsidRDefault="00575325" w:rsidP="007F5A3D">
      <w:pPr>
        <w:pStyle w:val="a"/>
        <w:rPr>
          <w:rtl/>
        </w:rPr>
      </w:pPr>
      <w:bookmarkStart w:id="115" w:name="_Toc531140359"/>
      <w:r w:rsidRPr="007F5A3D">
        <w:rPr>
          <w:rFonts w:hint="cs"/>
          <w:rtl/>
        </w:rPr>
        <w:t>בעיה קשה ב</w:t>
      </w:r>
      <w:r w:rsidRPr="007F5A3D">
        <w:rPr>
          <w:rtl/>
        </w:rPr>
        <w:t xml:space="preserve">הפרשת תרומות ומעשרות </w:t>
      </w:r>
      <w:r w:rsidRPr="007F5A3D">
        <w:rPr>
          <w:rFonts w:hint="cs"/>
          <w:rtl/>
        </w:rPr>
        <w:t>בימינו</w:t>
      </w:r>
      <w:bookmarkEnd w:id="115"/>
    </w:p>
    <w:p w14:paraId="731723C0" w14:textId="2E21A9C1" w:rsidR="00575325" w:rsidRPr="008307D7" w:rsidRDefault="007F5A3D" w:rsidP="00C40DBA">
      <w:pPr>
        <w:pStyle w:val="a0"/>
        <w:rPr>
          <w:rtl/>
        </w:rPr>
      </w:pPr>
      <w:bookmarkStart w:id="116" w:name="_Toc531140360"/>
      <w:r w:rsidRPr="008307D7">
        <w:rPr>
          <w:rFonts w:hint="cs"/>
          <w:rtl/>
          <w:lang w:bidi="he-IL"/>
        </w:rPr>
        <w:t>הרב שלום דובער הלוי וולפא</w:t>
      </w:r>
      <w:bookmarkEnd w:id="116"/>
    </w:p>
    <w:p w14:paraId="54F14E45" w14:textId="6F4692C0" w:rsidR="007F5A3D" w:rsidRPr="007F5A3D" w:rsidRDefault="007F5A3D" w:rsidP="007F5A3D">
      <w:pPr>
        <w:pStyle w:val="a1"/>
        <w:rPr>
          <w:rtl/>
        </w:rPr>
      </w:pPr>
      <w:r w:rsidRPr="00C60FEE">
        <w:rPr>
          <w:rFonts w:hint="cs"/>
          <w:rtl/>
        </w:rPr>
        <w:t>ראש מכון "הרמב"ם השלם" - ביתר עלית</w:t>
      </w:r>
    </w:p>
    <w:p w14:paraId="397B46F6" w14:textId="68C6A1E5" w:rsidR="00575325" w:rsidRPr="00B1549E" w:rsidRDefault="00575325" w:rsidP="00423C6D">
      <w:pPr>
        <w:pStyle w:val="11"/>
        <w:bidi/>
        <w:rPr>
          <w:rtl/>
        </w:rPr>
      </w:pPr>
      <w:r w:rsidRPr="00B1549E">
        <w:rPr>
          <w:rtl/>
        </w:rPr>
        <w:t>א</w:t>
      </w:r>
    </w:p>
    <w:p w14:paraId="395C2FBB" w14:textId="273DC302" w:rsidR="00575325" w:rsidRPr="00B1549E" w:rsidRDefault="00575325" w:rsidP="00423C6D">
      <w:pPr>
        <w:pStyle w:val="a2"/>
        <w:rPr>
          <w:rtl/>
        </w:rPr>
      </w:pPr>
      <w:r w:rsidRPr="00B1549E">
        <w:rPr>
          <w:rtl/>
        </w:rPr>
        <w:t>בשנת תשי"ד שאלו תושבי ארה"ק את כ"ק אדמו"ר, שברצונם "לקצור חטים, לשמרם ולבררם ולטחנם בארץ הקודש, במיוחד בשביל כ"ק אדמו"ר שליט"א" (הכוונה עבור המצות שהרבי חילק בערב פסח). ובאגרות קודש חלק ט' אגרת ב'תרמו עונה הרבי וזלה"ק:</w:t>
      </w:r>
    </w:p>
    <w:p w14:paraId="33AD020B" w14:textId="076EDE06" w:rsidR="00575325" w:rsidRPr="00B1549E" w:rsidRDefault="00575325" w:rsidP="00423C6D">
      <w:pPr>
        <w:pStyle w:val="a2"/>
        <w:rPr>
          <w:rtl/>
        </w:rPr>
      </w:pPr>
      <w:r w:rsidRPr="00B1549E">
        <w:rPr>
          <w:rtl/>
        </w:rPr>
        <w:t>"מה שכותב אודות התכנית למצה שמורה. הנה כיון שקשור זה בעניני תרומות ומעשרות, עדיין לא באתי לידי מסקנא בענין מסובך זה. כיון שנמרחו בארץ (צבי לצדיק בשו"ע יו"ד [סי' שלא סי"ב]). ואף שלהנמצאים בארץ יש הנהגה ברורה ופשוטה בזה, הרי בודאי בדאי אפשר שאני. משא"כ להנמצאים בחו"ל וד"ל. ובלי נדר כשתהיה איזה החלטה בזה אודיע". עכלה"ק.</w:t>
      </w:r>
    </w:p>
    <w:p w14:paraId="5DFB222F" w14:textId="43484BCB" w:rsidR="00575325" w:rsidRPr="00B1549E" w:rsidRDefault="00575325" w:rsidP="00423C6D">
      <w:pPr>
        <w:pStyle w:val="a2"/>
        <w:rPr>
          <w:rtl/>
        </w:rPr>
      </w:pPr>
      <w:r w:rsidRPr="00B1549E">
        <w:rPr>
          <w:rtl/>
        </w:rPr>
        <w:t xml:space="preserve">ובמה שכתב "כיון שנמרחו בארץ", כוונתו לומר, דהנה ברמב"ם בפ"א מהלכות תרומות הכ"ב: "פירות ארץ ישראל שיצאו לחו"ל </w:t>
      </w:r>
      <w:r w:rsidRPr="00B1549E">
        <w:rPr>
          <w:b/>
          <w:bCs/>
          <w:rtl/>
        </w:rPr>
        <w:t>פטורין</w:t>
      </w:r>
      <w:r w:rsidRPr="00B1549E">
        <w:rPr>
          <w:rtl/>
        </w:rPr>
        <w:t xml:space="preserve"> מן החלה ומן התרומות ומן המעשרות", וכתבו שם המשל"מ והרדב"ז</w:t>
      </w:r>
      <w:r>
        <w:rPr>
          <w:rFonts w:hint="cs"/>
          <w:rtl/>
        </w:rPr>
        <w:t>,</w:t>
      </w:r>
      <w:r w:rsidRPr="00B1549E">
        <w:rPr>
          <w:rtl/>
        </w:rPr>
        <w:t xml:space="preserve"> שזהו רק אם </w:t>
      </w:r>
      <w:r w:rsidRPr="00B1549E">
        <w:rPr>
          <w:b/>
          <w:bCs/>
          <w:rtl/>
        </w:rPr>
        <w:t xml:space="preserve">לא </w:t>
      </w:r>
      <w:r w:rsidRPr="00B1549E">
        <w:rPr>
          <w:rtl/>
        </w:rPr>
        <w:t xml:space="preserve">נגמרה מלאכתן בארץ. והשו"ע בסימן שלא סי"ב כתב כלשון הרמב"ם, ועל זה כתב ה"צבי לצדיק" </w:t>
      </w:r>
      <w:r w:rsidRPr="00B1549E">
        <w:rPr>
          <w:b/>
          <w:bCs/>
          <w:rtl/>
        </w:rPr>
        <w:t>דכשנמרחו בארץ חייבים בתרו"מ</w:t>
      </w:r>
      <w:r w:rsidRPr="00B1549E">
        <w:rPr>
          <w:rtl/>
        </w:rPr>
        <w:t>. ולכן החטים שמורות הללו שרוצים להכין עבור הרבי חייבים בתרו"מ.</w:t>
      </w:r>
    </w:p>
    <w:p w14:paraId="797A5B48" w14:textId="47908CC1" w:rsidR="00575325" w:rsidRPr="00B1549E" w:rsidRDefault="00575325" w:rsidP="00423C6D">
      <w:pPr>
        <w:pStyle w:val="a2"/>
        <w:rPr>
          <w:rtl/>
        </w:rPr>
      </w:pPr>
      <w:r w:rsidRPr="00B1549E">
        <w:rPr>
          <w:rtl/>
        </w:rPr>
        <w:t xml:space="preserve">אבל מה שכתב "עדיין לא באתי לידי מסקנא </w:t>
      </w:r>
      <w:r w:rsidRPr="00B1549E">
        <w:rPr>
          <w:bCs/>
          <w:rtl/>
        </w:rPr>
        <w:t>בענין מסובך זה</w:t>
      </w:r>
      <w:r w:rsidRPr="00B1549E">
        <w:rPr>
          <w:rtl/>
        </w:rPr>
        <w:t xml:space="preserve">", על כרחך אין כוונתו שהענין המסובך הוא בזה גופא אם פירות ארץ ישראל שנמרחו בארץ חייבים בתרו"מ בחו"ל. שהרי המשיך "ואף </w:t>
      </w:r>
      <w:r w:rsidRPr="00B1549E">
        <w:rPr>
          <w:bCs/>
          <w:rtl/>
        </w:rPr>
        <w:t>שלהנמצאים בארץ</w:t>
      </w:r>
      <w:r w:rsidRPr="00B1549E">
        <w:rPr>
          <w:rtl/>
        </w:rPr>
        <w:t xml:space="preserve"> יש הנהגה ברורה ופשוטה בזה", הרי שמדבר על תרו"מ בכלל, שעצם הענין של הפרשת תרומות ומעשרות יש </w:t>
      </w:r>
      <w:r w:rsidRPr="00B1549E">
        <w:rPr>
          <w:rtl/>
        </w:rPr>
        <w:lastRenderedPageBreak/>
        <w:t>בזה "ענין מסובך", אע"פ שבארץ ישראל בלית ברירה קבעו לזה הנהגה ברורה ופשוטה.</w:t>
      </w:r>
    </w:p>
    <w:p w14:paraId="660CE439" w14:textId="77777777" w:rsidR="00575325" w:rsidRDefault="00575325" w:rsidP="00423C6D">
      <w:pPr>
        <w:pStyle w:val="a2"/>
        <w:rPr>
          <w:rtl/>
        </w:rPr>
      </w:pPr>
      <w:r w:rsidRPr="00B1549E">
        <w:rPr>
          <w:rtl/>
        </w:rPr>
        <w:t xml:space="preserve">ולכאורה צריך להבין </w:t>
      </w:r>
      <w:r w:rsidRPr="00B1549E">
        <w:rPr>
          <w:bCs/>
          <w:rtl/>
        </w:rPr>
        <w:t xml:space="preserve">מהו ה"סיבוך" </w:t>
      </w:r>
      <w:r w:rsidRPr="00B1549E">
        <w:rPr>
          <w:rtl/>
        </w:rPr>
        <w:t>בענין תרומות ומעשרות, ועד כדי כך שמה שבארץ יש בזה הנהגה פשוטה, זהו רק משום שכאן המצב הוא "בד</w:t>
      </w:r>
      <w:r w:rsidRPr="00B1549E">
        <w:rPr>
          <w:bCs/>
          <w:rtl/>
        </w:rPr>
        <w:t>אי אפשר</w:t>
      </w:r>
      <w:r w:rsidRPr="00B1549E">
        <w:rPr>
          <w:rtl/>
        </w:rPr>
        <w:t>", כי מוכרחים לאכול מגדולי הארץ, משא"כ בחו"ל שאינו רוצה להכנס לזה.</w:t>
      </w:r>
    </w:p>
    <w:p w14:paraId="179C3D58" w14:textId="77777777" w:rsidR="00575325" w:rsidRPr="00760EAC" w:rsidRDefault="00575325" w:rsidP="00423C6D">
      <w:pPr>
        <w:pStyle w:val="a2"/>
        <w:rPr>
          <w:rtl/>
        </w:rPr>
      </w:pPr>
      <w:r w:rsidRPr="00760EAC">
        <w:rPr>
          <w:rFonts w:hint="cs"/>
          <w:rtl/>
        </w:rPr>
        <w:t>והנה הרבה שנים לפנים, העיר בזה הרב גינזבורג שי' במכתב למערכת שבועון כפר חב"ד. ובגליון האחרון של הערות וביאורים כתב בזה שוב, וז"ל:</w:t>
      </w:r>
    </w:p>
    <w:p w14:paraId="56DFC34F" w14:textId="0F749212" w:rsidR="00575325" w:rsidRPr="00B1549E" w:rsidRDefault="00575325" w:rsidP="00423C6D">
      <w:pPr>
        <w:pStyle w:val="a2"/>
        <w:rPr>
          <w:rtl/>
        </w:rPr>
      </w:pPr>
      <w:r w:rsidRPr="00760EAC">
        <w:rPr>
          <w:rFonts w:hint="cs"/>
          <w:rtl/>
        </w:rPr>
        <w:t>"</w:t>
      </w:r>
      <w:r w:rsidRPr="00760EAC">
        <w:rPr>
          <w:rtl/>
        </w:rPr>
        <w:t>אמנם הרדב"ז והמל"מ (פ"א הל' תרומות הכ"ב), והמראה פנים (לירושלמי חלה פ"ב ריש ה"א) כתבו זאת כדבר הפשוט, שאם נמרחו הפירות בארץ קודם הוצאתם לחו"ל חייבים בתרו"מ. ולא הבנתי כלל מ"ט כותב כ"ק אדמו"ר שהענין מסובך, ולא עוד אלא שלהדרים בארה"ק רק "בדאי אפשר שאני", הרי בתוך ארה"ק אין כלל הו"א לפטור מתרו"מ</w:t>
      </w:r>
      <w:r w:rsidRPr="00760EAC">
        <w:rPr>
          <w:rFonts w:hint="cs"/>
          <w:rtl/>
        </w:rPr>
        <w:t>. ו</w:t>
      </w:r>
      <w:r w:rsidRPr="00760EAC">
        <w:rPr>
          <w:rtl/>
        </w:rPr>
        <w:t>אולי הכוו</w:t>
      </w:r>
      <w:r>
        <w:rPr>
          <w:rFonts w:hint="cs"/>
          <w:rtl/>
          <w:lang w:val="en-US"/>
        </w:rPr>
        <w:t>נ</w:t>
      </w:r>
      <w:r w:rsidRPr="00760EAC">
        <w:rPr>
          <w:rtl/>
        </w:rPr>
        <w:t xml:space="preserve">ה בבעיות הקשורות בקיום בפועל של מצות נתינה – תרומה ותרו"מ לבהמת כהן, מעשר ראשון שאין נותנין ללוי , ופדיון מע"ש בפרוטה, </w:t>
      </w:r>
      <w:r w:rsidRPr="00760EAC">
        <w:rPr>
          <w:b/>
          <w:bCs/>
          <w:rtl/>
        </w:rPr>
        <w:t>אבל גם בזה צריך ביאור מהו בדיוק הסיבוך</w:t>
      </w:r>
      <w:r w:rsidRPr="00760EAC">
        <w:rPr>
          <w:rFonts w:hint="cs"/>
          <w:b/>
          <w:bCs/>
          <w:rtl/>
        </w:rPr>
        <w:t>"</w:t>
      </w:r>
      <w:r w:rsidRPr="00760EAC">
        <w:rPr>
          <w:rFonts w:hint="cs"/>
          <w:rtl/>
        </w:rPr>
        <w:t>, עכ"ל הרב גינזבורג</w:t>
      </w:r>
      <w:r w:rsidRPr="00760EAC">
        <w:rPr>
          <w:rtl/>
        </w:rPr>
        <w:t xml:space="preserve">. </w:t>
      </w:r>
    </w:p>
    <w:p w14:paraId="073BD8A1" w14:textId="3F3C81F1" w:rsidR="00575325" w:rsidRPr="00B1549E" w:rsidRDefault="00575325" w:rsidP="00423C6D">
      <w:pPr>
        <w:pStyle w:val="a2"/>
        <w:rPr>
          <w:rtl/>
        </w:rPr>
      </w:pPr>
      <w:r w:rsidRPr="00B1549E">
        <w:rPr>
          <w:rFonts w:hint="cs"/>
          <w:rtl/>
        </w:rPr>
        <w:t>ו</w:t>
      </w:r>
      <w:r w:rsidRPr="00B1549E">
        <w:rPr>
          <w:rtl/>
        </w:rPr>
        <w:t xml:space="preserve">נשתדל לעיין </w:t>
      </w:r>
      <w:r w:rsidRPr="00B1549E">
        <w:rPr>
          <w:rFonts w:hint="cs"/>
          <w:rtl/>
        </w:rPr>
        <w:t>ב</w:t>
      </w:r>
      <w:r w:rsidRPr="00B1549E">
        <w:rPr>
          <w:rtl/>
        </w:rPr>
        <w:t xml:space="preserve">ביאור הענין. ואף שגבהו דרכיו של כ"ק אדמו"ר מדרכינו, ונפלאו מחשבותיו ממחשבותינו, אבל בעניני הלכה שומה עלינו לברר עד כמה שידינו מגעת, מה היתה כוונתו הקדושה. ובפרט שהכתוב באגרת הוא לכאורה </w:t>
      </w:r>
      <w:r w:rsidRPr="00B1549E">
        <w:rPr>
          <w:bCs/>
          <w:rtl/>
        </w:rPr>
        <w:t>מילתא דתמיהה</w:t>
      </w:r>
      <w:r w:rsidRPr="00B1549E">
        <w:rPr>
          <w:rtl/>
        </w:rPr>
        <w:t>, ומצוה לקיים ולבאר עומק דברי חכמים.</w:t>
      </w:r>
    </w:p>
    <w:p w14:paraId="751F3FF7" w14:textId="0F51CB67" w:rsidR="00575325" w:rsidRPr="00B1549E" w:rsidRDefault="00575325" w:rsidP="00423C6D">
      <w:pPr>
        <w:pStyle w:val="a2"/>
        <w:rPr>
          <w:rtl/>
        </w:rPr>
      </w:pPr>
      <w:r w:rsidRPr="00B1549E">
        <w:rPr>
          <w:rtl/>
        </w:rPr>
        <w:t xml:space="preserve">וכשמתחילים לעיין רואים, שבאמת יש כמה ענינים "מסובכים" בהפרשת תרומות ומעשרות בזמן הזה. ונזכיר במאמרנו עתה רק את אחת הבעיות, שהיא בעיית ה"תרומת מעשר" כדלהלן. וכן נבאר </w:t>
      </w:r>
      <w:r w:rsidRPr="00B1549E">
        <w:rPr>
          <w:bCs/>
          <w:rtl/>
        </w:rPr>
        <w:t>למה הסיבוך חמור שבעתיים דוקא בתרו"מ של מצות שמורה לליל הסדר</w:t>
      </w:r>
      <w:r w:rsidRPr="00B1549E">
        <w:rPr>
          <w:rtl/>
        </w:rPr>
        <w:t xml:space="preserve"> (שעל זה מדבר באגרת הנ"ל):</w:t>
      </w:r>
    </w:p>
    <w:p w14:paraId="70F02F89" w14:textId="4FF4E185" w:rsidR="00575325" w:rsidRPr="00575325" w:rsidRDefault="00575325" w:rsidP="00423C6D">
      <w:pPr>
        <w:pStyle w:val="11"/>
        <w:bidi/>
        <w:rPr>
          <w:rtl/>
        </w:rPr>
      </w:pPr>
      <w:r w:rsidRPr="00B1549E">
        <w:rPr>
          <w:rFonts w:hint="cs"/>
          <w:rtl/>
        </w:rPr>
        <w:t>ב</w:t>
      </w:r>
    </w:p>
    <w:p w14:paraId="7CBB61ED" w14:textId="007C8084" w:rsidR="00575325" w:rsidRPr="00B1549E" w:rsidRDefault="00575325" w:rsidP="00423C6D">
      <w:pPr>
        <w:pStyle w:val="a2"/>
        <w:rPr>
          <w:rtl/>
        </w:rPr>
      </w:pPr>
      <w:r w:rsidRPr="00B1549E">
        <w:rPr>
          <w:rtl/>
        </w:rPr>
        <w:t>הנה בזמן הבית, התרומה גדולה שמפריש הישראל, והתרומת מעשר שמפריש הלוי מתוך המעשר ראשון שקיבל, יש לשמרם בטהרה וליתנם לכהן, והוא אוכלם בטהרה.</w:t>
      </w:r>
    </w:p>
    <w:p w14:paraId="559C06D1" w14:textId="435AE939" w:rsidR="00575325" w:rsidRPr="00B1549E" w:rsidRDefault="00575325" w:rsidP="00423C6D">
      <w:pPr>
        <w:pStyle w:val="a2"/>
        <w:rPr>
          <w:rtl/>
        </w:rPr>
      </w:pPr>
      <w:r w:rsidRPr="00B1549E">
        <w:rPr>
          <w:rtl/>
        </w:rPr>
        <w:t xml:space="preserve">ולענין להאכיל תרומה </w:t>
      </w:r>
      <w:r w:rsidRPr="00B1549E">
        <w:rPr>
          <w:bCs/>
          <w:rtl/>
        </w:rPr>
        <w:t xml:space="preserve">טהורה </w:t>
      </w:r>
      <w:r w:rsidRPr="00B1549E">
        <w:rPr>
          <w:rtl/>
        </w:rPr>
        <w:t>לבהמת הכהן, שנינו בתרומות פי"א מ"ט: "</w:t>
      </w:r>
      <w:r w:rsidRPr="00B1549E">
        <w:rPr>
          <w:bCs/>
          <w:rtl/>
        </w:rPr>
        <w:t>כרשיני</w:t>
      </w:r>
      <w:r w:rsidRPr="00B1549E">
        <w:rPr>
          <w:rtl/>
        </w:rPr>
        <w:t xml:space="preserve"> תרומה מאכילין אותם לבהמה ולחיה ולתרנגולים". ונחלקו בזה התוס' והרמב"ם. דמשמעות התוס' ביבמות סו,ב. (וכן מפורש בר"ש ורע"ב למשנה שם), </w:t>
      </w:r>
      <w:r w:rsidRPr="00B1549E">
        <w:rPr>
          <w:rtl/>
        </w:rPr>
        <w:lastRenderedPageBreak/>
        <w:t xml:space="preserve">שהמשנה נקטה דוקא "כרשינין" </w:t>
      </w:r>
      <w:r w:rsidRPr="00B1549E">
        <w:rPr>
          <w:bCs/>
          <w:rtl/>
        </w:rPr>
        <w:t>דעיקרם למאכל בהמה</w:t>
      </w:r>
      <w:r w:rsidRPr="00B1549E">
        <w:rPr>
          <w:rtl/>
        </w:rPr>
        <w:t xml:space="preserve"> ("ומ"מ חזו לאדם, דאי לא חזו כלל לאדם פטורין"), אבל דבר שעיקרו למאכל אדם</w:t>
      </w:r>
      <w:r>
        <w:rPr>
          <w:rFonts w:hint="cs"/>
          <w:rtl/>
        </w:rPr>
        <w:t>,</w:t>
      </w:r>
      <w:r w:rsidRPr="00B1549E">
        <w:rPr>
          <w:rtl/>
        </w:rPr>
        <w:t xml:space="preserve"> "אסור ליתנם לבהמה משום הפסד תרומה". וכ"כ התוס' בבא מציעא צ,א. ד"ה והדשות, והר"ן בפסחים מו,א. וכן מפורש בתו"כ (עה"פ ויקרא כב,יא): "הם יאכלו בלחמו, ולא הבהמה אוכלת,</w:t>
      </w:r>
      <w:r w:rsidRPr="00B1549E">
        <w:rPr>
          <w:bCs/>
          <w:rtl/>
        </w:rPr>
        <w:t xml:space="preserve"> יכול לא תאכל בכרשינין</w:t>
      </w:r>
      <w:r>
        <w:rPr>
          <w:rFonts w:hint="cs"/>
          <w:bCs/>
          <w:rtl/>
        </w:rPr>
        <w:t>,</w:t>
      </w:r>
      <w:r w:rsidRPr="00B1549E">
        <w:rPr>
          <w:rtl/>
        </w:rPr>
        <w:t xml:space="preserve"> ת"ל נפש". וכן הוא בירושלמי פי"א דתרומות ה"ה. ובתנא דבי אליהו רבא פי"ג פ"י</w:t>
      </w:r>
      <w:r>
        <w:rPr>
          <w:rFonts w:hint="cs"/>
          <w:rtl/>
        </w:rPr>
        <w:t>,</w:t>
      </w:r>
      <w:r w:rsidRPr="00B1549E">
        <w:rPr>
          <w:rtl/>
        </w:rPr>
        <w:t xml:space="preserve"> מסופר על "כהן אחד </w:t>
      </w:r>
      <w:r w:rsidRPr="00B1549E">
        <w:rPr>
          <w:bCs/>
          <w:rtl/>
        </w:rPr>
        <w:t>שהאכיל את בהמתו תרומה</w:t>
      </w:r>
      <w:r w:rsidRPr="00B1549E">
        <w:rPr>
          <w:rtl/>
        </w:rPr>
        <w:t xml:space="preserve"> </w:t>
      </w:r>
      <w:r w:rsidRPr="00B1549E">
        <w:rPr>
          <w:bCs/>
          <w:rtl/>
        </w:rPr>
        <w:t>ונפלה אש עליו</w:t>
      </w:r>
      <w:r w:rsidRPr="00B1549E">
        <w:rPr>
          <w:rtl/>
        </w:rPr>
        <w:t>, ואכלה מביתו שלושים זכרים</w:t>
      </w:r>
      <w:r w:rsidRPr="00B1549E">
        <w:rPr>
          <w:bCs/>
          <w:rtl/>
        </w:rPr>
        <w:t xml:space="preserve"> </w:t>
      </w:r>
      <w:r w:rsidRPr="00B1549E">
        <w:rPr>
          <w:rtl/>
        </w:rPr>
        <w:t>וששים בגדים ועשרים וארבע כדים של יין ועשרה כדי שמן ושאר ממון הרבה". ואמרו לו החכמים שזהו עונש על שזלזל בתרומה. ומביאים ע"ז שם את הפסוק (משלי יט,טז) "בוזה דרכיו ימות", ואת הפסוק (במדבר יח,לב) "ואת קדשי בני ישראל לא תחללו ולא תמותו".</w:t>
      </w:r>
    </w:p>
    <w:p w14:paraId="6CF08A11" w14:textId="11B1FC10" w:rsidR="00575325" w:rsidRPr="00B1549E" w:rsidRDefault="00575325" w:rsidP="00423C6D">
      <w:pPr>
        <w:pStyle w:val="a2"/>
        <w:rPr>
          <w:rtl/>
        </w:rPr>
      </w:pPr>
      <w:r w:rsidRPr="00B1549E">
        <w:rPr>
          <w:rtl/>
        </w:rPr>
        <w:t xml:space="preserve">אבל הרמב"ם בהלכות תרומות פ"ו ה"א כתב בסתם: "תרומה ותרומת מעשר נאכלת לכהנים.. </w:t>
      </w:r>
      <w:r w:rsidRPr="00B1549E">
        <w:rPr>
          <w:bCs/>
          <w:rtl/>
        </w:rPr>
        <w:t>ובהמתן</w:t>
      </w:r>
      <w:r w:rsidRPr="00B1549E">
        <w:rPr>
          <w:rtl/>
        </w:rPr>
        <w:t>", ולא הזכיר כלל "כרשינין". וכן משמע גם בפ"ט ה"ז שם (ועיין בפירוש המהרי"ק על הרמב"ם שם, שלדעת הרמב"ם מה שנקטו במשנה "כרשינין"</w:t>
      </w:r>
      <w:r>
        <w:rPr>
          <w:rFonts w:hint="cs"/>
          <w:rtl/>
        </w:rPr>
        <w:t>,</w:t>
      </w:r>
      <w:r w:rsidRPr="00B1549E">
        <w:rPr>
          <w:rtl/>
        </w:rPr>
        <w:t xml:space="preserve"> אורחא דמילתא נקט). וכן מטין דברי ספר החינוך מצוה רפ, ועיין מנ"ח שם. וכן משמע מרש"י פסחים יג,א. ד"ה טהורות ושבת קכו,ב. ד"ה מפנין.</w:t>
      </w:r>
    </w:p>
    <w:p w14:paraId="52A97806" w14:textId="741FB445" w:rsidR="00575325" w:rsidRPr="00B1549E" w:rsidRDefault="00575325" w:rsidP="00423C6D">
      <w:pPr>
        <w:pStyle w:val="a2"/>
        <w:rPr>
          <w:rtl/>
        </w:rPr>
      </w:pPr>
      <w:r w:rsidRPr="00B1549E">
        <w:rPr>
          <w:rtl/>
        </w:rPr>
        <w:t xml:space="preserve">ובנוגע לתרומה </w:t>
      </w:r>
      <w:r w:rsidRPr="00B1549E">
        <w:rPr>
          <w:bCs/>
          <w:rtl/>
        </w:rPr>
        <w:t>טמאה</w:t>
      </w:r>
      <w:r w:rsidRPr="00B1549E">
        <w:rPr>
          <w:rtl/>
        </w:rPr>
        <w:t>, בזה נחלקו רש"י ותוס' בביצה כז,ב. דהתוס' ד"ה ועל החלה שנטמאת כתבו</w:t>
      </w:r>
      <w:r>
        <w:rPr>
          <w:rFonts w:hint="cs"/>
          <w:rtl/>
        </w:rPr>
        <w:t>,</w:t>
      </w:r>
      <w:r w:rsidRPr="00B1549E">
        <w:rPr>
          <w:rtl/>
        </w:rPr>
        <w:t xml:space="preserve"> שיש </w:t>
      </w:r>
      <w:r w:rsidRPr="00B1549E">
        <w:rPr>
          <w:bCs/>
          <w:rtl/>
        </w:rPr>
        <w:t>לשרוף</w:t>
      </w:r>
      <w:r w:rsidRPr="00B1549E">
        <w:rPr>
          <w:rtl/>
        </w:rPr>
        <w:t xml:space="preserve"> את התרומה הטמאה, ולכן אסור ליתנה לבהמתו "משום דמצותה בשריפה.. וכן משמע בתמורה </w:t>
      </w:r>
      <w:r>
        <w:rPr>
          <w:rFonts w:hint="cs"/>
          <w:rtl/>
        </w:rPr>
        <w:t>(</w:t>
      </w:r>
      <w:r w:rsidRPr="00B1549E">
        <w:rPr>
          <w:rtl/>
        </w:rPr>
        <w:t>לג</w:t>
      </w:r>
      <w:r>
        <w:rPr>
          <w:rFonts w:hint="cs"/>
          <w:rtl/>
        </w:rPr>
        <w:t>,ב)</w:t>
      </w:r>
      <w:r w:rsidRPr="00B1549E">
        <w:rPr>
          <w:rtl/>
        </w:rPr>
        <w:t xml:space="preserve"> דחשיב לה לתרומה טמאה בהדי הנשרפין</w:t>
      </w:r>
      <w:r>
        <w:rPr>
          <w:rFonts w:hint="cs"/>
          <w:rtl/>
        </w:rPr>
        <w:t>,</w:t>
      </w:r>
      <w:r w:rsidRPr="00B1549E">
        <w:rPr>
          <w:rtl/>
        </w:rPr>
        <w:t xml:space="preserve"> וקאמר הנשרפין לא יקברו". אבל רש"י שם כתב</w:t>
      </w:r>
      <w:r>
        <w:rPr>
          <w:rFonts w:hint="cs"/>
          <w:rtl/>
        </w:rPr>
        <w:t>,</w:t>
      </w:r>
      <w:r w:rsidRPr="00B1549E">
        <w:rPr>
          <w:rtl/>
        </w:rPr>
        <w:t xml:space="preserve"> שבחול מותר ליתן תרומה טמאה לפני כלבו, ורק ביו"ט אסור דאין מבערין קדשים ביו"ט. וכ"כ רש"י בשבת קכו,ב: "דזו היא ביעורה מן העולם, </w:t>
      </w:r>
      <w:r w:rsidRPr="00B1549E">
        <w:rPr>
          <w:bCs/>
          <w:rtl/>
        </w:rPr>
        <w:t>או להיסק או לבהמה</w:t>
      </w:r>
      <w:r w:rsidRPr="00B1549E">
        <w:rPr>
          <w:rtl/>
        </w:rPr>
        <w:t>", וכן פירש"י במשנה פסחים מו,א. והרשב"א והרמב"ן בשבת שם נקטו כדברי התוס'. (והגאון ראי"ה קוק ז"ל ב"משפט כהן" סימן לח ביאר, שרש"י לטעמיה אזיל</w:t>
      </w:r>
      <w:r>
        <w:rPr>
          <w:rFonts w:hint="cs"/>
          <w:rtl/>
        </w:rPr>
        <w:t>,</w:t>
      </w:r>
      <w:r w:rsidRPr="00B1549E">
        <w:rPr>
          <w:rtl/>
        </w:rPr>
        <w:t xml:space="preserve"> שכתב בתרומה </w:t>
      </w:r>
      <w:r>
        <w:rPr>
          <w:rFonts w:hint="cs"/>
          <w:rtl/>
        </w:rPr>
        <w:t xml:space="preserve">שם </w:t>
      </w:r>
      <w:r w:rsidRPr="00B1549E">
        <w:rPr>
          <w:rtl/>
        </w:rPr>
        <w:t>שטעם השריפה הוא בכדי שלא יבואו לאכלו, וא"כ אין כאן מצות שריפה דוקא, אלא העיקר הוא לבערו. ולכן לדעתו ביעור דאכילת בהמה הוא כשריפה).</w:t>
      </w:r>
    </w:p>
    <w:p w14:paraId="059B3059" w14:textId="4B8BDCA2" w:rsidR="00575325" w:rsidRPr="00B1549E" w:rsidRDefault="00575325" w:rsidP="00423C6D">
      <w:pPr>
        <w:pStyle w:val="11"/>
        <w:bidi/>
        <w:rPr>
          <w:rtl/>
        </w:rPr>
      </w:pPr>
      <w:r w:rsidRPr="00B1549E">
        <w:rPr>
          <w:rFonts w:hint="cs"/>
          <w:rtl/>
        </w:rPr>
        <w:t>ג</w:t>
      </w:r>
    </w:p>
    <w:p w14:paraId="186B40F4" w14:textId="4F9C2318" w:rsidR="00575325" w:rsidRPr="00B1549E" w:rsidRDefault="00575325" w:rsidP="00423C6D">
      <w:pPr>
        <w:pStyle w:val="a2"/>
        <w:rPr>
          <w:rtl/>
        </w:rPr>
      </w:pPr>
      <w:r w:rsidRPr="00B1549E">
        <w:rPr>
          <w:rtl/>
        </w:rPr>
        <w:t xml:space="preserve">והנה בזה"ז כאשר מפרישים תרומה גדולה ותרומת מעשר, הרי אי אפשר ליתן התרומה </w:t>
      </w:r>
      <w:r w:rsidRPr="00B1549E">
        <w:rPr>
          <w:bCs/>
          <w:rtl/>
        </w:rPr>
        <w:t>לאכילה</w:t>
      </w:r>
      <w:r w:rsidRPr="00B1549E">
        <w:rPr>
          <w:rtl/>
        </w:rPr>
        <w:t xml:space="preserve"> לכהן, כיון שהכהנים בזה"ז הם בחזקת טמאים, וגם התרומה בחזקה שנטמאת כי כולנו טמאי מתים (ראה בסימן שלא סי"ט שלכן די בהפרשה כל שהוא בתרומה גדולה, ובביאור הגר"א ציין לבכורות כז,א. שאין הזאה בזה"ז. וראה ראב"ד הלכות נזירות פ"ה הט"ו: "והכהנים בזה"ז טמאי מת הן", ובמשל"מ שם שהרמב"ם אינו חולק על זה עי"ש).</w:t>
      </w:r>
    </w:p>
    <w:p w14:paraId="69614397" w14:textId="33FB2D4E" w:rsidR="00575325" w:rsidRPr="00B1549E" w:rsidRDefault="00575325" w:rsidP="00423C6D">
      <w:pPr>
        <w:pStyle w:val="a2"/>
        <w:rPr>
          <w:rtl/>
        </w:rPr>
      </w:pPr>
      <w:r w:rsidRPr="00B1549E">
        <w:rPr>
          <w:rtl/>
        </w:rPr>
        <w:lastRenderedPageBreak/>
        <w:t>ולכן, אם התרומה לא הוכשרה לקבל טומאה, באנו למחלוקת הרמב"ם והתוס' אם מותר להאכיל תרומה שהיא מאכל אדם, לבהמה. ואם התרומה הוכשרה לקבל טומאה, ונטמאה, באנו למחלוקת רש"י ותוס'</w:t>
      </w:r>
      <w:r>
        <w:rPr>
          <w:rFonts w:hint="cs"/>
          <w:rtl/>
        </w:rPr>
        <w:t>,</w:t>
      </w:r>
      <w:r w:rsidRPr="00B1549E">
        <w:rPr>
          <w:rtl/>
        </w:rPr>
        <w:t xml:space="preserve"> אם מצותה בשריפה דוקא</w:t>
      </w:r>
      <w:r>
        <w:rPr>
          <w:rFonts w:hint="cs"/>
          <w:rtl/>
        </w:rPr>
        <w:t>,</w:t>
      </w:r>
      <w:r w:rsidRPr="00B1549E">
        <w:rPr>
          <w:rtl/>
        </w:rPr>
        <w:t xml:space="preserve"> או אפשר להאכילה לבהמתו.</w:t>
      </w:r>
    </w:p>
    <w:p w14:paraId="476823E4" w14:textId="4605DE28" w:rsidR="00575325" w:rsidRPr="00B1549E" w:rsidRDefault="00575325" w:rsidP="00423C6D">
      <w:pPr>
        <w:pStyle w:val="a2"/>
        <w:rPr>
          <w:rtl/>
        </w:rPr>
      </w:pPr>
      <w:r w:rsidRPr="00B1549E">
        <w:rPr>
          <w:rtl/>
        </w:rPr>
        <w:t xml:space="preserve">והנה הרמ"א בסימן שלא סי"ט כתב: "וטוב להכשיר אותה (לקבלת טומאה ע"י מים) קודם מירוח, כדי שתקבל טומאה </w:t>
      </w:r>
      <w:r w:rsidRPr="00B1549E">
        <w:rPr>
          <w:bCs/>
          <w:rtl/>
        </w:rPr>
        <w:t>ויהא מותר לשריפה</w:t>
      </w:r>
      <w:r w:rsidRPr="00B1549E">
        <w:rPr>
          <w:rtl/>
        </w:rPr>
        <w:t>". ובש"ך סקל"ה: "אבל אחר מירוח שכבר נתחייב בתרומה אסור להכשירה לקבל טומאה, שאסור לגרום טומאה לתרומה טהורה".</w:t>
      </w:r>
    </w:p>
    <w:p w14:paraId="59C8B690" w14:textId="6A286FAF" w:rsidR="00575325" w:rsidRPr="00B1549E" w:rsidRDefault="00575325" w:rsidP="00423C6D">
      <w:pPr>
        <w:pStyle w:val="a2"/>
        <w:rPr>
          <w:rtl/>
        </w:rPr>
      </w:pPr>
      <w:r w:rsidRPr="00B1549E">
        <w:rPr>
          <w:rtl/>
        </w:rPr>
        <w:t xml:space="preserve">אבל היום שאנו קונים פירות בשוק ואין אנו יודעים אם הוכשרו, </w:t>
      </w:r>
      <w:r w:rsidRPr="00B1549E">
        <w:rPr>
          <w:bCs/>
          <w:rtl/>
        </w:rPr>
        <w:t>וזהו כבר אחר מירוח</w:t>
      </w:r>
      <w:r w:rsidRPr="00B1549E">
        <w:rPr>
          <w:rtl/>
        </w:rPr>
        <w:t xml:space="preserve"> ואסור לנו לגרום טומאה לתרומה טהורה, א"כ לדעת הש"ך אסור ליתן על הפירות מים קודם הפרשת התרו"מ. אבל בספר "ארץ ישראל" להגרי"מ טוקוצינסקי כתב</w:t>
      </w:r>
      <w:r>
        <w:rPr>
          <w:rFonts w:hint="cs"/>
          <w:rtl/>
        </w:rPr>
        <w:t>,</w:t>
      </w:r>
      <w:r w:rsidRPr="00B1549E">
        <w:rPr>
          <w:rtl/>
        </w:rPr>
        <w:t xml:space="preserve"> שרבים מקילין להכשיר בזה"ז גם לאחר המירוח, וכ"כ בביאור הגר"א שם סוף סק"נ</w:t>
      </w:r>
      <w:r>
        <w:rPr>
          <w:rFonts w:hint="cs"/>
          <w:rtl/>
        </w:rPr>
        <w:t>,</w:t>
      </w:r>
      <w:r w:rsidRPr="00B1549E">
        <w:rPr>
          <w:rtl/>
        </w:rPr>
        <w:t xml:space="preserve"> דמאחר שתרומה בזה"ז דרבנן אפשר שמותר להכשירה גם אחר המירוח. (ולכאורה </w:t>
      </w:r>
      <w:r>
        <w:rPr>
          <w:rFonts w:hint="cs"/>
          <w:rtl/>
        </w:rPr>
        <w:t xml:space="preserve">יש בזה </w:t>
      </w:r>
      <w:r w:rsidRPr="00B1549E">
        <w:rPr>
          <w:rtl/>
        </w:rPr>
        <w:t xml:space="preserve">גם מעלה, כי אם לא יכשירו הפירות ויגעו בהם לטמאם קודם ההפרשה, הרי יש חשש </w:t>
      </w:r>
      <w:r w:rsidRPr="00B1549E">
        <w:rPr>
          <w:bCs/>
          <w:rtl/>
        </w:rPr>
        <w:t>שהתרומה עצמה</w:t>
      </w:r>
      <w:r w:rsidRPr="00B1549E">
        <w:rPr>
          <w:rtl/>
        </w:rPr>
        <w:t xml:space="preserve"> תוכשר לאחר ההפרשה, ויגעו בה ויטמאו תרומה טהורה).</w:t>
      </w:r>
    </w:p>
    <w:p w14:paraId="0A8E4DED" w14:textId="2C516D88" w:rsidR="00575325" w:rsidRPr="00B1549E" w:rsidRDefault="00575325" w:rsidP="00423C6D">
      <w:pPr>
        <w:pStyle w:val="a2"/>
        <w:rPr>
          <w:rtl/>
        </w:rPr>
      </w:pPr>
      <w:r w:rsidRPr="00B1549E">
        <w:rPr>
          <w:rtl/>
        </w:rPr>
        <w:t>ולמעשה נוהגים היום שאין שורפין את התרומה, אלא קוברים אותה (שהקבורה היא גם ע"י שמכניסין אותה באשפה כשהיא עטופה מפני הכבוד). ולכן אין צורך להכשיר את הפירות קודם ההפרשה</w:t>
      </w:r>
      <w:r>
        <w:rPr>
          <w:rFonts w:hint="cs"/>
          <w:rtl/>
        </w:rPr>
        <w:t>,</w:t>
      </w:r>
      <w:r w:rsidRPr="00B1549E">
        <w:rPr>
          <w:rtl/>
        </w:rPr>
        <w:t xml:space="preserve"> כי לא שורפים את התרומה. וגם שסומכים על זה שכבר קיבלו מים קודם לכן בעת הכנתם לשיווק, </w:t>
      </w:r>
      <w:r w:rsidRPr="00B1549E">
        <w:rPr>
          <w:bCs/>
          <w:rtl/>
        </w:rPr>
        <w:t>וכבר נטמאו</w:t>
      </w:r>
      <w:r w:rsidRPr="00B1549E">
        <w:rPr>
          <w:rtl/>
        </w:rPr>
        <w:t xml:space="preserve"> ואין חשש שיטמאו עתה את התרומה.</w:t>
      </w:r>
    </w:p>
    <w:p w14:paraId="721BE9C6" w14:textId="4AE3D5E5" w:rsidR="00575325" w:rsidRPr="00575325" w:rsidRDefault="00575325" w:rsidP="00423C6D">
      <w:pPr>
        <w:pStyle w:val="11"/>
        <w:bidi/>
        <w:rPr>
          <w:rtl/>
        </w:rPr>
      </w:pPr>
      <w:r w:rsidRPr="00B1549E">
        <w:rPr>
          <w:rFonts w:hint="cs"/>
          <w:rtl/>
        </w:rPr>
        <w:t>ד</w:t>
      </w:r>
    </w:p>
    <w:p w14:paraId="58FDD79D" w14:textId="219183B7" w:rsidR="00575325" w:rsidRPr="00B1549E" w:rsidRDefault="00575325" w:rsidP="00423C6D">
      <w:pPr>
        <w:pStyle w:val="a2"/>
        <w:rPr>
          <w:rtl/>
        </w:rPr>
      </w:pPr>
      <w:r w:rsidRPr="00B1549E">
        <w:rPr>
          <w:rtl/>
        </w:rPr>
        <w:t xml:space="preserve">והנה הקבורה היא רק בהפרשה הביתית, שלא מדובר בכמויות גדולות. אבל במערכת הציבורית כגון בפרדס, בשדה, או בבית האריזה ובטחנת הקמח וכו', הנה הא ניחא בתרומה גדולה, הרי מהתורה חיטה אחת פוטרת את כל הכרי, ובזה"ז אכן מפרישים רק כל שהוא. אבל </w:t>
      </w:r>
      <w:r w:rsidRPr="00B1549E">
        <w:rPr>
          <w:bCs/>
          <w:rtl/>
        </w:rPr>
        <w:t>התרומת מעשר</w:t>
      </w:r>
      <w:r w:rsidRPr="00B1549E">
        <w:rPr>
          <w:rtl/>
        </w:rPr>
        <w:t xml:space="preserve"> שהיא אחוז אחד מכל הפירות, הרי בזה יש מבוכה גדולה כבר עשרות שנים (מאז שהחלו לגדול כמויות גדולות של ירקות ופירות ותבואה בארץ ישראל, ובפרט אצל יהודים שומרי תורה ומצוות).</w:t>
      </w:r>
    </w:p>
    <w:p w14:paraId="11208A59" w14:textId="6676CEEE" w:rsidR="00575325" w:rsidRPr="00B1549E" w:rsidRDefault="00575325" w:rsidP="00423C6D">
      <w:pPr>
        <w:pStyle w:val="a2"/>
        <w:rPr>
          <w:rtl/>
        </w:rPr>
      </w:pPr>
      <w:r w:rsidRPr="00B1549E">
        <w:rPr>
          <w:rtl/>
        </w:rPr>
        <w:t xml:space="preserve">כי לקבור כמויות אדירות של פירות אין אפשרות טכנית, וגם שעי"ז </w:t>
      </w:r>
      <w:r w:rsidRPr="00B1549E">
        <w:rPr>
          <w:bCs/>
          <w:rtl/>
        </w:rPr>
        <w:t>מכשילים את הרבים,</w:t>
      </w:r>
      <w:r w:rsidRPr="00B1549E">
        <w:rPr>
          <w:rtl/>
        </w:rPr>
        <w:t xml:space="preserve"> שסוחרים שאינם מהוגנים יבואו ליקח משם וימכרו התרומה לרבים, </w:t>
      </w:r>
      <w:r w:rsidRPr="00B1549E">
        <w:rPr>
          <w:rtl/>
        </w:rPr>
        <w:lastRenderedPageBreak/>
        <w:t xml:space="preserve">ויאכלו זרים תרומה רח"ל. וגם לשרוף (לאחר שהכשירו הפירות לטומאה לפני המירוח) אין הדבר פשוט, כי לא כל הפירות ניתנים טכנית לשריפה בקלות (ובעיקר שהמגדלים והמשווקים </w:t>
      </w:r>
      <w:r w:rsidRPr="00B1549E">
        <w:rPr>
          <w:bCs/>
          <w:rtl/>
        </w:rPr>
        <w:t>אינם רוצים להפסיד</w:t>
      </w:r>
      <w:r w:rsidRPr="00B1549E">
        <w:rPr>
          <w:rtl/>
        </w:rPr>
        <w:t xml:space="preserve"> כל כך הרבה סחורה, שיכולים להגיע להפסד של עשרות טונות בשנה).</w:t>
      </w:r>
    </w:p>
    <w:p w14:paraId="3F73D53A" w14:textId="76ED7D4A" w:rsidR="00575325" w:rsidRPr="00B1549E" w:rsidRDefault="00575325" w:rsidP="00423C6D">
      <w:pPr>
        <w:pStyle w:val="a2"/>
        <w:rPr>
          <w:rtl/>
        </w:rPr>
      </w:pPr>
      <w:r w:rsidRPr="00B1549E">
        <w:rPr>
          <w:rtl/>
        </w:rPr>
        <w:t xml:space="preserve">ומה שנהגו בפועל בכמה מקומות הוא, שמוכרים רפת של פרות או לול של תרנגולין (או את הבהמות והחיות ב"גן החיות") לאיזה כהן, ומאכילים את התרומת מעשר לבהמות והחיות הנמצאים שם. אבל בזה יש </w:t>
      </w:r>
      <w:r w:rsidRPr="00B1549E">
        <w:rPr>
          <w:bCs/>
          <w:rtl/>
        </w:rPr>
        <w:t>כמה בעיות</w:t>
      </w:r>
      <w:r w:rsidRPr="00B1549E">
        <w:rPr>
          <w:rtl/>
        </w:rPr>
        <w:t>. דמלבד מה שלפי התוס' אסור להאכיל לבהמה תרומה טמאה שמצותה בשריפה דוקא כנ"ל (וכן פסק החזו"א במעשרות ז,יג. ובשביעית ה,יב. שהלכה כתוס' שמצותה בשריפה דוקא). הרי גם אם ננקוט כשיטת רש"י דלעיל, עדיין יש בזה כמה מכשולים:</w:t>
      </w:r>
    </w:p>
    <w:p w14:paraId="628A5FA8" w14:textId="0FEC7141" w:rsidR="00575325" w:rsidRPr="00B1549E" w:rsidRDefault="00575325" w:rsidP="00423C6D">
      <w:pPr>
        <w:pStyle w:val="a2"/>
        <w:rPr>
          <w:rtl/>
        </w:rPr>
      </w:pPr>
      <w:r w:rsidRPr="00B1549E">
        <w:rPr>
          <w:rtl/>
        </w:rPr>
        <w:t>א</w:t>
      </w:r>
      <w:r>
        <w:rPr>
          <w:rFonts w:hint="cs"/>
          <w:rtl/>
        </w:rPr>
        <w:t>)</w:t>
      </w:r>
      <w:r w:rsidRPr="00B1549E">
        <w:rPr>
          <w:rtl/>
        </w:rPr>
        <w:t xml:space="preserve"> שבשעה שמביאים לרפת או ללול (או ל"גן החיות") בהמה </w:t>
      </w:r>
      <w:r w:rsidRPr="00B1549E">
        <w:rPr>
          <w:bCs/>
          <w:rtl/>
        </w:rPr>
        <w:t>חדשה</w:t>
      </w:r>
      <w:r w:rsidRPr="00B1549E">
        <w:rPr>
          <w:rtl/>
        </w:rPr>
        <w:t xml:space="preserve"> או אפרוחים </w:t>
      </w:r>
      <w:r w:rsidRPr="00B1549E">
        <w:rPr>
          <w:bCs/>
          <w:rtl/>
        </w:rPr>
        <w:t>חדשים</w:t>
      </w:r>
      <w:r w:rsidRPr="00B1549E">
        <w:rPr>
          <w:rtl/>
        </w:rPr>
        <w:t xml:space="preserve"> וכו', הרי לא שייך לרוץ בכל פעם לכהן ולמכור לו את המשלוח החדש שהגיע. ואי אפשר לעשות חוזה מלכתחילה ע"ז, כי אין אדם מוכר דבר שלא בא לעולם.</w:t>
      </w:r>
    </w:p>
    <w:p w14:paraId="05A9D62D" w14:textId="7CC17758" w:rsidR="00575325" w:rsidRPr="00B1549E" w:rsidRDefault="00575325" w:rsidP="00423C6D">
      <w:pPr>
        <w:pStyle w:val="a2"/>
        <w:rPr>
          <w:rtl/>
        </w:rPr>
      </w:pPr>
      <w:r>
        <w:rPr>
          <w:rtl/>
        </w:rPr>
        <w:t>ב</w:t>
      </w:r>
      <w:r>
        <w:rPr>
          <w:rFonts w:hint="cs"/>
          <w:rtl/>
        </w:rPr>
        <w:t>)</w:t>
      </w:r>
      <w:r w:rsidRPr="00B1549E">
        <w:rPr>
          <w:rtl/>
        </w:rPr>
        <w:t xml:space="preserve"> שהרי הבהמות אוכלות </w:t>
      </w:r>
      <w:r w:rsidRPr="00B1549E">
        <w:rPr>
          <w:b/>
          <w:bCs/>
          <w:rtl/>
        </w:rPr>
        <w:t>גם בשבת ויו"ט</w:t>
      </w:r>
      <w:r w:rsidRPr="00B1549E">
        <w:rPr>
          <w:rtl/>
        </w:rPr>
        <w:t xml:space="preserve">, וגם לפי דעת רש"י אסור להאכיל תרומה לבהמת כהן בשבת ויו"ט, דכל </w:t>
      </w:r>
      <w:r>
        <w:rPr>
          <w:rFonts w:hint="cs"/>
          <w:rtl/>
        </w:rPr>
        <w:t>מ</w:t>
      </w:r>
      <w:r w:rsidRPr="00B1549E">
        <w:rPr>
          <w:rtl/>
        </w:rPr>
        <w:t>ה</w:t>
      </w:r>
      <w:r>
        <w:rPr>
          <w:rFonts w:hint="cs"/>
          <w:rtl/>
        </w:rPr>
        <w:t xml:space="preserve"> </w:t>
      </w:r>
      <w:r w:rsidRPr="00B1549E">
        <w:rPr>
          <w:rtl/>
        </w:rPr>
        <w:t>שמתיר להאכיל לבהמה</w:t>
      </w:r>
      <w:r>
        <w:rPr>
          <w:rFonts w:hint="cs"/>
          <w:rtl/>
        </w:rPr>
        <w:t>,</w:t>
      </w:r>
      <w:r w:rsidRPr="00B1549E">
        <w:rPr>
          <w:rtl/>
        </w:rPr>
        <w:t xml:space="preserve"> הוא משום שזה כמו שריפה, </w:t>
      </w:r>
      <w:r w:rsidRPr="00B1549E">
        <w:rPr>
          <w:bCs/>
          <w:rtl/>
        </w:rPr>
        <w:t>ואין שורפין קדשים ביו"ט</w:t>
      </w:r>
      <w:r w:rsidRPr="00B1549E">
        <w:rPr>
          <w:rtl/>
        </w:rPr>
        <w:t>.</w:t>
      </w:r>
    </w:p>
    <w:p w14:paraId="55D1E6DF" w14:textId="250C55AB" w:rsidR="00575325" w:rsidRPr="00B1549E" w:rsidRDefault="00575325" w:rsidP="00423C6D">
      <w:pPr>
        <w:pStyle w:val="a2"/>
        <w:rPr>
          <w:rtl/>
        </w:rPr>
      </w:pPr>
      <w:r>
        <w:rPr>
          <w:rtl/>
        </w:rPr>
        <w:t>ג</w:t>
      </w:r>
      <w:r>
        <w:rPr>
          <w:rFonts w:hint="cs"/>
          <w:rtl/>
        </w:rPr>
        <w:t>)</w:t>
      </w:r>
      <w:r w:rsidRPr="00B1549E">
        <w:rPr>
          <w:rtl/>
        </w:rPr>
        <w:t xml:space="preserve"> שהיום נהוג למכור בהמה המבכרת לגוי, בכדי להפטר מבעיית הבכורות. וא"כ כאן יצא שכרו בהפסדו, שמכרו הבהמה לגוי, </w:t>
      </w:r>
      <w:r w:rsidRPr="00B1549E">
        <w:rPr>
          <w:bCs/>
          <w:rtl/>
        </w:rPr>
        <w:t>ובהמה זו השייכת לנכרי</w:t>
      </w:r>
      <w:r w:rsidRPr="00B1549E">
        <w:rPr>
          <w:rtl/>
        </w:rPr>
        <w:t xml:space="preserve"> אוכלת בתרומה עם כל חברותיה הבהמות האחרות.</w:t>
      </w:r>
    </w:p>
    <w:p w14:paraId="4DBAEF54" w14:textId="653F4DC5" w:rsidR="00575325" w:rsidRPr="00B1549E" w:rsidRDefault="00575325" w:rsidP="00423C6D">
      <w:pPr>
        <w:pStyle w:val="a2"/>
        <w:rPr>
          <w:rtl/>
        </w:rPr>
      </w:pPr>
      <w:r>
        <w:rPr>
          <w:rtl/>
        </w:rPr>
        <w:t>ד</w:t>
      </w:r>
      <w:r>
        <w:rPr>
          <w:rFonts w:hint="cs"/>
          <w:rtl/>
        </w:rPr>
        <w:t>)</w:t>
      </w:r>
      <w:r w:rsidRPr="00B1549E">
        <w:rPr>
          <w:rtl/>
        </w:rPr>
        <w:t xml:space="preserve"> דאיזו הערמה היא זו שמוכרים הרפת והלול לכהן</w:t>
      </w:r>
      <w:r>
        <w:rPr>
          <w:rFonts w:hint="cs"/>
          <w:rtl/>
        </w:rPr>
        <w:t>,</w:t>
      </w:r>
      <w:r w:rsidRPr="00B1549E">
        <w:rPr>
          <w:rtl/>
        </w:rPr>
        <w:t xml:space="preserve"> והאם כאשר באים לשחוט בהמה או למכור תרנגולים</w:t>
      </w:r>
      <w:r>
        <w:rPr>
          <w:rFonts w:hint="cs"/>
          <w:rtl/>
        </w:rPr>
        <w:t>,</w:t>
      </w:r>
      <w:r w:rsidRPr="00B1549E">
        <w:rPr>
          <w:rtl/>
        </w:rPr>
        <w:t xml:space="preserve"> שואלים רשות מהכהן "הקונה"?</w:t>
      </w:r>
    </w:p>
    <w:p w14:paraId="17B4AEC4" w14:textId="489777CD" w:rsidR="00575325" w:rsidRPr="00B1549E" w:rsidRDefault="00575325" w:rsidP="00423C6D">
      <w:pPr>
        <w:pStyle w:val="a2"/>
        <w:rPr>
          <w:rtl/>
        </w:rPr>
      </w:pPr>
      <w:r w:rsidRPr="00B1549E">
        <w:rPr>
          <w:rtl/>
        </w:rPr>
        <w:t>הרי רבו עד למאד הבעיות והספיקות בזה, מה לעשות עם התרומת מעשר.</w:t>
      </w:r>
    </w:p>
    <w:p w14:paraId="0B00D1CD" w14:textId="75DBC943" w:rsidR="00575325" w:rsidRPr="00575325" w:rsidRDefault="00575325" w:rsidP="00423C6D">
      <w:pPr>
        <w:pStyle w:val="11"/>
        <w:bidi/>
        <w:rPr>
          <w:rtl/>
        </w:rPr>
      </w:pPr>
      <w:r w:rsidRPr="00B1549E">
        <w:rPr>
          <w:rFonts w:hint="cs"/>
          <w:rtl/>
        </w:rPr>
        <w:t>ה</w:t>
      </w:r>
    </w:p>
    <w:p w14:paraId="1931AF4C" w14:textId="0BC50EB9" w:rsidR="00575325" w:rsidRPr="00B1549E" w:rsidRDefault="00575325" w:rsidP="00423C6D">
      <w:pPr>
        <w:pStyle w:val="a2"/>
        <w:rPr>
          <w:rtl/>
        </w:rPr>
      </w:pPr>
      <w:r w:rsidRPr="00B1549E">
        <w:rPr>
          <w:rtl/>
        </w:rPr>
        <w:t xml:space="preserve">והנה כל זה הוא בכל השנה כולה. אבל בחיטים למצה שמורה, תגדל המבוכה כמה וכמה. שהרי חיטים "שמורים" אלו אסורים בשום אופן לבוא במגע עם מים, שלא יחמיצו. ואם כן בודאי </w:t>
      </w:r>
      <w:r w:rsidRPr="00B1549E">
        <w:rPr>
          <w:bCs/>
          <w:rtl/>
        </w:rPr>
        <w:t>שלא הוכשרו</w:t>
      </w:r>
      <w:r w:rsidRPr="00B1549E">
        <w:rPr>
          <w:rtl/>
        </w:rPr>
        <w:t xml:space="preserve"> לטומאה קודם ההפרשה. ואחרי ההפרשה שיש לנו כבר תרומת מעשר שהיא </w:t>
      </w:r>
      <w:r w:rsidRPr="00B1549E">
        <w:rPr>
          <w:bCs/>
          <w:rtl/>
        </w:rPr>
        <w:t>בודאי תרומה טהורה</w:t>
      </w:r>
      <w:r w:rsidRPr="00B1549E">
        <w:rPr>
          <w:rtl/>
        </w:rPr>
        <w:t>, אם כן מה נעשה עם החיטים?</w:t>
      </w:r>
    </w:p>
    <w:p w14:paraId="0E2217A6" w14:textId="21D27A98" w:rsidR="00575325" w:rsidRPr="00B1549E" w:rsidRDefault="00575325" w:rsidP="00423C6D">
      <w:pPr>
        <w:pStyle w:val="a2"/>
        <w:rPr>
          <w:rtl/>
        </w:rPr>
      </w:pPr>
      <w:r w:rsidRPr="00B1549E">
        <w:rPr>
          <w:rtl/>
        </w:rPr>
        <w:lastRenderedPageBreak/>
        <w:t xml:space="preserve">אם נרצה ליתנם לבהמה, הרי באנו למחלוקת התוס' והרמב"ם, וכנ"ל שהפוסקים כתבו כתוס' (שמקורו בתו"כ) </w:t>
      </w:r>
      <w:r w:rsidRPr="00B1549E">
        <w:rPr>
          <w:bCs/>
          <w:rtl/>
        </w:rPr>
        <w:t>שאסור ליתן תרומה טהורה לבהמה</w:t>
      </w:r>
      <w:r w:rsidRPr="00B1549E">
        <w:rPr>
          <w:rtl/>
        </w:rPr>
        <w:t>. וגם יש לנו אזהרת הסיפור הנורא של התנא דבי אליהו</w:t>
      </w:r>
      <w:r>
        <w:rPr>
          <w:rFonts w:hint="cs"/>
          <w:rtl/>
        </w:rPr>
        <w:t>,</w:t>
      </w:r>
      <w:r w:rsidRPr="00B1549E">
        <w:rPr>
          <w:rtl/>
        </w:rPr>
        <w:t xml:space="preserve"> שעוברים על "ולא תחללו את קדשי בני ישראל". ואם נרצה לטמא את התרומה, ולסמוך על רש"י שמותר ליתן תרומה טמאה לבהמה, הרי זה אי אפשר בשום אופן, </w:t>
      </w:r>
      <w:r w:rsidRPr="00B1549E">
        <w:rPr>
          <w:bCs/>
          <w:rtl/>
        </w:rPr>
        <w:t>כי אסור לטמא תרומה בידים</w:t>
      </w:r>
      <w:r w:rsidRPr="00B1549E">
        <w:rPr>
          <w:rtl/>
        </w:rPr>
        <w:t>. ולכן יש כאן כדברי כ"ק אדמו"ר  "</w:t>
      </w:r>
      <w:r w:rsidRPr="00B1549E">
        <w:rPr>
          <w:bCs/>
          <w:rtl/>
        </w:rPr>
        <w:t>ענין מסובך</w:t>
      </w:r>
      <w:r w:rsidRPr="00B1549E">
        <w:rPr>
          <w:rtl/>
        </w:rPr>
        <w:t>".</w:t>
      </w:r>
    </w:p>
    <w:p w14:paraId="7A452A99" w14:textId="22B5D337" w:rsidR="00575325" w:rsidRPr="00B1549E" w:rsidRDefault="00575325" w:rsidP="00423C6D">
      <w:pPr>
        <w:pStyle w:val="a2"/>
        <w:rPr>
          <w:rtl/>
        </w:rPr>
      </w:pPr>
      <w:r w:rsidRPr="00B1549E">
        <w:rPr>
          <w:rtl/>
        </w:rPr>
        <w:t>אלא שבאמת להנמצאים בארץ יש בזה "הנהגה ברורה ופשוטה" ("</w:t>
      </w:r>
      <w:r w:rsidRPr="00B1549E">
        <w:rPr>
          <w:bCs/>
          <w:rtl/>
        </w:rPr>
        <w:t>פשוטה</w:t>
      </w:r>
      <w:r w:rsidRPr="00B1549E">
        <w:rPr>
          <w:rtl/>
        </w:rPr>
        <w:t xml:space="preserve">" כוונתו שכן </w:t>
      </w:r>
      <w:r w:rsidRPr="00B1549E">
        <w:rPr>
          <w:bCs/>
          <w:rtl/>
        </w:rPr>
        <w:t>פשט</w:t>
      </w:r>
      <w:r w:rsidRPr="00B1549E">
        <w:rPr>
          <w:rtl/>
        </w:rPr>
        <w:t xml:space="preserve"> הדבר ונתקבל, </w:t>
      </w:r>
      <w:r w:rsidRPr="00B1549E">
        <w:rPr>
          <w:bCs/>
          <w:rtl/>
        </w:rPr>
        <w:t>אבל אין זה פשוט כלל כנ"ל</w:t>
      </w:r>
      <w:r w:rsidRPr="00B1549E">
        <w:rPr>
          <w:rtl/>
        </w:rPr>
        <w:t>), וההנהגה בזה בארץ היא</w:t>
      </w:r>
      <w:r>
        <w:rPr>
          <w:rFonts w:hint="cs"/>
          <w:rtl/>
        </w:rPr>
        <w:t>,</w:t>
      </w:r>
      <w:r w:rsidRPr="00B1549E">
        <w:rPr>
          <w:rtl/>
        </w:rPr>
        <w:t xml:space="preserve"> שאמנם נותנים התרומה לבהמת כהן, ומתגברים על האיסור של האכלת בהמה בתרומה הראויה לאדם, על ידי כמה עיצות:</w:t>
      </w:r>
    </w:p>
    <w:p w14:paraId="4A802D89" w14:textId="77777777" w:rsidR="00575325" w:rsidRPr="00B1549E" w:rsidRDefault="00575325" w:rsidP="00423C6D">
      <w:pPr>
        <w:pStyle w:val="a2"/>
        <w:rPr>
          <w:rtl/>
        </w:rPr>
      </w:pPr>
      <w:r w:rsidRPr="00B1549E">
        <w:rPr>
          <w:rtl/>
        </w:rPr>
        <w:t>א</w:t>
      </w:r>
      <w:r>
        <w:rPr>
          <w:rFonts w:hint="cs"/>
          <w:rtl/>
        </w:rPr>
        <w:t>)</w:t>
      </w:r>
      <w:r w:rsidRPr="00B1549E">
        <w:rPr>
          <w:rtl/>
        </w:rPr>
        <w:t xml:space="preserve"> שמאחר שבזמן הזה אסור לכהן לאכול תרומה, הרי </w:t>
      </w:r>
      <w:r w:rsidRPr="00B1549E">
        <w:rPr>
          <w:bCs/>
          <w:rtl/>
        </w:rPr>
        <w:t>כל התרומה דינה כמו "כרשינין"</w:t>
      </w:r>
      <w:r w:rsidRPr="00B1549E">
        <w:rPr>
          <w:rtl/>
        </w:rPr>
        <w:t xml:space="preserve">. </w:t>
      </w:r>
    </w:p>
    <w:p w14:paraId="1F7AEDD8" w14:textId="3474AF16" w:rsidR="00575325" w:rsidRPr="00B1549E" w:rsidRDefault="00575325" w:rsidP="00423C6D">
      <w:pPr>
        <w:pStyle w:val="a2"/>
        <w:rPr>
          <w:rtl/>
        </w:rPr>
      </w:pPr>
      <w:r w:rsidRPr="00B1549E">
        <w:rPr>
          <w:rtl/>
        </w:rPr>
        <w:t>ב</w:t>
      </w:r>
      <w:r>
        <w:rPr>
          <w:rFonts w:hint="cs"/>
          <w:rtl/>
        </w:rPr>
        <w:t>)</w:t>
      </w:r>
      <w:r w:rsidRPr="00B1549E">
        <w:rPr>
          <w:rtl/>
        </w:rPr>
        <w:t xml:space="preserve"> שנותנים את התרומה לבהמת הכהן</w:t>
      </w:r>
      <w:r>
        <w:rPr>
          <w:rFonts w:hint="cs"/>
          <w:rtl/>
        </w:rPr>
        <w:t>,</w:t>
      </w:r>
      <w:r w:rsidRPr="00B1549E">
        <w:rPr>
          <w:rtl/>
        </w:rPr>
        <w:t xml:space="preserve"> </w:t>
      </w:r>
      <w:r w:rsidRPr="00B1549E">
        <w:rPr>
          <w:b/>
          <w:bCs/>
          <w:rtl/>
        </w:rPr>
        <w:t>לפני שמנקים</w:t>
      </w:r>
      <w:r w:rsidRPr="00B1549E">
        <w:rPr>
          <w:rtl/>
        </w:rPr>
        <w:t xml:space="preserve"> אותה מהפסולת שלה, ואז אין היא ראויה כל כך למאכל אדם. ג</w:t>
      </w:r>
      <w:r>
        <w:rPr>
          <w:rFonts w:hint="cs"/>
          <w:rtl/>
        </w:rPr>
        <w:t>)</w:t>
      </w:r>
      <w:r w:rsidRPr="00B1549E">
        <w:rPr>
          <w:rtl/>
        </w:rPr>
        <w:t xml:space="preserve"> שמניחין הפירות לכמה ימים עד </w:t>
      </w:r>
      <w:r w:rsidRPr="00B1549E">
        <w:rPr>
          <w:b/>
          <w:bCs/>
          <w:rtl/>
        </w:rPr>
        <w:t>שלא יהיו ראוים למאכל אדם</w:t>
      </w:r>
      <w:r w:rsidRPr="00B1549E">
        <w:rPr>
          <w:rtl/>
        </w:rPr>
        <w:t>, ורק אז מאכילים אותם לבהמות (ויש בזה חשש שבינתיים יכשלו באכילתם). ד</w:t>
      </w:r>
      <w:r>
        <w:rPr>
          <w:rFonts w:hint="cs"/>
          <w:rtl/>
        </w:rPr>
        <w:t>)</w:t>
      </w:r>
      <w:r w:rsidRPr="00B1549E">
        <w:rPr>
          <w:rtl/>
        </w:rPr>
        <w:t xml:space="preserve"> שלא נותנים הפירות בידים לבהמות, אלא רק </w:t>
      </w:r>
      <w:r w:rsidRPr="00B1549E">
        <w:rPr>
          <w:b/>
          <w:bCs/>
          <w:rtl/>
        </w:rPr>
        <w:t xml:space="preserve">מניחין </w:t>
      </w:r>
      <w:r w:rsidRPr="00B1549E">
        <w:rPr>
          <w:rtl/>
        </w:rPr>
        <w:t>לפניהם, והוי רק גרמא.</w:t>
      </w:r>
    </w:p>
    <w:p w14:paraId="784843ED" w14:textId="7B6DAB1E" w:rsidR="00575325" w:rsidRPr="00B1549E" w:rsidRDefault="00575325" w:rsidP="00423C6D">
      <w:pPr>
        <w:pStyle w:val="a2"/>
        <w:rPr>
          <w:rtl/>
        </w:rPr>
      </w:pPr>
      <w:r w:rsidRPr="00B1549E">
        <w:rPr>
          <w:rtl/>
        </w:rPr>
        <w:t>אבל כל אלו הם היתרים דחוקים מאד, שאף שבספר "המעשר והתרומה" (להגרח"ז גרוסברג, פ"י הערה כ"ד) הביא כמה מגדולי ישראל וביניהם ה"תורת חסד" שהתירו ליתן בזמן הזה תרומה טהורה לבהמת כהן, אבל כמה מגדולי הפוסקים דחו זאת. וגם כמה מאלו שהתירו כתבו, שההיתר הוא רק לגבי זה ש"</w:t>
      </w:r>
      <w:r w:rsidRPr="00B1549E">
        <w:rPr>
          <w:bCs/>
          <w:rtl/>
        </w:rPr>
        <w:t>אין למחות</w:t>
      </w:r>
      <w:r w:rsidRPr="00B1549E">
        <w:rPr>
          <w:rtl/>
        </w:rPr>
        <w:t xml:space="preserve">" למקילין, אבל אין הם יכולים להתיר כן בפירוש. ובספר </w:t>
      </w:r>
      <w:r>
        <w:rPr>
          <w:rFonts w:hint="cs"/>
          <w:rtl/>
        </w:rPr>
        <w:t>"</w:t>
      </w:r>
      <w:r w:rsidRPr="00B1549E">
        <w:rPr>
          <w:rtl/>
        </w:rPr>
        <w:t>משפט כהן</w:t>
      </w:r>
      <w:r>
        <w:rPr>
          <w:rFonts w:hint="cs"/>
          <w:rtl/>
        </w:rPr>
        <w:t>"</w:t>
      </w:r>
      <w:r w:rsidRPr="00B1549E">
        <w:rPr>
          <w:rtl/>
        </w:rPr>
        <w:t xml:space="preserve"> של ה</w:t>
      </w:r>
      <w:r>
        <w:rPr>
          <w:rFonts w:hint="cs"/>
          <w:rtl/>
        </w:rPr>
        <w:t>ג</w:t>
      </w:r>
      <w:r w:rsidRPr="00B1549E">
        <w:rPr>
          <w:rtl/>
        </w:rPr>
        <w:t>ר</w:t>
      </w:r>
      <w:r>
        <w:rPr>
          <w:rFonts w:hint="cs"/>
          <w:rtl/>
        </w:rPr>
        <w:t>אי"ה</w:t>
      </w:r>
      <w:r w:rsidRPr="00B1549E">
        <w:rPr>
          <w:rtl/>
        </w:rPr>
        <w:t xml:space="preserve"> קוק סיכם (בסימן הנ"ל): "ומשמעות הפוסקים כולם, </w:t>
      </w:r>
      <w:r w:rsidRPr="00B1549E">
        <w:rPr>
          <w:b/>
          <w:bCs/>
          <w:rtl/>
        </w:rPr>
        <w:t>שאין עיצה לתרומה טהורה אלא בקבורה</w:t>
      </w:r>
      <w:r w:rsidRPr="00B1549E">
        <w:rPr>
          <w:rtl/>
        </w:rPr>
        <w:t>".</w:t>
      </w:r>
    </w:p>
    <w:p w14:paraId="748FC138" w14:textId="394A8CB8" w:rsidR="00575325" w:rsidRPr="00575325" w:rsidRDefault="00575325" w:rsidP="00423C6D">
      <w:pPr>
        <w:pStyle w:val="a2"/>
        <w:rPr>
          <w:rtl/>
        </w:rPr>
      </w:pPr>
      <w:r w:rsidRPr="00B1549E">
        <w:rPr>
          <w:rtl/>
        </w:rPr>
        <w:t xml:space="preserve">ובפרט שכל ההיתר שלהם הוא רק כאשר נותנים התרומה לבהמת כהן ממש, אבל לא באופן הנ"ל שמוכרים הבהמות והעופות לכהן, שבזה עדיין </w:t>
      </w:r>
      <w:r w:rsidRPr="00B1549E">
        <w:rPr>
          <w:bCs/>
          <w:rtl/>
        </w:rPr>
        <w:t>לא פתרנו כלל</w:t>
      </w:r>
      <w:r w:rsidRPr="00B1549E">
        <w:rPr>
          <w:rtl/>
        </w:rPr>
        <w:t xml:space="preserve"> את ארבעת המכשולים שהזכרנו לעיל!</w:t>
      </w:r>
    </w:p>
    <w:p w14:paraId="509EB6D7" w14:textId="385F418F" w:rsidR="00575325" w:rsidRPr="00575325" w:rsidRDefault="00575325" w:rsidP="00423C6D">
      <w:pPr>
        <w:pStyle w:val="a2"/>
        <w:rPr>
          <w:rtl/>
        </w:rPr>
      </w:pPr>
      <w:r w:rsidRPr="00B1549E">
        <w:rPr>
          <w:rtl/>
        </w:rPr>
        <w:t>ומעתה, כמה עמקו דברי הרבי: "הנה כיון שקשור זה בעניני תרומות ומעשרות, עדיין לא באתי לידי מסקנא בענין מסובך זה.. ואף שלהנמצאים בארץ יש הנהגה ברורה ופשוטה בזה, הרי בודאי בדאי אפשר שא</w:t>
      </w:r>
      <w:r>
        <w:rPr>
          <w:rtl/>
        </w:rPr>
        <w:t>ני. משא"כ להנמצאים בחו"ל וד"ל".</w:t>
      </w:r>
    </w:p>
    <w:p w14:paraId="4BFE1EEE" w14:textId="3AB1CD20" w:rsidR="00FA4DBF" w:rsidRPr="00FA4DBF" w:rsidRDefault="00FA4DBF" w:rsidP="00FA4DBF">
      <w:pPr>
        <w:pStyle w:val="12"/>
        <w:rPr>
          <w:rtl/>
        </w:rPr>
      </w:pPr>
      <w:bookmarkStart w:id="117" w:name="_Toc531140361"/>
      <w:r>
        <w:rPr>
          <w:rFonts w:hint="cs"/>
          <w:rtl/>
        </w:rPr>
        <w:lastRenderedPageBreak/>
        <w:t>חסידות</w:t>
      </w:r>
      <w:bookmarkEnd w:id="117"/>
    </w:p>
    <w:p w14:paraId="265302D9" w14:textId="1111B4A1" w:rsidR="00E13ADF" w:rsidRDefault="00E13ADF" w:rsidP="00E13ADF">
      <w:pPr>
        <w:pStyle w:val="a"/>
        <w:rPr>
          <w:rtl/>
        </w:rPr>
      </w:pPr>
      <w:bookmarkStart w:id="118" w:name="_Toc531140362"/>
      <w:r>
        <w:rPr>
          <w:rFonts w:hint="cs"/>
          <w:rtl/>
        </w:rPr>
        <w:t>מה ניתן עם לוחות הראשונות?</w:t>
      </w:r>
      <w:bookmarkEnd w:id="118"/>
    </w:p>
    <w:p w14:paraId="1EE41231" w14:textId="1A84F2D3" w:rsidR="00C947C6" w:rsidRPr="008307D7" w:rsidRDefault="00B168DB" w:rsidP="00C40DBA">
      <w:pPr>
        <w:pStyle w:val="a0"/>
        <w:rPr>
          <w:rtl/>
        </w:rPr>
      </w:pPr>
      <w:bookmarkStart w:id="119" w:name="_Toc531140363"/>
      <w:r>
        <w:rPr>
          <w:rFonts w:hint="cs"/>
          <w:rtl/>
          <w:lang w:bidi="he-IL"/>
        </w:rPr>
        <w:t xml:space="preserve">הרב </w:t>
      </w:r>
      <w:r w:rsidR="00C947C6" w:rsidRPr="008307D7">
        <w:rPr>
          <w:rFonts w:hint="eastAsia"/>
          <w:rtl/>
          <w:lang w:bidi="he-IL"/>
        </w:rPr>
        <w:t>יוסף</w:t>
      </w:r>
      <w:r w:rsidR="00C947C6" w:rsidRPr="008307D7">
        <w:rPr>
          <w:rtl/>
        </w:rPr>
        <w:t xml:space="preserve"> </w:t>
      </w:r>
      <w:r w:rsidR="00C947C6" w:rsidRPr="008307D7">
        <w:rPr>
          <w:rFonts w:hint="eastAsia"/>
          <w:rtl/>
          <w:lang w:bidi="he-IL"/>
        </w:rPr>
        <w:t>ארי</w:t>
      </w:r>
      <w:r w:rsidR="00C947C6" w:rsidRPr="008307D7">
        <w:rPr>
          <w:rtl/>
        </w:rPr>
        <w:t xml:space="preserve">' </w:t>
      </w:r>
      <w:r w:rsidR="00C947C6" w:rsidRPr="008307D7">
        <w:rPr>
          <w:rFonts w:hint="eastAsia"/>
          <w:rtl/>
          <w:lang w:bidi="he-IL"/>
        </w:rPr>
        <w:t>רונס</w:t>
      </w:r>
      <w:bookmarkEnd w:id="119"/>
    </w:p>
    <w:p w14:paraId="3EE19B94" w14:textId="56CD3C08" w:rsidR="008A5DCF" w:rsidRPr="008A5DCF" w:rsidRDefault="00B168DB" w:rsidP="008A5DCF">
      <w:pPr>
        <w:pStyle w:val="a1"/>
        <w:rPr>
          <w:lang w:val="en-GB"/>
        </w:rPr>
      </w:pPr>
      <w:r>
        <w:rPr>
          <w:rFonts w:hint="cs"/>
          <w:rtl/>
          <w:lang w:val="en-GB"/>
        </w:rPr>
        <w:t>ברוקלין, נ.י.</w:t>
      </w:r>
    </w:p>
    <w:p w14:paraId="7BD930E7" w14:textId="1E3C61B1" w:rsidR="00C947C6" w:rsidRPr="00C947C6" w:rsidRDefault="00C947C6" w:rsidP="00423C6D">
      <w:pPr>
        <w:pStyle w:val="a2"/>
        <w:rPr>
          <w:rFonts w:asciiTheme="minorHAnsi" w:hAnsiTheme="minorHAnsi"/>
        </w:rPr>
      </w:pPr>
      <w:r>
        <w:rPr>
          <w:rtl/>
        </w:rPr>
        <w:t xml:space="preserve"> </w:t>
      </w:r>
      <w:r>
        <w:rPr>
          <w:rFonts w:hint="eastAsia"/>
          <w:rtl/>
        </w:rPr>
        <w:t>במאמר</w:t>
      </w:r>
      <w:r>
        <w:rPr>
          <w:rtl/>
        </w:rPr>
        <w:t xml:space="preserve"> </w:t>
      </w:r>
      <w:r>
        <w:rPr>
          <w:rFonts w:hint="eastAsia"/>
          <w:rtl/>
        </w:rPr>
        <w:t>ד</w:t>
      </w:r>
      <w:r>
        <w:rPr>
          <w:rtl/>
        </w:rPr>
        <w:t>"</w:t>
      </w:r>
      <w:r>
        <w:rPr>
          <w:rFonts w:hint="eastAsia"/>
          <w:rtl/>
        </w:rPr>
        <w:t>ה</w:t>
      </w:r>
      <w:r>
        <w:rPr>
          <w:rtl/>
        </w:rPr>
        <w:t xml:space="preserve"> </w:t>
      </w:r>
      <w:r>
        <w:rPr>
          <w:rFonts w:hint="eastAsia"/>
          <w:rtl/>
        </w:rPr>
        <w:t>ויתן</w:t>
      </w:r>
      <w:r>
        <w:rPr>
          <w:rtl/>
        </w:rPr>
        <w:t xml:space="preserve"> </w:t>
      </w:r>
      <w:r>
        <w:rPr>
          <w:rFonts w:hint="eastAsia"/>
          <w:rtl/>
        </w:rPr>
        <w:t>לך</w:t>
      </w:r>
      <w:r>
        <w:rPr>
          <w:rtl/>
        </w:rPr>
        <w:t xml:space="preserve"> </w:t>
      </w:r>
      <w:r>
        <w:rPr>
          <w:rFonts w:hint="eastAsia"/>
          <w:rtl/>
        </w:rPr>
        <w:t>תרס</w:t>
      </w:r>
      <w:r>
        <w:rPr>
          <w:rtl/>
        </w:rPr>
        <w:t>"</w:t>
      </w:r>
      <w:r>
        <w:rPr>
          <w:rFonts w:hint="eastAsia"/>
          <w:rtl/>
        </w:rPr>
        <w:t>ו</w:t>
      </w:r>
      <w:r>
        <w:rPr>
          <w:rtl/>
        </w:rPr>
        <w:t xml:space="preserve"> (</w:t>
      </w:r>
      <w:r>
        <w:rPr>
          <w:rFonts w:hint="eastAsia"/>
          <w:rtl/>
        </w:rPr>
        <w:t>במהדורה</w:t>
      </w:r>
      <w:r>
        <w:rPr>
          <w:rtl/>
        </w:rPr>
        <w:t xml:space="preserve"> </w:t>
      </w:r>
      <w:r>
        <w:rPr>
          <w:rFonts w:hint="eastAsia"/>
          <w:rtl/>
        </w:rPr>
        <w:t>החדשה</w:t>
      </w:r>
      <w:r>
        <w:rPr>
          <w:rtl/>
        </w:rPr>
        <w:t xml:space="preserve"> </w:t>
      </w:r>
      <w:r>
        <w:rPr>
          <w:rFonts w:hint="eastAsia"/>
          <w:rtl/>
        </w:rPr>
        <w:t>עמ</w:t>
      </w:r>
      <w:r>
        <w:rPr>
          <w:rtl/>
        </w:rPr>
        <w:t xml:space="preserve">' </w:t>
      </w:r>
      <w:r>
        <w:rPr>
          <w:rFonts w:hint="eastAsia"/>
          <w:rtl/>
        </w:rPr>
        <w:t>קיז</w:t>
      </w:r>
      <w:r>
        <w:rPr>
          <w:rtl/>
        </w:rPr>
        <w:t xml:space="preserve"> </w:t>
      </w:r>
      <w:r>
        <w:rPr>
          <w:rFonts w:hint="eastAsia"/>
          <w:rtl/>
        </w:rPr>
        <w:t>ואילך</w:t>
      </w:r>
      <w:r>
        <w:rPr>
          <w:rtl/>
        </w:rPr>
        <w:t xml:space="preserve">) </w:t>
      </w:r>
      <w:r>
        <w:rPr>
          <w:rFonts w:hint="eastAsia"/>
          <w:rtl/>
        </w:rPr>
        <w:t>כתב</w:t>
      </w:r>
      <w:r>
        <w:rPr>
          <w:rtl/>
        </w:rPr>
        <w:t xml:space="preserve"> </w:t>
      </w:r>
      <w:r>
        <w:rPr>
          <w:rFonts w:hint="eastAsia"/>
          <w:rtl/>
        </w:rPr>
        <w:t>דבלוחות</w:t>
      </w:r>
      <w:r>
        <w:rPr>
          <w:rtl/>
        </w:rPr>
        <w:t xml:space="preserve"> </w:t>
      </w:r>
      <w:r>
        <w:rPr>
          <w:rFonts w:hint="eastAsia"/>
          <w:rtl/>
        </w:rPr>
        <w:t>הראשונות</w:t>
      </w:r>
      <w:r w:rsidR="00CA1464">
        <w:rPr>
          <w:rtl/>
        </w:rPr>
        <w:t xml:space="preserve"> </w:t>
      </w:r>
      <w:r>
        <w:rPr>
          <w:rFonts w:hint="eastAsia"/>
          <w:rtl/>
        </w:rPr>
        <w:t>ניתן</w:t>
      </w:r>
      <w:r>
        <w:rPr>
          <w:rtl/>
        </w:rPr>
        <w:t xml:space="preserve"> </w:t>
      </w:r>
      <w:r>
        <w:rPr>
          <w:rFonts w:hint="eastAsia"/>
          <w:rtl/>
        </w:rPr>
        <w:t>הכלל</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ואילו</w:t>
      </w:r>
      <w:r>
        <w:rPr>
          <w:rtl/>
        </w:rPr>
        <w:t xml:space="preserve"> </w:t>
      </w:r>
      <w:r>
        <w:rPr>
          <w:rFonts w:hint="eastAsia"/>
          <w:rtl/>
        </w:rPr>
        <w:t>בלוחות</w:t>
      </w:r>
      <w:r>
        <w:rPr>
          <w:rtl/>
        </w:rPr>
        <w:t xml:space="preserve"> </w:t>
      </w:r>
      <w:r>
        <w:rPr>
          <w:rFonts w:hint="eastAsia"/>
          <w:rtl/>
        </w:rPr>
        <w:t>האחרונות</w:t>
      </w:r>
      <w:r>
        <w:rPr>
          <w:rtl/>
        </w:rPr>
        <w:t xml:space="preserve"> </w:t>
      </w:r>
      <w:r>
        <w:rPr>
          <w:rFonts w:hint="eastAsia"/>
          <w:rtl/>
        </w:rPr>
        <w:t>נתחדש</w:t>
      </w:r>
      <w:r>
        <w:rPr>
          <w:rtl/>
        </w:rPr>
        <w:t xml:space="preserve"> </w:t>
      </w:r>
      <w:r>
        <w:rPr>
          <w:rFonts w:hint="eastAsia"/>
          <w:rtl/>
        </w:rPr>
        <w:t>הענין</w:t>
      </w:r>
      <w:r>
        <w:rPr>
          <w:rtl/>
        </w:rPr>
        <w:t xml:space="preserve"> </w:t>
      </w:r>
      <w:r>
        <w:rPr>
          <w:rFonts w:hint="eastAsia"/>
          <w:rtl/>
        </w:rPr>
        <w:t>של</w:t>
      </w:r>
      <w:r>
        <w:rPr>
          <w:rtl/>
        </w:rPr>
        <w:t xml:space="preserve"> </w:t>
      </w:r>
      <w:r>
        <w:rPr>
          <w:rFonts w:hint="eastAsia"/>
          <w:rtl/>
        </w:rPr>
        <w:t>התורה</w:t>
      </w:r>
      <w:r>
        <w:rPr>
          <w:rtl/>
        </w:rPr>
        <w:t xml:space="preserve"> </w:t>
      </w:r>
      <w:r>
        <w:rPr>
          <w:rFonts w:hint="eastAsia"/>
          <w:rtl/>
        </w:rPr>
        <w:t>ע</w:t>
      </w:r>
      <w:r>
        <w:rPr>
          <w:rtl/>
        </w:rPr>
        <w:t>"</w:t>
      </w:r>
      <w:r>
        <w:rPr>
          <w:rFonts w:hint="eastAsia"/>
          <w:rtl/>
        </w:rPr>
        <w:t>ד</w:t>
      </w:r>
      <w:r>
        <w:rPr>
          <w:rtl/>
        </w:rPr>
        <w:t xml:space="preserve"> </w:t>
      </w:r>
      <w:r>
        <w:rPr>
          <w:rFonts w:hint="eastAsia"/>
          <w:rtl/>
        </w:rPr>
        <w:t>הפרט</w:t>
      </w:r>
      <w:r>
        <w:rPr>
          <w:rtl/>
        </w:rPr>
        <w:t xml:space="preserve">, </w:t>
      </w:r>
      <w:r>
        <w:rPr>
          <w:rFonts w:hint="eastAsia"/>
          <w:rtl/>
        </w:rPr>
        <w:t>בחי</w:t>
      </w:r>
      <w:r w:rsidR="00CA1464">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והיינו</w:t>
      </w:r>
      <w:r>
        <w:rPr>
          <w:rtl/>
        </w:rPr>
        <w:t xml:space="preserve"> </w:t>
      </w:r>
      <w:r>
        <w:rPr>
          <w:rFonts w:hint="eastAsia"/>
          <w:rtl/>
        </w:rPr>
        <w:t>כל</w:t>
      </w:r>
      <w:r>
        <w:rPr>
          <w:rtl/>
        </w:rPr>
        <w:t xml:space="preserve"> </w:t>
      </w:r>
      <w:r>
        <w:rPr>
          <w:rFonts w:hint="eastAsia"/>
          <w:rtl/>
        </w:rPr>
        <w:t>הלכה</w:t>
      </w:r>
      <w:r>
        <w:rPr>
          <w:rtl/>
        </w:rPr>
        <w:t xml:space="preserve"> </w:t>
      </w:r>
      <w:r>
        <w:rPr>
          <w:rFonts w:hint="eastAsia"/>
          <w:rtl/>
        </w:rPr>
        <w:t>בדקדוק</w:t>
      </w:r>
      <w:r>
        <w:rPr>
          <w:rtl/>
        </w:rPr>
        <w:t xml:space="preserve"> </w:t>
      </w:r>
      <w:r>
        <w:rPr>
          <w:rFonts w:hint="eastAsia"/>
          <w:rtl/>
        </w:rPr>
        <w:t>ובשיעור</w:t>
      </w:r>
      <w:r>
        <w:rPr>
          <w:rtl/>
        </w:rPr>
        <w:t xml:space="preserve">. </w:t>
      </w:r>
    </w:p>
    <w:p w14:paraId="6F2816B4" w14:textId="2F0C2F71" w:rsidR="00C947C6" w:rsidRPr="00C947C6" w:rsidRDefault="00C947C6" w:rsidP="00423C6D">
      <w:pPr>
        <w:pStyle w:val="a2"/>
        <w:rPr>
          <w:rFonts w:asciiTheme="minorHAnsi" w:hAnsiTheme="minorHAnsi"/>
        </w:rPr>
      </w:pPr>
      <w:r>
        <w:rPr>
          <w:rtl/>
        </w:rPr>
        <w:t xml:space="preserve"> </w:t>
      </w:r>
      <w:r>
        <w:rPr>
          <w:rFonts w:hint="eastAsia"/>
          <w:rtl/>
        </w:rPr>
        <w:t>ולכאורה</w:t>
      </w:r>
      <w:r>
        <w:rPr>
          <w:rtl/>
        </w:rPr>
        <w:t xml:space="preserve"> </w:t>
      </w:r>
      <w:r>
        <w:rPr>
          <w:rFonts w:hint="eastAsia"/>
          <w:rtl/>
        </w:rPr>
        <w:t>דבר</w:t>
      </w:r>
      <w:r>
        <w:rPr>
          <w:rtl/>
        </w:rPr>
        <w:t xml:space="preserve"> </w:t>
      </w:r>
      <w:r>
        <w:rPr>
          <w:rFonts w:hint="eastAsia"/>
          <w:rtl/>
        </w:rPr>
        <w:t>זה</w:t>
      </w:r>
      <w:r>
        <w:rPr>
          <w:rtl/>
        </w:rPr>
        <w:t xml:space="preserve"> </w:t>
      </w:r>
      <w:r>
        <w:rPr>
          <w:rFonts w:hint="eastAsia"/>
          <w:rtl/>
        </w:rPr>
        <w:t>צ</w:t>
      </w:r>
      <w:r>
        <w:rPr>
          <w:rtl/>
        </w:rPr>
        <w:t>"</w:t>
      </w:r>
      <w:r>
        <w:rPr>
          <w:rFonts w:hint="eastAsia"/>
          <w:rtl/>
        </w:rPr>
        <w:t>ב</w:t>
      </w:r>
      <w:r>
        <w:rPr>
          <w:rtl/>
        </w:rPr>
        <w:t xml:space="preserve">,  </w:t>
      </w:r>
      <w:r>
        <w:rPr>
          <w:rFonts w:hint="eastAsia"/>
          <w:rtl/>
        </w:rPr>
        <w:t>דאיך</w:t>
      </w:r>
      <w:r>
        <w:rPr>
          <w:rtl/>
        </w:rPr>
        <w:t xml:space="preserve">  </w:t>
      </w:r>
      <w:r>
        <w:rPr>
          <w:rFonts w:hint="eastAsia"/>
          <w:rtl/>
        </w:rPr>
        <w:t>אפשר</w:t>
      </w:r>
      <w:r>
        <w:rPr>
          <w:rtl/>
        </w:rPr>
        <w:t xml:space="preserve"> </w:t>
      </w:r>
      <w:r>
        <w:rPr>
          <w:rFonts w:hint="eastAsia"/>
          <w:rtl/>
        </w:rPr>
        <w:t>לקיים</w:t>
      </w:r>
      <w:r>
        <w:rPr>
          <w:rtl/>
        </w:rPr>
        <w:t xml:space="preserve"> </w:t>
      </w:r>
      <w:r>
        <w:rPr>
          <w:rFonts w:hint="eastAsia"/>
          <w:rtl/>
        </w:rPr>
        <w:t>מצות</w:t>
      </w:r>
      <w:r>
        <w:rPr>
          <w:rtl/>
        </w:rPr>
        <w:t xml:space="preserve"> </w:t>
      </w:r>
      <w:r>
        <w:rPr>
          <w:rFonts w:hint="eastAsia"/>
          <w:rtl/>
        </w:rPr>
        <w:t>התורה</w:t>
      </w:r>
      <w:r>
        <w:rPr>
          <w:rtl/>
        </w:rPr>
        <w:t xml:space="preserve"> </w:t>
      </w:r>
      <w:r>
        <w:rPr>
          <w:rFonts w:hint="eastAsia"/>
          <w:rtl/>
        </w:rPr>
        <w:t>בלי</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ולמשל</w:t>
      </w:r>
      <w:r>
        <w:rPr>
          <w:rtl/>
        </w:rPr>
        <w:t xml:space="preserve"> </w:t>
      </w:r>
      <w:r>
        <w:rPr>
          <w:rFonts w:hint="eastAsia"/>
          <w:rtl/>
        </w:rPr>
        <w:t>איך</w:t>
      </w:r>
      <w:r>
        <w:rPr>
          <w:rtl/>
        </w:rPr>
        <w:t xml:space="preserve"> </w:t>
      </w:r>
      <w:r>
        <w:rPr>
          <w:rFonts w:hint="eastAsia"/>
          <w:rtl/>
        </w:rPr>
        <w:t>יתקיים</w:t>
      </w:r>
      <w:r>
        <w:rPr>
          <w:rtl/>
        </w:rPr>
        <w:t xml:space="preserve"> </w:t>
      </w:r>
      <w:r>
        <w:rPr>
          <w:rFonts w:hint="eastAsia"/>
          <w:rtl/>
        </w:rPr>
        <w:t>מצות</w:t>
      </w:r>
      <w:r>
        <w:rPr>
          <w:rtl/>
        </w:rPr>
        <w:t xml:space="preserve"> </w:t>
      </w:r>
      <w:r>
        <w:rPr>
          <w:rFonts w:hint="eastAsia"/>
          <w:rtl/>
        </w:rPr>
        <w:t>לולב</w:t>
      </w:r>
      <w:r>
        <w:rPr>
          <w:rtl/>
        </w:rPr>
        <w:t xml:space="preserve"> </w:t>
      </w:r>
      <w:r>
        <w:rPr>
          <w:rFonts w:hint="eastAsia"/>
          <w:rtl/>
        </w:rPr>
        <w:t>ואתרוג</w:t>
      </w:r>
      <w:r>
        <w:rPr>
          <w:rtl/>
        </w:rPr>
        <w:t xml:space="preserve"> </w:t>
      </w:r>
      <w:r>
        <w:rPr>
          <w:rFonts w:hint="eastAsia"/>
          <w:rtl/>
        </w:rPr>
        <w:t>וכי</w:t>
      </w:r>
      <w:r>
        <w:rPr>
          <w:rtl/>
        </w:rPr>
        <w:t xml:space="preserve"> </w:t>
      </w:r>
      <w:r>
        <w:rPr>
          <w:rFonts w:hint="eastAsia"/>
          <w:rtl/>
        </w:rPr>
        <w:t>בלי</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אפשר</w:t>
      </w:r>
      <w:r>
        <w:rPr>
          <w:rtl/>
        </w:rPr>
        <w:t xml:space="preserve"> </w:t>
      </w:r>
      <w:r>
        <w:rPr>
          <w:rFonts w:hint="eastAsia"/>
          <w:rtl/>
        </w:rPr>
        <w:t>לדעת</w:t>
      </w:r>
      <w:r>
        <w:rPr>
          <w:rtl/>
        </w:rPr>
        <w:t xml:space="preserve"> </w:t>
      </w:r>
      <w:r>
        <w:rPr>
          <w:rFonts w:hint="eastAsia"/>
          <w:rtl/>
        </w:rPr>
        <w:t>מה</w:t>
      </w:r>
      <w:r>
        <w:rPr>
          <w:rtl/>
        </w:rPr>
        <w:t xml:space="preserve"> </w:t>
      </w:r>
      <w:r>
        <w:rPr>
          <w:rFonts w:hint="eastAsia"/>
          <w:rtl/>
        </w:rPr>
        <w:t>הוה</w:t>
      </w:r>
      <w:r>
        <w:rPr>
          <w:rtl/>
        </w:rPr>
        <w:t xml:space="preserve"> </w:t>
      </w:r>
      <w:r>
        <w:rPr>
          <w:rFonts w:hint="eastAsia"/>
          <w:rtl/>
        </w:rPr>
        <w:t>הפרי</w:t>
      </w:r>
      <w:r>
        <w:rPr>
          <w:rtl/>
        </w:rPr>
        <w:t xml:space="preserve"> </w:t>
      </w:r>
      <w:r>
        <w:rPr>
          <w:rFonts w:hint="eastAsia"/>
          <w:rtl/>
        </w:rPr>
        <w:t>עץ</w:t>
      </w:r>
      <w:r>
        <w:rPr>
          <w:rtl/>
        </w:rPr>
        <w:t xml:space="preserve"> </w:t>
      </w:r>
      <w:r>
        <w:rPr>
          <w:rFonts w:hint="eastAsia"/>
          <w:rtl/>
        </w:rPr>
        <w:t>הדר</w:t>
      </w:r>
      <w:r>
        <w:rPr>
          <w:rtl/>
        </w:rPr>
        <w:t xml:space="preserve">, </w:t>
      </w:r>
      <w:r>
        <w:rPr>
          <w:rFonts w:hint="eastAsia"/>
          <w:rtl/>
        </w:rPr>
        <w:t>וכי</w:t>
      </w:r>
      <w:r>
        <w:rPr>
          <w:rtl/>
        </w:rPr>
        <w:t xml:space="preserve"> </w:t>
      </w:r>
      <w:r>
        <w:rPr>
          <w:rFonts w:hint="eastAsia"/>
          <w:rtl/>
        </w:rPr>
        <w:t>אפשר</w:t>
      </w:r>
      <w:r>
        <w:rPr>
          <w:rtl/>
        </w:rPr>
        <w:t xml:space="preserve"> </w:t>
      </w:r>
      <w:r>
        <w:rPr>
          <w:rFonts w:hint="eastAsia"/>
          <w:rtl/>
        </w:rPr>
        <w:t>לקיים</w:t>
      </w:r>
      <w:r>
        <w:rPr>
          <w:rtl/>
        </w:rPr>
        <w:t xml:space="preserve"> </w:t>
      </w:r>
      <w:r>
        <w:rPr>
          <w:rFonts w:hint="eastAsia"/>
          <w:rtl/>
        </w:rPr>
        <w:t>מצות</w:t>
      </w:r>
      <w:r>
        <w:rPr>
          <w:rtl/>
        </w:rPr>
        <w:t xml:space="preserve"> </w:t>
      </w:r>
      <w:r>
        <w:rPr>
          <w:rFonts w:hint="eastAsia"/>
          <w:rtl/>
        </w:rPr>
        <w:t>תפילין</w:t>
      </w:r>
      <w:r>
        <w:rPr>
          <w:rtl/>
        </w:rPr>
        <w:t xml:space="preserve">, </w:t>
      </w:r>
      <w:r>
        <w:rPr>
          <w:rFonts w:hint="eastAsia"/>
          <w:rtl/>
        </w:rPr>
        <w:t>ואף</w:t>
      </w:r>
      <w:r>
        <w:rPr>
          <w:rtl/>
        </w:rPr>
        <w:t xml:space="preserve"> </w:t>
      </w:r>
      <w:r>
        <w:rPr>
          <w:rFonts w:hint="eastAsia"/>
          <w:rtl/>
        </w:rPr>
        <w:t>להניח</w:t>
      </w:r>
      <w:r>
        <w:rPr>
          <w:rtl/>
        </w:rPr>
        <w:t xml:space="preserve"> </w:t>
      </w:r>
      <w:r>
        <w:rPr>
          <w:rFonts w:hint="eastAsia"/>
          <w:rtl/>
        </w:rPr>
        <w:t>התפילין</w:t>
      </w:r>
      <w:r>
        <w:rPr>
          <w:rtl/>
        </w:rPr>
        <w:t xml:space="preserve"> </w:t>
      </w:r>
      <w:r>
        <w:rPr>
          <w:rFonts w:hint="eastAsia"/>
          <w:rtl/>
        </w:rPr>
        <w:t>במקום</w:t>
      </w:r>
      <w:r>
        <w:rPr>
          <w:rtl/>
        </w:rPr>
        <w:t xml:space="preserve"> </w:t>
      </w:r>
      <w:r>
        <w:rPr>
          <w:rFonts w:hint="eastAsia"/>
          <w:rtl/>
        </w:rPr>
        <w:t>הנכון</w:t>
      </w:r>
      <w:r>
        <w:rPr>
          <w:rtl/>
        </w:rPr>
        <w:t xml:space="preserve"> </w:t>
      </w:r>
      <w:r>
        <w:rPr>
          <w:rFonts w:hint="eastAsia"/>
          <w:rtl/>
        </w:rPr>
        <w:t>ומה</w:t>
      </w:r>
      <w:r>
        <w:rPr>
          <w:rtl/>
        </w:rPr>
        <w:t xml:space="preserve"> </w:t>
      </w:r>
      <w:r>
        <w:rPr>
          <w:rFonts w:hint="eastAsia"/>
          <w:rtl/>
        </w:rPr>
        <w:t>נחשב</w:t>
      </w:r>
      <w:r>
        <w:rPr>
          <w:rtl/>
        </w:rPr>
        <w:t xml:space="preserve"> </w:t>
      </w:r>
      <w:r>
        <w:rPr>
          <w:rFonts w:hint="eastAsia"/>
          <w:rtl/>
        </w:rPr>
        <w:t>בין</w:t>
      </w:r>
      <w:r>
        <w:rPr>
          <w:rtl/>
        </w:rPr>
        <w:t xml:space="preserve"> </w:t>
      </w:r>
      <w:r>
        <w:rPr>
          <w:rFonts w:hint="eastAsia"/>
          <w:rtl/>
        </w:rPr>
        <w:t>עיניך</w:t>
      </w:r>
      <w:r>
        <w:rPr>
          <w:rtl/>
        </w:rPr>
        <w:t xml:space="preserve">. </w:t>
      </w:r>
    </w:p>
    <w:p w14:paraId="2E8788DD" w14:textId="4EF76A1C" w:rsidR="00C947C6" w:rsidRPr="00C947C6" w:rsidRDefault="00C947C6" w:rsidP="00423C6D">
      <w:pPr>
        <w:pStyle w:val="a2"/>
        <w:rPr>
          <w:rFonts w:asciiTheme="minorHAnsi" w:hAnsiTheme="minorHAnsi"/>
        </w:rPr>
      </w:pPr>
      <w:r>
        <w:rPr>
          <w:rFonts w:hint="eastAsia"/>
          <w:rtl/>
        </w:rPr>
        <w:t>ועוד</w:t>
      </w:r>
      <w:r>
        <w:rPr>
          <w:rtl/>
        </w:rPr>
        <w:t xml:space="preserve"> </w:t>
      </w:r>
      <w:r>
        <w:rPr>
          <w:rFonts w:hint="eastAsia"/>
          <w:rtl/>
        </w:rPr>
        <w:t>מבואר</w:t>
      </w:r>
      <w:r>
        <w:rPr>
          <w:rtl/>
        </w:rPr>
        <w:t xml:space="preserve"> </w:t>
      </w:r>
      <w:r>
        <w:rPr>
          <w:rFonts w:hint="eastAsia"/>
          <w:rtl/>
        </w:rPr>
        <w:t>במדרש</w:t>
      </w:r>
      <w:r>
        <w:rPr>
          <w:rtl/>
        </w:rPr>
        <w:t xml:space="preserve"> </w:t>
      </w:r>
      <w:r>
        <w:rPr>
          <w:rFonts w:hint="eastAsia"/>
          <w:rtl/>
        </w:rPr>
        <w:t>תנחומא</w:t>
      </w:r>
      <w:r>
        <w:rPr>
          <w:rtl/>
        </w:rPr>
        <w:t xml:space="preserve"> </w:t>
      </w:r>
      <w:r>
        <w:rPr>
          <w:rFonts w:hint="eastAsia"/>
          <w:rtl/>
        </w:rPr>
        <w:t>פר</w:t>
      </w:r>
      <w:r>
        <w:rPr>
          <w:rtl/>
        </w:rPr>
        <w:t xml:space="preserve">' </w:t>
      </w:r>
      <w:r>
        <w:rPr>
          <w:rFonts w:hint="eastAsia"/>
          <w:rtl/>
        </w:rPr>
        <w:t>נח</w:t>
      </w:r>
      <w:r>
        <w:rPr>
          <w:rtl/>
        </w:rPr>
        <w:t xml:space="preserve"> </w:t>
      </w:r>
      <w:r>
        <w:rPr>
          <w:rFonts w:hint="eastAsia"/>
          <w:rtl/>
        </w:rPr>
        <w:t>דכפיית</w:t>
      </w:r>
      <w:r>
        <w:rPr>
          <w:rtl/>
        </w:rPr>
        <w:t xml:space="preserve"> </w:t>
      </w:r>
      <w:r>
        <w:rPr>
          <w:rFonts w:hint="eastAsia"/>
          <w:rtl/>
        </w:rPr>
        <w:t>ההר</w:t>
      </w:r>
      <w:r>
        <w:rPr>
          <w:rtl/>
        </w:rPr>
        <w:t xml:space="preserve"> </w:t>
      </w:r>
      <w:r>
        <w:rPr>
          <w:rFonts w:hint="eastAsia"/>
          <w:rtl/>
        </w:rPr>
        <w:t>היה</w:t>
      </w:r>
      <w:r>
        <w:rPr>
          <w:rtl/>
        </w:rPr>
        <w:t xml:space="preserve"> </w:t>
      </w:r>
      <w:r>
        <w:rPr>
          <w:rFonts w:hint="eastAsia"/>
          <w:rtl/>
        </w:rPr>
        <w:t>על</w:t>
      </w:r>
      <w:r>
        <w:rPr>
          <w:rtl/>
        </w:rPr>
        <w:t xml:space="preserve"> </w:t>
      </w:r>
      <w:r>
        <w:rPr>
          <w:rFonts w:hint="eastAsia"/>
          <w:rtl/>
        </w:rPr>
        <w:t>הענין</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וע</w:t>
      </w:r>
      <w:r>
        <w:rPr>
          <w:rtl/>
        </w:rPr>
        <w:t>"</w:t>
      </w:r>
      <w:r>
        <w:rPr>
          <w:rFonts w:hint="eastAsia"/>
          <w:rtl/>
        </w:rPr>
        <w:t>כ</w:t>
      </w:r>
      <w:r>
        <w:rPr>
          <w:rtl/>
        </w:rPr>
        <w:t xml:space="preserve"> </w:t>
      </w:r>
      <w:r>
        <w:rPr>
          <w:rFonts w:hint="eastAsia"/>
          <w:rtl/>
        </w:rPr>
        <w:t>דהיה</w:t>
      </w:r>
      <w:r>
        <w:rPr>
          <w:rtl/>
        </w:rPr>
        <w:t xml:space="preserve"> </w:t>
      </w:r>
      <w:r>
        <w:rPr>
          <w:rFonts w:hint="eastAsia"/>
          <w:rtl/>
        </w:rPr>
        <w:t>מציאות</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אף</w:t>
      </w:r>
      <w:r>
        <w:rPr>
          <w:rtl/>
        </w:rPr>
        <w:t xml:space="preserve"> </w:t>
      </w:r>
      <w:r>
        <w:rPr>
          <w:rFonts w:hint="eastAsia"/>
          <w:rtl/>
        </w:rPr>
        <w:t>בלוחות</w:t>
      </w:r>
      <w:r>
        <w:rPr>
          <w:rtl/>
        </w:rPr>
        <w:t xml:space="preserve"> </w:t>
      </w:r>
      <w:r>
        <w:rPr>
          <w:rFonts w:hint="eastAsia"/>
          <w:rtl/>
        </w:rPr>
        <w:t>הראשונות</w:t>
      </w:r>
      <w:r>
        <w:rPr>
          <w:rtl/>
        </w:rPr>
        <w:t xml:space="preserve">. </w:t>
      </w:r>
      <w:r>
        <w:rPr>
          <w:rFonts w:hint="eastAsia"/>
          <w:rtl/>
        </w:rPr>
        <w:t>ועוד</w:t>
      </w:r>
      <w:r>
        <w:rPr>
          <w:rtl/>
        </w:rPr>
        <w:t xml:space="preserve"> </w:t>
      </w:r>
      <w:r>
        <w:rPr>
          <w:rFonts w:hint="eastAsia"/>
          <w:rtl/>
        </w:rPr>
        <w:t>דמבואר</w:t>
      </w:r>
      <w:r>
        <w:rPr>
          <w:rtl/>
        </w:rPr>
        <w:t xml:space="preserve"> </w:t>
      </w:r>
      <w:r>
        <w:rPr>
          <w:rFonts w:hint="eastAsia"/>
          <w:rtl/>
        </w:rPr>
        <w:t>בירושמלי</w:t>
      </w:r>
      <w:r>
        <w:rPr>
          <w:rtl/>
        </w:rPr>
        <w:t xml:space="preserve"> </w:t>
      </w:r>
      <w:r>
        <w:rPr>
          <w:rFonts w:hint="eastAsia"/>
          <w:rtl/>
        </w:rPr>
        <w:t>בשקלים</w:t>
      </w:r>
      <w:r w:rsidRPr="00CA1464">
        <w:rPr>
          <w:vertAlign w:val="superscript"/>
          <w:rtl/>
        </w:rPr>
        <w:footnoteReference w:id="46"/>
      </w:r>
      <w:r>
        <w:rPr>
          <w:rtl/>
        </w:rPr>
        <w:t xml:space="preserve"> </w:t>
      </w:r>
      <w:r>
        <w:rPr>
          <w:rFonts w:hint="eastAsia"/>
          <w:rtl/>
        </w:rPr>
        <w:t>דהיה</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בלוחות</w:t>
      </w:r>
      <w:r>
        <w:rPr>
          <w:rtl/>
        </w:rPr>
        <w:t xml:space="preserve"> </w:t>
      </w:r>
      <w:r>
        <w:rPr>
          <w:rFonts w:hint="eastAsia"/>
          <w:rtl/>
        </w:rPr>
        <w:t>הראשונות</w:t>
      </w:r>
      <w:r>
        <w:rPr>
          <w:rtl/>
        </w:rPr>
        <w:t xml:space="preserve"> </w:t>
      </w:r>
      <w:r>
        <w:rPr>
          <w:rFonts w:hint="eastAsia"/>
          <w:rtl/>
        </w:rPr>
        <w:t>דז</w:t>
      </w:r>
      <w:r>
        <w:rPr>
          <w:rtl/>
        </w:rPr>
        <w:t>"</w:t>
      </w:r>
      <w:r>
        <w:rPr>
          <w:rFonts w:hint="eastAsia"/>
          <w:rtl/>
        </w:rPr>
        <w:t>ל</w:t>
      </w:r>
      <w:r>
        <w:rPr>
          <w:rtl/>
        </w:rPr>
        <w:t xml:space="preserve"> </w:t>
      </w:r>
      <w:r>
        <w:rPr>
          <w:rFonts w:hint="eastAsia"/>
          <w:rtl/>
        </w:rPr>
        <w:t>אמר</w:t>
      </w:r>
      <w:r>
        <w:rPr>
          <w:rtl/>
        </w:rPr>
        <w:t xml:space="preserve"> </w:t>
      </w:r>
      <w:r>
        <w:rPr>
          <w:rFonts w:hint="eastAsia"/>
          <w:rtl/>
        </w:rPr>
        <w:t>יפה</w:t>
      </w:r>
      <w:r>
        <w:rPr>
          <w:rtl/>
        </w:rPr>
        <w:t xml:space="preserve"> </w:t>
      </w:r>
      <w:r>
        <w:rPr>
          <w:rFonts w:hint="eastAsia"/>
          <w:rtl/>
        </w:rPr>
        <w:t>למדני</w:t>
      </w:r>
      <w:r>
        <w:rPr>
          <w:rtl/>
        </w:rPr>
        <w:t xml:space="preserve"> </w:t>
      </w:r>
      <w:r>
        <w:rPr>
          <w:rFonts w:hint="eastAsia"/>
          <w:rtl/>
        </w:rPr>
        <w:t>חנניה</w:t>
      </w:r>
      <w:r>
        <w:rPr>
          <w:rtl/>
        </w:rPr>
        <w:t xml:space="preserve"> </w:t>
      </w:r>
      <w:r>
        <w:rPr>
          <w:rFonts w:hint="eastAsia"/>
          <w:rtl/>
        </w:rPr>
        <w:t>בן</w:t>
      </w:r>
      <w:r>
        <w:rPr>
          <w:rtl/>
        </w:rPr>
        <w:t xml:space="preserve"> </w:t>
      </w:r>
      <w:r>
        <w:rPr>
          <w:rFonts w:hint="eastAsia"/>
          <w:rtl/>
        </w:rPr>
        <w:t>אחי</w:t>
      </w:r>
      <w:r>
        <w:rPr>
          <w:rtl/>
        </w:rPr>
        <w:t xml:space="preserve"> </w:t>
      </w:r>
      <w:r>
        <w:rPr>
          <w:rFonts w:hint="eastAsia"/>
          <w:rtl/>
        </w:rPr>
        <w:t>רבי</w:t>
      </w:r>
      <w:r>
        <w:rPr>
          <w:rtl/>
        </w:rPr>
        <w:t xml:space="preserve"> </w:t>
      </w:r>
      <w:r>
        <w:rPr>
          <w:rFonts w:hint="eastAsia"/>
          <w:rtl/>
        </w:rPr>
        <w:t>יהושע</w:t>
      </w:r>
      <w:r>
        <w:rPr>
          <w:rtl/>
        </w:rPr>
        <w:t xml:space="preserve"> </w:t>
      </w:r>
      <w:r>
        <w:rPr>
          <w:rFonts w:hint="eastAsia"/>
          <w:rtl/>
        </w:rPr>
        <w:t>מה</w:t>
      </w:r>
      <w:r>
        <w:rPr>
          <w:rtl/>
        </w:rPr>
        <w:t xml:space="preserve"> </w:t>
      </w:r>
      <w:r>
        <w:rPr>
          <w:rFonts w:hint="eastAsia"/>
          <w:rtl/>
        </w:rPr>
        <w:t>הים</w:t>
      </w:r>
      <w:r>
        <w:rPr>
          <w:rtl/>
        </w:rPr>
        <w:t xml:space="preserve"> </w:t>
      </w:r>
      <w:r>
        <w:rPr>
          <w:rFonts w:hint="eastAsia"/>
          <w:rtl/>
        </w:rPr>
        <w:t>הזה</w:t>
      </w:r>
      <w:r>
        <w:rPr>
          <w:rtl/>
        </w:rPr>
        <w:t xml:space="preserve"> </w:t>
      </w:r>
      <w:r>
        <w:rPr>
          <w:rFonts w:hint="eastAsia"/>
          <w:rtl/>
        </w:rPr>
        <w:t>בין</w:t>
      </w:r>
      <w:r>
        <w:rPr>
          <w:rtl/>
        </w:rPr>
        <w:t xml:space="preserve"> </w:t>
      </w:r>
      <w:r>
        <w:rPr>
          <w:rFonts w:hint="eastAsia"/>
          <w:rtl/>
        </w:rPr>
        <w:t>גל</w:t>
      </w:r>
      <w:r>
        <w:rPr>
          <w:rtl/>
        </w:rPr>
        <w:t xml:space="preserve"> </w:t>
      </w:r>
      <w:r>
        <w:rPr>
          <w:rFonts w:hint="eastAsia"/>
          <w:rtl/>
        </w:rPr>
        <w:t>גדול</w:t>
      </w:r>
      <w:r>
        <w:rPr>
          <w:rtl/>
        </w:rPr>
        <w:t xml:space="preserve"> </w:t>
      </w:r>
      <w:r>
        <w:rPr>
          <w:rFonts w:hint="eastAsia"/>
          <w:rtl/>
        </w:rPr>
        <w:t>לגל</w:t>
      </w:r>
      <w:r>
        <w:rPr>
          <w:rtl/>
        </w:rPr>
        <w:t xml:space="preserve"> </w:t>
      </w:r>
      <w:r>
        <w:rPr>
          <w:rFonts w:hint="eastAsia"/>
          <w:rtl/>
        </w:rPr>
        <w:t>גדול</w:t>
      </w:r>
      <w:r>
        <w:rPr>
          <w:rtl/>
        </w:rPr>
        <w:t xml:space="preserve"> </w:t>
      </w:r>
      <w:r>
        <w:rPr>
          <w:rFonts w:hint="eastAsia"/>
          <w:rtl/>
        </w:rPr>
        <w:t>גלים</w:t>
      </w:r>
      <w:r>
        <w:rPr>
          <w:rtl/>
        </w:rPr>
        <w:t xml:space="preserve"> </w:t>
      </w:r>
      <w:r>
        <w:rPr>
          <w:rFonts w:hint="eastAsia"/>
          <w:rtl/>
        </w:rPr>
        <w:t>קטנים</w:t>
      </w:r>
      <w:r>
        <w:rPr>
          <w:rtl/>
        </w:rPr>
        <w:t xml:space="preserve"> </w:t>
      </w:r>
      <w:r>
        <w:rPr>
          <w:rFonts w:hint="eastAsia"/>
          <w:rtl/>
        </w:rPr>
        <w:t>כך</w:t>
      </w:r>
      <w:r>
        <w:rPr>
          <w:rtl/>
        </w:rPr>
        <w:t xml:space="preserve"> </w:t>
      </w:r>
      <w:r>
        <w:rPr>
          <w:rFonts w:hint="eastAsia"/>
          <w:rtl/>
        </w:rPr>
        <w:t>בין</w:t>
      </w:r>
      <w:r>
        <w:rPr>
          <w:rtl/>
        </w:rPr>
        <w:t xml:space="preserve"> </w:t>
      </w:r>
      <w:r>
        <w:rPr>
          <w:rFonts w:hint="eastAsia"/>
          <w:rtl/>
        </w:rPr>
        <w:t>כל</w:t>
      </w:r>
      <w:r>
        <w:rPr>
          <w:rtl/>
        </w:rPr>
        <w:t xml:space="preserve"> </w:t>
      </w:r>
      <w:r>
        <w:rPr>
          <w:rFonts w:hint="eastAsia"/>
          <w:rtl/>
        </w:rPr>
        <w:t>דיבור</w:t>
      </w:r>
      <w:r>
        <w:rPr>
          <w:rtl/>
        </w:rPr>
        <w:t xml:space="preserve"> </w:t>
      </w:r>
      <w:r>
        <w:rPr>
          <w:rFonts w:hint="eastAsia"/>
          <w:rtl/>
        </w:rPr>
        <w:t>ודיבור</w:t>
      </w:r>
      <w:r>
        <w:rPr>
          <w:rtl/>
        </w:rPr>
        <w:t xml:space="preserve"> </w:t>
      </w:r>
      <w:r>
        <w:rPr>
          <w:rFonts w:hint="eastAsia"/>
          <w:rtl/>
        </w:rPr>
        <w:t>דקדוקיה</w:t>
      </w:r>
      <w:r>
        <w:rPr>
          <w:rtl/>
        </w:rPr>
        <w:t xml:space="preserve"> </w:t>
      </w:r>
      <w:r>
        <w:rPr>
          <w:rFonts w:hint="eastAsia"/>
          <w:rtl/>
        </w:rPr>
        <w:t>ואותיותיה</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ופי</w:t>
      </w:r>
      <w:r>
        <w:rPr>
          <w:rtl/>
        </w:rPr>
        <w:t xml:space="preserve">' </w:t>
      </w:r>
      <w:r>
        <w:rPr>
          <w:rFonts w:hint="eastAsia"/>
          <w:rtl/>
        </w:rPr>
        <w:t>הקרבן</w:t>
      </w:r>
      <w:r>
        <w:rPr>
          <w:rtl/>
        </w:rPr>
        <w:t xml:space="preserve"> </w:t>
      </w:r>
      <w:r>
        <w:rPr>
          <w:rFonts w:hint="eastAsia"/>
          <w:rtl/>
        </w:rPr>
        <w:t>העדה</w:t>
      </w:r>
      <w:r>
        <w:rPr>
          <w:rtl/>
        </w:rPr>
        <w:t xml:space="preserve"> </w:t>
      </w:r>
      <w:r>
        <w:rPr>
          <w:rFonts w:hint="eastAsia"/>
          <w:rtl/>
        </w:rPr>
        <w:t>שם</w:t>
      </w:r>
      <w:r>
        <w:rPr>
          <w:rtl/>
        </w:rPr>
        <w:t xml:space="preserve"> </w:t>
      </w:r>
      <w:r>
        <w:rPr>
          <w:rFonts w:hint="eastAsia"/>
          <w:rtl/>
        </w:rPr>
        <w:t>בין</w:t>
      </w:r>
      <w:r>
        <w:rPr>
          <w:rtl/>
        </w:rPr>
        <w:t xml:space="preserve"> </w:t>
      </w:r>
      <w:r>
        <w:rPr>
          <w:rFonts w:hint="eastAsia"/>
          <w:rtl/>
        </w:rPr>
        <w:t>כל</w:t>
      </w:r>
      <w:r>
        <w:rPr>
          <w:rtl/>
        </w:rPr>
        <w:t xml:space="preserve"> </w:t>
      </w:r>
      <w:r>
        <w:rPr>
          <w:rFonts w:hint="eastAsia"/>
          <w:rtl/>
        </w:rPr>
        <w:t>דיבור</w:t>
      </w:r>
      <w:r>
        <w:rPr>
          <w:rtl/>
        </w:rPr>
        <w:t xml:space="preserve"> </w:t>
      </w:r>
      <w:r>
        <w:rPr>
          <w:rFonts w:hint="eastAsia"/>
          <w:rtl/>
        </w:rPr>
        <w:t>ודיבור</w:t>
      </w:r>
      <w:r>
        <w:rPr>
          <w:rtl/>
        </w:rPr>
        <w:t xml:space="preserve"> </w:t>
      </w:r>
      <w:r>
        <w:rPr>
          <w:rFonts w:hint="eastAsia"/>
          <w:rtl/>
        </w:rPr>
        <w:t>היו</w:t>
      </w:r>
      <w:r>
        <w:rPr>
          <w:rtl/>
        </w:rPr>
        <w:t xml:space="preserve"> </w:t>
      </w:r>
      <w:r>
        <w:rPr>
          <w:rFonts w:hint="eastAsia"/>
          <w:rtl/>
        </w:rPr>
        <w:t>כתובים</w:t>
      </w:r>
      <w:r>
        <w:rPr>
          <w:rtl/>
        </w:rPr>
        <w:t xml:space="preserve"> </w:t>
      </w:r>
      <w:r>
        <w:rPr>
          <w:rFonts w:hint="eastAsia"/>
          <w:rtl/>
        </w:rPr>
        <w:t>דקדוקי</w:t>
      </w:r>
      <w:r>
        <w:rPr>
          <w:rtl/>
        </w:rPr>
        <w:t xml:space="preserve"> </w:t>
      </w:r>
      <w:r>
        <w:rPr>
          <w:rFonts w:hint="eastAsia"/>
          <w:rtl/>
        </w:rPr>
        <w:t>התורה</w:t>
      </w:r>
      <w:r>
        <w:rPr>
          <w:rtl/>
        </w:rPr>
        <w:t xml:space="preserve">. </w:t>
      </w:r>
      <w:r>
        <w:rPr>
          <w:rFonts w:hint="eastAsia"/>
          <w:rtl/>
        </w:rPr>
        <w:t>ע</w:t>
      </w:r>
      <w:r>
        <w:rPr>
          <w:rtl/>
        </w:rPr>
        <w:t>"</w:t>
      </w:r>
      <w:r>
        <w:rPr>
          <w:rFonts w:hint="eastAsia"/>
          <w:rtl/>
        </w:rPr>
        <w:t>כ</w:t>
      </w:r>
      <w:r>
        <w:rPr>
          <w:rtl/>
        </w:rPr>
        <w:t xml:space="preserve">. </w:t>
      </w:r>
      <w:r>
        <w:rPr>
          <w:rFonts w:hint="eastAsia"/>
          <w:rtl/>
        </w:rPr>
        <w:t>וכן</w:t>
      </w:r>
      <w:r>
        <w:rPr>
          <w:rtl/>
        </w:rPr>
        <w:t xml:space="preserve"> </w:t>
      </w:r>
      <w:r>
        <w:rPr>
          <w:rFonts w:hint="eastAsia"/>
          <w:rtl/>
        </w:rPr>
        <w:t>מבואר</w:t>
      </w:r>
      <w:r>
        <w:rPr>
          <w:rtl/>
        </w:rPr>
        <w:t xml:space="preserve"> </w:t>
      </w:r>
      <w:r>
        <w:rPr>
          <w:rFonts w:hint="eastAsia"/>
          <w:rtl/>
        </w:rPr>
        <w:t>בבמדבר</w:t>
      </w:r>
      <w:r>
        <w:rPr>
          <w:rtl/>
        </w:rPr>
        <w:t xml:space="preserve"> </w:t>
      </w:r>
      <w:r>
        <w:rPr>
          <w:rFonts w:hint="eastAsia"/>
          <w:rtl/>
        </w:rPr>
        <w:t>רבה</w:t>
      </w:r>
      <w:r>
        <w:rPr>
          <w:rStyle w:val="FootnoteReference"/>
          <w:rFonts w:cs="David"/>
          <w:color w:val="000000"/>
          <w:rtl/>
        </w:rPr>
        <w:footnoteReference w:id="47"/>
      </w:r>
      <w:r>
        <w:rPr>
          <w:rtl/>
        </w:rPr>
        <w:t xml:space="preserve">  "</w:t>
      </w:r>
      <w:r>
        <w:rPr>
          <w:rFonts w:hint="eastAsia"/>
          <w:rtl/>
        </w:rPr>
        <w:t>אמר</w:t>
      </w:r>
      <w:r>
        <w:rPr>
          <w:rtl/>
        </w:rPr>
        <w:t xml:space="preserve"> </w:t>
      </w:r>
      <w:r>
        <w:rPr>
          <w:rFonts w:hint="eastAsia"/>
          <w:rtl/>
        </w:rPr>
        <w:t>חנניה</w:t>
      </w:r>
      <w:r>
        <w:rPr>
          <w:rtl/>
        </w:rPr>
        <w:t xml:space="preserve"> </w:t>
      </w:r>
      <w:r>
        <w:rPr>
          <w:rFonts w:hint="eastAsia"/>
          <w:rtl/>
        </w:rPr>
        <w:t>בן</w:t>
      </w:r>
      <w:r>
        <w:rPr>
          <w:rtl/>
        </w:rPr>
        <w:t xml:space="preserve"> </w:t>
      </w:r>
      <w:r>
        <w:rPr>
          <w:rFonts w:hint="eastAsia"/>
          <w:rtl/>
        </w:rPr>
        <w:t>אחי</w:t>
      </w:r>
      <w:r>
        <w:rPr>
          <w:rtl/>
        </w:rPr>
        <w:t xml:space="preserve"> </w:t>
      </w:r>
      <w:r>
        <w:rPr>
          <w:rFonts w:hint="eastAsia"/>
          <w:rtl/>
        </w:rPr>
        <w:t>ר</w:t>
      </w:r>
      <w:r>
        <w:rPr>
          <w:rtl/>
        </w:rPr>
        <w:t xml:space="preserve">' </w:t>
      </w:r>
      <w:r>
        <w:rPr>
          <w:rFonts w:hint="eastAsia"/>
          <w:rtl/>
        </w:rPr>
        <w:t>יהושע</w:t>
      </w:r>
      <w:r>
        <w:rPr>
          <w:rtl/>
        </w:rPr>
        <w:t xml:space="preserve"> </w:t>
      </w:r>
      <w:r>
        <w:rPr>
          <w:rFonts w:hint="eastAsia"/>
          <w:rtl/>
        </w:rPr>
        <w:t>ידיו</w:t>
      </w:r>
      <w:r>
        <w:rPr>
          <w:rtl/>
        </w:rPr>
        <w:t xml:space="preserve"> </w:t>
      </w:r>
      <w:r>
        <w:rPr>
          <w:rFonts w:hint="eastAsia"/>
          <w:rtl/>
        </w:rPr>
        <w:t>גלילי</w:t>
      </w:r>
      <w:r>
        <w:rPr>
          <w:rtl/>
        </w:rPr>
        <w:t xml:space="preserve"> </w:t>
      </w:r>
      <w:r>
        <w:rPr>
          <w:rFonts w:hint="eastAsia"/>
          <w:rtl/>
        </w:rPr>
        <w:t>זהב</w:t>
      </w:r>
      <w:r>
        <w:rPr>
          <w:rtl/>
        </w:rPr>
        <w:t xml:space="preserve"> </w:t>
      </w:r>
      <w:r>
        <w:rPr>
          <w:rFonts w:hint="eastAsia"/>
          <w:rtl/>
        </w:rPr>
        <w:t>אלו</w:t>
      </w:r>
      <w:r>
        <w:rPr>
          <w:rtl/>
        </w:rPr>
        <w:t xml:space="preserve"> </w:t>
      </w:r>
      <w:r>
        <w:rPr>
          <w:rFonts w:hint="eastAsia"/>
          <w:rtl/>
        </w:rPr>
        <w:t>שני</w:t>
      </w:r>
      <w:r>
        <w:rPr>
          <w:rtl/>
        </w:rPr>
        <w:t xml:space="preserve"> </w:t>
      </w:r>
      <w:r>
        <w:rPr>
          <w:rFonts w:hint="eastAsia"/>
          <w:rtl/>
        </w:rPr>
        <w:t>לוחות</w:t>
      </w:r>
      <w:r>
        <w:rPr>
          <w:rtl/>
        </w:rPr>
        <w:t xml:space="preserve"> </w:t>
      </w:r>
      <w:r>
        <w:rPr>
          <w:rFonts w:hint="eastAsia"/>
          <w:rtl/>
        </w:rPr>
        <w:t>הברית</w:t>
      </w:r>
      <w:r>
        <w:rPr>
          <w:rtl/>
        </w:rPr>
        <w:t xml:space="preserve"> </w:t>
      </w:r>
      <w:r>
        <w:rPr>
          <w:rFonts w:hint="eastAsia"/>
          <w:rtl/>
        </w:rPr>
        <w:t>שכתוב</w:t>
      </w:r>
      <w:r>
        <w:rPr>
          <w:rtl/>
        </w:rPr>
        <w:t xml:space="preserve"> </w:t>
      </w:r>
      <w:r>
        <w:rPr>
          <w:rFonts w:hint="eastAsia"/>
          <w:rtl/>
        </w:rPr>
        <w:t>עליהן</w:t>
      </w:r>
      <w:r>
        <w:rPr>
          <w:rtl/>
        </w:rPr>
        <w:t xml:space="preserve"> </w:t>
      </w:r>
      <w:r>
        <w:rPr>
          <w:rFonts w:hint="eastAsia"/>
          <w:rtl/>
        </w:rPr>
        <w:t>כתובים</w:t>
      </w:r>
      <w:r>
        <w:rPr>
          <w:rtl/>
        </w:rPr>
        <w:t xml:space="preserve"> </w:t>
      </w:r>
      <w:r>
        <w:rPr>
          <w:rFonts w:hint="eastAsia"/>
          <w:rtl/>
        </w:rPr>
        <w:t>באצבע</w:t>
      </w:r>
      <w:r>
        <w:rPr>
          <w:rtl/>
        </w:rPr>
        <w:t xml:space="preserve"> </w:t>
      </w:r>
      <w:r>
        <w:rPr>
          <w:rFonts w:hint="eastAsia"/>
          <w:rtl/>
        </w:rPr>
        <w:t>אלהים</w:t>
      </w:r>
      <w:r>
        <w:rPr>
          <w:rtl/>
        </w:rPr>
        <w:t xml:space="preserve"> </w:t>
      </w:r>
      <w:r>
        <w:rPr>
          <w:rFonts w:hint="eastAsia"/>
          <w:rtl/>
        </w:rPr>
        <w:t>גלילי</w:t>
      </w:r>
      <w:r>
        <w:rPr>
          <w:rtl/>
        </w:rPr>
        <w:t xml:space="preserve"> </w:t>
      </w:r>
      <w:r>
        <w:rPr>
          <w:rFonts w:hint="eastAsia"/>
          <w:rtl/>
        </w:rPr>
        <w:t>זהב</w:t>
      </w:r>
      <w:r>
        <w:rPr>
          <w:rtl/>
        </w:rPr>
        <w:t xml:space="preserve"> </w:t>
      </w:r>
      <w:r>
        <w:rPr>
          <w:rFonts w:hint="eastAsia"/>
          <w:rtl/>
        </w:rPr>
        <w:t>מה</w:t>
      </w:r>
      <w:r>
        <w:rPr>
          <w:rtl/>
        </w:rPr>
        <w:t xml:space="preserve"> </w:t>
      </w:r>
      <w:r>
        <w:rPr>
          <w:rFonts w:hint="eastAsia"/>
          <w:rtl/>
        </w:rPr>
        <w:t>הגלים</w:t>
      </w:r>
      <w:r>
        <w:rPr>
          <w:rtl/>
        </w:rPr>
        <w:t xml:space="preserve"> </w:t>
      </w:r>
      <w:r>
        <w:rPr>
          <w:rFonts w:hint="eastAsia"/>
          <w:rtl/>
        </w:rPr>
        <w:t>הללו</w:t>
      </w:r>
      <w:r>
        <w:rPr>
          <w:rtl/>
        </w:rPr>
        <w:t xml:space="preserve"> </w:t>
      </w:r>
      <w:r>
        <w:rPr>
          <w:rFonts w:hint="eastAsia"/>
          <w:rtl/>
        </w:rPr>
        <w:t>בין</w:t>
      </w:r>
      <w:r>
        <w:rPr>
          <w:rtl/>
        </w:rPr>
        <w:t xml:space="preserve"> </w:t>
      </w:r>
      <w:r>
        <w:rPr>
          <w:rFonts w:hint="eastAsia"/>
          <w:rtl/>
        </w:rPr>
        <w:t>גל</w:t>
      </w:r>
      <w:r>
        <w:rPr>
          <w:rtl/>
        </w:rPr>
        <w:t xml:space="preserve"> </w:t>
      </w:r>
      <w:r>
        <w:rPr>
          <w:rFonts w:hint="eastAsia"/>
          <w:rtl/>
        </w:rPr>
        <w:t>גדול</w:t>
      </w:r>
      <w:r>
        <w:rPr>
          <w:rtl/>
        </w:rPr>
        <w:t xml:space="preserve"> </w:t>
      </w:r>
      <w:r>
        <w:rPr>
          <w:rFonts w:hint="eastAsia"/>
          <w:rtl/>
        </w:rPr>
        <w:t>לגל</w:t>
      </w:r>
      <w:r>
        <w:rPr>
          <w:rtl/>
        </w:rPr>
        <w:t xml:space="preserve"> </w:t>
      </w:r>
      <w:r>
        <w:rPr>
          <w:rFonts w:hint="eastAsia"/>
          <w:rtl/>
        </w:rPr>
        <w:t>גדול</w:t>
      </w:r>
      <w:r>
        <w:rPr>
          <w:rtl/>
        </w:rPr>
        <w:t xml:space="preserve"> </w:t>
      </w:r>
      <w:r>
        <w:rPr>
          <w:rFonts w:hint="eastAsia"/>
          <w:rtl/>
        </w:rPr>
        <w:t>גלים</w:t>
      </w:r>
      <w:r>
        <w:rPr>
          <w:rtl/>
        </w:rPr>
        <w:t xml:space="preserve"> </w:t>
      </w:r>
      <w:r>
        <w:rPr>
          <w:rFonts w:hint="eastAsia"/>
          <w:rtl/>
        </w:rPr>
        <w:t>קטנים</w:t>
      </w:r>
      <w:r>
        <w:rPr>
          <w:rtl/>
        </w:rPr>
        <w:t xml:space="preserve"> </w:t>
      </w:r>
      <w:r>
        <w:rPr>
          <w:rFonts w:hint="eastAsia"/>
          <w:rtl/>
        </w:rPr>
        <w:t>כך</w:t>
      </w:r>
      <w:r>
        <w:rPr>
          <w:rtl/>
        </w:rPr>
        <w:t xml:space="preserve"> </w:t>
      </w:r>
      <w:r>
        <w:rPr>
          <w:rFonts w:hint="eastAsia"/>
          <w:rtl/>
        </w:rPr>
        <w:t>בין</w:t>
      </w:r>
      <w:r>
        <w:rPr>
          <w:rtl/>
        </w:rPr>
        <w:t xml:space="preserve"> </w:t>
      </w:r>
      <w:r>
        <w:rPr>
          <w:rFonts w:hint="eastAsia"/>
          <w:rtl/>
        </w:rPr>
        <w:t>כל</w:t>
      </w:r>
      <w:r>
        <w:rPr>
          <w:rtl/>
        </w:rPr>
        <w:t xml:space="preserve"> </w:t>
      </w:r>
      <w:r>
        <w:rPr>
          <w:rFonts w:hint="eastAsia"/>
          <w:rtl/>
        </w:rPr>
        <w:t>דיבור</w:t>
      </w:r>
      <w:r>
        <w:rPr>
          <w:rtl/>
        </w:rPr>
        <w:t xml:space="preserve"> </w:t>
      </w:r>
      <w:r>
        <w:rPr>
          <w:rFonts w:hint="eastAsia"/>
          <w:rtl/>
        </w:rPr>
        <w:t>ודיבור</w:t>
      </w:r>
      <w:r>
        <w:rPr>
          <w:rtl/>
        </w:rPr>
        <w:t xml:space="preserve"> </w:t>
      </w:r>
      <w:r>
        <w:rPr>
          <w:rFonts w:hint="eastAsia"/>
          <w:rtl/>
        </w:rPr>
        <w:t>פרשיותיה</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היו</w:t>
      </w:r>
      <w:r>
        <w:rPr>
          <w:rtl/>
        </w:rPr>
        <w:t xml:space="preserve"> </w:t>
      </w:r>
      <w:r>
        <w:rPr>
          <w:rFonts w:hint="eastAsia"/>
          <w:rtl/>
        </w:rPr>
        <w:t>כתובים</w:t>
      </w:r>
      <w:r>
        <w:rPr>
          <w:rtl/>
        </w:rPr>
        <w:t xml:space="preserve"> </w:t>
      </w:r>
      <w:r>
        <w:rPr>
          <w:rFonts w:hint="eastAsia"/>
          <w:rtl/>
        </w:rPr>
        <w:t>ודקדוקיה</w:t>
      </w:r>
      <w:r>
        <w:rPr>
          <w:rtl/>
        </w:rPr>
        <w:t xml:space="preserve">". </w:t>
      </w:r>
      <w:r>
        <w:rPr>
          <w:rFonts w:hint="eastAsia"/>
          <w:rtl/>
        </w:rPr>
        <w:t>ובשיר</w:t>
      </w:r>
      <w:r>
        <w:rPr>
          <w:rtl/>
        </w:rPr>
        <w:t xml:space="preserve"> </w:t>
      </w:r>
      <w:r>
        <w:rPr>
          <w:rFonts w:hint="eastAsia"/>
          <w:rtl/>
        </w:rPr>
        <w:t>השירים</w:t>
      </w:r>
      <w:r>
        <w:rPr>
          <w:rtl/>
        </w:rPr>
        <w:t xml:space="preserve"> </w:t>
      </w:r>
      <w:r>
        <w:rPr>
          <w:rFonts w:hint="eastAsia"/>
          <w:rtl/>
        </w:rPr>
        <w:t>רבה</w:t>
      </w:r>
      <w:r>
        <w:rPr>
          <w:rtl/>
        </w:rPr>
        <w:t xml:space="preserve"> </w:t>
      </w:r>
      <w:r>
        <w:rPr>
          <w:rFonts w:hint="eastAsia"/>
          <w:rtl/>
        </w:rPr>
        <w:t>כתב</w:t>
      </w:r>
      <w:r>
        <w:rPr>
          <w:rtl/>
        </w:rPr>
        <w:t xml:space="preserve"> "</w:t>
      </w:r>
      <w:r>
        <w:rPr>
          <w:rFonts w:hint="eastAsia"/>
          <w:rtl/>
        </w:rPr>
        <w:t>אמר</w:t>
      </w:r>
      <w:r>
        <w:rPr>
          <w:rtl/>
        </w:rPr>
        <w:t xml:space="preserve"> </w:t>
      </w:r>
      <w:r>
        <w:rPr>
          <w:rFonts w:hint="eastAsia"/>
          <w:rtl/>
        </w:rPr>
        <w:t>רבי</w:t>
      </w:r>
      <w:r>
        <w:rPr>
          <w:rtl/>
        </w:rPr>
        <w:t xml:space="preserve"> </w:t>
      </w:r>
      <w:r>
        <w:rPr>
          <w:rFonts w:hint="eastAsia"/>
          <w:rtl/>
        </w:rPr>
        <w:t>יוחנן</w:t>
      </w:r>
      <w:r>
        <w:rPr>
          <w:rtl/>
        </w:rPr>
        <w:t xml:space="preserve"> </w:t>
      </w:r>
      <w:r>
        <w:rPr>
          <w:rFonts w:hint="eastAsia"/>
          <w:rtl/>
        </w:rPr>
        <w:t>מלאך</w:t>
      </w:r>
      <w:r>
        <w:rPr>
          <w:rtl/>
        </w:rPr>
        <w:t xml:space="preserve"> </w:t>
      </w:r>
      <w:r>
        <w:rPr>
          <w:rFonts w:hint="eastAsia"/>
          <w:rtl/>
        </w:rPr>
        <w:t>היה</w:t>
      </w:r>
      <w:r>
        <w:rPr>
          <w:rtl/>
        </w:rPr>
        <w:t xml:space="preserve"> </w:t>
      </w:r>
      <w:r>
        <w:rPr>
          <w:rFonts w:hint="eastAsia"/>
          <w:rtl/>
        </w:rPr>
        <w:t>מוציא</w:t>
      </w:r>
      <w:r>
        <w:rPr>
          <w:rtl/>
        </w:rPr>
        <w:t xml:space="preserve"> </w:t>
      </w:r>
      <w:r>
        <w:rPr>
          <w:rFonts w:hint="eastAsia"/>
          <w:rtl/>
        </w:rPr>
        <w:t>הדיבור</w:t>
      </w:r>
      <w:r>
        <w:rPr>
          <w:rtl/>
        </w:rPr>
        <w:t xml:space="preserve"> </w:t>
      </w:r>
      <w:r>
        <w:rPr>
          <w:rFonts w:hint="eastAsia"/>
          <w:rtl/>
        </w:rPr>
        <w:t>מלפני</w:t>
      </w:r>
      <w:r>
        <w:rPr>
          <w:rtl/>
        </w:rPr>
        <w:t xml:space="preserve"> </w:t>
      </w:r>
      <w:r>
        <w:rPr>
          <w:rFonts w:hint="eastAsia"/>
          <w:rtl/>
        </w:rPr>
        <w:t>הקדוש</w:t>
      </w:r>
      <w:r>
        <w:rPr>
          <w:rtl/>
        </w:rPr>
        <w:t xml:space="preserve"> </w:t>
      </w:r>
      <w:r>
        <w:rPr>
          <w:rFonts w:hint="eastAsia"/>
          <w:rtl/>
        </w:rPr>
        <w:t>ברוך</w:t>
      </w:r>
      <w:r>
        <w:rPr>
          <w:rtl/>
        </w:rPr>
        <w:t xml:space="preserve"> </w:t>
      </w:r>
      <w:r>
        <w:rPr>
          <w:rFonts w:hint="eastAsia"/>
          <w:rtl/>
        </w:rPr>
        <w:t>הוא</w:t>
      </w:r>
      <w:r>
        <w:rPr>
          <w:rtl/>
        </w:rPr>
        <w:t xml:space="preserve">, </w:t>
      </w:r>
      <w:r>
        <w:rPr>
          <w:rFonts w:hint="eastAsia"/>
          <w:rtl/>
        </w:rPr>
        <w:t>על</w:t>
      </w:r>
      <w:r>
        <w:rPr>
          <w:rtl/>
        </w:rPr>
        <w:t xml:space="preserve"> </w:t>
      </w:r>
      <w:r>
        <w:rPr>
          <w:rFonts w:hint="eastAsia"/>
          <w:rtl/>
        </w:rPr>
        <w:t>כל</w:t>
      </w:r>
      <w:r>
        <w:rPr>
          <w:rtl/>
        </w:rPr>
        <w:t xml:space="preserve"> </w:t>
      </w:r>
      <w:r>
        <w:rPr>
          <w:rFonts w:hint="eastAsia"/>
          <w:rtl/>
        </w:rPr>
        <w:t>דיבור</w:t>
      </w:r>
      <w:r>
        <w:rPr>
          <w:rtl/>
        </w:rPr>
        <w:t xml:space="preserve"> </w:t>
      </w:r>
      <w:r>
        <w:rPr>
          <w:rFonts w:hint="eastAsia"/>
          <w:rtl/>
        </w:rPr>
        <w:t>ודיבור</w:t>
      </w:r>
      <w:r>
        <w:rPr>
          <w:rtl/>
        </w:rPr>
        <w:t xml:space="preserve">, </w:t>
      </w:r>
      <w:r>
        <w:rPr>
          <w:rFonts w:hint="eastAsia"/>
          <w:rtl/>
        </w:rPr>
        <w:t>ומחזירו</w:t>
      </w:r>
      <w:r>
        <w:rPr>
          <w:rtl/>
        </w:rPr>
        <w:t xml:space="preserve"> </w:t>
      </w:r>
      <w:r>
        <w:rPr>
          <w:rFonts w:hint="eastAsia"/>
          <w:rtl/>
        </w:rPr>
        <w:t>על</w:t>
      </w:r>
      <w:r>
        <w:rPr>
          <w:rtl/>
        </w:rPr>
        <w:t xml:space="preserve"> </w:t>
      </w:r>
      <w:r>
        <w:rPr>
          <w:rFonts w:hint="eastAsia"/>
          <w:rtl/>
        </w:rPr>
        <w:t>כל</w:t>
      </w:r>
      <w:r>
        <w:rPr>
          <w:rtl/>
        </w:rPr>
        <w:t xml:space="preserve"> </w:t>
      </w:r>
      <w:r>
        <w:rPr>
          <w:rFonts w:hint="eastAsia"/>
          <w:rtl/>
        </w:rPr>
        <w:t>אחד</w:t>
      </w:r>
      <w:r>
        <w:rPr>
          <w:rtl/>
        </w:rPr>
        <w:t xml:space="preserve"> </w:t>
      </w:r>
      <w:r>
        <w:rPr>
          <w:rFonts w:hint="eastAsia"/>
          <w:rtl/>
        </w:rPr>
        <w:t>ואחד</w:t>
      </w:r>
      <w:r>
        <w:rPr>
          <w:rtl/>
        </w:rPr>
        <w:t xml:space="preserve"> </w:t>
      </w:r>
      <w:r>
        <w:rPr>
          <w:rFonts w:hint="eastAsia"/>
          <w:rtl/>
        </w:rPr>
        <w:t>מישראל</w:t>
      </w:r>
      <w:r>
        <w:rPr>
          <w:rtl/>
        </w:rPr>
        <w:t xml:space="preserve"> </w:t>
      </w:r>
      <w:r>
        <w:rPr>
          <w:rFonts w:hint="eastAsia"/>
          <w:rtl/>
        </w:rPr>
        <w:t>ואומר</w:t>
      </w:r>
      <w:r>
        <w:rPr>
          <w:rtl/>
        </w:rPr>
        <w:t xml:space="preserve"> </w:t>
      </w:r>
      <w:r>
        <w:rPr>
          <w:rFonts w:hint="eastAsia"/>
          <w:rtl/>
        </w:rPr>
        <w:t>לו</w:t>
      </w:r>
      <w:r>
        <w:rPr>
          <w:rtl/>
        </w:rPr>
        <w:t xml:space="preserve"> </w:t>
      </w:r>
      <w:r>
        <w:rPr>
          <w:rFonts w:hint="eastAsia"/>
          <w:rtl/>
        </w:rPr>
        <w:t>מקבל</w:t>
      </w:r>
      <w:r>
        <w:rPr>
          <w:rtl/>
        </w:rPr>
        <w:t xml:space="preserve"> </w:t>
      </w:r>
      <w:r>
        <w:rPr>
          <w:rFonts w:hint="eastAsia"/>
          <w:rtl/>
        </w:rPr>
        <w:t>אתה</w:t>
      </w:r>
      <w:r>
        <w:rPr>
          <w:rtl/>
        </w:rPr>
        <w:t xml:space="preserve"> </w:t>
      </w:r>
      <w:r>
        <w:rPr>
          <w:rFonts w:hint="eastAsia"/>
          <w:rtl/>
        </w:rPr>
        <w:t>עליך</w:t>
      </w:r>
      <w:r>
        <w:rPr>
          <w:rtl/>
        </w:rPr>
        <w:t xml:space="preserve"> </w:t>
      </w:r>
      <w:r>
        <w:rPr>
          <w:rFonts w:hint="eastAsia"/>
          <w:rtl/>
        </w:rPr>
        <w:t>את</w:t>
      </w:r>
      <w:r>
        <w:rPr>
          <w:rtl/>
        </w:rPr>
        <w:t xml:space="preserve"> </w:t>
      </w:r>
      <w:r>
        <w:rPr>
          <w:rFonts w:hint="eastAsia"/>
          <w:rtl/>
        </w:rPr>
        <w:t>הדיבור</w:t>
      </w:r>
      <w:r>
        <w:rPr>
          <w:rtl/>
        </w:rPr>
        <w:t xml:space="preserve"> </w:t>
      </w:r>
      <w:r>
        <w:rPr>
          <w:rFonts w:hint="eastAsia"/>
          <w:rtl/>
        </w:rPr>
        <w:t>הזה</w:t>
      </w:r>
      <w:r>
        <w:rPr>
          <w:rtl/>
        </w:rPr>
        <w:t xml:space="preserve">, </w:t>
      </w:r>
      <w:r>
        <w:rPr>
          <w:rFonts w:hint="eastAsia"/>
          <w:rtl/>
        </w:rPr>
        <w:t>כך</w:t>
      </w:r>
      <w:r>
        <w:rPr>
          <w:rtl/>
        </w:rPr>
        <w:t xml:space="preserve"> </w:t>
      </w:r>
      <w:r>
        <w:rPr>
          <w:rFonts w:hint="eastAsia"/>
          <w:rtl/>
        </w:rPr>
        <w:t>וכך</w:t>
      </w:r>
      <w:r>
        <w:rPr>
          <w:rtl/>
        </w:rPr>
        <w:t xml:space="preserve"> </w:t>
      </w:r>
      <w:r>
        <w:rPr>
          <w:rFonts w:hint="eastAsia"/>
          <w:rtl/>
        </w:rPr>
        <w:t>דינין</w:t>
      </w:r>
      <w:r>
        <w:rPr>
          <w:rtl/>
        </w:rPr>
        <w:t xml:space="preserve"> </w:t>
      </w:r>
      <w:r>
        <w:rPr>
          <w:rFonts w:hint="eastAsia"/>
          <w:rtl/>
        </w:rPr>
        <w:t>יש</w:t>
      </w:r>
      <w:r>
        <w:rPr>
          <w:rtl/>
        </w:rPr>
        <w:t xml:space="preserve"> </w:t>
      </w:r>
      <w:r>
        <w:rPr>
          <w:rFonts w:hint="eastAsia"/>
          <w:rtl/>
        </w:rPr>
        <w:t>בו</w:t>
      </w:r>
      <w:r>
        <w:rPr>
          <w:rtl/>
        </w:rPr>
        <w:t xml:space="preserve"> </w:t>
      </w:r>
      <w:r>
        <w:rPr>
          <w:rFonts w:hint="eastAsia"/>
          <w:rtl/>
        </w:rPr>
        <w:t>כך</w:t>
      </w:r>
      <w:r>
        <w:rPr>
          <w:rtl/>
        </w:rPr>
        <w:t xml:space="preserve"> </w:t>
      </w:r>
      <w:r>
        <w:rPr>
          <w:rFonts w:hint="eastAsia"/>
          <w:rtl/>
        </w:rPr>
        <w:t>וכך</w:t>
      </w:r>
      <w:r>
        <w:rPr>
          <w:rtl/>
        </w:rPr>
        <w:t xml:space="preserve"> </w:t>
      </w:r>
      <w:r>
        <w:rPr>
          <w:rFonts w:hint="eastAsia"/>
          <w:rtl/>
        </w:rPr>
        <w:t>עונשין</w:t>
      </w:r>
      <w:r>
        <w:rPr>
          <w:rtl/>
        </w:rPr>
        <w:t xml:space="preserve"> </w:t>
      </w:r>
      <w:r>
        <w:rPr>
          <w:rFonts w:hint="eastAsia"/>
          <w:rtl/>
        </w:rPr>
        <w:t>יש</w:t>
      </w:r>
      <w:r>
        <w:rPr>
          <w:rtl/>
        </w:rPr>
        <w:t xml:space="preserve"> </w:t>
      </w:r>
      <w:r>
        <w:rPr>
          <w:rFonts w:hint="eastAsia"/>
          <w:rtl/>
        </w:rPr>
        <w:t>בו</w:t>
      </w:r>
      <w:r>
        <w:rPr>
          <w:rtl/>
        </w:rPr>
        <w:t xml:space="preserve"> </w:t>
      </w:r>
      <w:r>
        <w:rPr>
          <w:rFonts w:hint="eastAsia"/>
          <w:rtl/>
        </w:rPr>
        <w:t>כך</w:t>
      </w:r>
      <w:r>
        <w:rPr>
          <w:rtl/>
        </w:rPr>
        <w:t xml:space="preserve"> </w:t>
      </w:r>
      <w:r>
        <w:rPr>
          <w:rFonts w:hint="eastAsia"/>
          <w:rtl/>
        </w:rPr>
        <w:t>וכך</w:t>
      </w:r>
      <w:r>
        <w:rPr>
          <w:rtl/>
        </w:rPr>
        <w:t xml:space="preserve"> </w:t>
      </w:r>
      <w:r>
        <w:rPr>
          <w:rFonts w:hint="eastAsia"/>
          <w:rtl/>
        </w:rPr>
        <w:t>גזרות</w:t>
      </w:r>
      <w:r>
        <w:rPr>
          <w:rtl/>
        </w:rPr>
        <w:t xml:space="preserve"> </w:t>
      </w:r>
      <w:r>
        <w:rPr>
          <w:rFonts w:hint="eastAsia"/>
          <w:rtl/>
        </w:rPr>
        <w:t>יש</w:t>
      </w:r>
      <w:r>
        <w:rPr>
          <w:rtl/>
        </w:rPr>
        <w:t xml:space="preserve"> </w:t>
      </w:r>
      <w:r>
        <w:rPr>
          <w:rFonts w:hint="eastAsia"/>
          <w:rtl/>
        </w:rPr>
        <w:t>בו</w:t>
      </w:r>
      <w:r>
        <w:rPr>
          <w:rtl/>
        </w:rPr>
        <w:t xml:space="preserve"> </w:t>
      </w:r>
      <w:r>
        <w:rPr>
          <w:rFonts w:hint="eastAsia"/>
          <w:rtl/>
        </w:rPr>
        <w:t>וכך</w:t>
      </w:r>
      <w:r>
        <w:rPr>
          <w:rtl/>
        </w:rPr>
        <w:t xml:space="preserve"> </w:t>
      </w:r>
      <w:r>
        <w:rPr>
          <w:rFonts w:hint="eastAsia"/>
          <w:rtl/>
        </w:rPr>
        <w:t>מצות</w:t>
      </w:r>
      <w:r>
        <w:rPr>
          <w:rtl/>
        </w:rPr>
        <w:t xml:space="preserve"> </w:t>
      </w:r>
      <w:r>
        <w:rPr>
          <w:rFonts w:hint="eastAsia"/>
          <w:rtl/>
        </w:rPr>
        <w:t>וכך</w:t>
      </w:r>
      <w:r>
        <w:rPr>
          <w:rtl/>
        </w:rPr>
        <w:t xml:space="preserve"> </w:t>
      </w:r>
      <w:r>
        <w:rPr>
          <w:rFonts w:hint="eastAsia"/>
          <w:rtl/>
        </w:rPr>
        <w:t>קלים</w:t>
      </w:r>
      <w:r>
        <w:rPr>
          <w:rtl/>
        </w:rPr>
        <w:t xml:space="preserve"> </w:t>
      </w:r>
      <w:r>
        <w:rPr>
          <w:rFonts w:hint="eastAsia"/>
          <w:rtl/>
        </w:rPr>
        <w:t>וחמורים</w:t>
      </w:r>
      <w:r>
        <w:rPr>
          <w:rtl/>
        </w:rPr>
        <w:t xml:space="preserve"> </w:t>
      </w:r>
      <w:r>
        <w:rPr>
          <w:rFonts w:hint="eastAsia"/>
          <w:rtl/>
        </w:rPr>
        <w:t>יש</w:t>
      </w:r>
      <w:r>
        <w:rPr>
          <w:rtl/>
        </w:rPr>
        <w:t xml:space="preserve"> </w:t>
      </w:r>
      <w:r>
        <w:rPr>
          <w:rFonts w:hint="eastAsia"/>
          <w:rtl/>
        </w:rPr>
        <w:t>בו</w:t>
      </w:r>
      <w:r>
        <w:rPr>
          <w:rtl/>
        </w:rPr>
        <w:t xml:space="preserve">, </w:t>
      </w:r>
      <w:r>
        <w:rPr>
          <w:rFonts w:hint="eastAsia"/>
          <w:rtl/>
        </w:rPr>
        <w:t>כך</w:t>
      </w:r>
      <w:r>
        <w:rPr>
          <w:rtl/>
        </w:rPr>
        <w:t xml:space="preserve"> </w:t>
      </w:r>
      <w:r>
        <w:rPr>
          <w:rFonts w:hint="eastAsia"/>
          <w:rtl/>
        </w:rPr>
        <w:t>וכך</w:t>
      </w:r>
      <w:r>
        <w:rPr>
          <w:rtl/>
        </w:rPr>
        <w:t xml:space="preserve"> </w:t>
      </w:r>
      <w:r>
        <w:rPr>
          <w:rFonts w:hint="eastAsia"/>
          <w:rtl/>
        </w:rPr>
        <w:t>מתן</w:t>
      </w:r>
      <w:r>
        <w:rPr>
          <w:rtl/>
        </w:rPr>
        <w:t xml:space="preserve"> </w:t>
      </w:r>
      <w:r>
        <w:rPr>
          <w:rFonts w:hint="eastAsia"/>
          <w:rtl/>
        </w:rPr>
        <w:t>שכר</w:t>
      </w:r>
      <w:r>
        <w:rPr>
          <w:rtl/>
        </w:rPr>
        <w:t xml:space="preserve"> </w:t>
      </w:r>
      <w:r>
        <w:rPr>
          <w:rFonts w:hint="eastAsia"/>
          <w:rtl/>
        </w:rPr>
        <w:t>יש</w:t>
      </w:r>
      <w:r>
        <w:rPr>
          <w:rtl/>
        </w:rPr>
        <w:t xml:space="preserve"> </w:t>
      </w:r>
      <w:r>
        <w:rPr>
          <w:rFonts w:hint="eastAsia"/>
          <w:rtl/>
        </w:rPr>
        <w:t>בו</w:t>
      </w:r>
      <w:r>
        <w:rPr>
          <w:rtl/>
        </w:rPr>
        <w:t xml:space="preserve">". </w:t>
      </w:r>
      <w:r>
        <w:rPr>
          <w:rFonts w:hint="eastAsia"/>
          <w:rtl/>
        </w:rPr>
        <w:t>ומבואר</w:t>
      </w:r>
      <w:r>
        <w:rPr>
          <w:rtl/>
        </w:rPr>
        <w:t xml:space="preserve"> </w:t>
      </w:r>
      <w:r>
        <w:rPr>
          <w:rFonts w:hint="eastAsia"/>
          <w:rtl/>
        </w:rPr>
        <w:t>מכל</w:t>
      </w:r>
      <w:r>
        <w:rPr>
          <w:rtl/>
        </w:rPr>
        <w:t xml:space="preserve"> </w:t>
      </w:r>
      <w:r>
        <w:rPr>
          <w:rFonts w:hint="eastAsia"/>
          <w:rtl/>
        </w:rPr>
        <w:t>זה</w:t>
      </w:r>
      <w:r>
        <w:rPr>
          <w:rtl/>
        </w:rPr>
        <w:t xml:space="preserve"> </w:t>
      </w:r>
      <w:r>
        <w:rPr>
          <w:rFonts w:hint="eastAsia"/>
          <w:rtl/>
        </w:rPr>
        <w:t>דאכן</w:t>
      </w:r>
      <w:r>
        <w:rPr>
          <w:rtl/>
        </w:rPr>
        <w:t xml:space="preserve"> </w:t>
      </w:r>
      <w:r>
        <w:rPr>
          <w:rFonts w:hint="eastAsia"/>
          <w:rtl/>
        </w:rPr>
        <w:t>אף</w:t>
      </w:r>
      <w:r>
        <w:rPr>
          <w:rtl/>
        </w:rPr>
        <w:t xml:space="preserve"> </w:t>
      </w:r>
      <w:r>
        <w:rPr>
          <w:rFonts w:hint="eastAsia"/>
          <w:rtl/>
        </w:rPr>
        <w:t>בלוחות</w:t>
      </w:r>
      <w:r>
        <w:rPr>
          <w:rtl/>
        </w:rPr>
        <w:t xml:space="preserve"> </w:t>
      </w:r>
      <w:r>
        <w:rPr>
          <w:rFonts w:hint="eastAsia"/>
          <w:rtl/>
        </w:rPr>
        <w:t>הראשונות</w:t>
      </w:r>
      <w:r>
        <w:rPr>
          <w:rtl/>
        </w:rPr>
        <w:t xml:space="preserve"> </w:t>
      </w:r>
      <w:r>
        <w:rPr>
          <w:rFonts w:hint="eastAsia"/>
          <w:rtl/>
        </w:rPr>
        <w:t>היה</w:t>
      </w:r>
      <w:r>
        <w:rPr>
          <w:rtl/>
        </w:rPr>
        <w:t xml:space="preserve"> </w:t>
      </w:r>
      <w:r>
        <w:rPr>
          <w:rFonts w:hint="eastAsia"/>
          <w:rtl/>
        </w:rPr>
        <w:t>קיים</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w:t>
      </w:r>
      <w:r>
        <w:rPr>
          <w:rFonts w:hint="eastAsia"/>
          <w:rtl/>
        </w:rPr>
        <w:t>ובספר</w:t>
      </w:r>
      <w:r>
        <w:rPr>
          <w:rtl/>
        </w:rPr>
        <w:t xml:space="preserve"> </w:t>
      </w:r>
      <w:r>
        <w:rPr>
          <w:rFonts w:hint="eastAsia"/>
          <w:rtl/>
        </w:rPr>
        <w:t>שם</w:t>
      </w:r>
      <w:r>
        <w:rPr>
          <w:rtl/>
        </w:rPr>
        <w:t xml:space="preserve"> </w:t>
      </w:r>
      <w:r>
        <w:rPr>
          <w:rFonts w:hint="eastAsia"/>
          <w:rtl/>
        </w:rPr>
        <w:t>משמואל</w:t>
      </w:r>
      <w:r>
        <w:rPr>
          <w:rtl/>
        </w:rPr>
        <w:t xml:space="preserve"> </w:t>
      </w:r>
      <w:r>
        <w:rPr>
          <w:rFonts w:hint="eastAsia"/>
          <w:rtl/>
        </w:rPr>
        <w:t>בפרשת</w:t>
      </w:r>
      <w:r>
        <w:rPr>
          <w:rtl/>
        </w:rPr>
        <w:t xml:space="preserve"> </w:t>
      </w:r>
      <w:r>
        <w:rPr>
          <w:rFonts w:hint="eastAsia"/>
          <w:rtl/>
        </w:rPr>
        <w:t>כי</w:t>
      </w:r>
      <w:r>
        <w:rPr>
          <w:rtl/>
        </w:rPr>
        <w:t xml:space="preserve"> </w:t>
      </w:r>
      <w:r>
        <w:rPr>
          <w:rFonts w:hint="eastAsia"/>
          <w:rtl/>
        </w:rPr>
        <w:t>תשא</w:t>
      </w:r>
      <w:r>
        <w:rPr>
          <w:rtl/>
        </w:rPr>
        <w:t xml:space="preserve"> </w:t>
      </w:r>
      <w:r>
        <w:rPr>
          <w:rFonts w:hint="eastAsia"/>
          <w:rtl/>
        </w:rPr>
        <w:t>דהכריח</w:t>
      </w:r>
      <w:r>
        <w:rPr>
          <w:rtl/>
        </w:rPr>
        <w:t xml:space="preserve"> ,</w:t>
      </w:r>
      <w:r>
        <w:rPr>
          <w:rFonts w:hint="eastAsia"/>
          <w:rtl/>
        </w:rPr>
        <w:t>שכל</w:t>
      </w:r>
      <w:r>
        <w:rPr>
          <w:rtl/>
        </w:rPr>
        <w:t xml:space="preserve"> </w:t>
      </w:r>
      <w:r>
        <w:rPr>
          <w:rFonts w:hint="eastAsia"/>
          <w:rtl/>
        </w:rPr>
        <w:t>דברי</w:t>
      </w:r>
      <w:r>
        <w:rPr>
          <w:rtl/>
        </w:rPr>
        <w:t xml:space="preserve"> </w:t>
      </w:r>
      <w:r>
        <w:rPr>
          <w:rFonts w:hint="eastAsia"/>
          <w:rtl/>
        </w:rPr>
        <w:t>חז</w:t>
      </w:r>
      <w:r>
        <w:rPr>
          <w:rtl/>
        </w:rPr>
        <w:t>"</w:t>
      </w:r>
      <w:r>
        <w:rPr>
          <w:rFonts w:hint="eastAsia"/>
          <w:rtl/>
        </w:rPr>
        <w:t>ל</w:t>
      </w:r>
      <w:r>
        <w:rPr>
          <w:rtl/>
        </w:rPr>
        <w:t xml:space="preserve"> </w:t>
      </w:r>
      <w:r>
        <w:rPr>
          <w:rFonts w:hint="eastAsia"/>
          <w:rtl/>
        </w:rPr>
        <w:t>אלו</w:t>
      </w:r>
      <w:r>
        <w:rPr>
          <w:rtl/>
        </w:rPr>
        <w:t xml:space="preserve"> </w:t>
      </w:r>
      <w:r>
        <w:rPr>
          <w:rFonts w:hint="eastAsia"/>
          <w:rtl/>
        </w:rPr>
        <w:t>נאמרו</w:t>
      </w:r>
      <w:r>
        <w:rPr>
          <w:rtl/>
        </w:rPr>
        <w:t xml:space="preserve"> </w:t>
      </w:r>
      <w:r>
        <w:rPr>
          <w:rFonts w:hint="eastAsia"/>
          <w:rtl/>
        </w:rPr>
        <w:t>בנוגע</w:t>
      </w:r>
      <w:r>
        <w:rPr>
          <w:rtl/>
        </w:rPr>
        <w:t xml:space="preserve"> </w:t>
      </w:r>
      <w:r>
        <w:rPr>
          <w:rFonts w:hint="eastAsia"/>
          <w:rtl/>
        </w:rPr>
        <w:t>לוחות</w:t>
      </w:r>
      <w:r>
        <w:rPr>
          <w:rtl/>
        </w:rPr>
        <w:t xml:space="preserve"> </w:t>
      </w:r>
      <w:r>
        <w:rPr>
          <w:rFonts w:hint="eastAsia"/>
          <w:rtl/>
        </w:rPr>
        <w:t>הראשונות</w:t>
      </w:r>
      <w:r>
        <w:rPr>
          <w:rtl/>
        </w:rPr>
        <w:t xml:space="preserve"> </w:t>
      </w:r>
      <w:r>
        <w:rPr>
          <w:rFonts w:hint="eastAsia"/>
          <w:rtl/>
        </w:rPr>
        <w:t>דדרשו</w:t>
      </w:r>
      <w:r>
        <w:rPr>
          <w:rtl/>
        </w:rPr>
        <w:t xml:space="preserve"> </w:t>
      </w:r>
      <w:r>
        <w:rPr>
          <w:rFonts w:hint="eastAsia"/>
          <w:rtl/>
        </w:rPr>
        <w:t>על</w:t>
      </w:r>
      <w:r>
        <w:rPr>
          <w:rtl/>
        </w:rPr>
        <w:t xml:space="preserve"> </w:t>
      </w:r>
      <w:r>
        <w:rPr>
          <w:rFonts w:hint="eastAsia"/>
          <w:rtl/>
        </w:rPr>
        <w:t>הקרא</w:t>
      </w:r>
      <w:r>
        <w:rPr>
          <w:rtl/>
        </w:rPr>
        <w:t xml:space="preserve"> </w:t>
      </w:r>
      <w:r>
        <w:rPr>
          <w:rFonts w:hint="eastAsia"/>
          <w:rtl/>
        </w:rPr>
        <w:t>והלוחות</w:t>
      </w:r>
      <w:r>
        <w:rPr>
          <w:rtl/>
        </w:rPr>
        <w:t xml:space="preserve"> </w:t>
      </w:r>
      <w:r>
        <w:rPr>
          <w:rFonts w:hint="eastAsia"/>
          <w:rtl/>
        </w:rPr>
        <w:t>מעשה</w:t>
      </w:r>
      <w:r>
        <w:rPr>
          <w:rtl/>
        </w:rPr>
        <w:t xml:space="preserve"> </w:t>
      </w:r>
      <w:r>
        <w:rPr>
          <w:rFonts w:hint="eastAsia"/>
          <w:rtl/>
        </w:rPr>
        <w:t>אלקים</w:t>
      </w:r>
      <w:r>
        <w:rPr>
          <w:rtl/>
        </w:rPr>
        <w:t xml:space="preserve"> </w:t>
      </w:r>
      <w:r>
        <w:rPr>
          <w:rFonts w:hint="eastAsia"/>
          <w:rtl/>
        </w:rPr>
        <w:t>המה</w:t>
      </w:r>
      <w:r>
        <w:rPr>
          <w:rtl/>
        </w:rPr>
        <w:t xml:space="preserve">, </w:t>
      </w:r>
      <w:r>
        <w:rPr>
          <w:rFonts w:hint="eastAsia"/>
          <w:rtl/>
        </w:rPr>
        <w:t>דקאי</w:t>
      </w:r>
      <w:r>
        <w:rPr>
          <w:rtl/>
        </w:rPr>
        <w:t xml:space="preserve"> </w:t>
      </w:r>
      <w:r>
        <w:rPr>
          <w:rFonts w:hint="eastAsia"/>
          <w:rtl/>
        </w:rPr>
        <w:t>על</w:t>
      </w:r>
      <w:r>
        <w:rPr>
          <w:rtl/>
        </w:rPr>
        <w:t xml:space="preserve"> </w:t>
      </w:r>
      <w:r>
        <w:rPr>
          <w:rFonts w:hint="eastAsia"/>
          <w:rtl/>
        </w:rPr>
        <w:t>הלוחות</w:t>
      </w:r>
      <w:r>
        <w:rPr>
          <w:rtl/>
        </w:rPr>
        <w:t xml:space="preserve"> </w:t>
      </w:r>
      <w:r>
        <w:rPr>
          <w:rFonts w:hint="eastAsia"/>
          <w:rtl/>
        </w:rPr>
        <w:t>הראשונות</w:t>
      </w:r>
      <w:r>
        <w:rPr>
          <w:rtl/>
        </w:rPr>
        <w:t xml:space="preserve">. ) </w:t>
      </w:r>
      <w:r>
        <w:rPr>
          <w:rFonts w:hint="eastAsia"/>
          <w:rtl/>
        </w:rPr>
        <w:t>וכן</w:t>
      </w:r>
      <w:r>
        <w:rPr>
          <w:rtl/>
        </w:rPr>
        <w:t xml:space="preserve"> </w:t>
      </w:r>
      <w:r>
        <w:rPr>
          <w:rFonts w:hint="eastAsia"/>
          <w:rtl/>
        </w:rPr>
        <w:t>נראה</w:t>
      </w:r>
      <w:r>
        <w:rPr>
          <w:rtl/>
        </w:rPr>
        <w:t xml:space="preserve"> </w:t>
      </w:r>
      <w:r>
        <w:rPr>
          <w:rFonts w:hint="eastAsia"/>
          <w:rtl/>
        </w:rPr>
        <w:t>בפשטות</w:t>
      </w:r>
      <w:r>
        <w:rPr>
          <w:rtl/>
        </w:rPr>
        <w:t xml:space="preserve"> </w:t>
      </w:r>
      <w:r>
        <w:rPr>
          <w:rFonts w:hint="eastAsia"/>
          <w:rtl/>
        </w:rPr>
        <w:t>מדברי</w:t>
      </w:r>
      <w:r>
        <w:rPr>
          <w:rtl/>
        </w:rPr>
        <w:t xml:space="preserve"> </w:t>
      </w:r>
      <w:r>
        <w:rPr>
          <w:rFonts w:hint="eastAsia"/>
          <w:rtl/>
        </w:rPr>
        <w:t>התו</w:t>
      </w:r>
      <w:r>
        <w:rPr>
          <w:rtl/>
        </w:rPr>
        <w:t>"</w:t>
      </w:r>
      <w:r>
        <w:rPr>
          <w:rFonts w:hint="eastAsia"/>
          <w:rtl/>
        </w:rPr>
        <w:t>כ</w:t>
      </w:r>
      <w:r>
        <w:rPr>
          <w:rtl/>
        </w:rPr>
        <w:t xml:space="preserve"> </w:t>
      </w:r>
      <w:r>
        <w:rPr>
          <w:rFonts w:hint="eastAsia"/>
          <w:rtl/>
        </w:rPr>
        <w:t>בריש</w:t>
      </w:r>
      <w:r>
        <w:rPr>
          <w:rtl/>
        </w:rPr>
        <w:t xml:space="preserve"> </w:t>
      </w:r>
      <w:r>
        <w:rPr>
          <w:rFonts w:hint="eastAsia"/>
          <w:rtl/>
        </w:rPr>
        <w:t>פרשת</w:t>
      </w:r>
      <w:r>
        <w:rPr>
          <w:rtl/>
        </w:rPr>
        <w:t xml:space="preserve"> </w:t>
      </w:r>
      <w:r>
        <w:rPr>
          <w:rFonts w:hint="eastAsia"/>
          <w:rtl/>
        </w:rPr>
        <w:t>בהר</w:t>
      </w:r>
      <w:r>
        <w:rPr>
          <w:rtl/>
        </w:rPr>
        <w:t xml:space="preserve"> </w:t>
      </w:r>
      <w:r>
        <w:rPr>
          <w:rFonts w:hint="eastAsia"/>
          <w:rtl/>
        </w:rPr>
        <w:t>מובא</w:t>
      </w:r>
      <w:r>
        <w:rPr>
          <w:rtl/>
        </w:rPr>
        <w:t xml:space="preserve"> </w:t>
      </w:r>
      <w:r>
        <w:rPr>
          <w:rFonts w:hint="eastAsia"/>
          <w:rtl/>
        </w:rPr>
        <w:t>בפרש</w:t>
      </w:r>
      <w:r>
        <w:rPr>
          <w:rtl/>
        </w:rPr>
        <w:t>"</w:t>
      </w:r>
      <w:r>
        <w:rPr>
          <w:rFonts w:hint="eastAsia"/>
          <w:rtl/>
        </w:rPr>
        <w:t>י</w:t>
      </w:r>
      <w:r>
        <w:rPr>
          <w:rtl/>
        </w:rPr>
        <w:t xml:space="preserve"> </w:t>
      </w:r>
      <w:r>
        <w:rPr>
          <w:rFonts w:hint="eastAsia"/>
          <w:rtl/>
        </w:rPr>
        <w:t>דכל</w:t>
      </w:r>
      <w:r>
        <w:rPr>
          <w:rtl/>
        </w:rPr>
        <w:t xml:space="preserve"> </w:t>
      </w:r>
      <w:r>
        <w:rPr>
          <w:rFonts w:hint="eastAsia"/>
          <w:rtl/>
        </w:rPr>
        <w:lastRenderedPageBreak/>
        <w:t>פרטי</w:t>
      </w:r>
      <w:r>
        <w:rPr>
          <w:rtl/>
        </w:rPr>
        <w:t xml:space="preserve">' </w:t>
      </w:r>
      <w:r w:rsidR="00B168DB">
        <w:rPr>
          <w:rFonts w:hint="cs"/>
          <w:rtl/>
        </w:rPr>
        <w:t>ודקדוקי'</w:t>
      </w:r>
      <w:r>
        <w:rPr>
          <w:rtl/>
        </w:rPr>
        <w:t xml:space="preserve"> </w:t>
      </w:r>
      <w:r>
        <w:rPr>
          <w:rFonts w:hint="eastAsia"/>
          <w:rtl/>
        </w:rPr>
        <w:t>נתנו</w:t>
      </w:r>
      <w:r>
        <w:rPr>
          <w:rtl/>
        </w:rPr>
        <w:t xml:space="preserve"> </w:t>
      </w:r>
      <w:r>
        <w:rPr>
          <w:rFonts w:hint="eastAsia"/>
          <w:rtl/>
        </w:rPr>
        <w:t>בסיני</w:t>
      </w:r>
      <w:r>
        <w:rPr>
          <w:rtl/>
        </w:rPr>
        <w:t xml:space="preserve"> </w:t>
      </w:r>
      <w:r>
        <w:rPr>
          <w:rFonts w:hint="eastAsia"/>
          <w:rtl/>
        </w:rPr>
        <w:t>ובפשטות</w:t>
      </w:r>
      <w:r>
        <w:rPr>
          <w:rtl/>
        </w:rPr>
        <w:t xml:space="preserve"> </w:t>
      </w:r>
      <w:r>
        <w:rPr>
          <w:rFonts w:hint="eastAsia"/>
          <w:rtl/>
        </w:rPr>
        <w:t>זה</w:t>
      </w:r>
      <w:r>
        <w:rPr>
          <w:rtl/>
        </w:rPr>
        <w:t xml:space="preserve">  </w:t>
      </w:r>
      <w:r>
        <w:rPr>
          <w:rFonts w:hint="eastAsia"/>
          <w:rtl/>
        </w:rPr>
        <w:t>גם</w:t>
      </w:r>
      <w:r>
        <w:rPr>
          <w:rtl/>
        </w:rPr>
        <w:t xml:space="preserve"> </w:t>
      </w:r>
      <w:r>
        <w:rPr>
          <w:rFonts w:hint="eastAsia"/>
          <w:rtl/>
        </w:rPr>
        <w:t>מצד</w:t>
      </w:r>
      <w:r>
        <w:rPr>
          <w:rtl/>
        </w:rPr>
        <w:t xml:space="preserve"> </w:t>
      </w:r>
      <w:r>
        <w:rPr>
          <w:rFonts w:hint="eastAsia"/>
          <w:rtl/>
        </w:rPr>
        <w:t>לוחות</w:t>
      </w:r>
      <w:r>
        <w:rPr>
          <w:rtl/>
        </w:rPr>
        <w:t xml:space="preserve"> </w:t>
      </w:r>
      <w:r>
        <w:rPr>
          <w:rFonts w:hint="eastAsia"/>
          <w:rtl/>
        </w:rPr>
        <w:t>הראשונות</w:t>
      </w:r>
      <w:r>
        <w:rPr>
          <w:rtl/>
        </w:rPr>
        <w:t xml:space="preserve">. </w:t>
      </w:r>
      <w:r>
        <w:rPr>
          <w:rFonts w:hint="eastAsia"/>
          <w:rtl/>
        </w:rPr>
        <w:t>וצ</w:t>
      </w:r>
      <w:r>
        <w:rPr>
          <w:rtl/>
        </w:rPr>
        <w:t>"</w:t>
      </w:r>
      <w:r>
        <w:rPr>
          <w:rFonts w:hint="eastAsia"/>
          <w:rtl/>
        </w:rPr>
        <w:t>ע</w:t>
      </w:r>
    </w:p>
    <w:p w14:paraId="357C8A43" w14:textId="78B7678B" w:rsidR="00555637" w:rsidRDefault="00C947C6" w:rsidP="00423C6D">
      <w:pPr>
        <w:pStyle w:val="a2"/>
        <w:rPr>
          <w:rtl/>
        </w:rPr>
      </w:pPr>
      <w:r>
        <w:rPr>
          <w:rtl/>
        </w:rPr>
        <w:t>(</w:t>
      </w:r>
      <w:r>
        <w:rPr>
          <w:rFonts w:hint="eastAsia"/>
          <w:rtl/>
        </w:rPr>
        <w:t>ואולי</w:t>
      </w:r>
      <w:r>
        <w:rPr>
          <w:rtl/>
        </w:rPr>
        <w:t xml:space="preserve"> </w:t>
      </w:r>
      <w:r>
        <w:rPr>
          <w:rFonts w:hint="eastAsia"/>
          <w:rtl/>
        </w:rPr>
        <w:t>יש</w:t>
      </w:r>
      <w:r>
        <w:rPr>
          <w:rtl/>
        </w:rPr>
        <w:t xml:space="preserve"> </w:t>
      </w:r>
      <w:r>
        <w:rPr>
          <w:rFonts w:hint="eastAsia"/>
          <w:rtl/>
        </w:rPr>
        <w:t>מקום</w:t>
      </w:r>
      <w:r>
        <w:rPr>
          <w:rtl/>
        </w:rPr>
        <w:t xml:space="preserve"> </w:t>
      </w:r>
      <w:r>
        <w:rPr>
          <w:rFonts w:hint="eastAsia"/>
          <w:rtl/>
        </w:rPr>
        <w:t>לומר</w:t>
      </w:r>
      <w:r>
        <w:rPr>
          <w:rtl/>
        </w:rPr>
        <w:t xml:space="preserve"> </w:t>
      </w:r>
      <w:r>
        <w:rPr>
          <w:rFonts w:hint="eastAsia"/>
          <w:rtl/>
        </w:rPr>
        <w:t>דאף</w:t>
      </w:r>
      <w:r>
        <w:rPr>
          <w:rtl/>
        </w:rPr>
        <w:t xml:space="preserve"> </w:t>
      </w:r>
      <w:r>
        <w:rPr>
          <w:rFonts w:hint="eastAsia"/>
          <w:rtl/>
        </w:rPr>
        <w:t>דהיה</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מ</w:t>
      </w:r>
      <w:r>
        <w:rPr>
          <w:rtl/>
        </w:rPr>
        <w:t>"</w:t>
      </w:r>
      <w:r>
        <w:rPr>
          <w:rFonts w:hint="eastAsia"/>
          <w:rtl/>
        </w:rPr>
        <w:t>מ</w:t>
      </w:r>
      <w:r>
        <w:rPr>
          <w:rtl/>
        </w:rPr>
        <w:t xml:space="preserve"> </w:t>
      </w:r>
      <w:r>
        <w:rPr>
          <w:rFonts w:hint="eastAsia"/>
          <w:rtl/>
        </w:rPr>
        <w:t>לא</w:t>
      </w:r>
      <w:r>
        <w:rPr>
          <w:rtl/>
        </w:rPr>
        <w:t xml:space="preserve"> </w:t>
      </w:r>
      <w:r>
        <w:rPr>
          <w:rFonts w:hint="eastAsia"/>
          <w:rtl/>
        </w:rPr>
        <w:t>היה</w:t>
      </w:r>
      <w:r>
        <w:rPr>
          <w:rtl/>
        </w:rPr>
        <w:t xml:space="preserve"> </w:t>
      </w:r>
      <w:r>
        <w:rPr>
          <w:rFonts w:hint="eastAsia"/>
          <w:rtl/>
        </w:rPr>
        <w:t>הצמצום</w:t>
      </w:r>
      <w:r>
        <w:rPr>
          <w:rtl/>
        </w:rPr>
        <w:t xml:space="preserve"> </w:t>
      </w:r>
      <w:r>
        <w:rPr>
          <w:rFonts w:hint="eastAsia"/>
          <w:rtl/>
        </w:rPr>
        <w:t>של</w:t>
      </w:r>
      <w:r>
        <w:rPr>
          <w:rtl/>
        </w:rPr>
        <w:t xml:space="preserve"> </w:t>
      </w:r>
      <w:r>
        <w:rPr>
          <w:rFonts w:hint="eastAsia"/>
          <w:rtl/>
        </w:rPr>
        <w:t>שיעורי</w:t>
      </w:r>
      <w:r>
        <w:rPr>
          <w:rtl/>
        </w:rPr>
        <w:t xml:space="preserve"> </w:t>
      </w:r>
      <w:r>
        <w:rPr>
          <w:rFonts w:hint="eastAsia"/>
          <w:rtl/>
        </w:rPr>
        <w:t>תורה</w:t>
      </w:r>
      <w:r>
        <w:rPr>
          <w:rtl/>
        </w:rPr>
        <w:t xml:space="preserve">, </w:t>
      </w:r>
      <w:r>
        <w:rPr>
          <w:rFonts w:hint="eastAsia"/>
          <w:rtl/>
        </w:rPr>
        <w:t>אבל</w:t>
      </w:r>
      <w:r>
        <w:rPr>
          <w:rtl/>
        </w:rPr>
        <w:t xml:space="preserve"> </w:t>
      </w:r>
      <w:r>
        <w:rPr>
          <w:rFonts w:hint="eastAsia"/>
          <w:rtl/>
        </w:rPr>
        <w:t>גם</w:t>
      </w:r>
      <w:r>
        <w:rPr>
          <w:rtl/>
        </w:rPr>
        <w:t xml:space="preserve"> </w:t>
      </w:r>
      <w:r>
        <w:rPr>
          <w:rFonts w:hint="eastAsia"/>
          <w:rtl/>
        </w:rPr>
        <w:t>בלוחות</w:t>
      </w:r>
      <w:r>
        <w:rPr>
          <w:rtl/>
        </w:rPr>
        <w:t xml:space="preserve"> </w:t>
      </w:r>
      <w:r>
        <w:rPr>
          <w:rFonts w:hint="eastAsia"/>
          <w:rtl/>
        </w:rPr>
        <w:t>הראשונות</w:t>
      </w:r>
      <w:r>
        <w:rPr>
          <w:rtl/>
        </w:rPr>
        <w:t xml:space="preserve"> </w:t>
      </w:r>
      <w:r>
        <w:rPr>
          <w:rFonts w:hint="eastAsia"/>
          <w:rtl/>
        </w:rPr>
        <w:t>היה</w:t>
      </w:r>
      <w:r>
        <w:rPr>
          <w:rtl/>
        </w:rPr>
        <w:t xml:space="preserve"> </w:t>
      </w:r>
      <w:r>
        <w:rPr>
          <w:rFonts w:hint="eastAsia"/>
          <w:rtl/>
        </w:rPr>
        <w:t>הענין</w:t>
      </w:r>
      <w:r>
        <w:rPr>
          <w:rtl/>
        </w:rPr>
        <w:t xml:space="preserve"> </w:t>
      </w:r>
      <w:r>
        <w:rPr>
          <w:rFonts w:hint="eastAsia"/>
          <w:rtl/>
        </w:rPr>
        <w:t>של</w:t>
      </w:r>
      <w:r>
        <w:rPr>
          <w:rtl/>
        </w:rPr>
        <w:t xml:space="preserve">  </w:t>
      </w:r>
      <w:r>
        <w:rPr>
          <w:rFonts w:hint="eastAsia"/>
          <w:rtl/>
        </w:rPr>
        <w:t>תורה</w:t>
      </w:r>
      <w:r>
        <w:rPr>
          <w:rtl/>
        </w:rPr>
        <w:t xml:space="preserve"> </w:t>
      </w:r>
      <w:r>
        <w:rPr>
          <w:rFonts w:hint="eastAsia"/>
          <w:rtl/>
        </w:rPr>
        <w:t>שבעל</w:t>
      </w:r>
      <w:r>
        <w:rPr>
          <w:rtl/>
        </w:rPr>
        <w:t xml:space="preserve"> </w:t>
      </w:r>
      <w:r>
        <w:rPr>
          <w:rFonts w:hint="eastAsia"/>
          <w:rtl/>
        </w:rPr>
        <w:t>פה</w:t>
      </w:r>
      <w:r>
        <w:rPr>
          <w:rtl/>
        </w:rPr>
        <w:t xml:space="preserve"> </w:t>
      </w:r>
      <w:r>
        <w:rPr>
          <w:rFonts w:hint="eastAsia"/>
          <w:rtl/>
        </w:rPr>
        <w:t>בכללות</w:t>
      </w:r>
      <w:r>
        <w:rPr>
          <w:rFonts w:hint="cs"/>
          <w:rtl/>
        </w:rPr>
        <w:t>)</w:t>
      </w:r>
      <w:r>
        <w:rPr>
          <w:rtl/>
        </w:rPr>
        <w:t>.</w:t>
      </w:r>
    </w:p>
    <w:p w14:paraId="02F3308F" w14:textId="77777777" w:rsidR="00C947C6" w:rsidRPr="00347933" w:rsidRDefault="00C947C6" w:rsidP="00D25B6F">
      <w:pPr>
        <w:pStyle w:val="a4"/>
        <w:spacing w:after="0"/>
        <w:sectPr w:rsidR="00C947C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3EB178F" w14:textId="4C7F3505" w:rsidR="00532E6A" w:rsidRDefault="00532E6A" w:rsidP="00532E6A">
      <w:pPr>
        <w:pStyle w:val="a"/>
        <w:rPr>
          <w:rtl/>
        </w:rPr>
      </w:pPr>
      <w:bookmarkStart w:id="120" w:name="_Toc531140364"/>
      <w:r>
        <w:rPr>
          <w:rFonts w:hint="cs"/>
          <w:rtl/>
        </w:rPr>
        <w:t>מקום הארון</w:t>
      </w:r>
      <w:bookmarkEnd w:id="120"/>
    </w:p>
    <w:p w14:paraId="318FB29B" w14:textId="3944B5F8" w:rsidR="00C947C6" w:rsidRPr="008307D7" w:rsidRDefault="00B168DB" w:rsidP="00C40DBA">
      <w:pPr>
        <w:pStyle w:val="a0"/>
        <w:rPr>
          <w:rtl/>
        </w:rPr>
      </w:pPr>
      <w:bookmarkStart w:id="121" w:name="_Toc531140365"/>
      <w:r>
        <w:rPr>
          <w:rFonts w:hint="cs"/>
          <w:rtl/>
          <w:lang w:bidi="he-IL"/>
        </w:rPr>
        <w:t xml:space="preserve">הרב </w:t>
      </w:r>
      <w:r w:rsidR="00C947C6" w:rsidRPr="008307D7">
        <w:rPr>
          <w:rFonts w:hint="cs"/>
          <w:rtl/>
          <w:lang w:bidi="he-IL"/>
        </w:rPr>
        <w:t>מנחם מענדל אלטיין</w:t>
      </w:r>
      <w:bookmarkEnd w:id="121"/>
    </w:p>
    <w:p w14:paraId="038C2BFB" w14:textId="47DBE186" w:rsidR="00E771D2" w:rsidRPr="00E771D2" w:rsidRDefault="00B168DB" w:rsidP="00E771D2">
      <w:pPr>
        <w:pStyle w:val="a1"/>
        <w:rPr>
          <w:rtl/>
          <w:lang w:val="en-GB"/>
        </w:rPr>
      </w:pPr>
      <w:r>
        <w:rPr>
          <w:rFonts w:hint="cs"/>
          <w:rtl/>
          <w:lang w:val="en-GB"/>
        </w:rPr>
        <w:t>חבר הכולל שע"י מזכירות כ"ק אדמו"ר</w:t>
      </w:r>
    </w:p>
    <w:p w14:paraId="6A217555" w14:textId="77777777" w:rsidR="00C947C6" w:rsidRDefault="00C947C6" w:rsidP="00423C6D">
      <w:pPr>
        <w:pStyle w:val="a2"/>
        <w:rPr>
          <w:rtl/>
        </w:rPr>
      </w:pPr>
      <w:r>
        <w:rPr>
          <w:rFonts w:hint="cs"/>
          <w:rtl/>
        </w:rPr>
        <w:t>בספר המאמרים תרמ"ט עמוד עד"ר כתוב בזה הלשון: "...מקום הארון לא הי' מן המדה, הבית קדש הקדשים הי' כ' אמות אורך ויו"ד אמות רוחב, והארון הי' אמתיים וחצי ארכו ואמה וחצי רחבו, ועמד באמצע קה"ק, והי' צריך להיות באורך שמונה אמות וג' רבעי אמה מזה, וח' אמות ג' רבעי אמה מזה, וברוחב הי' צ"ל ד"א ורבע אמה מזה, וד"א ורבע אמה מזה, ולאחר המדידה נמצא שהי' עשר אמות מזה ועשר אמות מזה, וכן ברוחב ה"א מזה וה"א מזה...".</w:t>
      </w:r>
    </w:p>
    <w:p w14:paraId="209F28F4" w14:textId="77777777" w:rsidR="00C947C6" w:rsidRDefault="00C947C6" w:rsidP="00423C6D">
      <w:pPr>
        <w:pStyle w:val="a2"/>
        <w:rPr>
          <w:rtl/>
        </w:rPr>
      </w:pPr>
      <w:r>
        <w:rPr>
          <w:rFonts w:hint="cs"/>
          <w:rtl/>
        </w:rPr>
        <w:t>ושמעתי מקשים שלכאורה צ"ב, שהרי מפורש שגם האורך וגם הרוחב של קה"ק שבבית ראשון</w:t>
      </w:r>
      <w:r>
        <w:rPr>
          <w:rStyle w:val="FootnoteReference"/>
          <w:rtl/>
        </w:rPr>
        <w:footnoteReference w:id="48"/>
      </w:r>
      <w:r>
        <w:rPr>
          <w:rFonts w:hint="cs"/>
          <w:rtl/>
        </w:rPr>
        <w:t xml:space="preserve"> ושלישי</w:t>
      </w:r>
      <w:r>
        <w:rPr>
          <w:rStyle w:val="FootnoteReference"/>
          <w:rtl/>
        </w:rPr>
        <w:footnoteReference w:id="49"/>
      </w:r>
      <w:r>
        <w:rPr>
          <w:rFonts w:hint="cs"/>
          <w:rtl/>
        </w:rPr>
        <w:t xml:space="preserve"> הם כ' אמה, ובמשכן גם האורך וגם הרוחב היו יו"ד אמות</w:t>
      </w:r>
      <w:r>
        <w:rPr>
          <w:rStyle w:val="FootnoteReference"/>
          <w:rtl/>
        </w:rPr>
        <w:footnoteReference w:id="50"/>
      </w:r>
      <w:r>
        <w:rPr>
          <w:rFonts w:hint="cs"/>
          <w:rtl/>
        </w:rPr>
        <w:t xml:space="preserve">, וא"כ מה הכוונה כאן "כ' אמות אורך ויו"ד אמות רוחב"? </w:t>
      </w:r>
    </w:p>
    <w:p w14:paraId="14F2E1C6" w14:textId="77777777" w:rsidR="00C947C6" w:rsidRDefault="00C947C6" w:rsidP="00423C6D">
      <w:pPr>
        <w:pStyle w:val="a2"/>
        <w:rPr>
          <w:rtl/>
        </w:rPr>
      </w:pPr>
      <w:r>
        <w:rPr>
          <w:rFonts w:hint="cs"/>
          <w:rtl/>
        </w:rPr>
        <w:t>עוד יש להעיר, שהאורך של הארון ("אמתיים וחצי") היה נתון לרחבו של היכל, ורוחב הארון לאורכו של ההיכל</w:t>
      </w:r>
      <w:r>
        <w:rPr>
          <w:rStyle w:val="FootnoteReference"/>
          <w:rtl/>
        </w:rPr>
        <w:footnoteReference w:id="51"/>
      </w:r>
      <w:r>
        <w:rPr>
          <w:rFonts w:hint="cs"/>
          <w:rtl/>
        </w:rPr>
        <w:t xml:space="preserve">, ומכיון שבהרשימה הנ"ל גורע אמתיים וחצי מה"עשרים אמה אורך" של הקדש הקדשים, וה"אמה וחצי רחבו" מגרע מה"יו"ד אמות רוחב", נמצא שהכוונה במ"ש שרוחב קה"ק היתה יו"ד אמות, לכאורה היא למה שנקרא "אורכו של היכל" (ממזרח למערב), ומ"ש שקה"ק היתה כ' אמות אורך, הכוונה למה שנקרא "רחבו של היכל". ובאמת, הרי לפי המדידות של קה"ק שברשימה הנ"ל, לגבי קה"ק הצד הקצר יותר - הרוחב - הוא הצד של יו"ד אמות (ממזרח </w:t>
      </w:r>
      <w:r>
        <w:rPr>
          <w:rFonts w:hint="cs"/>
          <w:rtl/>
        </w:rPr>
        <w:lastRenderedPageBreak/>
        <w:t xml:space="preserve">למערב), ולגבי ההיכל כולו הרוחב הוא הכ' אמה שמדרום לצפון, שקצר יותר מהשישים אמה ממזרח למערב של ההיכל כולו. </w:t>
      </w:r>
    </w:p>
    <w:p w14:paraId="469AA19C" w14:textId="188A64A5" w:rsidR="00C947C6" w:rsidRDefault="00C947C6" w:rsidP="00423C6D">
      <w:pPr>
        <w:pStyle w:val="a2"/>
        <w:rPr>
          <w:rtl/>
        </w:rPr>
      </w:pPr>
      <w:r>
        <w:rPr>
          <w:rFonts w:hint="cs"/>
          <w:rtl/>
        </w:rPr>
        <w:t>ועד"ז צ"ב בעוד כמה מאמרי דא"ח</w:t>
      </w:r>
      <w:r>
        <w:rPr>
          <w:rStyle w:val="FootnoteReference"/>
          <w:rtl/>
        </w:rPr>
        <w:footnoteReference w:id="52"/>
      </w:r>
      <w:r>
        <w:rPr>
          <w:rFonts w:hint="cs"/>
          <w:rtl/>
        </w:rPr>
        <w:t xml:space="preserve"> בהם כתוב שלאחרי המדידה</w:t>
      </w:r>
      <w:r>
        <w:rPr>
          <w:rFonts w:hint="cs"/>
        </w:rPr>
        <w:t xml:space="preserve"> </w:t>
      </w:r>
      <w:r>
        <w:rPr>
          <w:rFonts w:cs="Times New Roman" w:hint="cs"/>
          <w:rtl/>
        </w:rPr>
        <w:t>בין</w:t>
      </w:r>
      <w:r>
        <w:rPr>
          <w:rFonts w:hint="cs"/>
        </w:rPr>
        <w:t xml:space="preserve"> </w:t>
      </w:r>
      <w:r>
        <w:rPr>
          <w:rFonts w:cs="Times New Roman" w:hint="cs"/>
          <w:rtl/>
        </w:rPr>
        <w:t>הארון</w:t>
      </w:r>
      <w:r>
        <w:rPr>
          <w:rFonts w:hint="cs"/>
        </w:rPr>
        <w:t xml:space="preserve"> </w:t>
      </w:r>
      <w:r>
        <w:rPr>
          <w:rFonts w:cs="Times New Roman" w:hint="cs"/>
          <w:rtl/>
        </w:rPr>
        <w:t>לצדדים</w:t>
      </w:r>
      <w:r>
        <w:rPr>
          <w:rFonts w:hint="cs"/>
          <w:rtl/>
        </w:rPr>
        <w:t xml:space="preserve"> נמצא שהיה כ' אמות לכל רוח</w:t>
      </w:r>
      <w:r>
        <w:rPr>
          <w:rFonts w:hint="cs"/>
        </w:rPr>
        <w:t xml:space="preserve">  ,</w:t>
      </w:r>
      <w:r>
        <w:rPr>
          <w:rFonts w:hint="cs"/>
          <w:rtl/>
        </w:rPr>
        <w:t>היינו</w:t>
      </w:r>
      <w:r>
        <w:rPr>
          <w:rFonts w:hint="cs"/>
        </w:rPr>
        <w:t xml:space="preserve"> </w:t>
      </w:r>
      <w:r>
        <w:rPr>
          <w:rFonts w:cs="Times New Roman" w:hint="cs"/>
          <w:rtl/>
        </w:rPr>
        <w:t>ארבעים</w:t>
      </w:r>
      <w:r>
        <w:rPr>
          <w:rFonts w:hint="cs"/>
        </w:rPr>
        <w:t xml:space="preserve"> </w:t>
      </w:r>
      <w:r>
        <w:rPr>
          <w:rFonts w:cs="Times New Roman" w:hint="cs"/>
          <w:rtl/>
        </w:rPr>
        <w:t>אמה</w:t>
      </w:r>
      <w:r>
        <w:rPr>
          <w:rFonts w:hint="cs"/>
        </w:rPr>
        <w:t xml:space="preserve"> </w:t>
      </w:r>
      <w:r>
        <w:rPr>
          <w:rFonts w:cs="Times New Roman" w:hint="cs"/>
          <w:rtl/>
        </w:rPr>
        <w:t>סך</w:t>
      </w:r>
      <w:r>
        <w:rPr>
          <w:rFonts w:hint="cs"/>
        </w:rPr>
        <w:t xml:space="preserve"> </w:t>
      </w:r>
      <w:r>
        <w:rPr>
          <w:rFonts w:cs="Times New Roman" w:hint="cs"/>
          <w:rtl/>
        </w:rPr>
        <w:t>הכל</w:t>
      </w:r>
      <w:r>
        <w:rPr>
          <w:rFonts w:hint="cs"/>
        </w:rPr>
        <w:t>.</w:t>
      </w:r>
    </w:p>
    <w:p w14:paraId="4916393B" w14:textId="77777777" w:rsidR="00B26729" w:rsidRPr="00347933" w:rsidRDefault="00B26729" w:rsidP="000E110A">
      <w:pPr>
        <w:pStyle w:val="a4"/>
        <w:spacing w:after="0"/>
        <w:sectPr w:rsidR="00B2672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C833848" w14:textId="584097F5" w:rsidR="00B26729" w:rsidRDefault="00B26729" w:rsidP="000E110A">
      <w:pPr>
        <w:pStyle w:val="a"/>
        <w:spacing w:before="0"/>
        <w:rPr>
          <w:rtl/>
        </w:rPr>
      </w:pPr>
      <w:bookmarkStart w:id="122" w:name="_Toc531140366"/>
      <w:r>
        <w:rPr>
          <w:rFonts w:hint="cs"/>
          <w:rtl/>
        </w:rPr>
        <w:t>הערה</w:t>
      </w:r>
      <w:r w:rsidRPr="00E60958">
        <w:rPr>
          <w:rFonts w:hint="cs"/>
          <w:rtl/>
        </w:rPr>
        <w:t xml:space="preserve"> במאמר ד"ה פדה בשלום תשכ"ו</w:t>
      </w:r>
      <w:r w:rsidRPr="00B26729">
        <w:rPr>
          <w:rStyle w:val="FootnoteReference"/>
        </w:rPr>
        <w:footnoteReference w:customMarkFollows="1" w:id="53"/>
        <w:sym w:font="Symbol" w:char="F02A"/>
      </w:r>
      <w:bookmarkEnd w:id="122"/>
    </w:p>
    <w:p w14:paraId="6CBDD471" w14:textId="77777777" w:rsidR="00B26729" w:rsidRPr="008307D7" w:rsidRDefault="00B26729" w:rsidP="00C40DBA">
      <w:pPr>
        <w:pStyle w:val="a0"/>
        <w:rPr>
          <w:rtl/>
        </w:rPr>
      </w:pPr>
      <w:bookmarkStart w:id="123" w:name="_Toc531140367"/>
      <w:r w:rsidRPr="008307D7">
        <w:rPr>
          <w:rFonts w:hint="cs"/>
          <w:rtl/>
          <w:lang w:bidi="he-IL"/>
        </w:rPr>
        <w:t>הרב אברהם אלטר הלוי הבר</w:t>
      </w:r>
      <w:bookmarkEnd w:id="123"/>
    </w:p>
    <w:p w14:paraId="3A45CC00" w14:textId="0E580303" w:rsidR="00B26729" w:rsidRPr="00B26729" w:rsidRDefault="00B26729" w:rsidP="00B26729">
      <w:pPr>
        <w:pStyle w:val="a1"/>
        <w:rPr>
          <w:rtl/>
        </w:rPr>
      </w:pPr>
      <w:r>
        <w:rPr>
          <w:rFonts w:hint="cs"/>
          <w:rtl/>
        </w:rPr>
        <w:t>משפיע בנחלת הר חב"ד</w:t>
      </w:r>
      <w:r w:rsidRPr="00E60958">
        <w:rPr>
          <w:rFonts w:hint="cs"/>
          <w:rtl/>
        </w:rPr>
        <w:t xml:space="preserve"> </w:t>
      </w:r>
    </w:p>
    <w:p w14:paraId="22AFFBFC" w14:textId="77777777" w:rsidR="00B26729" w:rsidRPr="00B341EB" w:rsidRDefault="00B26729" w:rsidP="00423C6D">
      <w:pPr>
        <w:pStyle w:val="a2"/>
      </w:pPr>
      <w:r w:rsidRPr="00B341EB">
        <w:rPr>
          <w:rFonts w:hint="cs"/>
          <w:rtl/>
        </w:rPr>
        <w:t>באות י'</w:t>
      </w:r>
      <w:r>
        <w:rPr>
          <w:rFonts w:hint="cs"/>
          <w:rtl/>
        </w:rPr>
        <w:t xml:space="preserve"> במאמר</w:t>
      </w:r>
      <w:r w:rsidRPr="00B341EB">
        <w:rPr>
          <w:rFonts w:hint="cs"/>
          <w:rtl/>
        </w:rPr>
        <w:t xml:space="preserve"> מבאר שהחסד שלמעלה מעשירות זהו המשכת פנימיות עתיק, א"ס שברדל"א </w:t>
      </w:r>
      <w:r w:rsidRPr="00B341EB">
        <w:rPr>
          <w:rtl/>
        </w:rPr>
        <w:t>–</w:t>
      </w:r>
      <w:r w:rsidRPr="00B341EB">
        <w:rPr>
          <w:rFonts w:hint="cs"/>
          <w:rtl/>
        </w:rPr>
        <w:t xml:space="preserve"> ועי"ז תהי' ההשפעה והעליה גם במל' שבמל' כמו שהיא במקומה, וגם בהכח הפועל בגשמיות, וגם בהגשמיות עצמו, "כי פנימיות עתיק הוא בכללות עצמות אוא"ס, דלגבי עצמות אוא"ס אין שום מציאות שחוץ ממנו ... ולכן ע"י גילוי פנימיות עתיק יהי' נרגש </w:t>
      </w:r>
      <w:r w:rsidRPr="00B341EB">
        <w:rPr>
          <w:rFonts w:hint="cs"/>
          <w:b/>
          <w:bCs/>
          <w:u w:val="single"/>
          <w:rtl/>
        </w:rPr>
        <w:t>בכל</w:t>
      </w:r>
      <w:r w:rsidRPr="00B341EB">
        <w:rPr>
          <w:rFonts w:hint="cs"/>
          <w:rtl/>
        </w:rPr>
        <w:t xml:space="preserve"> דבר שמציאותו הוא אלקות".</w:t>
      </w:r>
      <w:r>
        <w:rPr>
          <w:rFonts w:hint="cs"/>
          <w:rtl/>
        </w:rPr>
        <w:t xml:space="preserve"> וזהו וחסידיך יברכוכה </w:t>
      </w:r>
      <w:r>
        <w:rPr>
          <w:rtl/>
        </w:rPr>
        <w:t>–</w:t>
      </w:r>
      <w:r>
        <w:rPr>
          <w:rFonts w:hint="cs"/>
          <w:rtl/>
        </w:rPr>
        <w:t>שחסידיך ע"י הביטול שלהם ממשיכים חסד שלמעלה מעשירות, פנימיות עתיק, ב-כה מלכות. (יברכו כה).</w:t>
      </w:r>
    </w:p>
    <w:p w14:paraId="5462C02C" w14:textId="77777777" w:rsidR="00B26729" w:rsidRPr="009B1312" w:rsidRDefault="00B26729" w:rsidP="00423C6D">
      <w:pPr>
        <w:pStyle w:val="a2"/>
        <w:rPr>
          <w:rtl/>
        </w:rPr>
      </w:pPr>
      <w:r w:rsidRPr="009B1312">
        <w:rPr>
          <w:rFonts w:hint="cs"/>
          <w:rtl/>
        </w:rPr>
        <w:t>וצריך להבין, דבאות יב כותב שההמשכה דחסידיך במלכות, כה, את פנימיות הכתר, פנימיות עתיק, הוא מצד הביטול שלהם, שעבודתם אינה לצורך עצמם אלא לצורך גבוה וכו'.</w:t>
      </w:r>
    </w:p>
    <w:p w14:paraId="6B7338B7" w14:textId="77777777" w:rsidR="00B26729" w:rsidRDefault="00B26729" w:rsidP="00423C6D">
      <w:pPr>
        <w:pStyle w:val="a2"/>
        <w:rPr>
          <w:rtl/>
        </w:rPr>
      </w:pPr>
      <w:r>
        <w:rPr>
          <w:rFonts w:hint="cs"/>
          <w:rtl/>
        </w:rPr>
        <w:t xml:space="preserve">ואילו בסיום המאמר כותב דע"י פנימיות התורה, </w:t>
      </w:r>
      <w:r w:rsidRPr="00C053FA">
        <w:rPr>
          <w:rFonts w:hint="cs"/>
          <w:b/>
          <w:bCs/>
          <w:rtl/>
        </w:rPr>
        <w:t>העוסק</w:t>
      </w:r>
      <w:r>
        <w:rPr>
          <w:rFonts w:hint="cs"/>
          <w:rtl/>
        </w:rPr>
        <w:t xml:space="preserve"> בתורה, שזהו פנימיות התורה, נמשך פנימיות עתיק במלכות, ובפרט ע"י הפצת המעינות חוצה, ואינו תולה זאת בהביטול של העוסק בתורה בפנימיות התורה או בהפצת המעינות.</w:t>
      </w:r>
    </w:p>
    <w:p w14:paraId="3E53B16D" w14:textId="77777777" w:rsidR="00B26729" w:rsidRDefault="00B26729" w:rsidP="00423C6D">
      <w:pPr>
        <w:pStyle w:val="a2"/>
        <w:rPr>
          <w:rtl/>
        </w:rPr>
      </w:pPr>
      <w:r>
        <w:rPr>
          <w:rFonts w:hint="cs"/>
          <w:rtl/>
        </w:rPr>
        <w:t xml:space="preserve">ואולי אפשר לומר, עפ"י הביאור בהשיחה (המוגהת שנדפסה בקונטרס זה אחר המאמר) בהתירוץ על השאלה בהמאמר מדוע כאן כתוב העוסק בתורה, שמתייחס אל האדם , ולא כמו על שלשה דברים העולם עומד על התורה וכו', ששם מדבר על התורה </w:t>
      </w:r>
      <w:r>
        <w:rPr>
          <w:rFonts w:hint="cs"/>
          <w:rtl/>
        </w:rPr>
        <w:lastRenderedPageBreak/>
        <w:t xml:space="preserve">עצמה, ולא על העוסק בהתורה כו'. ומבאר בהשיחה דכאן מדובר במה שנוגע להאדם העובד, ומבאר דהעוסק בתורה ..ובתפלה בצבור זהו העבודה בבחי' יחידה שבאדם, ולכן כתוב כאן </w:t>
      </w:r>
      <w:r w:rsidRPr="00353F9E">
        <w:rPr>
          <w:rFonts w:hint="cs"/>
          <w:b/>
          <w:bCs/>
          <w:rtl/>
        </w:rPr>
        <w:t>העוסק</w:t>
      </w:r>
      <w:r>
        <w:rPr>
          <w:rFonts w:hint="cs"/>
          <w:rtl/>
        </w:rPr>
        <w:t xml:space="preserve"> בתורה כו', עיי"ש בהשיחה.</w:t>
      </w:r>
    </w:p>
    <w:p w14:paraId="749E582F" w14:textId="5CA61AB0" w:rsidR="00B26729" w:rsidRPr="00B26729" w:rsidRDefault="00B26729" w:rsidP="00423C6D">
      <w:pPr>
        <w:pStyle w:val="a2"/>
        <w:rPr>
          <w:rtl/>
        </w:rPr>
      </w:pPr>
      <w:r>
        <w:rPr>
          <w:rFonts w:hint="cs"/>
          <w:rtl/>
        </w:rPr>
        <w:t>וא"כ לפי"ז אפשר לומר דמה שכתוב בהמאמר בהסיום דהעוסק בתורה כו' ה"ה ממשיך מפנימות הכתר, פנימיות עתיק, במלכות, זהו דוקא העוסק בבחינת יחידה שבנשמתו, וא"כ זהו אותו דבר כמו המבואר כאן באות יב, כי הביטול של חסידיך בא מבחי' יחידה שלהם, וא"כ זהו אותו ענין דע"י הביטול, ע"י העוסק בתורה עם פנימיות הנשמה, בחי' יחידה שבנשמה ממשיכים פנימיות עתיק במלכות, ועד במל' דמל' ועד למטה מטה בכח הפועל שבנפעל ובהנפעל עצמו, וכפי שמסיים בהמאמר והיה הוי' למלך על כל הארץ ביום ההוא יהיה הוי' אחד ושמו אחד.</w:t>
      </w:r>
    </w:p>
    <w:p w14:paraId="352EF46C" w14:textId="77777777" w:rsidR="00C947C6" w:rsidRPr="00347933" w:rsidRDefault="00C947C6" w:rsidP="00D25B6F">
      <w:pPr>
        <w:pStyle w:val="a4"/>
        <w:spacing w:after="0"/>
        <w:sectPr w:rsidR="00C947C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563B35E" w14:textId="62DAD25A" w:rsidR="00C947C6" w:rsidRDefault="00C947C6" w:rsidP="00C947C6">
      <w:pPr>
        <w:pStyle w:val="12"/>
        <w:rPr>
          <w:rtl/>
        </w:rPr>
      </w:pPr>
      <w:bookmarkStart w:id="124" w:name="_Toc531140368"/>
      <w:r>
        <w:rPr>
          <w:rFonts w:hint="cs"/>
          <w:rtl/>
        </w:rPr>
        <w:t>נגלה</w:t>
      </w:r>
      <w:bookmarkEnd w:id="124"/>
    </w:p>
    <w:p w14:paraId="50A9ED35" w14:textId="77777777" w:rsidR="00D25B6F" w:rsidRDefault="00D25B6F" w:rsidP="00D25B6F">
      <w:pPr>
        <w:pStyle w:val="a"/>
        <w:rPr>
          <w:rtl/>
        </w:rPr>
      </w:pPr>
      <w:bookmarkStart w:id="125" w:name="_Toc531140369"/>
      <w:r w:rsidRPr="00BE2EAB">
        <w:rPr>
          <w:rtl/>
        </w:rPr>
        <w:t>מסירת מפתח</w:t>
      </w:r>
      <w:bookmarkEnd w:id="125"/>
    </w:p>
    <w:p w14:paraId="21FDE49F" w14:textId="77777777" w:rsidR="00D25B6F" w:rsidRPr="008307D7" w:rsidRDefault="00D25B6F" w:rsidP="00C40DBA">
      <w:pPr>
        <w:pStyle w:val="a0"/>
        <w:rPr>
          <w:rtl/>
        </w:rPr>
      </w:pPr>
      <w:bookmarkStart w:id="126" w:name="_Toc531140370"/>
      <w:r w:rsidRPr="008307D7">
        <w:rPr>
          <w:rFonts w:hint="cs"/>
          <w:rtl/>
          <w:lang w:bidi="he-IL"/>
        </w:rPr>
        <w:t>הרב משה בנימין פערלשטיין שליט</w:t>
      </w:r>
      <w:r w:rsidRPr="008307D7">
        <w:rPr>
          <w:rFonts w:hint="cs"/>
          <w:rtl/>
        </w:rPr>
        <w:t>"</w:t>
      </w:r>
      <w:r w:rsidRPr="008307D7">
        <w:rPr>
          <w:rFonts w:hint="cs"/>
          <w:rtl/>
          <w:lang w:bidi="he-IL"/>
        </w:rPr>
        <w:t>א</w:t>
      </w:r>
      <w:bookmarkEnd w:id="126"/>
    </w:p>
    <w:p w14:paraId="24385D7D" w14:textId="77777777" w:rsidR="00D25B6F" w:rsidRPr="00170D2C" w:rsidRDefault="00D25B6F" w:rsidP="00D25B6F">
      <w:pPr>
        <w:pStyle w:val="a1"/>
        <w:rPr>
          <w:rtl/>
        </w:rPr>
      </w:pPr>
      <w:r w:rsidRPr="00C60FEE">
        <w:rPr>
          <w:rFonts w:hint="cs"/>
          <w:rtl/>
        </w:rPr>
        <w:t>מנהל מתיבתא ליובאוויטש ד'שיקאגא</w:t>
      </w:r>
    </w:p>
    <w:p w14:paraId="216740F4" w14:textId="516AD2B5" w:rsidR="00D25B6F" w:rsidRPr="00E50A2F" w:rsidRDefault="00D25B6F" w:rsidP="00423C6D">
      <w:pPr>
        <w:pStyle w:val="a2"/>
        <w:rPr>
          <w:rtl/>
        </w:rPr>
      </w:pPr>
      <w:r w:rsidRPr="00E50A2F">
        <w:rPr>
          <w:rtl/>
        </w:rPr>
        <w:t>בפסחים דף ד. איתא, המשכיר בית לחבירו אם עד שלא מסר לו מפתחות חל ארבעה עשר על המשכיר לבדוק ואם משמסר לו מפתחות חל ארבעה עשר על השוכר לבדוק</w:t>
      </w:r>
      <w:r w:rsidR="00B47633">
        <w:rPr>
          <w:rFonts w:hint="cs"/>
          <w:rtl/>
        </w:rPr>
        <w:t>.</w:t>
      </w:r>
    </w:p>
    <w:p w14:paraId="1133A17E" w14:textId="77777777" w:rsidR="00D25B6F" w:rsidRPr="00E50A2F" w:rsidRDefault="00D25B6F" w:rsidP="00423C6D">
      <w:pPr>
        <w:pStyle w:val="a2"/>
        <w:rPr>
          <w:rtl/>
        </w:rPr>
      </w:pPr>
      <w:r w:rsidRPr="00E50A2F">
        <w:rPr>
          <w:rtl/>
        </w:rPr>
        <w:t>וברש"י שם, מסירת מפתח,  הוא קנין השכירות.  ואם עד שלא מסר המפתח נכנס ליל ארבעה עשר, חלה חובת הבדיקה על המשכיר, שעדיין היתה ברשותו.  ואף על פי שמסר לו ביום, כבר חלה חובה עליו.</w:t>
      </w:r>
    </w:p>
    <w:p w14:paraId="04C711E1" w14:textId="77777777" w:rsidR="00D25B6F" w:rsidRPr="00E50A2F" w:rsidRDefault="00D25B6F" w:rsidP="00423C6D">
      <w:pPr>
        <w:pStyle w:val="a2"/>
        <w:rPr>
          <w:rtl/>
        </w:rPr>
      </w:pPr>
      <w:r w:rsidRPr="00E50A2F">
        <w:rPr>
          <w:rtl/>
        </w:rPr>
        <w:t>ובתוספות שם, ד"ה אם משמסר המפתח</w:t>
      </w:r>
      <w:r>
        <w:rPr>
          <w:rFonts w:hint="cs"/>
          <w:rtl/>
        </w:rPr>
        <w:t xml:space="preserve"> וז"ל</w:t>
      </w:r>
      <w:r w:rsidRPr="00E50A2F">
        <w:rPr>
          <w:rtl/>
        </w:rPr>
        <w:t xml:space="preserve"> </w:t>
      </w:r>
      <w:r>
        <w:rPr>
          <w:rFonts w:hint="cs"/>
          <w:rtl/>
        </w:rPr>
        <w:t>"</w:t>
      </w:r>
      <w:r w:rsidRPr="00E50A2F">
        <w:rPr>
          <w:rtl/>
        </w:rPr>
        <w:t xml:space="preserve">פירש"י דמסירת המפתחות קונה ואין נראה לר"י דהא אמר במרובה (ב"ק עט.) כשם שקרקע נקנית בכסף בשטר ובחזקה כך שכירות [קרקע] נקנה בכסף וכו' ולא אמרי' דמהני מסירת המפתח אלא כמאן דאמר לך חזק וקני כדאמרינן בהפרה (ב"ק נב. ושם) ומפרש ר"י דהכא שמסר לו המפתח ולא החזיק ומי שיש בידו מפתח כשחל י"ד חייב לבדוק דאותו שאין בידו מפתח איך יכנס ויבדוק מיהו אם הפקיד אדם מפתח ביתו אצל אדם אחר אינו חייב </w:t>
      </w:r>
      <w:r w:rsidRPr="00E50A2F">
        <w:rPr>
          <w:rtl/>
        </w:rPr>
        <w:lastRenderedPageBreak/>
        <w:t>הנפקד לבודקו אלא דוקא כשרוצה להחזיק בבית ולקנותו</w:t>
      </w:r>
      <w:r>
        <w:rPr>
          <w:rFonts w:hint="cs"/>
          <w:rtl/>
        </w:rPr>
        <w:t>"</w:t>
      </w:r>
      <w:r w:rsidRPr="00E50A2F">
        <w:rPr>
          <w:rtl/>
        </w:rPr>
        <w:t>.</w:t>
      </w:r>
      <w:r>
        <w:rPr>
          <w:rFonts w:hint="cs"/>
          <w:rtl/>
        </w:rPr>
        <w:t xml:space="preserve"> עכ"ל.</w:t>
      </w:r>
    </w:p>
    <w:p w14:paraId="64059391" w14:textId="77777777" w:rsidR="00D25B6F" w:rsidRPr="00E50A2F" w:rsidRDefault="00D25B6F" w:rsidP="00423C6D">
      <w:pPr>
        <w:pStyle w:val="a2"/>
        <w:rPr>
          <w:rtl/>
        </w:rPr>
      </w:pPr>
      <w:r w:rsidRPr="00E50A2F">
        <w:rPr>
          <w:rtl/>
        </w:rPr>
        <w:t xml:space="preserve">ובדברי התוס' צ"ע למה כשהפקיד אדם מפתח ביתו אצל אדם אחר אינו חייב הנפקד לבודקו. והריטב"א כאן,  הביא סיוע לפירוש רש"י וכתב,  דהכי איתא בירושלמי (ב"ב פ"ג ה"א), ודחה הראי' משום דבבלי חחולק על הירושלמי כמ"ש התוס', ואח"כ הביא תירוץ התוס' וכתב, והכא היינו טעמא דתלי במסירת מפתח, דמי שסיפק בידו לעשות עליה רמיא מילתא </w:t>
      </w:r>
      <w:r w:rsidRPr="00DB1AD5">
        <w:rPr>
          <w:b/>
          <w:bCs/>
          <w:rtl/>
        </w:rPr>
        <w:t>לפי שיש על כל אחד טעמא</w:t>
      </w:r>
      <w:r w:rsidRPr="00E50A2F">
        <w:rPr>
          <w:rtl/>
        </w:rPr>
        <w:t xml:space="preserve">, ולאפוקי מוסר מפתח ביתו לאיניש דעלמא בפקדון שאין הנפקד ההוא חייב. </w:t>
      </w:r>
    </w:p>
    <w:p w14:paraId="44FB0FAC" w14:textId="77777777" w:rsidR="00D25B6F" w:rsidRPr="00E50A2F" w:rsidRDefault="00D25B6F" w:rsidP="00423C6D">
      <w:pPr>
        <w:pStyle w:val="a2"/>
        <w:rPr>
          <w:rtl/>
        </w:rPr>
      </w:pPr>
      <w:r w:rsidRPr="00E50A2F">
        <w:rPr>
          <w:rtl/>
        </w:rPr>
        <w:t xml:space="preserve">ומזה שכתב "לפי שיש על כל אחד טעמא", מתרץ למה מוסר מפתח ביתו לאיניש דעלמא אינו חייב לבדוק. ובפשטות ביאור דבריו הוא, דהגמרא נתן טעם למשכיר ולשוכר לחייבם בבדיקה, או משום דחמירא דידי' או משום דברשותי', </w:t>
      </w:r>
      <w:r>
        <w:rPr>
          <w:rtl/>
        </w:rPr>
        <w:t xml:space="preserve">ומסקנת הגמרא דשניהם אמת וממילא </w:t>
      </w:r>
      <w:r>
        <w:rPr>
          <w:rFonts w:hint="cs"/>
          <w:rtl/>
        </w:rPr>
        <w:t>ת</w:t>
      </w:r>
      <w:r w:rsidRPr="00E50A2F">
        <w:rPr>
          <w:rtl/>
        </w:rPr>
        <w:t>לוי במי שיש לו המפתח בידו, ואין המפתח המחייב למסקנא רק הקובע מי מבמחוייבים עושים הבדיקה. וממילא יוצא בפשטות דאם הפקיד אדם מפתח ביתו אצל אדם אחר אינו חייב הנפקד לבודקו, שהרי אין מסירת המפתח מחייב שום דבר.</w:t>
      </w:r>
    </w:p>
    <w:p w14:paraId="6E9505D5" w14:textId="77777777" w:rsidR="00D25B6F" w:rsidRPr="00E50A2F" w:rsidRDefault="00D25B6F" w:rsidP="00423C6D">
      <w:pPr>
        <w:pStyle w:val="a2"/>
        <w:rPr>
          <w:rtl/>
        </w:rPr>
      </w:pPr>
      <w:r w:rsidRPr="00E50A2F">
        <w:rPr>
          <w:rtl/>
        </w:rPr>
        <w:t>והר"ן על הרי"ף ביאר ההלכה בקצת שינוי מהריטב"א,  לאו למימרא דמסירת מפתח קונה דהא אמרינן בב"ק דלא קניא  ... ואפ"ה אמרי' דנהי דהשוכר קנאו אפ"ה כיון שהבית של משכיר והחמץ שלו ועדיין הבית מעוכב אצלו שאין השוכר נכנס שם מפני שהמפתח בידו של משכיר על המשכיר לבדוק ואם מסר לו מפתח קודם י"ד כיון שקנאו כדינו ובידו להיות יוצא ונכנס על השוכר לבדוק.</w:t>
      </w:r>
    </w:p>
    <w:p w14:paraId="660DC01A" w14:textId="77777777" w:rsidR="00D25B6F" w:rsidRPr="00E50A2F" w:rsidRDefault="00D25B6F" w:rsidP="00423C6D">
      <w:pPr>
        <w:pStyle w:val="a2"/>
        <w:rPr>
          <w:rtl/>
        </w:rPr>
      </w:pPr>
      <w:r w:rsidRPr="00E50A2F">
        <w:rPr>
          <w:rtl/>
        </w:rPr>
        <w:t>יוצא מדבריו דחיוב המשכיר נובע מזה "כיון שהבית של משכיר והחמץ שלו" ועכשיו שהמפתח בידו "הבית מעוכב אצלו שאין השוכר נכנס שם". וחיוב השוכר נובע מזה, ד"כיון שקנאו כדינו ובידו להיות יוצא ונכנס", אבל אינו כותב דמחייב של השוכר הוא שהחמץ ברשותו רק "כיון שקנאו כדינו". והדיון הוא, משום דהמשכיר הוא הבעה"ב והשוכר כבר קנאו לשכירות, ובעצם החיוב הוא על השוכר, רק מאחר שהמפתח בידו ו"הבית מעוכב אצלו שאין השוכר נכנס שם" אז בעלותו מחייב לו לבדוק.  ואם מסר המפתח להשוכר שכבר קנאו קודם י"ד אז "כיון שקנאו כדינו ובידו להיות יוצא ונכנס על השוכר לבדוק", ועיין לקמן בלשונו הזהב של אדה"ז בביאורו בשיטת הר"ן.</w:t>
      </w:r>
    </w:p>
    <w:p w14:paraId="388F8BE0" w14:textId="77777777" w:rsidR="00D25B6F" w:rsidRPr="00E50A2F" w:rsidRDefault="00D25B6F" w:rsidP="00423C6D">
      <w:pPr>
        <w:pStyle w:val="a2"/>
        <w:rPr>
          <w:rtl/>
        </w:rPr>
      </w:pPr>
      <w:r w:rsidRPr="00E50A2F">
        <w:rPr>
          <w:rtl/>
        </w:rPr>
        <w:t xml:space="preserve">ולפי הר"ן איירי שכבר קנאו השוכר לדירה. אבל התוס' חולקים על זה להלכה, מחלקותם הובא בבית יוסף סימן תלז שהביא פירש הר"ן דאיירי שקנאו וכתב,  וכן כתב הרב המגיד (חו"מ פ"ב הי"ח) </w:t>
      </w:r>
    </w:p>
    <w:p w14:paraId="75F5CF76" w14:textId="77777777" w:rsidR="00D25B6F" w:rsidRPr="00E50A2F" w:rsidRDefault="00D25B6F" w:rsidP="00423C6D">
      <w:pPr>
        <w:pStyle w:val="a2"/>
      </w:pPr>
      <w:r w:rsidRPr="00E50A2F">
        <w:rPr>
          <w:rtl/>
        </w:rPr>
        <w:lastRenderedPageBreak/>
        <w:t>ובביאור שיטת הר"ן יש להקדים דאדה"ז בסימן תלז פסק כהר"ן והאריך מאד בדבריו ויש להדגיש מה שיוצא מדבריו בהבנת הר"ן:</w:t>
      </w:r>
    </w:p>
    <w:p w14:paraId="7224DFD2" w14:textId="77777777" w:rsidR="00D25B6F" w:rsidRPr="00E50A2F" w:rsidRDefault="00D25B6F" w:rsidP="00423C6D">
      <w:pPr>
        <w:pStyle w:val="a2"/>
        <w:rPr>
          <w:rtl/>
        </w:rPr>
      </w:pPr>
      <w:r w:rsidRPr="00E50A2F">
        <w:rPr>
          <w:rtl/>
        </w:rPr>
        <w:t>בסעיף א שם כתב, המשכיר בית לחבירו קודם תחלת ליל י"ד וקנאו השוכר באחד מהדרכים ששכירות בית נקנה בו דהיינו בכסף או בשטר או בחזקה או בקנין סודר והמשכיר יצא מן הבית וסגרו ולא מסר את המפתח ליד השוכר עד לאחר שכבר נכנס ליל י"ד חייב המשכיר לבדוק את הבית שהשכיר אף על פי שהוא לא יכנס בו כל ימי הפסח ואם כן לא יבא לאכול מחמץ שבתוכו וגם אינו עובר עליו בבל ימצא לפי שבודאי נתייאש ממנו והפקירו</w:t>
      </w:r>
      <w:r>
        <w:rPr>
          <w:rFonts w:hint="cs"/>
          <w:rtl/>
        </w:rPr>
        <w:t xml:space="preserve"> </w:t>
      </w:r>
      <w:r w:rsidRPr="00E50A2F">
        <w:rPr>
          <w:rtl/>
        </w:rPr>
        <w:t>כשיצא מן הבית ועזב שם חמץ מכל מקום כיון שגוף הבית של המשכיר (ואינו קנוי להשוכר אלא לדור בתוכו וגם החמץ היה שלו ובתחלת ליל י"ד שאז הוא עיקר זמן חיוב הבדיקה כמו שנתבאר בסי' תל"א) היה הבית עדיין מעוכב אצל המשכיר שלא היה השוכר יכול ליכנס לתוכו מחמת שהמפתח היה עדיין ביד המשכיר לפיכך בשעה זו דהיינו תחילת כניסת הלילה חל חיוב הבדיקה על המשכיר ושוב לא נפקע ממנו אף לאחר שנכנס השוכר לתוכו</w:t>
      </w:r>
      <w:r>
        <w:rPr>
          <w:rFonts w:hint="cs"/>
          <w:rtl/>
        </w:rPr>
        <w:t>.</w:t>
      </w:r>
    </w:p>
    <w:p w14:paraId="0BAB622B" w14:textId="77777777" w:rsidR="00D25B6F" w:rsidRPr="00E50A2F" w:rsidRDefault="00D25B6F" w:rsidP="00423C6D">
      <w:pPr>
        <w:pStyle w:val="a2"/>
      </w:pPr>
      <w:r w:rsidRPr="00E50A2F">
        <w:rPr>
          <w:rtl/>
        </w:rPr>
        <w:t>ולאחר שיגמור המשכיר מלבדוק יבטל כל החמץ שלא מצא בבדיקתו ואעפ"י שכבר הפקירו בלבו כשיצא מן הבית אעפ"י כן חייב הוא לחזור ולבטלו בפירוש אחר הבדיקה כתיקון חכמים שתקנו להוציא הביטול בפיו</w:t>
      </w:r>
      <w:r w:rsidRPr="00E50A2F">
        <w:t>.</w:t>
      </w:r>
    </w:p>
    <w:p w14:paraId="48E1CE3B" w14:textId="77777777" w:rsidR="00D25B6F" w:rsidRPr="00E50A2F" w:rsidRDefault="00D25B6F" w:rsidP="00423C6D">
      <w:pPr>
        <w:pStyle w:val="a2"/>
      </w:pPr>
      <w:r w:rsidRPr="00E50A2F">
        <w:rPr>
          <w:rtl/>
        </w:rPr>
        <w:t>וגם השוכר חייב לבטל כל החמץ שבבית ואפילו אם אינו נכנס לדור בתוכו עד אחר הפסח לפי שמיד שקנה הבית באחד מהדרכים ששכירות קרקע נקנה בו זכה גם כן בחמץ שעזב שם המשכיר שהרי כבר הפקירו המשכיר וכל דבר הפקר המונח בבית המושכר לשוכר זכה בו השוכר כמ"ש בחו"מ סי' ר"ס וא"כ מה שהמשכיר מבטל אין מועיל כלום לצאת ידי חובת תקנת חכמים שתקנו לבטל אחר הבדיקה שהרי אין החמץ שלו אלא של השוכר לפיכך חייב השוכר לבטלו.</w:t>
      </w:r>
      <w:r>
        <w:rPr>
          <w:rFonts w:hint="cs"/>
          <w:rtl/>
        </w:rPr>
        <w:t xml:space="preserve"> ע"כ.</w:t>
      </w:r>
    </w:p>
    <w:p w14:paraId="19B199A2" w14:textId="77777777" w:rsidR="00D25B6F" w:rsidRDefault="00D25B6F" w:rsidP="00423C6D">
      <w:pPr>
        <w:pStyle w:val="a2"/>
        <w:rPr>
          <w:rtl/>
        </w:rPr>
      </w:pPr>
      <w:r>
        <w:rPr>
          <w:rFonts w:hint="cs"/>
          <w:rtl/>
        </w:rPr>
        <w:t>ויש לדקדק:</w:t>
      </w:r>
    </w:p>
    <w:p w14:paraId="4D5F9A6B" w14:textId="77777777" w:rsidR="00D25B6F" w:rsidRPr="00E50A2F" w:rsidRDefault="00D25B6F" w:rsidP="00423C6D">
      <w:pPr>
        <w:pStyle w:val="a2"/>
        <w:rPr>
          <w:rtl/>
        </w:rPr>
      </w:pPr>
      <w:r>
        <w:rPr>
          <w:rFonts w:hint="cs"/>
          <w:rtl/>
        </w:rPr>
        <w:t>א)</w:t>
      </w:r>
      <w:r w:rsidRPr="00E50A2F">
        <w:rPr>
          <w:rtl/>
        </w:rPr>
        <w:t xml:space="preserve"> </w:t>
      </w:r>
      <w:r>
        <w:rPr>
          <w:rFonts w:hint="cs"/>
          <w:rtl/>
        </w:rPr>
        <w:t>האדה"ז כותב</w:t>
      </w:r>
      <w:r w:rsidRPr="00E50A2F">
        <w:rPr>
          <w:rtl/>
        </w:rPr>
        <w:t xml:space="preserve"> </w:t>
      </w:r>
      <w:r>
        <w:rPr>
          <w:rFonts w:hint="cs"/>
          <w:rtl/>
        </w:rPr>
        <w:t>"</w:t>
      </w:r>
      <w:r w:rsidRPr="00E50A2F">
        <w:rPr>
          <w:rtl/>
        </w:rPr>
        <w:t>אף על פי שהוא לא יכנס בו כל ימי הפסח ואם כן לא יבא לאכול מחמץ שבתוכו וגם אינו עובר עליו בבל ימצא לפי שבודאי נתייאש ממנו והפקירו כשיצא מן הבית ועזב שם</w:t>
      </w:r>
      <w:r>
        <w:rPr>
          <w:rtl/>
        </w:rPr>
        <w:t xml:space="preserve"> חמץ מכל מקום</w:t>
      </w:r>
      <w:r>
        <w:rPr>
          <w:rFonts w:hint="cs"/>
          <w:rtl/>
        </w:rPr>
        <w:t>" ו</w:t>
      </w:r>
      <w:r w:rsidRPr="00E50A2F">
        <w:rPr>
          <w:rtl/>
        </w:rPr>
        <w:t>הדגיש בדבריו שבפשטות אין להמשכיר שום מחייב לבדיקה, שהרי אין אצלו החשש "דאתי למיכלי'" וגם אינו עובר בב</w:t>
      </w:r>
      <w:r>
        <w:rPr>
          <w:rtl/>
        </w:rPr>
        <w:t>ל יראה ובל ימצא שהרי הפקירו כבר</w:t>
      </w:r>
      <w:r>
        <w:rPr>
          <w:rFonts w:hint="cs"/>
          <w:rtl/>
        </w:rPr>
        <w:t>. וצ"ב</w:t>
      </w:r>
      <w:r>
        <w:rPr>
          <w:rtl/>
        </w:rPr>
        <w:t xml:space="preserve"> </w:t>
      </w:r>
      <w:r>
        <w:rPr>
          <w:rFonts w:hint="cs"/>
          <w:rtl/>
        </w:rPr>
        <w:t>ד</w:t>
      </w:r>
      <w:r w:rsidRPr="00E50A2F">
        <w:rPr>
          <w:rtl/>
        </w:rPr>
        <w:t xml:space="preserve">לפ"ז אין שום סברא לחייבו. </w:t>
      </w:r>
      <w:r>
        <w:rPr>
          <w:rFonts w:hint="cs"/>
          <w:rtl/>
        </w:rPr>
        <w:t>(</w:t>
      </w:r>
      <w:r w:rsidRPr="00E50A2F">
        <w:rPr>
          <w:rtl/>
        </w:rPr>
        <w:t>ואף שלשון הר"ן הוא, אפ"ה כיון שהבית של משכיר "והחמץ שלו" ועדיין הבית מעוכב אצלו שאין השוכר נכנס שם מפני שהמפתח בידו של משכיר על המשכיר לבדוק. למד אדה"ז דפירושו "היה שלו" כמ"ש לקמן</w:t>
      </w:r>
      <w:r>
        <w:rPr>
          <w:rFonts w:hint="cs"/>
          <w:rtl/>
        </w:rPr>
        <w:t>)</w:t>
      </w:r>
      <w:r w:rsidRPr="00E50A2F">
        <w:rPr>
          <w:rtl/>
        </w:rPr>
        <w:t>.</w:t>
      </w:r>
    </w:p>
    <w:p w14:paraId="67B3C80C" w14:textId="77777777" w:rsidR="00D25B6F" w:rsidRPr="00E50A2F" w:rsidRDefault="00D25B6F" w:rsidP="00423C6D">
      <w:pPr>
        <w:pStyle w:val="a2"/>
        <w:rPr>
          <w:rtl/>
        </w:rPr>
      </w:pPr>
      <w:r w:rsidRPr="00E50A2F">
        <w:rPr>
          <w:rtl/>
        </w:rPr>
        <w:lastRenderedPageBreak/>
        <w:t>ב</w:t>
      </w:r>
      <w:r>
        <w:rPr>
          <w:rFonts w:hint="cs"/>
          <w:rtl/>
        </w:rPr>
        <w:t>) עוד</w:t>
      </w:r>
      <w:r w:rsidRPr="00E50A2F">
        <w:rPr>
          <w:rtl/>
        </w:rPr>
        <w:t xml:space="preserve"> כתב, </w:t>
      </w:r>
      <w:r>
        <w:rPr>
          <w:rFonts w:hint="cs"/>
          <w:rtl/>
        </w:rPr>
        <w:t>"</w:t>
      </w:r>
      <w:r w:rsidRPr="00E50A2F">
        <w:rPr>
          <w:rtl/>
        </w:rPr>
        <w:t>כיון שגוף הבית של המשכיר  - ואינו קנוי להשוכר אלא לדור בתוכו</w:t>
      </w:r>
      <w:r>
        <w:rPr>
          <w:rFonts w:hint="cs"/>
          <w:rtl/>
        </w:rPr>
        <w:t>", ונראה שהאדה"ז רוצה ל</w:t>
      </w:r>
      <w:r w:rsidRPr="00E50A2F">
        <w:rPr>
          <w:rtl/>
        </w:rPr>
        <w:t xml:space="preserve">הדגיש החילוק בין בעלות המשכיר ובעלות השוכר.  המשכיר - גוף הבית שלו, והשוכר  - אינו קנוי אלא לדור בתוכו. </w:t>
      </w:r>
    </w:p>
    <w:p w14:paraId="770E51A4" w14:textId="77777777" w:rsidR="00D25B6F" w:rsidRPr="00E50A2F" w:rsidRDefault="00D25B6F" w:rsidP="00423C6D">
      <w:pPr>
        <w:pStyle w:val="a2"/>
        <w:rPr>
          <w:rtl/>
        </w:rPr>
      </w:pPr>
      <w:r w:rsidRPr="00E50A2F">
        <w:rPr>
          <w:rtl/>
        </w:rPr>
        <w:t>ג</w:t>
      </w:r>
      <w:r>
        <w:rPr>
          <w:rFonts w:hint="cs"/>
          <w:rtl/>
        </w:rPr>
        <w:t>) עוד</w:t>
      </w:r>
      <w:r w:rsidRPr="00E50A2F">
        <w:rPr>
          <w:rtl/>
        </w:rPr>
        <w:t xml:space="preserve"> כתב</w:t>
      </w:r>
      <w:r>
        <w:rPr>
          <w:rFonts w:hint="cs"/>
          <w:rtl/>
        </w:rPr>
        <w:t xml:space="preserve"> האדה"ז</w:t>
      </w:r>
      <w:r w:rsidRPr="00E50A2F">
        <w:rPr>
          <w:rtl/>
        </w:rPr>
        <w:t xml:space="preserve"> </w:t>
      </w:r>
      <w:r>
        <w:rPr>
          <w:rFonts w:hint="cs"/>
          <w:rtl/>
        </w:rPr>
        <w:t>"</w:t>
      </w:r>
      <w:r>
        <w:rPr>
          <w:rtl/>
        </w:rPr>
        <w:t>וגם החמץ היה שלו</w:t>
      </w:r>
      <w:r>
        <w:rPr>
          <w:rFonts w:hint="cs"/>
          <w:rtl/>
        </w:rPr>
        <w:t>"</w:t>
      </w:r>
      <w:r w:rsidRPr="00E50A2F">
        <w:rPr>
          <w:rtl/>
        </w:rPr>
        <w:t xml:space="preserve"> </w:t>
      </w:r>
      <w:r>
        <w:rPr>
          <w:rFonts w:hint="cs"/>
          <w:rtl/>
        </w:rPr>
        <w:t xml:space="preserve">וגם </w:t>
      </w:r>
      <w:r>
        <w:rPr>
          <w:rtl/>
        </w:rPr>
        <w:t>כתב</w:t>
      </w:r>
      <w:r w:rsidRPr="00E50A2F">
        <w:rPr>
          <w:rtl/>
        </w:rPr>
        <w:t xml:space="preserve"> </w:t>
      </w:r>
      <w:r>
        <w:rPr>
          <w:rFonts w:hint="cs"/>
          <w:rtl/>
        </w:rPr>
        <w:t>"</w:t>
      </w:r>
      <w:r w:rsidRPr="00E50A2F">
        <w:rPr>
          <w:rtl/>
        </w:rPr>
        <w:t>ובתחלת ליל י"ד שאז הוא עיקר זמן חיוב הבדיקה ... היה הבית עדיין מעוכב אצל המשכיר שלא היה השוכר יכול ליכנס לתוכו מחמת שהמפתח היה עדיין ביד המשכיר</w:t>
      </w:r>
      <w:r>
        <w:rPr>
          <w:rFonts w:hint="cs"/>
          <w:rtl/>
        </w:rPr>
        <w:t>"</w:t>
      </w:r>
      <w:r w:rsidRPr="00E50A2F">
        <w:rPr>
          <w:rtl/>
        </w:rPr>
        <w:t>.</w:t>
      </w:r>
      <w:r>
        <w:rPr>
          <w:rFonts w:hint="cs"/>
          <w:rtl/>
        </w:rPr>
        <w:t xml:space="preserve"> </w:t>
      </w:r>
      <w:r w:rsidRPr="00E50A2F">
        <w:rPr>
          <w:rtl/>
        </w:rPr>
        <w:t xml:space="preserve">ויש להבין בדבריו שכתב בהמחייב של המשכיר. ג' דברים, א - כיון </w:t>
      </w:r>
      <w:r w:rsidRPr="000A43DF">
        <w:rPr>
          <w:b/>
          <w:bCs/>
          <w:rtl/>
        </w:rPr>
        <w:t>שגוף הבית של המשכיר</w:t>
      </w:r>
      <w:r w:rsidRPr="00E50A2F">
        <w:rPr>
          <w:rtl/>
        </w:rPr>
        <w:t xml:space="preserve">.  ב - וגם </w:t>
      </w:r>
      <w:r w:rsidRPr="000A43DF">
        <w:rPr>
          <w:b/>
          <w:bCs/>
          <w:rtl/>
        </w:rPr>
        <w:t>החמץ היה שלו</w:t>
      </w:r>
      <w:r w:rsidRPr="00E50A2F">
        <w:rPr>
          <w:rtl/>
        </w:rPr>
        <w:t xml:space="preserve">. ג - הבית עדיין מעוכב אצל המשכיר </w:t>
      </w:r>
      <w:r w:rsidRPr="000A43DF">
        <w:rPr>
          <w:b/>
          <w:bCs/>
          <w:rtl/>
        </w:rPr>
        <w:t>שלא היה השוכר יכול ליכנס</w:t>
      </w:r>
      <w:r w:rsidRPr="00E50A2F">
        <w:rPr>
          <w:rtl/>
        </w:rPr>
        <w:t xml:space="preserve"> </w:t>
      </w:r>
      <w:r w:rsidRPr="000A43DF">
        <w:rPr>
          <w:b/>
          <w:bCs/>
          <w:rtl/>
        </w:rPr>
        <w:t>לתוכו</w:t>
      </w:r>
      <w:r w:rsidRPr="00E50A2F">
        <w:rPr>
          <w:rtl/>
        </w:rPr>
        <w:t xml:space="preserve"> מחמת שהמפתח היה עדיין ביד המשכיר. והוציא זה מדברי הר"ן הנ"ל.</w:t>
      </w:r>
    </w:p>
    <w:p w14:paraId="7B5F063F" w14:textId="77777777" w:rsidR="00D25B6F" w:rsidRPr="00E50A2F" w:rsidRDefault="00D25B6F" w:rsidP="00423C6D">
      <w:pPr>
        <w:pStyle w:val="a2"/>
        <w:rPr>
          <w:rtl/>
        </w:rPr>
      </w:pPr>
      <w:r w:rsidRPr="00E50A2F">
        <w:rPr>
          <w:rtl/>
        </w:rPr>
        <w:t>ויש להבין בדבריהם הצורך לכל המחייבים האלו. ובפרט שב' המחייבים הראשונים בפשטות אינם מחייבים באמת כמו שביאר בתחילת דבריו.</w:t>
      </w:r>
    </w:p>
    <w:p w14:paraId="077FA0E4" w14:textId="77777777" w:rsidR="00D25B6F" w:rsidRPr="00E50A2F" w:rsidRDefault="00D25B6F" w:rsidP="00423C6D">
      <w:pPr>
        <w:pStyle w:val="a2"/>
        <w:rPr>
          <w:rtl/>
        </w:rPr>
      </w:pPr>
      <w:r w:rsidRPr="00E50A2F">
        <w:rPr>
          <w:rtl/>
        </w:rPr>
        <w:t>ו</w:t>
      </w:r>
      <w:r>
        <w:rPr>
          <w:rFonts w:hint="cs"/>
          <w:rtl/>
        </w:rPr>
        <w:t>הנראה</w:t>
      </w:r>
      <w:r w:rsidRPr="00E50A2F">
        <w:rPr>
          <w:rtl/>
        </w:rPr>
        <w:t xml:space="preserve"> לומר </w:t>
      </w:r>
      <w:r>
        <w:rPr>
          <w:rFonts w:hint="cs"/>
          <w:rtl/>
        </w:rPr>
        <w:t xml:space="preserve">בכ"ז </w:t>
      </w:r>
      <w:r w:rsidRPr="00E50A2F">
        <w:rPr>
          <w:rtl/>
        </w:rPr>
        <w:t xml:space="preserve">דעיקר המחייב הוא הבית עדיין מעוכב אצל המשכיר שלא היה השוכר יכול ליכנס לתוכו מחמת שהמפתח היה עדיין ביד המשכיר, רק דהלא טעם א' וב' הי רק בגדר נפקד, וממילא צריך לטעמים אלו שיחול החיוב עליו. </w:t>
      </w:r>
    </w:p>
    <w:p w14:paraId="464C0400" w14:textId="77777777" w:rsidR="00D25B6F" w:rsidRPr="00E50A2F" w:rsidRDefault="00D25B6F" w:rsidP="00423C6D">
      <w:pPr>
        <w:pStyle w:val="a2"/>
        <w:rPr>
          <w:rtl/>
        </w:rPr>
      </w:pPr>
      <w:r w:rsidRPr="00E50A2F">
        <w:rPr>
          <w:rtl/>
        </w:rPr>
        <w:t>ועדיין יש לעיין הצורך בב' המחייבים. ואולי אפשר לומר דב' המחייבים הם נגד ב' הפוטרים שכתב בתחלת דבריו, א -  שהוא לא יכנס בו כל ימי הפסח ואם כן לא יבא לאכול מחמץ שבתוכו.  ב - וגם אינו עובר עליו בבל ימצא לפי שבודאי נתייאש ממנו והפקירו. ולזה כתב דחכמים מצאו שייכות לב' עניינים אלו, א - כיון שגוף הבית של המשכיר, אף שלא יכנס בו כל ימי הפסח ולא יבא לאכול מהחמץ, מ"מ כיון שיש לו בעלות עשאוהו כמי שנמצא שם. ב - וגם החמץ היה שלו, אף שאינו עובר עליו בבל ימצא לפי שבודאי נתייאש ממנו והפקירו, מ"מ עשאוהו כשלו כיון שהי' שלו.</w:t>
      </w:r>
    </w:p>
    <w:p w14:paraId="6D423E2D" w14:textId="4F330486" w:rsidR="00D25B6F" w:rsidRPr="00E50A2F" w:rsidRDefault="000E110A" w:rsidP="000E110A">
      <w:pPr>
        <w:pStyle w:val="a2"/>
        <w:rPr>
          <w:rtl/>
        </w:rPr>
      </w:pPr>
      <w:r>
        <w:rPr>
          <w:rFonts w:hint="cs"/>
          <w:rtl/>
        </w:rPr>
        <w:t xml:space="preserve">ד) </w:t>
      </w:r>
      <w:r w:rsidR="00D25B6F" w:rsidRPr="00E50A2F">
        <w:rPr>
          <w:rtl/>
        </w:rPr>
        <w:t>כתב - לפיכך בשעה זו דהיינו תחילת כניסת הלילה חל חיוב הבדיקה על המשכיר ושוב לא נפקע ממנו אף לאחר שנכנס השוכר לתוכו</w:t>
      </w:r>
      <w:r w:rsidR="00D25B6F" w:rsidRPr="00E50A2F">
        <w:t>.</w:t>
      </w:r>
    </w:p>
    <w:p w14:paraId="21583DCF" w14:textId="77777777" w:rsidR="00D25B6F" w:rsidRPr="00E50A2F" w:rsidRDefault="00D25B6F" w:rsidP="00423C6D">
      <w:pPr>
        <w:pStyle w:val="a2"/>
      </w:pPr>
      <w:r w:rsidRPr="00E50A2F">
        <w:rPr>
          <w:rtl/>
        </w:rPr>
        <w:t>והחידוש הוא דאף שהשוכר הוא באמת מחוייב בזה שהרי זכה בהחמץ ומשתמש בהדירה, מ"מ .שוב לא נפקע ממנו. ואולי יש לומר שזה מפני שאין התקנה סתם שהמשכיר חייב רק שעשאו כאילו הוא דר שם והחמץ ברשותו.</w:t>
      </w:r>
    </w:p>
    <w:p w14:paraId="5147F29C" w14:textId="30736D5B" w:rsidR="00D25B6F" w:rsidRPr="00E50A2F" w:rsidRDefault="000E110A" w:rsidP="000E110A">
      <w:pPr>
        <w:pStyle w:val="a2"/>
        <w:rPr>
          <w:rtl/>
        </w:rPr>
      </w:pPr>
      <w:r>
        <w:rPr>
          <w:rFonts w:hint="cs"/>
          <w:rtl/>
        </w:rPr>
        <w:t>ה)</w:t>
      </w:r>
      <w:r w:rsidR="00D25B6F" w:rsidRPr="00E50A2F">
        <w:rPr>
          <w:rtl/>
        </w:rPr>
        <w:t xml:space="preserve"> כתב - ולאחר שיגמור המשכיר מלבדוק יבטל כל החמץ שלא מצא בבדיקתו ואעפ"י שכבר הפקירו בלבו כשיצא מן הבית אעפ"י כן חייב הוא לחזור ולבטלו בפירוש אחר הבדיקה כתיקון חכמים שתקנו להוציא הביטול בפיו.</w:t>
      </w:r>
    </w:p>
    <w:p w14:paraId="50331E4B" w14:textId="15365828" w:rsidR="00D25B6F" w:rsidRPr="00E50A2F" w:rsidRDefault="000E110A" w:rsidP="000E110A">
      <w:pPr>
        <w:pStyle w:val="a2"/>
        <w:rPr>
          <w:rtl/>
        </w:rPr>
      </w:pPr>
      <w:r>
        <w:rPr>
          <w:rFonts w:hint="cs"/>
          <w:rtl/>
        </w:rPr>
        <w:lastRenderedPageBreak/>
        <w:t>ו)</w:t>
      </w:r>
      <w:r w:rsidR="00D25B6F" w:rsidRPr="00E50A2F">
        <w:rPr>
          <w:rtl/>
        </w:rPr>
        <w:t xml:space="preserve"> כתב - וגם השוכר חייב לבטל כל החמץ שבבית ואפילו אם אינו נכנס לדור בתוכו עד אחר הפסח לפי שמיד שקנה הבית באחד מהדרכים ששכירות קרקע נקנה בו זכה גם כן בחמץ שעזב שם המשכיר שהרי כבר הפקירו המשכיר וכל דבר הפקר המונח בבית המושכר לשוכר זכה בו השוכר.    ח – כתב - וא"כ מה שהמשכיר מבטל אין מועיל כלום לצאת ידי חובת תקנת חכמים שתקנו לבטל אחר הבדיקה שהרי אין החמץ שלו אלא של השוכר לפיכך חייב השוכר לבטלו.</w:t>
      </w:r>
    </w:p>
    <w:p w14:paraId="541DF1FF" w14:textId="77777777" w:rsidR="00D25B6F" w:rsidRPr="00E50A2F" w:rsidRDefault="00D25B6F" w:rsidP="00423C6D">
      <w:pPr>
        <w:pStyle w:val="a2"/>
        <w:rPr>
          <w:rtl/>
        </w:rPr>
      </w:pPr>
      <w:r w:rsidRPr="00E50A2F">
        <w:rPr>
          <w:rtl/>
        </w:rPr>
        <w:t>ולזה ג"כ צריכין לומר כנ"ל שחכמים הטילו עליו החיוב כאילו הוא דר שם והחמץ שלו כנ"ל. שהרי מפורש דאין ביטולו של המשכיר שוה כלום. אלא שעשאו כאילו החמץ שלו ודר שם.</w:t>
      </w:r>
    </w:p>
    <w:p w14:paraId="1BD999CF" w14:textId="77777777" w:rsidR="00D25B6F" w:rsidRPr="00E50A2F" w:rsidRDefault="00D25B6F" w:rsidP="00423C6D">
      <w:pPr>
        <w:pStyle w:val="a2"/>
        <w:rPr>
          <w:rtl/>
        </w:rPr>
      </w:pPr>
      <w:r w:rsidRPr="00E50A2F">
        <w:rPr>
          <w:rtl/>
        </w:rPr>
        <w:t xml:space="preserve">אבל התוספות (ד"ה אם) פירשו דבמסר לו מפתח ולא החזיק עסקינן ומי שיש בידו מפתח כשחל י"ד חייב לבדוק דאותו שאין בידו מפתח איך יכנס ויבדוק. </w:t>
      </w:r>
    </w:p>
    <w:p w14:paraId="05EE4955" w14:textId="77777777" w:rsidR="00D25B6F" w:rsidRPr="00E50A2F" w:rsidRDefault="00D25B6F" w:rsidP="00423C6D">
      <w:pPr>
        <w:pStyle w:val="a2"/>
        <w:rPr>
          <w:rtl/>
        </w:rPr>
      </w:pPr>
      <w:r w:rsidRPr="00E50A2F">
        <w:rPr>
          <w:rtl/>
        </w:rPr>
        <w:t>וגם מדברי התוס' שכתבו דמסירת מפתח מחייב "דוקא כשרוצה להחזיק בבית ולקנותו", וממילא אם נתנו לנפקד אינו חייב, לא משמע כהריטב"א, ובודאי שלא כהר"ן שחולק עליו.</w:t>
      </w:r>
    </w:p>
    <w:p w14:paraId="217FFF06" w14:textId="77777777" w:rsidR="00D25B6F" w:rsidRPr="00E50A2F" w:rsidRDefault="00D25B6F" w:rsidP="00423C6D">
      <w:pPr>
        <w:pStyle w:val="a2"/>
        <w:rPr>
          <w:rtl/>
        </w:rPr>
      </w:pPr>
      <w:r w:rsidRPr="00E50A2F">
        <w:rPr>
          <w:rtl/>
        </w:rPr>
        <w:t>ובסברת התוס' צריך לומר ובהקדים:</w:t>
      </w:r>
    </w:p>
    <w:p w14:paraId="4667450C" w14:textId="77777777" w:rsidR="00D25B6F" w:rsidRPr="00E50A2F" w:rsidRDefault="00D25B6F" w:rsidP="00423C6D">
      <w:pPr>
        <w:pStyle w:val="a2"/>
        <w:rPr>
          <w:rtl/>
        </w:rPr>
      </w:pPr>
      <w:bookmarkStart w:id="127" w:name="_Hlk528573851"/>
      <w:r w:rsidRPr="00E50A2F">
        <w:rPr>
          <w:rtl/>
        </w:rPr>
        <w:t>בירושלמי במסכתין פרק ב איתא,  אימתי בזמן שמסר לו את המפתח אבל בזמן שלא מסר לו את המפתח אינו צריך לבער. אמר רבי יודה בר פזי בעי מסר לו את המפתח מהו א"ר זכריה חתניה דר' לוי מחלוקת ר"ש וחכמים דתנינן תמן המוסר מפתיחו לעם הארץ הבית טהור שלא מסר לו אלא שמירת המפתח תני רבי שמעון מטמא.</w:t>
      </w:r>
    </w:p>
    <w:p w14:paraId="02D0BC39" w14:textId="77777777" w:rsidR="00D25B6F" w:rsidRPr="00E50A2F" w:rsidRDefault="00D25B6F" w:rsidP="00423C6D">
      <w:pPr>
        <w:pStyle w:val="a2"/>
        <w:rPr>
          <w:rtl/>
        </w:rPr>
      </w:pPr>
      <w:r w:rsidRPr="00E50A2F">
        <w:rPr>
          <w:rtl/>
        </w:rPr>
        <w:t>ופירוש הקרבן העדה שם, אימתי. צריך השוכר לבדוק אם עשה בו חזקה.   בזמן שמסר לו המפתח. ויכול לכנוס בו.  אבל בזמן שלא מסר לו המפתח. אף על פי שעשה בו חזקה א"צ לבער דכיון שאין לו מפתח איך יכנוס. (ולומד כהר"ן)  (ואח"כ שאל הגמרא) מסר לו המפתח. ולא לשם שכירות אלא הפקיד המפתח בידו אם הנפקד חייב לבער. (ומבאר שזהו פלוגתת תנאים דלחכמים בכגון דא אמרינן) שלא מסר לו אלא שמירת המפתח. ולא סמכא דעתיה לכנוס דמיתפס כגנב.   ר"ש מטמא. כל מה שבבית דקסבר רבי שמעון כשמסר לו המפתח כל הבית מסר לו והוא הדין ה"נ לרבי שמעון חייב לבער הנפקד.</w:t>
      </w:r>
    </w:p>
    <w:p w14:paraId="1CD18889" w14:textId="77777777" w:rsidR="00D25B6F" w:rsidRPr="00E50A2F" w:rsidRDefault="00D25B6F" w:rsidP="00423C6D">
      <w:pPr>
        <w:pStyle w:val="a2"/>
        <w:rPr>
          <w:rtl/>
        </w:rPr>
      </w:pPr>
      <w:r w:rsidRPr="00E50A2F">
        <w:rPr>
          <w:rtl/>
        </w:rPr>
        <w:t xml:space="preserve">והפני משה שם למד באופן אחר, אימתי. צריך השוכר לבער אם נכנס לתוכו בזמן שכבר מסר לו המפתח דזהו קניית רשות אבל אם עדיין לא מסר לו המפתח כדי </w:t>
      </w:r>
      <w:r w:rsidRPr="00E50A2F">
        <w:rPr>
          <w:rtl/>
        </w:rPr>
        <w:lastRenderedPageBreak/>
        <w:t>לקנות אפי' נתן לו רשות ליכנס לתוכו א"צ לבער שהרי עדיין לא קנה. (כרש"י)    מסר לו את המפתח מהו. כלומר אם מסר לו את המפתח בלבד ולא אמר לו קני בזה מהו שיהא כשלו וצריך הוא לבער או דילמא מכיון דלא א"ל קני אכתי לא סמכא דעתיה דדילמא הדר ביה המשכיר וקאמר ר' זבדיה דדבר זה במחלוקת ר"ש וחכמים תלייא.   שלא מסר לו אלא שמירת המפתח. ולא יהיב ליה רשותא למיכנס לביתיה.    ותני. עלה בתוספתא שם.  ר"ש מטמא. דבמסירת המפתח רשותא קא יהיב ליה והוא הדין הכא לענין ביעור כן.</w:t>
      </w:r>
    </w:p>
    <w:bookmarkEnd w:id="127"/>
    <w:p w14:paraId="2D6FC198" w14:textId="77777777" w:rsidR="00D25B6F" w:rsidRPr="00E50A2F" w:rsidRDefault="00D25B6F" w:rsidP="00423C6D">
      <w:pPr>
        <w:pStyle w:val="a2"/>
        <w:rPr>
          <w:rtl/>
        </w:rPr>
      </w:pPr>
      <w:r w:rsidRPr="00E50A2F">
        <w:rPr>
          <w:rtl/>
        </w:rPr>
        <w:t>הרי שלפירוש הקרבן עדה, הירושלמי שואל קושית התוס'. וזהו פירוש דברי התוס', דכיון דלא קנה, וחיוב הבדיקה הוא רק מצד זה שיש בידו המפתח,  א"כ יש סברא לומר דגם הנפקד יכול יכנס, וכדעת ר"ש דמטמא. וע"ז כתב התוס', דאנן כחכמים סבירא לן והנפקד אין לו רשות ליכנס, רק השוכר יש לו רשות ליכנס.</w:t>
      </w:r>
    </w:p>
    <w:p w14:paraId="3362BC30" w14:textId="77777777" w:rsidR="00D25B6F" w:rsidRPr="00E50A2F" w:rsidRDefault="00D25B6F" w:rsidP="00423C6D">
      <w:pPr>
        <w:pStyle w:val="a2"/>
        <w:rPr>
          <w:rtl/>
        </w:rPr>
      </w:pPr>
      <w:r w:rsidRPr="00E50A2F">
        <w:rPr>
          <w:rtl/>
        </w:rPr>
        <w:t>רק דצ"ע למה לא כתבו התוס' דדבריו תלויים במחלוקת תנאים. ואפשר לומר דס"ל להתוס' דכיון שלא מובא ענין זה בבלי, הבבלי חולק וסובר דדין בדיקה אינו תלה בדין טומאה.</w:t>
      </w:r>
    </w:p>
    <w:p w14:paraId="6DDA3A5A" w14:textId="77777777" w:rsidR="00D25B6F" w:rsidRPr="00E50A2F" w:rsidRDefault="00D25B6F" w:rsidP="00423C6D">
      <w:pPr>
        <w:pStyle w:val="a2"/>
        <w:rPr>
          <w:rtl/>
        </w:rPr>
      </w:pPr>
      <w:r w:rsidRPr="00E50A2F">
        <w:rPr>
          <w:rtl/>
        </w:rPr>
        <w:t>ואולי אפשר לומר דסברי התוס' דאין דין מסירת המפתח מחייב משום רשות ליכנס, רק משום רשות לקנות. וזהו מ"ש "אלא דוקא כשרוצה להחזיק בבית ולקנותו".  דאף שיש לו רשות ליכנס, הרי אין הבית שלו ואין החמץ שלו, רק באופן שרוצה לקנות אז בנתינת רשות לקנות ויש לו המפתח ליכנס הטילו חכמים עליו חובת הבדיקה.</w:t>
      </w:r>
    </w:p>
    <w:p w14:paraId="67FD8262" w14:textId="77777777" w:rsidR="00D25B6F" w:rsidRPr="00E50A2F" w:rsidRDefault="00D25B6F" w:rsidP="00423C6D">
      <w:pPr>
        <w:pStyle w:val="a2"/>
        <w:rPr>
          <w:rtl/>
        </w:rPr>
      </w:pPr>
      <w:r w:rsidRPr="00E50A2F">
        <w:rPr>
          <w:rtl/>
        </w:rPr>
        <w:t>ויומתק יותר אם נאמר כמ"ש לעיל בדעת הרמב"ם, דחיוב בדיקה היא חובת הבית, וא"כ יש סברא לומר דהטילו חובת הבית על מי שעומד לקנות ויכול ליכנס.</w:t>
      </w:r>
    </w:p>
    <w:p w14:paraId="037FD4D4" w14:textId="77777777" w:rsidR="00D25B6F" w:rsidRDefault="00D25B6F" w:rsidP="00423C6D">
      <w:pPr>
        <w:pStyle w:val="a2"/>
        <w:rPr>
          <w:rtl/>
        </w:rPr>
      </w:pPr>
      <w:r w:rsidRPr="00E50A2F">
        <w:rPr>
          <w:rtl/>
        </w:rPr>
        <w:t>ובעזה"י נחזור לעיין בשיטת רש"י.</w:t>
      </w:r>
    </w:p>
    <w:p w14:paraId="5A1479B8" w14:textId="77777777" w:rsidR="00D25B6F" w:rsidRDefault="00D25B6F" w:rsidP="00D25B6F">
      <w:pPr>
        <w:pStyle w:val="a4"/>
        <w:rPr>
          <w:rtl/>
        </w:rPr>
      </w:pPr>
      <w:r w:rsidRPr="00347933">
        <w:t>g</w:t>
      </w:r>
    </w:p>
    <w:p w14:paraId="4BB9557A" w14:textId="77777777" w:rsidR="000E110A" w:rsidRDefault="000E110A" w:rsidP="00D25B6F">
      <w:pPr>
        <w:pStyle w:val="a4"/>
        <w:rPr>
          <w:rtl/>
        </w:rPr>
      </w:pPr>
    </w:p>
    <w:p w14:paraId="201114C5" w14:textId="77777777" w:rsidR="000E110A" w:rsidRPr="00347933" w:rsidRDefault="000E110A" w:rsidP="00D25B6F">
      <w:pPr>
        <w:pStyle w:val="a4"/>
        <w:sectPr w:rsidR="000E110A" w:rsidRPr="00347933" w:rsidSect="00E65DD5">
          <w:footnotePr>
            <w:numRestart w:val="eachSect"/>
          </w:footnotePr>
          <w:type w:val="continuous"/>
          <w:pgSz w:w="7920" w:h="12240"/>
          <w:pgMar w:top="-810" w:right="864" w:bottom="720" w:left="864" w:header="270" w:footer="0" w:gutter="0"/>
          <w:cols w:space="720"/>
          <w:docGrid w:linePitch="360"/>
        </w:sectPr>
      </w:pPr>
    </w:p>
    <w:p w14:paraId="6D84A959" w14:textId="5029C7F2" w:rsidR="008344E2" w:rsidRDefault="008344E2" w:rsidP="008344E2">
      <w:pPr>
        <w:pStyle w:val="a"/>
      </w:pPr>
      <w:bookmarkStart w:id="128" w:name="_Toc531140371"/>
      <w:r>
        <w:rPr>
          <w:rtl/>
        </w:rPr>
        <w:lastRenderedPageBreak/>
        <w:t>דברי אדה"ז דאיסורי הנאה אינו הפקר גמור</w:t>
      </w:r>
      <w:bookmarkEnd w:id="128"/>
    </w:p>
    <w:p w14:paraId="1561A728" w14:textId="53BC2415" w:rsidR="008344E2" w:rsidRDefault="008344E2" w:rsidP="00C40DBA">
      <w:pPr>
        <w:pStyle w:val="a0"/>
        <w:rPr>
          <w:rtl/>
        </w:rPr>
      </w:pPr>
      <w:bookmarkStart w:id="129" w:name="_Toc531140372"/>
      <w:r>
        <w:rPr>
          <w:rtl/>
          <w:lang w:bidi="he-IL"/>
        </w:rPr>
        <w:t xml:space="preserve">הרב </w:t>
      </w:r>
      <w:r>
        <w:rPr>
          <w:rFonts w:hint="cs"/>
          <w:rtl/>
          <w:lang w:bidi="he-IL"/>
        </w:rPr>
        <w:t xml:space="preserve">אפרים פישל </w:t>
      </w:r>
      <w:r>
        <w:rPr>
          <w:rtl/>
          <w:lang w:bidi="he-IL"/>
        </w:rPr>
        <w:t>אסטר</w:t>
      </w:r>
      <w:bookmarkEnd w:id="129"/>
    </w:p>
    <w:p w14:paraId="5DAE50DD" w14:textId="23D8EB00" w:rsidR="008344E2" w:rsidRPr="008344E2" w:rsidRDefault="008344E2" w:rsidP="008344E2">
      <w:pPr>
        <w:pStyle w:val="a1"/>
        <w:rPr>
          <w:rtl/>
          <w:lang w:val="en-GB"/>
        </w:rPr>
      </w:pPr>
      <w:r>
        <w:rPr>
          <w:rFonts w:hint="cs"/>
          <w:rtl/>
          <w:lang w:val="en-GB"/>
        </w:rPr>
        <w:t>ר"מ בישיבה</w:t>
      </w:r>
    </w:p>
    <w:p w14:paraId="5E566BB1" w14:textId="77777777" w:rsidR="008344E2" w:rsidRDefault="008344E2" w:rsidP="00423C6D">
      <w:pPr>
        <w:pStyle w:val="a2"/>
        <w:rPr>
          <w:rtl/>
        </w:rPr>
      </w:pPr>
      <w:r>
        <w:rPr>
          <w:rtl/>
        </w:rPr>
        <w:t>ידועים דברי אדה"ז בקו"א סתל"ה סק"ב דחולק על הח"י דס"ל דליכא ירושה בחמץ האסור בהנאה, וס"ל אדה"ז דאיכא ירושה גם בחמץ האסור בהנאה.</w:t>
      </w:r>
    </w:p>
    <w:p w14:paraId="346E4E0D" w14:textId="77777777" w:rsidR="008344E2" w:rsidRDefault="008344E2" w:rsidP="00423C6D">
      <w:pPr>
        <w:pStyle w:val="a2"/>
        <w:rPr>
          <w:rtl/>
        </w:rPr>
      </w:pPr>
      <w:r>
        <w:rPr>
          <w:rtl/>
        </w:rPr>
        <w:t>ויש להעיר בקיצור עכ"פ בביאור דברי אדה"ז דחולק על הח"י מג' טעמים.</w:t>
      </w:r>
    </w:p>
    <w:p w14:paraId="06B52005" w14:textId="77777777" w:rsidR="008344E2" w:rsidRDefault="008344E2" w:rsidP="00423C6D">
      <w:pPr>
        <w:pStyle w:val="a2"/>
        <w:rPr>
          <w:rtl/>
        </w:rPr>
      </w:pPr>
      <w:r>
        <w:rPr>
          <w:rtl/>
        </w:rPr>
        <w:t>א)בהא דדימה למפקיר עבדו, הרי קיי"ל כדעת הרי"ף אליבא דרבינא דאיסורא לברי' מורית, וא"כ בחמץ האסור בהנאה איכא ירושה בהאיסור הנאה, היינו דאפי' א"נ דבאמת איסור הנאה הוי הפקר גמור מ"מ שייך בזה ירושה. ועפ"ז מה דמוכיח אדה"ז מקדושין (יז,ב) דאיכא ירושה באיסורי הנאה לגבי ע"ז, הכוונה בזה דגם א"נ דאין באיסורי הנאה צד ממון והוי הפקר גמור מ"מ איכא ירושה.</w:t>
      </w:r>
    </w:p>
    <w:p w14:paraId="6D9A0461" w14:textId="77777777" w:rsidR="008344E2" w:rsidRDefault="008344E2" w:rsidP="00423C6D">
      <w:pPr>
        <w:pStyle w:val="a2"/>
        <w:rPr>
          <w:rtl/>
        </w:rPr>
      </w:pPr>
      <w:r>
        <w:rPr>
          <w:rtl/>
        </w:rPr>
        <w:t>ולכן הביא אדה"ז ראי' זו לפני המשך דבריו שמבאר דבחמץ איכא צד ממון ואינו הפקר גמור. ובאמת הצד ממון שכ' אדה"ז דאיכא בחמץ ליכא בע"ז, דבע"ז גם אם מכרו אסור ליהנות מדמיו, וכמ"ש אדה"ז לקמן (סתמ"ג ס"ט) לחלק בין ע"ז לשאר איסורי הנאה.</w:t>
      </w:r>
    </w:p>
    <w:p w14:paraId="48A6EFA7" w14:textId="77777777" w:rsidR="008344E2" w:rsidRDefault="008344E2" w:rsidP="00423C6D">
      <w:pPr>
        <w:pStyle w:val="a2"/>
        <w:rPr>
          <w:rtl/>
        </w:rPr>
      </w:pPr>
      <w:r>
        <w:rPr>
          <w:rtl/>
        </w:rPr>
        <w:t>והא דאיכא דין ירושה באיסורי הנאה גם אי הוה הפקר גמור, הגם דלכאורה אי הוה הפקר גמור "אינו יכול להוריש כי מה יוריש" כלשון אדה"ז בהמשך, הוא משום דכמו במפקיר עבדו ולא נתן לו שטר שחרור דהוי הפקר גמור מצד הקנין ממון אבל עדיין איכא הקנין איסור, ושייך ירושה מצד הקנין איסור, עד"ז בחמץ דאיסורו הוא עי"ז דוקא שהוא שלו, וגם עכשיו שהחמץ אסור בהנאה והוי הפקר גמור עשאו הכתוב כשלו, שייך ע"ז דין ירושה.</w:t>
      </w:r>
    </w:p>
    <w:p w14:paraId="4744C198" w14:textId="77777777" w:rsidR="008344E2" w:rsidRDefault="008344E2" w:rsidP="00423C6D">
      <w:pPr>
        <w:pStyle w:val="a2"/>
        <w:rPr>
          <w:rtl/>
        </w:rPr>
      </w:pPr>
      <w:r>
        <w:rPr>
          <w:rtl/>
        </w:rPr>
        <w:t>ב)בחמץ איכא צד ממון, כיון דמותר ליהנות מדמיו, ועד"ז בשאר איסורי הנאה (מלבד ע"ז כנ"ל), ולכן אין הדמיון למפקיר עבדו שאין בו צד ממון עולה יפה.</w:t>
      </w:r>
    </w:p>
    <w:p w14:paraId="33C3BB96" w14:textId="77777777" w:rsidR="008344E2" w:rsidRDefault="008344E2" w:rsidP="00423C6D">
      <w:pPr>
        <w:pStyle w:val="a2"/>
        <w:rPr>
          <w:rtl/>
        </w:rPr>
      </w:pPr>
      <w:r>
        <w:rPr>
          <w:rtl/>
        </w:rPr>
        <w:t>ויש להעיר, דקיי"ל דחמץ מותר ליהנות שלא כדרך הנאתן (וכמ"ש אדה"ז סתס"ו ס"ד), וא"כ עדיפא מיני' הו"ל לאדה"ז למימר, דלא רק שהדמים מותרין בהנאה, אלא גם החמץ עצמו מותרין שלא כדרך הנאתן (ועי' בארוכה במרחשת ס"א בזה).</w:t>
      </w:r>
    </w:p>
    <w:p w14:paraId="77003B63" w14:textId="77777777" w:rsidR="008344E2" w:rsidRDefault="008344E2" w:rsidP="00423C6D">
      <w:pPr>
        <w:pStyle w:val="a2"/>
        <w:rPr>
          <w:rtl/>
        </w:rPr>
      </w:pPr>
      <w:r>
        <w:rPr>
          <w:rtl/>
        </w:rPr>
        <w:t xml:space="preserve">אמנם לכאורה זה תלוי בביאור הא דמותר שלא כדרך הנאתן, דמפשטות הגמ' </w:t>
      </w:r>
      <w:r>
        <w:rPr>
          <w:rtl/>
        </w:rPr>
        <w:lastRenderedPageBreak/>
        <w:t>(פסחים כד,ב) דכיון דכל איסורי הנאה כתובין בתורה בלשון אכילה, אסורין רק כדרך הנאתן (משא"כ בכלאי הכרם דלא כתוב בה אכילה אסור גם שלא כדרך הנאתן), משמע דהגם שהנאה שלא כדרך הוי הנאה, מ"מ לא כל אופני הנאה אסרה תורה. אבל עי' בחי' הר"ן (שם) שכתב שההיתר דשלא כדרך הנאתן הוא משום ד"הנאה שלא כדרכה לא מיקרי הנאה", ועפ"ז מובן דגם אי מותר שלא כדרך הנאתן אין לו שום זכות בגוף החמץ מטעם זה.</w:t>
      </w:r>
    </w:p>
    <w:p w14:paraId="5EF33342" w14:textId="77777777" w:rsidR="008344E2" w:rsidRDefault="008344E2" w:rsidP="00423C6D">
      <w:pPr>
        <w:pStyle w:val="a2"/>
        <w:rPr>
          <w:rtl/>
        </w:rPr>
      </w:pPr>
      <w:r>
        <w:rPr>
          <w:rtl/>
        </w:rPr>
        <w:t>אבל לכאורה לא די בזה, שהרי לאו בגדר היתר הנאה עסקינן, אלא אי משו"ז שמותר שלא כדרכה איכא בזה צד ממון, וא"כ עדיין י"ל דגם אי שלא כדרך הנאתן לא חשיב הנאה לענין איסור הנאה, אמנם לענין שוויות הממון כיון שבפועל יכול להנות שלא כדרך איכא בזה צד ממון.</w:t>
      </w:r>
    </w:p>
    <w:p w14:paraId="33025334" w14:textId="77777777" w:rsidR="008344E2" w:rsidRDefault="008344E2" w:rsidP="00423C6D">
      <w:pPr>
        <w:pStyle w:val="a2"/>
        <w:rPr>
          <w:rtl/>
        </w:rPr>
      </w:pPr>
      <w:r>
        <w:rPr>
          <w:rtl/>
        </w:rPr>
        <w:t>וי"ל דזהו רק אם נאמר דמה דאין לו זכות ממון באיסורי הנאה הוא מצד זה דהוא מנוע</w:t>
      </w:r>
      <w:r>
        <w:rPr>
          <w:b/>
          <w:bCs/>
          <w:rtl/>
        </w:rPr>
        <w:t xml:space="preserve"> בפועל </w:t>
      </w:r>
      <w:r>
        <w:rPr>
          <w:rtl/>
        </w:rPr>
        <w:t>מלהשתמש ולהנות ממנה.</w:t>
      </w:r>
    </w:p>
    <w:p w14:paraId="7B3EBEC4" w14:textId="77777777" w:rsidR="008344E2" w:rsidRDefault="008344E2" w:rsidP="00423C6D">
      <w:pPr>
        <w:pStyle w:val="a2"/>
        <w:rPr>
          <w:rtl/>
        </w:rPr>
      </w:pPr>
      <w:r>
        <w:rPr>
          <w:rtl/>
        </w:rPr>
        <w:t xml:space="preserve">וא"כ אי מותר ליהנות שלא כדרך הנאתן, הרי איך שלא נפרש היתר זה, בפועל אית לי' זכות ואופן להשתמש בה, אבל אם נאמר </w:t>
      </w:r>
      <w:r>
        <w:rPr>
          <w:b/>
          <w:bCs/>
          <w:rtl/>
        </w:rPr>
        <w:t>דהאיסור</w:t>
      </w:r>
      <w:r>
        <w:rPr>
          <w:rtl/>
        </w:rPr>
        <w:t xml:space="preserve"> עצמו שאסרה תורה הוא שמפקיע זכותו בה, וכמשמעות לשון אדה"ז ד"כיון שאסור לו ליהנות ממנו הרי אין לו שום זכות בו ואינו שלו כלל" (סתל"א ס"ב ועד"ז בהק"א כאן), א"כ מובן דאיסור הנאה מפקיע זכותו בהחמץ גם אם יכול להנות שלא כדרך הנאתן.</w:t>
      </w:r>
    </w:p>
    <w:p w14:paraId="31294CFB" w14:textId="77777777" w:rsidR="008344E2" w:rsidRDefault="008344E2" w:rsidP="00423C6D">
      <w:pPr>
        <w:pStyle w:val="a2"/>
        <w:rPr>
          <w:rtl/>
        </w:rPr>
      </w:pPr>
      <w:r>
        <w:rPr>
          <w:rtl/>
        </w:rPr>
        <w:t>וכיון שהאיסור הוא שמפקיע זכותו בהחמץ, אפשר להיות צד ממון רק בהדמים כמ"ש אדה"ז, ולא בשום אופן בגוף החמץ.</w:t>
      </w:r>
    </w:p>
    <w:p w14:paraId="187B02B1" w14:textId="77777777" w:rsidR="008344E2" w:rsidRDefault="008344E2" w:rsidP="00423C6D">
      <w:pPr>
        <w:pStyle w:val="a2"/>
        <w:rPr>
          <w:rtl/>
        </w:rPr>
      </w:pPr>
      <w:r>
        <w:rPr>
          <w:rtl/>
        </w:rPr>
        <w:t>ג) אפי' אם נאמר שחמץ האסור בהנאה אינו שלו, מ"מ אינו הפקר גמור. והכוונה בזה, דהנה ידוע דפליגי הראשונים באיסורי הנאה, דברש"י (סוכה לה,א ד"ה לפי) כתב לגבי אתרוג של ערלה "שאינו שוה פרוטה דאיסורי הנאה הוא הלכך לאו שלכם הוא", ובריטב"א (שם לד,ב) הביא בשם הראב"ד דכיון דאסור בהנאה לא מיקרי שלכם, וחולק עליו דגם איסורי הנאה לכם קרינא בי'. וברש"י בסוגיין כתב לגבי חמץ שאינו ברשותו דאינו שלו.</w:t>
      </w:r>
    </w:p>
    <w:p w14:paraId="4222FB0B" w14:textId="77777777" w:rsidR="008344E2" w:rsidRDefault="008344E2" w:rsidP="00423C6D">
      <w:pPr>
        <w:pStyle w:val="a2"/>
        <w:rPr>
          <w:rtl/>
        </w:rPr>
      </w:pPr>
      <w:r>
        <w:rPr>
          <w:rtl/>
        </w:rPr>
        <w:t>וע"ז הוא שכתב אדה"ז דלכ"ע, גם להני דס"ל דאיסורי הנאה אינו שלו מ"מ גם הם מודים דאינו הפקר גמור, ולכן שייך בי' ירושה, וכדהוכיח אדה"ז מלשון רש"י (לא,ב), היינו דגם לרש"י דס"ל דאינו שלו מ"מ לא הוי הפקר גמור. ולכן לא הביא אדה"ז כלל בדבריו מהראשונים שדיברו בענין איסור הנאה אי הוי שלו, דלגבי הנידון דירושה, לכ"ע איכא ירושה כיון דאינו הפקר גמור.</w:t>
      </w:r>
    </w:p>
    <w:p w14:paraId="5305BE6B" w14:textId="77777777" w:rsidR="008344E2" w:rsidRDefault="008344E2" w:rsidP="00423C6D">
      <w:pPr>
        <w:pStyle w:val="a2"/>
        <w:rPr>
          <w:rtl/>
        </w:rPr>
      </w:pPr>
      <w:r>
        <w:rPr>
          <w:rtl/>
        </w:rPr>
        <w:lastRenderedPageBreak/>
        <w:t>אבל זה צ"ע, דלכאורה נידון זה דירושה באיסורי הנאה פליגי בה בהדיא הראשונים, דבנדרים (מז,א) איתא "האומר לבנו קונם שאי אתה נהנה לי כו' ובמותו ומת לא יירשנו", ובר"ן (שם) ודאי נכסים דידי' נינהו אלא שאין רשאי ליהנות מהן, והלשון לא יירשנו לאו דוקא. אמנם ברשב"א (שם) דכיון דאסרינן עלי' בקונם שוינהו עלי' עפרא בעלמא כשאר איסורי הנאה והוי הפקר כחמץ בפסח וערלה וכלאי הכרם, וליכא דין ירושה. הרי דפליגי בהדיא לגבי ירושה באיסורי הנאה, ומ"מ לא הביאו אדה"ז.</w:t>
      </w:r>
    </w:p>
    <w:p w14:paraId="1E66FE84" w14:textId="77777777" w:rsidR="008344E2" w:rsidRDefault="008344E2" w:rsidP="00423C6D">
      <w:pPr>
        <w:pStyle w:val="a2"/>
        <w:rPr>
          <w:rtl/>
        </w:rPr>
      </w:pPr>
      <w:r>
        <w:rPr>
          <w:rtl/>
        </w:rPr>
        <w:t>אמנם המעיין בדבריהם יראה שלא נחלקו לענין עצם הירושה באיסורי הנאה, אלא אם הוי זה ירושה שיכול לפרוע חובו בזה, וכדתנן במתני' התם "ובע"ח באים ונפרעים", שע"ז שקו"ט הר"ן והרשב"א אי הוי ירושה לענין זה, דשייך פריעת חוב בזה. א"כ עדיין י"ל דגם הרשב"א ס"ל דלענין עצם הירושה שייך זה גם באיסורי הנאה, דרק לענין לפרוע חובו בירושה זו אינו שלו, דהאיסור מפקיע זכותו בהחפץ, שהשוויות של החפץ אינו שלו לפרוע חובו.</w:t>
      </w:r>
    </w:p>
    <w:p w14:paraId="0CE637B4" w14:textId="703EDA27" w:rsidR="008344E2" w:rsidRPr="008344E2" w:rsidRDefault="008344E2" w:rsidP="00423C6D">
      <w:pPr>
        <w:pStyle w:val="a2"/>
        <w:rPr>
          <w:rtl/>
        </w:rPr>
      </w:pPr>
      <w:r w:rsidRPr="008344E2">
        <w:rPr>
          <w:rtl/>
        </w:rPr>
        <w:t xml:space="preserve">וא"כ א"ש דברי אדה"ז לכ"ע, וגם פלוגתת הר"ן והרשב"א לא שייך למ"ש אדה"ז, דלכו"ע עדיין שם </w:t>
      </w:r>
      <w:r w:rsidRPr="008344E2">
        <w:rPr>
          <w:b/>
          <w:bCs/>
          <w:rtl/>
        </w:rPr>
        <w:t>הבעלים</w:t>
      </w:r>
      <w:r w:rsidRPr="008344E2">
        <w:rPr>
          <w:rtl/>
        </w:rPr>
        <w:t xml:space="preserve"> על האיסור הנאה, ולענין בל יראה סגי בעצם הירושה </w:t>
      </w:r>
      <w:r w:rsidRPr="008344E2">
        <w:rPr>
          <w:b/>
          <w:bCs/>
          <w:rtl/>
        </w:rPr>
        <w:t>דשמו עליו</w:t>
      </w:r>
      <w:r w:rsidRPr="008344E2">
        <w:rPr>
          <w:rtl/>
        </w:rPr>
        <w:t xml:space="preserve"> דעובר בב"י (כלשון אדה"ז כאן בקו"א ולעיל סתל"ד ס"ז).</w:t>
      </w:r>
    </w:p>
    <w:p w14:paraId="39F01F7E" w14:textId="77777777" w:rsidR="00D25B6F" w:rsidRPr="00347933" w:rsidRDefault="00D25B6F" w:rsidP="004C43CB">
      <w:pPr>
        <w:pStyle w:val="a4"/>
        <w:spacing w:after="0"/>
        <w:sectPr w:rsidR="00D25B6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7AADB3F" w14:textId="7DA3B837" w:rsidR="00D25B6F" w:rsidRDefault="00FA60BC" w:rsidP="004C43CB">
      <w:pPr>
        <w:pStyle w:val="a"/>
        <w:spacing w:before="0"/>
        <w:rPr>
          <w:rtl/>
        </w:rPr>
      </w:pPr>
      <w:bookmarkStart w:id="130" w:name="_Toc531140373"/>
      <w:r>
        <w:rPr>
          <w:rFonts w:hint="cs"/>
          <w:rtl/>
        </w:rPr>
        <w:t>איסור הנאה בחמץ</w:t>
      </w:r>
      <w:bookmarkEnd w:id="130"/>
    </w:p>
    <w:p w14:paraId="55613F5E" w14:textId="77777777" w:rsidR="00DC68BF" w:rsidRPr="008307D7" w:rsidRDefault="00DC68BF" w:rsidP="00C40DBA">
      <w:pPr>
        <w:pStyle w:val="a0"/>
        <w:rPr>
          <w:rtl/>
        </w:rPr>
      </w:pPr>
      <w:bookmarkStart w:id="131" w:name="_Toc531140374"/>
      <w:r w:rsidRPr="008307D7">
        <w:rPr>
          <w:rFonts w:hint="cs"/>
          <w:rtl/>
          <w:lang w:bidi="he-IL"/>
        </w:rPr>
        <w:t>הרב מרדכי דובער ווילהלם</w:t>
      </w:r>
      <w:bookmarkEnd w:id="131"/>
    </w:p>
    <w:p w14:paraId="0EC8E054" w14:textId="331555A6" w:rsidR="00DC68BF" w:rsidRPr="00EE6654" w:rsidRDefault="00DC68BF" w:rsidP="00FA60BC">
      <w:pPr>
        <w:pStyle w:val="a1"/>
        <w:rPr>
          <w:rtl/>
        </w:rPr>
      </w:pPr>
      <w:r>
        <w:rPr>
          <w:rtl/>
        </w:rPr>
        <w:t>ר"מ במתיבתא ל</w:t>
      </w:r>
      <w:r w:rsidR="00FA60BC">
        <w:rPr>
          <w:rFonts w:hint="cs"/>
          <w:rtl/>
        </w:rPr>
        <w:t>יו</w:t>
      </w:r>
      <w:r>
        <w:rPr>
          <w:rtl/>
        </w:rPr>
        <w:t>באוויטש, טאראנטא</w:t>
      </w:r>
    </w:p>
    <w:p w14:paraId="4B52AE90" w14:textId="77777777" w:rsidR="00DC68BF" w:rsidRPr="00BE2EAB" w:rsidRDefault="00DC68BF" w:rsidP="00423C6D">
      <w:pPr>
        <w:pStyle w:val="a2"/>
        <w:rPr>
          <w:rFonts w:asciiTheme="minorHAnsi" w:hAnsiTheme="minorHAnsi"/>
        </w:rPr>
      </w:pPr>
      <w:r w:rsidRPr="004E71BC">
        <w:rPr>
          <w:rtl/>
        </w:rPr>
        <w:t>א. פסחים כא ע"ב "אמר חזקיה מנין לחמץ בפסח שאסור בהנאה שנאמר לא יאכל חמץ לא יהא בו היתר אכילה"</w:t>
      </w:r>
    </w:p>
    <w:p w14:paraId="3DFF9F0F" w14:textId="77777777" w:rsidR="00DC68BF" w:rsidRPr="00BE2EAB" w:rsidRDefault="00DC68BF" w:rsidP="00423C6D">
      <w:pPr>
        <w:pStyle w:val="a2"/>
        <w:rPr>
          <w:rFonts w:asciiTheme="minorHAnsi" w:hAnsiTheme="minorHAnsi"/>
          <w:highlight w:val="white"/>
        </w:rPr>
      </w:pPr>
      <w:r w:rsidRPr="004E71BC">
        <w:rPr>
          <w:highlight w:val="white"/>
          <w:rtl/>
        </w:rPr>
        <w:t>הנה ידוע הכלל (ברש"י)  שאם כותבים "כלומר" היינו שמפרשים שלא כפשוטו (עי' רשימות קכד בסופו).</w:t>
      </w:r>
    </w:p>
    <w:p w14:paraId="1285C6A3" w14:textId="77777777" w:rsidR="00DC68BF" w:rsidRPr="004E71BC" w:rsidRDefault="00DC68BF" w:rsidP="00423C6D">
      <w:pPr>
        <w:pStyle w:val="a2"/>
        <w:rPr>
          <w:highlight w:val="white"/>
        </w:rPr>
      </w:pPr>
      <w:r w:rsidRPr="004E71BC">
        <w:rPr>
          <w:highlight w:val="white"/>
          <w:rtl/>
        </w:rPr>
        <w:t>ואולי יש לדייק כן בלשון אדה"ז בשולחנו תלא,ב</w:t>
      </w:r>
      <w:r w:rsidRPr="004E71BC">
        <w:rPr>
          <w:highlight w:val="white"/>
        </w:rPr>
        <w:t>.</w:t>
      </w:r>
    </w:p>
    <w:p w14:paraId="312219EE" w14:textId="77777777" w:rsidR="00DC68BF" w:rsidRPr="00BE2EAB" w:rsidRDefault="00DC68BF" w:rsidP="00423C6D">
      <w:pPr>
        <w:pStyle w:val="a2"/>
        <w:rPr>
          <w:rFonts w:asciiTheme="minorHAnsi" w:hAnsiTheme="minorHAnsi"/>
          <w:highlight w:val="white"/>
        </w:rPr>
      </w:pPr>
      <w:r w:rsidRPr="004E71BC">
        <w:rPr>
          <w:highlight w:val="white"/>
          <w:rtl/>
        </w:rPr>
        <w:t xml:space="preserve">חמץ . . כל ז' ימי הפסח הוא אסור אפילו בהנאה מן התורה שנאמר ולא יאכל כלומר לא יהא בו היתר המביא לידי שום אכילה אפילו של היתר דהיינו היתר הנאה </w:t>
      </w:r>
      <w:r w:rsidRPr="004E71BC">
        <w:rPr>
          <w:highlight w:val="white"/>
          <w:rtl/>
        </w:rPr>
        <w:lastRenderedPageBreak/>
        <w:t xml:space="preserve">שסתם הנאה באה לידי אכילה שלוקח בדמים מאכל.  </w:t>
      </w:r>
    </w:p>
    <w:p w14:paraId="04499A94" w14:textId="77777777" w:rsidR="00DC68BF" w:rsidRPr="00BE2EAB" w:rsidRDefault="00DC68BF" w:rsidP="00423C6D">
      <w:pPr>
        <w:pStyle w:val="a2"/>
        <w:rPr>
          <w:rFonts w:asciiTheme="minorHAnsi" w:hAnsiTheme="minorHAnsi"/>
          <w:highlight w:val="white"/>
        </w:rPr>
      </w:pPr>
      <w:r w:rsidRPr="004E71BC">
        <w:rPr>
          <w:highlight w:val="white"/>
          <w:rtl/>
        </w:rPr>
        <w:t>מדלא כתב אדה"ז "משמע" אלא "כלומר" היינו שמפרש שלא כפשוטו (כמשמעו).</w:t>
      </w:r>
    </w:p>
    <w:p w14:paraId="16BBCE73" w14:textId="77777777" w:rsidR="00DC68BF" w:rsidRPr="00BE2EAB" w:rsidRDefault="00DC68BF" w:rsidP="00423C6D">
      <w:pPr>
        <w:pStyle w:val="a2"/>
        <w:rPr>
          <w:rFonts w:asciiTheme="minorHAnsi" w:hAnsiTheme="minorHAnsi"/>
          <w:highlight w:val="white"/>
        </w:rPr>
      </w:pPr>
      <w:r w:rsidRPr="004E71BC">
        <w:rPr>
          <w:highlight w:val="white"/>
          <w:rtl/>
        </w:rPr>
        <w:t>והביאור דהנה איתא פסחים כא ע"ב "אמר חזקיה מנין לחמץ בפסח שאסור בהנאה שנאמר לא יאכל חמץ לא יהא בו היתר אכילה"</w:t>
      </w:r>
    </w:p>
    <w:p w14:paraId="3DEBCB79" w14:textId="77777777" w:rsidR="00DC68BF" w:rsidRPr="00BE2EAB" w:rsidRDefault="00DC68BF" w:rsidP="00423C6D">
      <w:pPr>
        <w:pStyle w:val="a2"/>
        <w:rPr>
          <w:rFonts w:asciiTheme="minorHAnsi" w:hAnsiTheme="minorHAnsi"/>
          <w:highlight w:val="white"/>
        </w:rPr>
      </w:pPr>
      <w:r w:rsidRPr="004E71BC">
        <w:rPr>
          <w:highlight w:val="white"/>
          <w:rtl/>
        </w:rPr>
        <w:t>ומפרש רש"י</w:t>
      </w:r>
      <w:r w:rsidRPr="004E71BC">
        <w:rPr>
          <w:highlight w:val="white"/>
        </w:rPr>
        <w:t xml:space="preserve"> </w:t>
      </w:r>
      <w:r w:rsidRPr="004E71BC">
        <w:rPr>
          <w:highlight w:val="white"/>
          <w:rtl/>
        </w:rPr>
        <w:t>ד"ה</w:t>
      </w:r>
      <w:r w:rsidRPr="004E71BC">
        <w:rPr>
          <w:highlight w:val="white"/>
        </w:rPr>
        <w:t xml:space="preserve"> </w:t>
      </w:r>
      <w:r w:rsidRPr="004E71BC">
        <w:rPr>
          <w:highlight w:val="white"/>
          <w:rtl/>
        </w:rPr>
        <w:t>לא יאכל. מדקרינא לא יאכל משמע לא יהא בו היתר המביא לידי שום אכילה וסתם הנאות לידי אכילה הם באות שלוקח בדמים דבר מאכל.</w:t>
      </w:r>
    </w:p>
    <w:p w14:paraId="19E9B58E" w14:textId="77777777" w:rsidR="00DC68BF" w:rsidRPr="00BE2EAB" w:rsidRDefault="00DC68BF" w:rsidP="00423C6D">
      <w:pPr>
        <w:pStyle w:val="a2"/>
        <w:rPr>
          <w:rFonts w:asciiTheme="minorHAnsi" w:hAnsiTheme="minorHAnsi"/>
          <w:color w:val="222222"/>
          <w:highlight w:val="white"/>
        </w:rPr>
      </w:pPr>
      <w:r w:rsidRPr="004E71BC">
        <w:rPr>
          <w:highlight w:val="white"/>
          <w:rtl/>
        </w:rPr>
        <w:t>וביתר ביאור בלבוש תלא,א.</w:t>
      </w:r>
      <w:r w:rsidRPr="00BE2EAB">
        <w:rPr>
          <w:highlight w:val="white"/>
          <w:rtl/>
        </w:rPr>
        <w:t>"ומשעה שנאסר החמץ באכילה מן התורה נאסר גם כן בהנאה מן התורה, שנאמר: "לא יאכל חמץ" בצירי תחת היו״ד, ולא כתיב "לא יאכל" בחולם,</w:t>
      </w:r>
      <w:r w:rsidRPr="00BE2EAB">
        <w:rPr>
          <w:highlight w:val="white"/>
        </w:rPr>
        <w:t xml:space="preserve"> </w:t>
      </w:r>
      <w:r w:rsidRPr="00BE2EAB">
        <w:rPr>
          <w:highlight w:val="white"/>
          <w:u w:val="single"/>
          <w:rtl/>
        </w:rPr>
        <w:t>משמע</w:t>
      </w:r>
      <w:r w:rsidRPr="00BE2EAB">
        <w:rPr>
          <w:highlight w:val="white"/>
          <w:u w:val="single"/>
        </w:rPr>
        <w:t xml:space="preserve"> </w:t>
      </w:r>
      <w:r w:rsidRPr="00BE2EAB">
        <w:rPr>
          <w:highlight w:val="white"/>
          <w:rtl/>
        </w:rPr>
        <w:t>לא יהא בו היתר המביאה לידי אכילה והיינו הנאה, דסתם הנאות לידי אכילה באות, שלוקח בדמים דבר מאכל"</w:t>
      </w:r>
    </w:p>
    <w:p w14:paraId="35E6BED6" w14:textId="77777777" w:rsidR="00DC68BF" w:rsidRPr="00BE2EAB" w:rsidRDefault="00DC68BF" w:rsidP="00423C6D">
      <w:pPr>
        <w:pStyle w:val="a2"/>
        <w:rPr>
          <w:rFonts w:asciiTheme="minorHAnsi" w:hAnsiTheme="minorHAnsi"/>
          <w:highlight w:val="white"/>
        </w:rPr>
      </w:pPr>
      <w:r w:rsidRPr="004E71BC">
        <w:rPr>
          <w:highlight w:val="white"/>
          <w:rtl/>
        </w:rPr>
        <w:t>הרי שמפרשים הלימוד ממשמעות הפסוק.</w:t>
      </w:r>
    </w:p>
    <w:p w14:paraId="7033DEB2" w14:textId="77777777" w:rsidR="00DC68BF" w:rsidRPr="00BE2EAB" w:rsidRDefault="00DC68BF" w:rsidP="00423C6D">
      <w:pPr>
        <w:pStyle w:val="a2"/>
        <w:rPr>
          <w:rFonts w:asciiTheme="minorHAnsi" w:hAnsiTheme="minorHAnsi"/>
          <w:highlight w:val="white"/>
        </w:rPr>
      </w:pPr>
      <w:r w:rsidRPr="004E71BC">
        <w:rPr>
          <w:highlight w:val="white"/>
          <w:rtl/>
        </w:rPr>
        <w:t>אבל בהמשך הגמרא שם "טעמא דכתב רחמנא לא יאכל חמץ הא לא כתב לא יאכל הוה אמינא איסור אכילה משמע איסור הנאה לא משמע ופליגא דר' אבהו דא"ר אבהו כל מקום שנאמר לא יאכל לא תאכל לא תאכלו אחד איסור אכילה ואחד איסור הנאה (משמע) עד שיפרט לך הכתוב כדרך שפרט לך בנבילה"</w:t>
      </w:r>
    </w:p>
    <w:p w14:paraId="10F35365" w14:textId="77777777" w:rsidR="00DC68BF" w:rsidRPr="00BE2EAB" w:rsidRDefault="00DC68BF" w:rsidP="00423C6D">
      <w:pPr>
        <w:pStyle w:val="a2"/>
        <w:rPr>
          <w:rFonts w:asciiTheme="minorHAnsi" w:hAnsiTheme="minorHAnsi"/>
          <w:highlight w:val="white"/>
        </w:rPr>
      </w:pPr>
      <w:r w:rsidRPr="004E71BC">
        <w:rPr>
          <w:highlight w:val="white"/>
          <w:rtl/>
        </w:rPr>
        <w:t>ולהלן כג ע"א מקשה הגמרא לר' אבהו "והרי שרצים דרחמנא אמר שקץ הוא לא יאכל ותנן ציידי חיה ועופות ודגים שנזדמנו להם מינין טמאין מותרין למוכרן לנכרים שאני התם דאמר קרא לכם שלכם יהא. .  ולחזקיה למה לי למיכתב לא יאכל ומייתי לכם למישרייה לא לכתוב רחמנא לא יאכל ולא בעי לכם אמר לך חזקיה טעמא דידי נמי מהכא.</w:t>
      </w:r>
    </w:p>
    <w:p w14:paraId="61D2FF90" w14:textId="77777777" w:rsidR="00DC68BF" w:rsidRPr="00BE2EAB" w:rsidRDefault="00DC68BF" w:rsidP="00423C6D">
      <w:pPr>
        <w:pStyle w:val="a2"/>
        <w:rPr>
          <w:rFonts w:asciiTheme="minorHAnsi" w:hAnsiTheme="minorHAnsi"/>
          <w:highlight w:val="white"/>
        </w:rPr>
      </w:pPr>
      <w:r w:rsidRPr="004E71BC">
        <w:rPr>
          <w:highlight w:val="white"/>
          <w:rtl/>
        </w:rPr>
        <w:t>ומפרש רש"י ד"ה טעמא דידי. דאמינא לא יאכל משמע הנאה מהא נפקא לי ואי לאו האי קרא דכתיב לא יאכל ותו כתב לכם למישרייה לא הוה ידענא דלא יאכל איסור הנאה הוא</w:t>
      </w:r>
      <w:r w:rsidRPr="004E71BC">
        <w:rPr>
          <w:highlight w:val="white"/>
        </w:rPr>
        <w:t>.</w:t>
      </w:r>
    </w:p>
    <w:p w14:paraId="76A32827" w14:textId="77777777" w:rsidR="00DC68BF" w:rsidRPr="00BE2EAB" w:rsidRDefault="00DC68BF" w:rsidP="00423C6D">
      <w:pPr>
        <w:pStyle w:val="a2"/>
        <w:rPr>
          <w:rFonts w:asciiTheme="minorHAnsi" w:hAnsiTheme="minorHAnsi"/>
          <w:highlight w:val="white"/>
        </w:rPr>
      </w:pPr>
      <w:r w:rsidRPr="004E71BC">
        <w:rPr>
          <w:highlight w:val="white"/>
          <w:rtl/>
        </w:rPr>
        <w:t>הרי שלמסקנת הגמרא דרשת חזקי' אינה ממשמעות הפסוק אלא מיתורא ד"לכם" ולכן כתב אדה"ז "כלומר".</w:t>
      </w:r>
    </w:p>
    <w:p w14:paraId="6C484F22" w14:textId="77777777" w:rsidR="00DC68BF" w:rsidRPr="00BE2EAB" w:rsidRDefault="00DC68BF" w:rsidP="00423C6D">
      <w:pPr>
        <w:pStyle w:val="a2"/>
        <w:rPr>
          <w:rFonts w:asciiTheme="minorHAnsi" w:hAnsiTheme="minorHAnsi"/>
        </w:rPr>
      </w:pPr>
      <w:r w:rsidRPr="004E71BC">
        <w:rPr>
          <w:rtl/>
        </w:rPr>
        <w:t xml:space="preserve">ב. שם  "א"ר אבהו כל מקום שנאמר לא יאכל לא תאכל לא תאכלו אחד איסור </w:t>
      </w:r>
      <w:r w:rsidRPr="004E71BC">
        <w:rPr>
          <w:rtl/>
        </w:rPr>
        <w:lastRenderedPageBreak/>
        <w:t>אכילה ואחד איסור הנאה (משמע) עד שיפרט לך הכתוב כדרך שפרט לך בנבילה".</w:t>
      </w:r>
    </w:p>
    <w:p w14:paraId="2D10CC01" w14:textId="77777777" w:rsidR="00DC68BF" w:rsidRPr="00BE2EAB" w:rsidRDefault="00DC68BF" w:rsidP="00423C6D">
      <w:pPr>
        <w:pStyle w:val="a2"/>
        <w:rPr>
          <w:rFonts w:asciiTheme="minorHAnsi" w:hAnsiTheme="minorHAnsi"/>
        </w:rPr>
      </w:pPr>
      <w:r w:rsidRPr="004E71BC">
        <w:rPr>
          <w:rtl/>
        </w:rPr>
        <w:t>ובתוד"ה כל מקום שנאמר לא יאכל. וא"ת יהא נהנה מחמץ בפסח בכרת דהא כתיב כי כל אוכל חמץ ונכרתה . . ואור"י דלא יאכל ולא תאכל ילפינן מלא תאכלו אבל כי כל אוכל לא ילפינן מלא תאכלו:</w:t>
      </w:r>
    </w:p>
    <w:p w14:paraId="786F178E" w14:textId="77777777" w:rsidR="00DC68BF" w:rsidRPr="00BE2EAB" w:rsidRDefault="00DC68BF" w:rsidP="00423C6D">
      <w:pPr>
        <w:pStyle w:val="a2"/>
        <w:rPr>
          <w:rFonts w:asciiTheme="minorHAnsi" w:hAnsiTheme="minorHAnsi"/>
        </w:rPr>
      </w:pPr>
      <w:r w:rsidRPr="004E71BC">
        <w:rPr>
          <w:rtl/>
        </w:rPr>
        <w:t xml:space="preserve">ובביאור הטעם ש"כי כל אוכל לא ילפינן מלא תאכלו" מצאנו בכללות ב' ביאורים שונים. </w:t>
      </w:r>
    </w:p>
    <w:p w14:paraId="58E79094" w14:textId="77777777" w:rsidR="00DC68BF" w:rsidRPr="00BE2EAB" w:rsidRDefault="00DC68BF" w:rsidP="00423C6D">
      <w:pPr>
        <w:pStyle w:val="a2"/>
        <w:rPr>
          <w:rFonts w:asciiTheme="minorHAnsi" w:hAnsiTheme="minorHAnsi"/>
        </w:rPr>
      </w:pPr>
      <w:r w:rsidRPr="004E71BC">
        <w:rPr>
          <w:rtl/>
        </w:rPr>
        <w:t xml:space="preserve">א. ביאור המהר"ם שיק (שו"ת יורה דעה סי' קז) </w:t>
      </w:r>
      <w:r w:rsidRPr="004E71BC">
        <w:t xml:space="preserve"> </w:t>
      </w:r>
      <w:r w:rsidRPr="004E71BC">
        <w:rPr>
          <w:rtl/>
        </w:rPr>
        <w:t>כיון "דהנך דאסירי בהנאה משום סרך אכילה נאסרו שלא יבוא לידי אכילה, . . וזה שייך אם כתיב לשון עתיד שלא יבוא לאכלה אבל בלשון עבר או בינוני דוקא אכילה".</w:t>
      </w:r>
    </w:p>
    <w:p w14:paraId="46A2707B" w14:textId="77777777" w:rsidR="00DC68BF" w:rsidRPr="00BE2EAB" w:rsidRDefault="00DC68BF" w:rsidP="00423C6D">
      <w:pPr>
        <w:pStyle w:val="a2"/>
        <w:rPr>
          <w:rFonts w:asciiTheme="minorHAnsi" w:hAnsiTheme="minorHAnsi"/>
        </w:rPr>
      </w:pPr>
      <w:r w:rsidRPr="004E71BC">
        <w:rPr>
          <w:rtl/>
        </w:rPr>
        <w:t>[ועד"ז ביאר הרב גערליצקי שיחי' בשיעוריו ע"פ  מ"ש בשד"ח (כללים מערכת כ' כלל קי"ט ד"ה ואנא בסופו) מובא בלקו"ש חט"ז ע' 89 הערה 12)  שגם לר' אבהו "דלא יאכל לא תאכל לא תאכלו אחד איסור אכילה ואחד איסור הנאה במשמע" גדר ההנאה שאסרה תורה הוא "שלא יהא בו היתר אכילה"</w:t>
      </w:r>
      <w:r w:rsidRPr="004E71BC">
        <w:rPr>
          <w:vertAlign w:val="superscript"/>
        </w:rPr>
        <w:footnoteReference w:id="54"/>
      </w:r>
      <w:r w:rsidRPr="004E71BC">
        <w:rPr>
          <w:rtl/>
        </w:rPr>
        <w:t>.  ולפי"ז חילקו התוס' בין לא תאכל לכי כל אוכל וכו' דרק כשכתוב בלשון איסור על העתיד מפרשינן פירוש זה שלא יבוא לידי היתר הנאה כו' כדכתיב בנבילה לא תאכלו משא"כ במ"ש כי כל "אוכל" וגו' לא ידעינן לפרש כי אם אכילה עצמה ולא להנאה.]</w:t>
      </w:r>
    </w:p>
    <w:p w14:paraId="60C1FC0B" w14:textId="547647E0" w:rsidR="00DC68BF" w:rsidRPr="00BE2EAB" w:rsidRDefault="00DC68BF" w:rsidP="00423C6D">
      <w:pPr>
        <w:pStyle w:val="a2"/>
        <w:rPr>
          <w:rFonts w:asciiTheme="minorHAnsi" w:hAnsiTheme="minorHAnsi"/>
        </w:rPr>
      </w:pPr>
      <w:r w:rsidRPr="004E71BC">
        <w:rPr>
          <w:rtl/>
        </w:rPr>
        <w:t xml:space="preserve">ב. ביאור הצל"ח </w:t>
      </w:r>
      <w:r w:rsidRPr="004E71BC">
        <w:rPr>
          <w:vertAlign w:val="superscript"/>
        </w:rPr>
        <w:footnoteReference w:id="55"/>
      </w:r>
      <w:r w:rsidRPr="004E71BC">
        <w:rPr>
          <w:rtl/>
        </w:rPr>
        <w:t xml:space="preserve"> "ואולי כוונת התוס' דדוקא מה שנאמר בלשון אזהרה ילפינן מלא תאכלו אבל </w:t>
      </w:r>
      <w:r w:rsidR="00D25B6F">
        <w:rPr>
          <w:rtl/>
        </w:rPr>
        <w:t>מה שנאמר בלשון עונש לא ילפינן</w:t>
      </w:r>
      <w:r w:rsidR="00D25B6F">
        <w:rPr>
          <w:rFonts w:hint="cs"/>
          <w:rtl/>
        </w:rPr>
        <w:t>".</w:t>
      </w:r>
      <w:r w:rsidRPr="004E71BC">
        <w:rPr>
          <w:rtl/>
        </w:rPr>
        <w:t xml:space="preserve"> [וכיון בזה למ"ש הרשב"א (בב"ק מא ע"א)  "דשאני לא תאכל לא תאכלו דבאזהרה, אבל כי כל אוכל לא אמרינן"]. </w:t>
      </w:r>
    </w:p>
    <w:p w14:paraId="0CEF1847" w14:textId="77777777" w:rsidR="00DC68BF" w:rsidRPr="00BE2EAB" w:rsidRDefault="00DC68BF" w:rsidP="00423C6D">
      <w:pPr>
        <w:pStyle w:val="a2"/>
        <w:rPr>
          <w:rFonts w:asciiTheme="minorHAnsi" w:hAnsiTheme="minorHAnsi"/>
        </w:rPr>
      </w:pPr>
      <w:r w:rsidRPr="004E71BC">
        <w:rPr>
          <w:rtl/>
        </w:rPr>
        <w:t xml:space="preserve">וע"פ הנ"ל יש לבאר מ"ש בהמשך הגמרא לרבי יהודה . . כל איסורים שבתורה מנא ליה דאסורין בהנאה נפקא ליה מלכלב תשליכון אותו אותו אתה משליך לכלב </w:t>
      </w:r>
      <w:r w:rsidRPr="004E71BC">
        <w:rPr>
          <w:rtl/>
        </w:rPr>
        <w:lastRenderedPageBreak/>
        <w:t>ואי אתה משליך לכלב כל איסורין שבתורה  ור' מאיר אותו אתה משליך לכלב ואי אתה משליך לכלב חולין שנשחטו בעזרה</w:t>
      </w:r>
    </w:p>
    <w:p w14:paraId="4B830CF2" w14:textId="77777777" w:rsidR="00DC68BF" w:rsidRPr="00BE2EAB" w:rsidRDefault="00DC68BF" w:rsidP="00423C6D">
      <w:pPr>
        <w:pStyle w:val="a2"/>
        <w:rPr>
          <w:rFonts w:asciiTheme="minorHAnsi" w:hAnsiTheme="minorHAnsi"/>
        </w:rPr>
      </w:pPr>
      <w:r w:rsidRPr="004E71BC">
        <w:rPr>
          <w:rtl/>
        </w:rPr>
        <w:t>ופירש רש"י ור"מ. דנפקא ליה איסור הנאה בשאר איסורים מדפרט בנבילה בשלמא פרט היתר דטרפה לגופיה איצטריך למיפרט בה היתר משום דאי לאו דפרט ביה הוה אמינא ליתסר בהנאה אלא אותו למה לי ומשני לאיסור הנאה חולין שנשחטו בעזרה דנפקא לן בהו איסור אכילה מדכתב (דברים יב) כי ירחק ממך המקום וזבחת ואכלת</w:t>
      </w:r>
      <w:r w:rsidRPr="004E71BC">
        <w:rPr>
          <w:vertAlign w:val="superscript"/>
        </w:rPr>
        <w:footnoteReference w:id="56"/>
      </w:r>
      <w:r w:rsidRPr="004E71BC">
        <w:rPr>
          <w:rtl/>
        </w:rPr>
        <w:t xml:space="preserve"> בריחוק מקום דהיינו חוץ למחנה שכינה אתה זובח ואוכל ואי אתה זובח ואוכל בקרוב מקום ומשום דאין מפורש בהן לאו בהדיא באכילה איצטריך למילף להו איסור הנאה מהכא.</w:t>
      </w:r>
    </w:p>
    <w:p w14:paraId="7D947FBE" w14:textId="77777777" w:rsidR="00DC68BF" w:rsidRPr="00BE2EAB" w:rsidRDefault="00DC68BF" w:rsidP="00423C6D">
      <w:pPr>
        <w:pStyle w:val="a2"/>
        <w:rPr>
          <w:rFonts w:asciiTheme="minorHAnsi" w:hAnsiTheme="minorHAnsi"/>
        </w:rPr>
      </w:pPr>
      <w:r w:rsidRPr="004E71BC">
        <w:rPr>
          <w:rtl/>
        </w:rPr>
        <w:t>והעיר הרש"ש על דברי רש"י "נראה מזה דלא ס"ל תירוץ ר"י שבתוס' לעיל ד"ה כל מקום".</w:t>
      </w:r>
    </w:p>
    <w:p w14:paraId="44F5A870" w14:textId="77777777" w:rsidR="00DC68BF" w:rsidRDefault="00DC68BF" w:rsidP="00423C6D">
      <w:pPr>
        <w:pStyle w:val="a2"/>
        <w:rPr>
          <w:rtl/>
        </w:rPr>
      </w:pPr>
      <w:r w:rsidRPr="004E71BC">
        <w:rPr>
          <w:rtl/>
        </w:rPr>
        <w:t>ונראה שהרש"ש הבין את תירוץ הר"י כאופן א' הנ"ל [שלשון הוה לא ילפינן מלשון עתיד]. אבל לפי  ביאור התוס' באופן הב' יש להתאים מ"ש רש"י "ומשום דאין מפורש בהן לאו בהדיא באכילה" עם תירוץ התוס' ש"מה שנאמר בלשון אזהרה ילפינן מלא תאכלו".</w:t>
      </w:r>
    </w:p>
    <w:p w14:paraId="1532000D" w14:textId="77777777" w:rsidR="00727B8F" w:rsidRPr="00347933" w:rsidRDefault="00727B8F" w:rsidP="000E110A">
      <w:pPr>
        <w:pStyle w:val="a4"/>
        <w:spacing w:before="0" w:after="0"/>
        <w:sectPr w:rsidR="00727B8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05FCA1BD" w14:textId="1B64003D" w:rsidR="00727B8F" w:rsidRPr="00E01AB5" w:rsidRDefault="00727B8F" w:rsidP="00727B8F">
      <w:pPr>
        <w:pStyle w:val="a"/>
        <w:rPr>
          <w:rFonts w:eastAsia="David Libre" w:cs="David Libre"/>
        </w:rPr>
      </w:pPr>
      <w:bookmarkStart w:id="132" w:name="_Toc531140375"/>
      <w:r>
        <w:rPr>
          <w:rFonts w:eastAsia="David Libre" w:hint="cs"/>
          <w:rtl/>
        </w:rPr>
        <w:t xml:space="preserve">החילוק בין איסור גברא ואיסור חפצא  בדין  </w:t>
      </w:r>
      <w:r w:rsidRPr="00E01AB5">
        <w:rPr>
          <w:rFonts w:eastAsia="David Libre"/>
          <w:rtl/>
        </w:rPr>
        <w:t xml:space="preserve">זה וזה גורם </w:t>
      </w:r>
      <w:r>
        <w:rPr>
          <w:rFonts w:eastAsia="David Libre" w:hint="cs"/>
          <w:rtl/>
        </w:rPr>
        <w:t>אם אסור</w:t>
      </w:r>
      <w:bookmarkEnd w:id="132"/>
      <w:r>
        <w:rPr>
          <w:rFonts w:eastAsia="David Libre" w:hint="cs"/>
          <w:rtl/>
        </w:rPr>
        <w:t xml:space="preserve"> </w:t>
      </w:r>
    </w:p>
    <w:p w14:paraId="47D57234" w14:textId="5E01B199" w:rsidR="00727B8F" w:rsidRPr="008307D7" w:rsidRDefault="00727B8F" w:rsidP="00C40DBA">
      <w:pPr>
        <w:pStyle w:val="a0"/>
      </w:pPr>
      <w:bookmarkStart w:id="133" w:name="_Toc531140376"/>
      <w:r w:rsidRPr="008307D7">
        <w:rPr>
          <w:rFonts w:hint="cs"/>
          <w:rtl/>
          <w:lang w:bidi="he-IL"/>
        </w:rPr>
        <w:t>הנ</w:t>
      </w:r>
      <w:r w:rsidRPr="008307D7">
        <w:rPr>
          <w:rFonts w:hint="cs"/>
          <w:rtl/>
        </w:rPr>
        <w:t>"</w:t>
      </w:r>
      <w:r w:rsidRPr="008307D7">
        <w:rPr>
          <w:rFonts w:hint="cs"/>
          <w:rtl/>
          <w:lang w:bidi="he-IL"/>
        </w:rPr>
        <w:t>ל</w:t>
      </w:r>
      <w:bookmarkEnd w:id="133"/>
    </w:p>
    <w:p w14:paraId="0A3CDF11" w14:textId="4A396AE0" w:rsidR="00727B8F" w:rsidRPr="00727B8F" w:rsidRDefault="00727B8F" w:rsidP="00423C6D">
      <w:pPr>
        <w:pStyle w:val="a2"/>
        <w:rPr>
          <w:rFonts w:asciiTheme="minorHAnsi" w:hAnsiTheme="minorHAnsi" w:cs="David Libre"/>
        </w:rPr>
      </w:pPr>
      <w:r>
        <w:rPr>
          <w:rFonts w:hint="cs"/>
          <w:rtl/>
        </w:rPr>
        <w:t>במסכת פסחים פרק שני</w:t>
      </w:r>
      <w:r w:rsidRPr="00727B8F">
        <w:rPr>
          <w:rStyle w:val="FootnoteReference"/>
          <w:rFonts w:ascii="David Libre" w:eastAsia="David Libre" w:hAnsi="David Libre" w:cs="Times New Roman"/>
          <w:sz w:val="30"/>
          <w:rtl/>
        </w:rPr>
        <w:footnoteReference w:id="57"/>
      </w:r>
      <w:r>
        <w:rPr>
          <w:rFonts w:hint="cs"/>
          <w:rtl/>
        </w:rPr>
        <w:t xml:space="preserve"> </w:t>
      </w:r>
      <w:r w:rsidRPr="00E01AB5">
        <w:rPr>
          <w:rtl/>
        </w:rPr>
        <w:t>בסוגיית זה וזה גורם</w:t>
      </w:r>
      <w:r>
        <w:rPr>
          <w:rFonts w:hint="cs"/>
          <w:rtl/>
        </w:rPr>
        <w:t xml:space="preserve"> [כלומר שכששני דברים אחד אסור ואחד מותר גורמים דבר אחר, אם הוא אסור או מותר, כגון שאור של חולין ושל תרומה שנפלו לעיסה ואין בכל אחד בפני עצמו כדי להחמיץ אם העיסה מותרת או לא </w:t>
      </w:r>
      <w:r>
        <w:rPr>
          <w:rFonts w:hint="cs"/>
          <w:rtl/>
        </w:rPr>
        <w:lastRenderedPageBreak/>
        <w:t xml:space="preserve">] מביאה הגמ' דעת ר' אליעזר שבכל איסורין שבתורה זה וזה גורם אסור </w:t>
      </w:r>
      <w:r w:rsidRPr="00E01AB5">
        <w:rPr>
          <w:rFonts w:cs="David Libre"/>
          <w:rtl/>
        </w:rPr>
        <w:t>"</w:t>
      </w:r>
      <w:r w:rsidRPr="00E01AB5">
        <w:rPr>
          <w:rtl/>
        </w:rPr>
        <w:t>תניא בהדיא וכן היה ר</w:t>
      </w:r>
      <w:r w:rsidRPr="00E01AB5">
        <w:rPr>
          <w:rFonts w:cs="David Libre"/>
          <w:rtl/>
        </w:rPr>
        <w:t xml:space="preserve">' </w:t>
      </w:r>
      <w:r w:rsidRPr="00E01AB5">
        <w:rPr>
          <w:rtl/>
        </w:rPr>
        <w:t>אליעזר אוסר בכל איסורין שבתורה</w:t>
      </w:r>
      <w:r w:rsidRPr="00E01AB5">
        <w:rPr>
          <w:rFonts w:cs="David Libre"/>
          <w:rtl/>
        </w:rPr>
        <w:t xml:space="preserve">". </w:t>
      </w:r>
      <w:r w:rsidRPr="00E01AB5">
        <w:rPr>
          <w:rtl/>
        </w:rPr>
        <w:t>והקשו שם בתוד</w:t>
      </w:r>
      <w:r w:rsidRPr="00E01AB5">
        <w:rPr>
          <w:rFonts w:cs="David Libre"/>
          <w:rtl/>
        </w:rPr>
        <w:t>"</w:t>
      </w:r>
      <w:r w:rsidRPr="00E01AB5">
        <w:rPr>
          <w:rtl/>
        </w:rPr>
        <w:t xml:space="preserve">ה וכן </w:t>
      </w:r>
      <w:r w:rsidRPr="00E01AB5">
        <w:rPr>
          <w:rFonts w:cs="David Libre"/>
          <w:rtl/>
        </w:rPr>
        <w:t>"</w:t>
      </w:r>
      <w:r w:rsidRPr="00E01AB5">
        <w:rPr>
          <w:rtl/>
        </w:rPr>
        <w:t>השתא משמע דבכל מקום אית ליה לרבי אליעזר דזה וזה גורם אסור ותימה לרשב</w:t>
      </w:r>
      <w:r w:rsidRPr="00E01AB5">
        <w:rPr>
          <w:rFonts w:cs="David Libre"/>
          <w:rtl/>
        </w:rPr>
        <w:t>"</w:t>
      </w:r>
      <w:r w:rsidRPr="00E01AB5">
        <w:rPr>
          <w:rtl/>
        </w:rPr>
        <w:t xml:space="preserve">א דתיקשי מהכא לרב הונא בר חיננא דתניא בתמורה בפרק כל האסורין </w:t>
      </w:r>
      <w:r w:rsidRPr="00E01AB5">
        <w:rPr>
          <w:rFonts w:cs="David Libre"/>
          <w:rtl/>
        </w:rPr>
        <w:t>(</w:t>
      </w:r>
      <w:r w:rsidRPr="00E01AB5">
        <w:rPr>
          <w:rtl/>
        </w:rPr>
        <w:t>דף ל</w:t>
      </w:r>
      <w:r w:rsidRPr="00E01AB5">
        <w:rPr>
          <w:rFonts w:cs="David Libre"/>
          <w:rtl/>
        </w:rPr>
        <w:t xml:space="preserve">: </w:t>
      </w:r>
      <w:r w:rsidRPr="00E01AB5">
        <w:rPr>
          <w:rtl/>
        </w:rPr>
        <w:t>ושם</w:t>
      </w:r>
      <w:r w:rsidRPr="00E01AB5">
        <w:rPr>
          <w:rFonts w:cs="David Libre"/>
          <w:rtl/>
        </w:rPr>
        <w:t xml:space="preserve">) </w:t>
      </w:r>
      <w:r w:rsidRPr="00E01AB5">
        <w:rPr>
          <w:rtl/>
        </w:rPr>
        <w:t>כל האסורין לגבי מזבח ולדותיהן מותרין ותניא עלה ר</w:t>
      </w:r>
      <w:r w:rsidRPr="00E01AB5">
        <w:rPr>
          <w:rFonts w:cs="David Libre"/>
          <w:rtl/>
        </w:rPr>
        <w:t>"</w:t>
      </w:r>
      <w:r w:rsidRPr="00E01AB5">
        <w:rPr>
          <w:rtl/>
        </w:rPr>
        <w:t>א אוסר וקאמר רב הונא בר חיננא מחלוקת כשעיברו ולבסוף נרבעו דרבי אליעזר סבר עובר ירך אמו הוא אבל נרבעו ולבסוף עיברו ד</w:t>
      </w:r>
      <w:r w:rsidRPr="00E01AB5">
        <w:rPr>
          <w:rFonts w:cs="David Libre"/>
          <w:rtl/>
        </w:rPr>
        <w:t>"</w:t>
      </w:r>
      <w:r w:rsidRPr="00E01AB5">
        <w:rPr>
          <w:rtl/>
        </w:rPr>
        <w:t>ה מותרין אלמא לרבי אליעזר זה וזה גורם מותר</w:t>
      </w:r>
      <w:r w:rsidRPr="00E01AB5">
        <w:rPr>
          <w:rFonts w:cs="David Libre"/>
          <w:rtl/>
        </w:rPr>
        <w:t xml:space="preserve">". </w:t>
      </w:r>
      <w:r w:rsidRPr="00E01AB5">
        <w:rPr>
          <w:rtl/>
        </w:rPr>
        <w:t>והניחו בתימה</w:t>
      </w:r>
      <w:r w:rsidRPr="00E01AB5">
        <w:rPr>
          <w:rFonts w:cs="David Libre"/>
          <w:rtl/>
        </w:rPr>
        <w:t xml:space="preserve">.  </w:t>
      </w:r>
    </w:p>
    <w:p w14:paraId="114951E2" w14:textId="2280FFC7" w:rsidR="00727B8F" w:rsidRPr="00727B8F" w:rsidRDefault="00727B8F" w:rsidP="00423C6D">
      <w:pPr>
        <w:pStyle w:val="a2"/>
        <w:rPr>
          <w:rFonts w:asciiTheme="minorHAnsi" w:hAnsiTheme="minorHAnsi" w:cs="David Libre"/>
        </w:rPr>
      </w:pPr>
      <w:r w:rsidRPr="00E01AB5">
        <w:rPr>
          <w:rtl/>
        </w:rPr>
        <w:t>אבל בתמורה</w:t>
      </w:r>
      <w:r>
        <w:rPr>
          <w:rFonts w:hint="cs"/>
          <w:rtl/>
        </w:rPr>
        <w:t xml:space="preserve"> דף</w:t>
      </w:r>
      <w:r w:rsidRPr="00E01AB5">
        <w:rPr>
          <w:rtl/>
        </w:rPr>
        <w:t xml:space="preserve"> ל ע</w:t>
      </w:r>
      <w:r w:rsidRPr="00E01AB5">
        <w:rPr>
          <w:rFonts w:cs="David Libre"/>
          <w:rtl/>
        </w:rPr>
        <w:t>"</w:t>
      </w:r>
      <w:r w:rsidRPr="00E01AB5">
        <w:rPr>
          <w:rtl/>
        </w:rPr>
        <w:t>ב  בתוד</w:t>
      </w:r>
      <w:r w:rsidRPr="00E01AB5">
        <w:rPr>
          <w:rFonts w:cs="David Libre"/>
          <w:rtl/>
        </w:rPr>
        <w:t>"</w:t>
      </w:r>
      <w:r w:rsidRPr="00E01AB5">
        <w:rPr>
          <w:rtl/>
        </w:rPr>
        <w:t xml:space="preserve">ה אבל תירצו </w:t>
      </w:r>
      <w:r w:rsidRPr="00E01AB5">
        <w:rPr>
          <w:rFonts w:cs="David Libre"/>
          <w:rtl/>
        </w:rPr>
        <w:t>"</w:t>
      </w:r>
      <w:r w:rsidRPr="00E01AB5">
        <w:rPr>
          <w:rtl/>
        </w:rPr>
        <w:t xml:space="preserve">דהתם </w:t>
      </w:r>
      <w:r w:rsidRPr="00E01AB5">
        <w:rPr>
          <w:rFonts w:cs="David Libre"/>
          <w:rtl/>
        </w:rPr>
        <w:t>[</w:t>
      </w:r>
      <w:r w:rsidRPr="00E01AB5">
        <w:rPr>
          <w:rtl/>
        </w:rPr>
        <w:t>בפסחים</w:t>
      </w:r>
      <w:r w:rsidRPr="00E01AB5">
        <w:rPr>
          <w:rFonts w:cs="David Libre"/>
          <w:rtl/>
        </w:rPr>
        <w:t xml:space="preserve">]  </w:t>
      </w:r>
      <w:r w:rsidRPr="00E01AB5">
        <w:rPr>
          <w:rtl/>
        </w:rPr>
        <w:t xml:space="preserve">מיירי בדבר שאסור אף להדיוט והכא </w:t>
      </w:r>
      <w:r w:rsidRPr="00E01AB5">
        <w:rPr>
          <w:rFonts w:cs="David Libre"/>
          <w:rtl/>
        </w:rPr>
        <w:t>[</w:t>
      </w:r>
      <w:r w:rsidRPr="00E01AB5">
        <w:rPr>
          <w:rtl/>
        </w:rPr>
        <w:t>בתמורה</w:t>
      </w:r>
      <w:r w:rsidRPr="00E01AB5">
        <w:rPr>
          <w:rFonts w:cs="David Libre"/>
          <w:rtl/>
        </w:rPr>
        <w:t xml:space="preserve">] </w:t>
      </w:r>
      <w:r w:rsidRPr="00E01AB5">
        <w:rPr>
          <w:rtl/>
        </w:rPr>
        <w:t>מיירי באיסור גבוה לבד</w:t>
      </w:r>
      <w:r w:rsidRPr="00E01AB5">
        <w:rPr>
          <w:rFonts w:cs="David Libre"/>
          <w:rtl/>
        </w:rPr>
        <w:t xml:space="preserve">". </w:t>
      </w:r>
      <w:r w:rsidRPr="00E01AB5">
        <w:rPr>
          <w:rtl/>
        </w:rPr>
        <w:t>ויש לבאר דבריהם</w:t>
      </w:r>
      <w:r w:rsidRPr="00E01AB5">
        <w:rPr>
          <w:rFonts w:cs="David Libre"/>
          <w:rtl/>
        </w:rPr>
        <w:t xml:space="preserve">, </w:t>
      </w:r>
      <w:r w:rsidRPr="00E01AB5">
        <w:rPr>
          <w:rtl/>
        </w:rPr>
        <w:t>שרבי אל</w:t>
      </w:r>
      <w:r>
        <w:rPr>
          <w:rFonts w:hint="cs"/>
          <w:rtl/>
        </w:rPr>
        <w:t>י</w:t>
      </w:r>
      <w:r w:rsidRPr="00E01AB5">
        <w:rPr>
          <w:rtl/>
        </w:rPr>
        <w:t xml:space="preserve">עזר  אמר  למילתיה דזה וזה גורם אסור רק היכא שהאיסור הגורם הוי אסור בעצמותו היינו איסור חפצא מה שאין כן </w:t>
      </w:r>
      <w:r w:rsidRPr="00E01AB5">
        <w:rPr>
          <w:rFonts w:cs="David Libre"/>
          <w:rtl/>
        </w:rPr>
        <w:t>"</w:t>
      </w:r>
      <w:r w:rsidRPr="00E01AB5">
        <w:rPr>
          <w:rtl/>
        </w:rPr>
        <w:t>הכא מיירי באיסור גבוה לבד</w:t>
      </w:r>
      <w:r w:rsidRPr="00E01AB5">
        <w:rPr>
          <w:rFonts w:cs="David Libre"/>
          <w:rtl/>
        </w:rPr>
        <w:t xml:space="preserve">" </w:t>
      </w:r>
      <w:r w:rsidRPr="00E01AB5">
        <w:rPr>
          <w:rtl/>
        </w:rPr>
        <w:t>ולא הוי אסור בעצמותו שאילו היה החפץ בעצמותו אסור היה ראוי שיהיה אסור לכל</w:t>
      </w:r>
      <w:r w:rsidRPr="00E01AB5">
        <w:rPr>
          <w:rFonts w:cs="David Libre"/>
          <w:rtl/>
        </w:rPr>
        <w:t xml:space="preserve">. </w:t>
      </w:r>
    </w:p>
    <w:p w14:paraId="0716A3C3" w14:textId="49E13DC0" w:rsidR="00727B8F" w:rsidRPr="00727B8F" w:rsidRDefault="00727B8F" w:rsidP="00423C6D">
      <w:pPr>
        <w:pStyle w:val="a2"/>
        <w:rPr>
          <w:rFonts w:asciiTheme="minorHAnsi" w:hAnsiTheme="minorHAnsi" w:cs="David Libre"/>
        </w:rPr>
      </w:pPr>
      <w:r w:rsidRPr="00E01AB5">
        <w:rPr>
          <w:rtl/>
        </w:rPr>
        <w:t>ועד</w:t>
      </w:r>
      <w:r w:rsidRPr="00E01AB5">
        <w:rPr>
          <w:rFonts w:cs="David Libre"/>
          <w:rtl/>
        </w:rPr>
        <w:t>"</w:t>
      </w:r>
      <w:r w:rsidRPr="00E01AB5">
        <w:rPr>
          <w:rtl/>
        </w:rPr>
        <w:t>ז יש לבאר מה שתירץ במהר</w:t>
      </w:r>
      <w:r w:rsidRPr="00E01AB5">
        <w:rPr>
          <w:rFonts w:cs="David Libre"/>
          <w:rtl/>
        </w:rPr>
        <w:t>"</w:t>
      </w:r>
      <w:r w:rsidRPr="00E01AB5">
        <w:rPr>
          <w:rtl/>
        </w:rPr>
        <w:t xml:space="preserve">ם חלאוה </w:t>
      </w:r>
      <w:r w:rsidRPr="00E01AB5">
        <w:rPr>
          <w:rFonts w:cs="David Libre"/>
          <w:rtl/>
        </w:rPr>
        <w:t>"</w:t>
      </w:r>
      <w:r w:rsidRPr="00E01AB5">
        <w:rPr>
          <w:rtl/>
        </w:rPr>
        <w:t>שאני התם דוולד נרבעת דרבנן הוא דאסור ומשום הכי מיקל בה רבי אליעזר</w:t>
      </w:r>
      <w:r w:rsidRPr="00E01AB5">
        <w:rPr>
          <w:rFonts w:cs="David Libre"/>
          <w:rtl/>
        </w:rPr>
        <w:t xml:space="preserve">". </w:t>
      </w:r>
      <w:r w:rsidRPr="00E01AB5">
        <w:rPr>
          <w:rtl/>
        </w:rPr>
        <w:t>ע</w:t>
      </w:r>
      <w:r w:rsidRPr="00E01AB5">
        <w:rPr>
          <w:rFonts w:cs="David Libre"/>
          <w:rtl/>
        </w:rPr>
        <w:t>"</w:t>
      </w:r>
      <w:r w:rsidRPr="00E01AB5">
        <w:rPr>
          <w:rtl/>
        </w:rPr>
        <w:t xml:space="preserve">פ המבואר באחרונים דכל איסורים דרבנן </w:t>
      </w:r>
      <w:r>
        <w:rPr>
          <w:rFonts w:hint="cs"/>
          <w:rtl/>
        </w:rPr>
        <w:t>רק</w:t>
      </w:r>
      <w:r w:rsidRPr="00E01AB5">
        <w:rPr>
          <w:rtl/>
        </w:rPr>
        <w:t xml:space="preserve"> איסורי גברא המה </w:t>
      </w:r>
      <w:r>
        <w:rPr>
          <w:rFonts w:hint="cs"/>
          <w:rtl/>
        </w:rPr>
        <w:t>ו</w:t>
      </w:r>
      <w:r w:rsidRPr="00E01AB5">
        <w:rPr>
          <w:rtl/>
        </w:rPr>
        <w:t>לא איסורי חפצא לכן מיקל בה רבי אליעזר הואיל ואיסור חפצא לא הוי דוולד נרבעת דרבנן</w:t>
      </w:r>
      <w:r w:rsidRPr="00E01AB5">
        <w:rPr>
          <w:rFonts w:cs="David Libre"/>
          <w:rtl/>
        </w:rPr>
        <w:t>.</w:t>
      </w:r>
    </w:p>
    <w:p w14:paraId="141FE721" w14:textId="1CFB3EBC" w:rsidR="00727B8F" w:rsidRPr="00727B8F" w:rsidRDefault="00727B8F" w:rsidP="00423C6D">
      <w:pPr>
        <w:pStyle w:val="a2"/>
        <w:rPr>
          <w:rFonts w:asciiTheme="minorHAnsi" w:hAnsiTheme="minorHAnsi" w:cs="David Libre"/>
        </w:rPr>
      </w:pPr>
      <w:r w:rsidRPr="00E01AB5">
        <w:rPr>
          <w:rtl/>
        </w:rPr>
        <w:t>וכמו כן יש לבאר מה שהקשו התוס</w:t>
      </w:r>
      <w:r w:rsidRPr="00E01AB5">
        <w:rPr>
          <w:rFonts w:cs="David Libre"/>
          <w:rtl/>
        </w:rPr>
        <w:t>' (</w:t>
      </w:r>
      <w:r w:rsidRPr="00E01AB5">
        <w:rPr>
          <w:rtl/>
        </w:rPr>
        <w:t>כו ע</w:t>
      </w:r>
      <w:r w:rsidRPr="00E01AB5">
        <w:rPr>
          <w:rFonts w:cs="David Libre"/>
          <w:rtl/>
        </w:rPr>
        <w:t>"</w:t>
      </w:r>
      <w:r w:rsidRPr="00E01AB5">
        <w:rPr>
          <w:rtl/>
        </w:rPr>
        <w:t>ב ד</w:t>
      </w:r>
      <w:r w:rsidRPr="00E01AB5">
        <w:rPr>
          <w:rFonts w:cs="David Libre"/>
          <w:rtl/>
        </w:rPr>
        <w:t>"</w:t>
      </w:r>
      <w:r w:rsidRPr="00E01AB5">
        <w:rPr>
          <w:rtl/>
        </w:rPr>
        <w:t>ה חדש יותץ</w:t>
      </w:r>
      <w:r w:rsidRPr="00E01AB5">
        <w:rPr>
          <w:rFonts w:cs="David Libre"/>
          <w:rtl/>
        </w:rPr>
        <w:t xml:space="preserve">) </w:t>
      </w:r>
      <w:r w:rsidRPr="00E01AB5">
        <w:rPr>
          <w:rtl/>
        </w:rPr>
        <w:t xml:space="preserve">בענין שבח עצים בפת </w:t>
      </w:r>
      <w:r w:rsidRPr="00E01AB5">
        <w:rPr>
          <w:rFonts w:cs="David Libre"/>
          <w:rtl/>
        </w:rPr>
        <w:t>"</w:t>
      </w:r>
      <w:r w:rsidRPr="00E01AB5">
        <w:rPr>
          <w:rtl/>
        </w:rPr>
        <w:t>הא דאמר</w:t>
      </w:r>
      <w:r w:rsidRPr="00727B8F">
        <w:rPr>
          <w:rStyle w:val="FootnoteReference"/>
          <w:rFonts w:ascii="David Libre" w:eastAsia="David Libre" w:hAnsi="David Libre" w:cs="Times New Roman"/>
          <w:sz w:val="30"/>
          <w:rtl/>
        </w:rPr>
        <w:footnoteReference w:id="58"/>
      </w:r>
      <w:r w:rsidRPr="00E01AB5">
        <w:rPr>
          <w:rtl/>
        </w:rPr>
        <w:t xml:space="preserve"> המבשל בשבת בשוגג יאכל ואפילו בשבת ואמאי נימא יש שבח מוקצה בפת דגחלים מוקצין הן</w:t>
      </w:r>
      <w:r w:rsidRPr="00E01AB5">
        <w:rPr>
          <w:rFonts w:cs="David Libre"/>
          <w:rtl/>
        </w:rPr>
        <w:t xml:space="preserve">" </w:t>
      </w:r>
      <w:r w:rsidRPr="00E01AB5">
        <w:rPr>
          <w:rtl/>
        </w:rPr>
        <w:t>ובהמהר</w:t>
      </w:r>
      <w:r w:rsidRPr="00E01AB5">
        <w:rPr>
          <w:rFonts w:cs="David Libre"/>
          <w:rtl/>
        </w:rPr>
        <w:t>"</w:t>
      </w:r>
      <w:r w:rsidRPr="00E01AB5">
        <w:rPr>
          <w:rtl/>
        </w:rPr>
        <w:t xml:space="preserve">ם חלאוה ביאר </w:t>
      </w:r>
      <w:r w:rsidRPr="00E01AB5">
        <w:rPr>
          <w:rFonts w:cs="David Libre"/>
          <w:rtl/>
        </w:rPr>
        <w:t>"</w:t>
      </w:r>
      <w:r w:rsidRPr="00E01AB5">
        <w:rPr>
          <w:rtl/>
        </w:rPr>
        <w:t xml:space="preserve">דוקא בשבח איסורי תורה </w:t>
      </w:r>
      <w:r w:rsidRPr="00E01AB5">
        <w:rPr>
          <w:rFonts w:cs="David Libre"/>
          <w:rtl/>
        </w:rPr>
        <w:t>[</w:t>
      </w:r>
      <w:r w:rsidRPr="00E01AB5">
        <w:rPr>
          <w:rtl/>
        </w:rPr>
        <w:t>אסור</w:t>
      </w:r>
      <w:r w:rsidRPr="00E01AB5">
        <w:rPr>
          <w:rFonts w:cs="David Libre"/>
          <w:rtl/>
        </w:rPr>
        <w:t xml:space="preserve">] </w:t>
      </w:r>
      <w:r w:rsidRPr="00E01AB5">
        <w:rPr>
          <w:rtl/>
        </w:rPr>
        <w:t xml:space="preserve">אבל בשבח איסורין דדבריהם מותר </w:t>
      </w:r>
      <w:r w:rsidRPr="00E01AB5">
        <w:rPr>
          <w:rFonts w:cs="David Libre"/>
          <w:rtl/>
        </w:rPr>
        <w:t xml:space="preserve">. . </w:t>
      </w:r>
      <w:r w:rsidRPr="00E01AB5">
        <w:rPr>
          <w:rtl/>
        </w:rPr>
        <w:t>ו</w:t>
      </w:r>
      <w:r w:rsidRPr="00E01AB5">
        <w:rPr>
          <w:rFonts w:cs="David Libre"/>
          <w:rtl/>
        </w:rPr>
        <w:t>[</w:t>
      </w:r>
      <w:r w:rsidRPr="00E01AB5">
        <w:rPr>
          <w:rtl/>
        </w:rPr>
        <w:t>ל</w:t>
      </w:r>
      <w:r w:rsidRPr="00E01AB5">
        <w:rPr>
          <w:rFonts w:cs="David Libre"/>
          <w:rtl/>
        </w:rPr>
        <w:t>]</w:t>
      </w:r>
      <w:r w:rsidRPr="00E01AB5">
        <w:rPr>
          <w:rtl/>
        </w:rPr>
        <w:t>כן המבשל בשבת בשוגג יאכל אע</w:t>
      </w:r>
      <w:r w:rsidRPr="00E01AB5">
        <w:rPr>
          <w:rFonts w:cs="David Libre"/>
          <w:rtl/>
        </w:rPr>
        <w:t>"</w:t>
      </w:r>
      <w:r w:rsidRPr="00E01AB5">
        <w:rPr>
          <w:rtl/>
        </w:rPr>
        <w:t>ג דנהנה מעצי מוקצה</w:t>
      </w:r>
      <w:r w:rsidRPr="00E01AB5">
        <w:rPr>
          <w:rFonts w:cs="David Libre"/>
          <w:rtl/>
        </w:rPr>
        <w:t xml:space="preserve">". </w:t>
      </w:r>
      <w:r w:rsidRPr="00E01AB5">
        <w:rPr>
          <w:rtl/>
        </w:rPr>
        <w:t>והביאור כנ</w:t>
      </w:r>
      <w:r w:rsidRPr="00E01AB5">
        <w:rPr>
          <w:rFonts w:cs="David Libre"/>
          <w:rtl/>
        </w:rPr>
        <w:t>"</w:t>
      </w:r>
      <w:r w:rsidRPr="00E01AB5">
        <w:rPr>
          <w:rtl/>
        </w:rPr>
        <w:t>ל דדוקא באיסורי חפצא אמרינן שבח עצים בפת ואסור אבל באיסורי גברא אין לומר שאף הפת תיאסר</w:t>
      </w:r>
      <w:r w:rsidRPr="00E01AB5">
        <w:rPr>
          <w:rFonts w:cs="David Libre"/>
          <w:rtl/>
        </w:rPr>
        <w:t>.</w:t>
      </w:r>
    </w:p>
    <w:p w14:paraId="3A38A0CE" w14:textId="26F2A153" w:rsidR="00727B8F" w:rsidRDefault="00727B8F" w:rsidP="00423C6D">
      <w:pPr>
        <w:pStyle w:val="a2"/>
        <w:rPr>
          <w:rtl/>
        </w:rPr>
      </w:pPr>
      <w:r w:rsidRPr="00E01AB5">
        <w:rPr>
          <w:rtl/>
        </w:rPr>
        <w:t>ויש לומר מה שנמנעו התוס</w:t>
      </w:r>
      <w:r w:rsidRPr="00E01AB5">
        <w:rPr>
          <w:rFonts w:cs="David Libre"/>
          <w:rtl/>
        </w:rPr>
        <w:t>'</w:t>
      </w:r>
      <w:r w:rsidRPr="00E01AB5">
        <w:rPr>
          <w:rtl/>
        </w:rPr>
        <w:t xml:space="preserve"> הכא בפסחים ליישב תמיהת הרשב</w:t>
      </w:r>
      <w:r w:rsidRPr="00E01AB5">
        <w:rPr>
          <w:rFonts w:cs="David Libre"/>
          <w:rtl/>
        </w:rPr>
        <w:t>"</w:t>
      </w:r>
      <w:r w:rsidRPr="00E01AB5">
        <w:rPr>
          <w:rtl/>
        </w:rPr>
        <w:t>א הנ</w:t>
      </w:r>
      <w:r w:rsidRPr="00E01AB5">
        <w:rPr>
          <w:rFonts w:cs="David Libre"/>
          <w:rtl/>
        </w:rPr>
        <w:t>"</w:t>
      </w:r>
      <w:r w:rsidRPr="00E01AB5">
        <w:rPr>
          <w:rtl/>
        </w:rPr>
        <w:t>ל כמו שתירצו התוס</w:t>
      </w:r>
      <w:r w:rsidRPr="00E01AB5">
        <w:rPr>
          <w:rFonts w:cs="David Libre"/>
          <w:rtl/>
        </w:rPr>
        <w:t xml:space="preserve">' </w:t>
      </w:r>
      <w:r w:rsidRPr="00E01AB5">
        <w:rPr>
          <w:rtl/>
        </w:rPr>
        <w:t>בתמורה או כמו שתירץ המהר</w:t>
      </w:r>
      <w:r w:rsidRPr="00E01AB5">
        <w:rPr>
          <w:rFonts w:cs="David Libre"/>
          <w:rtl/>
        </w:rPr>
        <w:t>"</w:t>
      </w:r>
      <w:r w:rsidRPr="00E01AB5">
        <w:rPr>
          <w:rtl/>
        </w:rPr>
        <w:t>ם חלאוה לחלק בין איסורי חפצא ואיסורי גברא וכמו שכתבנו</w:t>
      </w:r>
      <w:r w:rsidRPr="00E01AB5">
        <w:rPr>
          <w:rFonts w:cs="David Libre"/>
          <w:rtl/>
        </w:rPr>
        <w:t xml:space="preserve">. </w:t>
      </w:r>
      <w:r w:rsidRPr="00E01AB5">
        <w:rPr>
          <w:rtl/>
        </w:rPr>
        <w:t xml:space="preserve">שהרי בתחילה רצה הגמרא להוכיח שרבי אליעזר סובר שזה וזה גורם אסור מהא דתנן </w:t>
      </w:r>
      <w:r w:rsidRPr="00E01AB5">
        <w:rPr>
          <w:rFonts w:cs="David Libre"/>
          <w:rtl/>
        </w:rPr>
        <w:t>"</w:t>
      </w:r>
      <w:r w:rsidRPr="00E01AB5">
        <w:rPr>
          <w:rtl/>
        </w:rPr>
        <w:t xml:space="preserve">שאור של חולין ושל תרומה שנפלו לתוך עיסה ואין בזה כדי להחמיץ ואין בזה כדי להחמיץ ונצטרפו וחמצו רבי אליעזר אומר אחר אחרון אני בא </w:t>
      </w:r>
      <w:r w:rsidRPr="00E01AB5">
        <w:rPr>
          <w:rFonts w:cs="David Libre"/>
          <w:rtl/>
        </w:rPr>
        <w:t xml:space="preserve">. .  </w:t>
      </w:r>
      <w:r w:rsidRPr="00E01AB5">
        <w:rPr>
          <w:rtl/>
        </w:rPr>
        <w:t>ואמר אביי לא שנו אלא שקדם וסילק את האיסור אבל לא קדם וסילק את האיסור אסור אלמא זה וזה גורם אסור</w:t>
      </w:r>
      <w:r w:rsidRPr="00E01AB5">
        <w:rPr>
          <w:rFonts w:cs="David Libre"/>
          <w:rtl/>
        </w:rPr>
        <w:t xml:space="preserve">". </w:t>
      </w:r>
      <w:r w:rsidRPr="00E01AB5">
        <w:rPr>
          <w:rtl/>
        </w:rPr>
        <w:t xml:space="preserve">ולכאורה איסור תרומה הוי איסור גברא </w:t>
      </w:r>
      <w:r w:rsidRPr="00E01AB5">
        <w:rPr>
          <w:rtl/>
        </w:rPr>
        <w:lastRenderedPageBreak/>
        <w:t>וכנ</w:t>
      </w:r>
      <w:r w:rsidRPr="00E01AB5">
        <w:rPr>
          <w:rFonts w:cs="David Libre"/>
          <w:rtl/>
        </w:rPr>
        <w:t>"</w:t>
      </w:r>
      <w:r w:rsidRPr="00E01AB5">
        <w:rPr>
          <w:rtl/>
        </w:rPr>
        <w:t>ל שאילו היה החפץ בעצמותו אסור היה ראוי שיהיה אסור לכל ומדאסר רק לזרים הוי ליה רק איסור גברא</w:t>
      </w:r>
      <w:r w:rsidRPr="00727B8F">
        <w:rPr>
          <w:rStyle w:val="FootnoteReference"/>
          <w:rFonts w:ascii="David Libre" w:eastAsia="David Libre" w:hAnsi="David Libre" w:cs="Times New Roman"/>
          <w:sz w:val="30"/>
          <w:rtl/>
        </w:rPr>
        <w:footnoteReference w:id="59"/>
      </w:r>
      <w:r w:rsidRPr="00E01AB5">
        <w:rPr>
          <w:rFonts w:cs="David Libre"/>
          <w:rtl/>
        </w:rPr>
        <w:t xml:space="preserve">. </w:t>
      </w:r>
      <w:r w:rsidRPr="00E01AB5">
        <w:rPr>
          <w:rtl/>
        </w:rPr>
        <w:t>וא</w:t>
      </w:r>
      <w:r w:rsidRPr="00E01AB5">
        <w:rPr>
          <w:rFonts w:cs="David Libre"/>
          <w:rtl/>
        </w:rPr>
        <w:t>"</w:t>
      </w:r>
      <w:r w:rsidRPr="00E01AB5">
        <w:rPr>
          <w:rtl/>
        </w:rPr>
        <w:t>כ הרי מוכח מסוגיא דידן שאין לחלק בזה בין איסורי חפצא לאיסורי גברא ובשניהם יש לומר שאסור בזה וזה גורם</w:t>
      </w:r>
      <w:r w:rsidRPr="00E01AB5">
        <w:rPr>
          <w:rFonts w:cs="David Libre"/>
          <w:rtl/>
        </w:rPr>
        <w:t>.</w:t>
      </w:r>
    </w:p>
    <w:p w14:paraId="57029EC6" w14:textId="77777777" w:rsidR="00652BA0" w:rsidRPr="00347933" w:rsidRDefault="00652BA0" w:rsidP="00652BA0">
      <w:pPr>
        <w:pStyle w:val="a4"/>
        <w:sectPr w:rsidR="00652BA0"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EFEB3D7" w14:textId="64DEA4B8" w:rsidR="00652BA0" w:rsidRPr="00BA0A14" w:rsidRDefault="00652BA0" w:rsidP="00BA0A14">
      <w:pPr>
        <w:pStyle w:val="a"/>
        <w:rPr>
          <w:rFonts w:ascii="Times New Roman" w:hAnsi="Times New Roman" w:cs="Times New Roman"/>
          <w:rtl/>
        </w:rPr>
      </w:pPr>
      <w:bookmarkStart w:id="134" w:name="_Toc531140377"/>
      <w:r w:rsidRPr="00BA0A14">
        <w:rPr>
          <w:rtl/>
        </w:rPr>
        <w:t>חצי לוג שמן זית בנרות המנורה</w:t>
      </w:r>
      <w:bookmarkEnd w:id="134"/>
      <w:r w:rsidRPr="00BA0A14">
        <w:rPr>
          <w:rtl/>
        </w:rPr>
        <w:t xml:space="preserve"> </w:t>
      </w:r>
    </w:p>
    <w:p w14:paraId="7333E51F" w14:textId="28E9B86B" w:rsidR="00BA0A14" w:rsidRPr="008307D7" w:rsidRDefault="00BA0A14" w:rsidP="00C40DBA">
      <w:pPr>
        <w:pStyle w:val="a0"/>
        <w:rPr>
          <w:rtl/>
        </w:rPr>
      </w:pPr>
      <w:bookmarkStart w:id="135" w:name="_Toc531140378"/>
      <w:r w:rsidRPr="008307D7">
        <w:rPr>
          <w:rFonts w:hint="cs"/>
          <w:rtl/>
          <w:lang w:bidi="he-IL"/>
        </w:rPr>
        <w:t>הרב משה רבינוביץ</w:t>
      </w:r>
      <w:bookmarkEnd w:id="135"/>
    </w:p>
    <w:p w14:paraId="287B01FE" w14:textId="1208337C" w:rsidR="00BA0A14" w:rsidRPr="00BA0A14" w:rsidRDefault="00BA0A14" w:rsidP="00BA0A14">
      <w:pPr>
        <w:pStyle w:val="a1"/>
        <w:rPr>
          <w:rtl/>
          <w:lang w:val="en-GB"/>
        </w:rPr>
      </w:pPr>
      <w:r>
        <w:rPr>
          <w:rFonts w:hint="cs"/>
          <w:rtl/>
          <w:lang w:val="en-GB"/>
        </w:rPr>
        <w:t>ברוקלין נ.י.</w:t>
      </w:r>
    </w:p>
    <w:p w14:paraId="1C461367" w14:textId="77777777" w:rsidR="00652BA0" w:rsidRPr="0078788F" w:rsidRDefault="00652BA0" w:rsidP="00423C6D">
      <w:pPr>
        <w:pStyle w:val="a2"/>
        <w:rPr>
          <w:rFonts w:ascii="Times New Roman" w:hAnsi="Times New Roman" w:cs="Times New Roman"/>
        </w:rPr>
      </w:pPr>
      <w:r w:rsidRPr="0078788F">
        <w:rPr>
          <w:rtl/>
        </w:rPr>
        <w:t>במשנה במסכת מנחות (</w:t>
      </w:r>
      <w:r>
        <w:rPr>
          <w:rtl/>
        </w:rPr>
        <w:t>פח,</w:t>
      </w:r>
      <w:r w:rsidRPr="0078788F">
        <w:rPr>
          <w:rtl/>
        </w:rPr>
        <w:t xml:space="preserve">א) </w:t>
      </w:r>
      <w:r w:rsidRPr="0078788F">
        <w:rPr>
          <w:shd w:val="clear" w:color="auto" w:fill="FFFFFF"/>
          <w:rtl/>
        </w:rPr>
        <w:t xml:space="preserve">מבואר שמדת השמן ששמים כל יום בכל נר במנורה </w:t>
      </w:r>
      <w:r>
        <w:rPr>
          <w:shd w:val="clear" w:color="auto" w:fill="FFFFFF"/>
          <w:rtl/>
        </w:rPr>
        <w:t>שבהיכל הוא חצי לוג. ובגמרא (פט,</w:t>
      </w:r>
      <w:r w:rsidRPr="0078788F">
        <w:rPr>
          <w:shd w:val="clear" w:color="auto" w:fill="FFFFFF"/>
          <w:rtl/>
        </w:rPr>
        <w:t>א) מבואר שמדה זו לא מפורשת בתורה, אלא חכמים הם שקבעו אותה לאחר מספר נסיונות שהם ערכו, עד שהגיעו למסקנה שהמדה הנכונה היא חצי לוג.</w:t>
      </w:r>
    </w:p>
    <w:p w14:paraId="47631728" w14:textId="77777777" w:rsidR="00652BA0" w:rsidRPr="0078788F" w:rsidRDefault="00652BA0" w:rsidP="00423C6D">
      <w:pPr>
        <w:pStyle w:val="a2"/>
        <w:rPr>
          <w:rFonts w:ascii="Times New Roman" w:hAnsi="Times New Roman" w:cs="Times New Roman"/>
          <w:rtl/>
        </w:rPr>
      </w:pPr>
      <w:r w:rsidRPr="0078788F">
        <w:rPr>
          <w:shd w:val="clear" w:color="auto" w:fill="FFFFFF"/>
          <w:rtl/>
        </w:rPr>
        <w:t xml:space="preserve">וז"ל הגמרא: </w:t>
      </w:r>
      <w:r>
        <w:rPr>
          <w:rFonts w:hint="cs"/>
          <w:shd w:val="clear" w:color="auto" w:fill="FFFFFF"/>
          <w:rtl/>
        </w:rPr>
        <w:t>"</w:t>
      </w:r>
      <w:r w:rsidRPr="0078788F">
        <w:rPr>
          <w:shd w:val="clear" w:color="auto" w:fill="FFFFFF"/>
          <w:rtl/>
        </w:rPr>
        <w:t>מנא הני מילי דתנו רבנן</w:t>
      </w:r>
      <w:r w:rsidRPr="00652BA0">
        <w:rPr>
          <w:rtl/>
        </w:rPr>
        <w:t xml:space="preserve"> (</w:t>
      </w:r>
      <w:hyperlink r:id="rId12" w:history="1">
        <w:r w:rsidRPr="00652BA0">
          <w:rPr>
            <w:rtl/>
          </w:rPr>
          <w:t>שמות כז, כא</w:t>
        </w:r>
      </w:hyperlink>
      <w:r w:rsidRPr="00652BA0">
        <w:rPr>
          <w:rtl/>
        </w:rPr>
        <w:t xml:space="preserve">) </w:t>
      </w:r>
      <w:r w:rsidRPr="0078788F">
        <w:rPr>
          <w:shd w:val="clear" w:color="auto" w:fill="FFFFFF"/>
          <w:rtl/>
        </w:rPr>
        <w:t>מערב עד בקר תן לה מדתה שתהא דולקת והולכת מערב עד בקר</w:t>
      </w:r>
      <w:r>
        <w:rPr>
          <w:rFonts w:hint="cs"/>
          <w:shd w:val="clear" w:color="auto" w:fill="FFFFFF"/>
          <w:rtl/>
        </w:rPr>
        <w:t>..</w:t>
      </w:r>
      <w:r w:rsidRPr="0078788F">
        <w:rPr>
          <w:shd w:val="clear" w:color="auto" w:fill="FFFFFF"/>
          <w:rtl/>
        </w:rPr>
        <w:t>.</w:t>
      </w:r>
      <w:r w:rsidRPr="0078788F">
        <w:rPr>
          <w:b/>
          <w:bCs/>
          <w:shd w:val="clear" w:color="auto" w:fill="FFFFFF"/>
          <w:rtl/>
        </w:rPr>
        <w:t xml:space="preserve"> ושיערו חכמים חצי לוג מאורתא ועד צפרא</w:t>
      </w:r>
      <w:r>
        <w:rPr>
          <w:rFonts w:ascii="Times New Roman" w:hAnsi="Times New Roman" w:cs="Times New Roman" w:hint="cs"/>
          <w:rtl/>
        </w:rPr>
        <w:t xml:space="preserve"> </w:t>
      </w:r>
      <w:r w:rsidRPr="0078788F">
        <w:rPr>
          <w:shd w:val="clear" w:color="auto" w:fill="FFFFFF"/>
          <w:rtl/>
        </w:rPr>
        <w:t>איכא דאמרי מלמעלה למטה שיערו ואיכא דאמרי ממטה למעלה שיערו</w:t>
      </w:r>
      <w:r>
        <w:rPr>
          <w:rFonts w:ascii="Times New Roman" w:hAnsi="Times New Roman" w:cs="Times New Roman" w:hint="cs"/>
          <w:rtl/>
        </w:rPr>
        <w:t xml:space="preserve"> </w:t>
      </w:r>
      <w:r w:rsidRPr="0078788F">
        <w:rPr>
          <w:shd w:val="clear" w:color="auto" w:fill="FFFFFF"/>
          <w:rtl/>
        </w:rPr>
        <w:t>מאן דאמר ממטה למעלה שיערו, התורה חסה על ממונן של ישראל. ומאן דאמר ממעלה למטה שיערו, אין עניות במקום עשירות</w:t>
      </w:r>
      <w:r>
        <w:rPr>
          <w:rFonts w:hint="cs"/>
          <w:shd w:val="clear" w:color="auto" w:fill="FFFFFF"/>
          <w:rtl/>
        </w:rPr>
        <w:t>".</w:t>
      </w:r>
    </w:p>
    <w:p w14:paraId="3F7C30F9" w14:textId="77777777" w:rsidR="00652BA0" w:rsidRPr="0078788F" w:rsidRDefault="00652BA0" w:rsidP="00423C6D">
      <w:pPr>
        <w:pStyle w:val="a2"/>
        <w:rPr>
          <w:rFonts w:ascii="Times New Roman" w:hAnsi="Times New Roman" w:cs="Times New Roman"/>
          <w:rtl/>
        </w:rPr>
      </w:pPr>
      <w:r>
        <w:rPr>
          <w:shd w:val="clear" w:color="auto" w:fill="FFFFFF"/>
          <w:rtl/>
        </w:rPr>
        <w:t>רש"י:</w:t>
      </w:r>
      <w:r w:rsidRPr="0078788F">
        <w:rPr>
          <w:rFonts w:ascii="Cambria" w:hAnsi="Cambria" w:cs="Cambria" w:hint="cs"/>
          <w:shd w:val="clear" w:color="auto" w:fill="FFFFFF"/>
          <w:rtl/>
        </w:rPr>
        <w:t> </w:t>
      </w:r>
      <w:r>
        <w:rPr>
          <w:rFonts w:hint="cs"/>
          <w:shd w:val="clear" w:color="auto" w:fill="FFFFFF"/>
          <w:rtl/>
        </w:rPr>
        <w:t>"</w:t>
      </w:r>
      <w:r w:rsidRPr="0078788F">
        <w:rPr>
          <w:b/>
          <w:bCs/>
          <w:shd w:val="clear" w:color="auto" w:fill="FFFFFF"/>
          <w:rtl/>
        </w:rPr>
        <w:t>מלמעלה למטה שיערו</w:t>
      </w:r>
      <w:r w:rsidRPr="0078788F">
        <w:rPr>
          <w:shd w:val="clear" w:color="auto" w:fill="FFFFFF"/>
          <w:rtl/>
        </w:rPr>
        <w:t xml:space="preserve"> - למעלה מחצי לוג אי בעי לייתי. אבל למטה לא אייתי דאין עניות במקום עשירות: </w:t>
      </w:r>
      <w:r w:rsidRPr="0078788F">
        <w:rPr>
          <w:b/>
          <w:bCs/>
          <w:shd w:val="clear" w:color="auto" w:fill="FFFFFF"/>
          <w:rtl/>
        </w:rPr>
        <w:t>מלמעלה למטה שיערו</w:t>
      </w:r>
      <w:r w:rsidRPr="0078788F">
        <w:rPr>
          <w:shd w:val="clear" w:color="auto" w:fill="FFFFFF"/>
          <w:rtl/>
        </w:rPr>
        <w:t>. כששיערו מדת חצי לוג לכל נר כך עשו: בתחילה הביאו לוג שלם לנסות ודלק כל הלילה וגם היום וחזר ליל שני והביאו שני שלישי לוג ועדיין דלק יותר מאור הבקר, וכן עשו כמה לילות, עד שהביאו חצי לוג ודלק כשיעור הלילה. ולא נסו מלמטה למעלה דאין עניות במקום עשירות</w:t>
      </w:r>
      <w:r>
        <w:rPr>
          <w:rFonts w:hint="cs"/>
          <w:shd w:val="clear" w:color="auto" w:fill="FFFFFF"/>
          <w:rtl/>
        </w:rPr>
        <w:t>".</w:t>
      </w:r>
      <w:r>
        <w:rPr>
          <w:rFonts w:ascii="Times New Roman" w:hAnsi="Times New Roman" w:cs="Times New Roman" w:hint="cs"/>
          <w:rtl/>
        </w:rPr>
        <w:t xml:space="preserve"> </w:t>
      </w:r>
      <w:r w:rsidRPr="00302DE5">
        <w:rPr>
          <w:rFonts w:hint="cs"/>
          <w:shd w:val="clear" w:color="auto" w:fill="FFFFFF"/>
          <w:rtl/>
        </w:rPr>
        <w:t>"</w:t>
      </w:r>
      <w:r w:rsidRPr="0078788F">
        <w:rPr>
          <w:b/>
          <w:bCs/>
          <w:shd w:val="clear" w:color="auto" w:fill="FFFFFF"/>
          <w:rtl/>
        </w:rPr>
        <w:t xml:space="preserve">ומ"ד מלמטה למעלה שיערו </w:t>
      </w:r>
      <w:r w:rsidRPr="0078788F">
        <w:rPr>
          <w:shd w:val="clear" w:color="auto" w:fill="FFFFFF"/>
          <w:rtl/>
        </w:rPr>
        <w:t>- בתחלה רביעית הלוג, ולא דלק אלא חצי הלילה</w:t>
      </w:r>
      <w:r>
        <w:rPr>
          <w:rStyle w:val="FootnoteReference"/>
          <w:rFonts w:ascii="Arial" w:hAnsi="Arial" w:cs="Arial"/>
          <w:color w:val="000000"/>
          <w:shd w:val="clear" w:color="auto" w:fill="FFFFFF"/>
          <w:rtl/>
        </w:rPr>
        <w:footnoteReference w:id="60"/>
      </w:r>
      <w:r w:rsidRPr="0078788F">
        <w:rPr>
          <w:shd w:val="clear" w:color="auto" w:fill="FFFFFF"/>
          <w:rtl/>
        </w:rPr>
        <w:t xml:space="preserve">. ליל שני הוסיפו וכן כמה לילות עד ששיערו חצי לוג ללילה. אבל מלמעלה </w:t>
      </w:r>
      <w:r w:rsidRPr="0078788F">
        <w:rPr>
          <w:shd w:val="clear" w:color="auto" w:fill="FFFFFF"/>
          <w:rtl/>
        </w:rPr>
        <w:lastRenderedPageBreak/>
        <w:t>למטה לא, לפי שמה שנותר בנר אין לו תקנה אלא לשפוך, והתורה חסה על ממונם של ישראל</w:t>
      </w:r>
      <w:r>
        <w:rPr>
          <w:rFonts w:hint="cs"/>
          <w:shd w:val="clear" w:color="auto" w:fill="FFFFFF"/>
          <w:rtl/>
        </w:rPr>
        <w:t>".</w:t>
      </w:r>
    </w:p>
    <w:p w14:paraId="1A6F9953" w14:textId="77777777" w:rsidR="00652BA0" w:rsidRPr="0078788F" w:rsidRDefault="00652BA0" w:rsidP="00423C6D">
      <w:pPr>
        <w:pStyle w:val="a2"/>
        <w:rPr>
          <w:rFonts w:ascii="Times New Roman" w:hAnsi="Times New Roman" w:cs="Times New Roman"/>
          <w:rtl/>
        </w:rPr>
      </w:pPr>
      <w:r w:rsidRPr="0078788F">
        <w:rPr>
          <w:rFonts w:ascii="Times New Roman" w:hAnsi="Times New Roman" w:cs="Times New Roman"/>
          <w:sz w:val="28"/>
          <w:szCs w:val="28"/>
          <w:shd w:val="clear" w:color="auto" w:fill="FFFFFF"/>
          <w:rtl/>
        </w:rPr>
        <w:t xml:space="preserve"> </w:t>
      </w:r>
      <w:r w:rsidRPr="0078788F">
        <w:rPr>
          <w:rtl/>
        </w:rPr>
        <w:t xml:space="preserve">ולכאורה יש בזה דבר פלא. </w:t>
      </w:r>
      <w:r w:rsidRPr="0078788F">
        <w:rPr>
          <w:rFonts w:ascii="Cambria" w:hAnsi="Cambria" w:cs="Cambria" w:hint="cs"/>
          <w:rtl/>
        </w:rPr>
        <w:t> </w:t>
      </w:r>
      <w:r w:rsidRPr="0078788F">
        <w:rPr>
          <w:rFonts w:hint="cs"/>
          <w:rtl/>
        </w:rPr>
        <w:t>בעשיית</w:t>
      </w:r>
      <w:r w:rsidRPr="0078788F">
        <w:rPr>
          <w:rtl/>
        </w:rPr>
        <w:t xml:space="preserve"> </w:t>
      </w:r>
      <w:r w:rsidRPr="0078788F">
        <w:rPr>
          <w:rFonts w:hint="cs"/>
          <w:rtl/>
        </w:rPr>
        <w:t>ובניית</w:t>
      </w:r>
      <w:r w:rsidRPr="0078788F">
        <w:rPr>
          <w:rtl/>
        </w:rPr>
        <w:t xml:space="preserve"> </w:t>
      </w:r>
      <w:r w:rsidRPr="0078788F">
        <w:rPr>
          <w:rFonts w:hint="cs"/>
          <w:rtl/>
        </w:rPr>
        <w:t>המשכן</w:t>
      </w:r>
      <w:r w:rsidRPr="0078788F">
        <w:rPr>
          <w:rtl/>
        </w:rPr>
        <w:t xml:space="preserve"> </w:t>
      </w:r>
      <w:r w:rsidRPr="0078788F">
        <w:rPr>
          <w:rFonts w:hint="cs"/>
          <w:rtl/>
        </w:rPr>
        <w:t>וכן</w:t>
      </w:r>
      <w:r w:rsidRPr="0078788F">
        <w:rPr>
          <w:rtl/>
        </w:rPr>
        <w:t xml:space="preserve"> בבניית המקדש ועבודת הכהנים מצינו ריבוי פרטים המעכבים בדיעבד. הן ממה שכתוב מפורש בתורה והן שבאו בקבלה הלכה למשה מסיני או שנלמדו עפ"י מדות שהתורה נדרשת בהן מפסוקים או אסמכתות. </w:t>
      </w:r>
      <w:r>
        <w:rPr>
          <w:rFonts w:hint="cs"/>
          <w:rtl/>
        </w:rPr>
        <w:t xml:space="preserve">                                                </w:t>
      </w:r>
    </w:p>
    <w:p w14:paraId="7D7F6DF7" w14:textId="5AE875AC" w:rsidR="00652BA0" w:rsidRPr="0078788F" w:rsidRDefault="00652BA0" w:rsidP="00423C6D">
      <w:pPr>
        <w:pStyle w:val="a2"/>
        <w:rPr>
          <w:rFonts w:ascii="Times New Roman" w:hAnsi="Times New Roman" w:cs="Times New Roman"/>
          <w:rtl/>
        </w:rPr>
      </w:pPr>
      <w:r w:rsidRPr="0078788F">
        <w:rPr>
          <w:rtl/>
        </w:rPr>
        <w:t>למשל, פרטי השולחן נתפרשו בתורה. ואח״כ נוספו במשניות, ברייתות וגמרות עוד הרבה פרטים, שגם הם מן התורה. ועד״ז מעשה המנורה והמזבח. והפירוט הוא הן במרכיבים (זהב, כסף, עץ וכו׳) הן בצורתם והן במידתן</w:t>
      </w:r>
      <w:r>
        <w:rPr>
          <w:rStyle w:val="FootnoteReference"/>
          <w:rFonts w:ascii="Arial" w:hAnsi="Arial" w:cs="Arial"/>
          <w:color w:val="000000"/>
          <w:rtl/>
        </w:rPr>
        <w:footnoteReference w:id="61"/>
      </w:r>
      <w:r w:rsidRPr="0078788F">
        <w:rPr>
          <w:rtl/>
        </w:rPr>
        <w:t xml:space="preserve">. ועד״ז במיקום כל כלי </w:t>
      </w:r>
      <w:r w:rsidRPr="0078788F">
        <w:rPr>
          <w:rtl/>
        </w:rPr>
        <w:lastRenderedPageBreak/>
        <w:t xml:space="preserve">במקום המיוחד לו במשכן ובמקדש. וכן פרטי ותבנית בגדי כהונה מפורש בתורה. </w:t>
      </w:r>
      <w:r w:rsidRPr="0078788F">
        <w:rPr>
          <w:rFonts w:ascii="Cambria" w:hAnsi="Cambria" w:cs="Cambria" w:hint="cs"/>
          <w:rtl/>
        </w:rPr>
        <w:t>  </w:t>
      </w:r>
    </w:p>
    <w:p w14:paraId="55DAEB06" w14:textId="689FF0DE" w:rsidR="00652BA0" w:rsidRPr="0078788F" w:rsidRDefault="00652BA0" w:rsidP="00423C6D">
      <w:pPr>
        <w:pStyle w:val="a2"/>
        <w:rPr>
          <w:rFonts w:ascii="Times New Roman" w:hAnsi="Times New Roman" w:cs="Times New Roman"/>
          <w:rtl/>
        </w:rPr>
      </w:pPr>
      <w:r w:rsidRPr="0078788F">
        <w:rPr>
          <w:rtl/>
        </w:rPr>
        <w:t xml:space="preserve">ויותר ממה שיש </w:t>
      </w:r>
      <w:r w:rsidRPr="0078788F">
        <w:rPr>
          <w:b/>
          <w:bCs/>
          <w:rtl/>
        </w:rPr>
        <w:t>בעשיית</w:t>
      </w:r>
      <w:r w:rsidRPr="0078788F">
        <w:rPr>
          <w:rtl/>
        </w:rPr>
        <w:t xml:space="preserve"> הכלים ישנם ריבוי עצום של פרטים </w:t>
      </w:r>
      <w:r w:rsidRPr="0078788F">
        <w:rPr>
          <w:b/>
          <w:bCs/>
          <w:rtl/>
        </w:rPr>
        <w:t>בעבודת</w:t>
      </w:r>
      <w:r w:rsidRPr="0078788F">
        <w:rPr>
          <w:rtl/>
        </w:rPr>
        <w:t xml:space="preserve"> המשכן והמקדש. היינו כל מעשה הקרבנות, הן </w:t>
      </w:r>
      <w:r>
        <w:rPr>
          <w:rtl/>
        </w:rPr>
        <w:t>בזבחים והן במנחות. ופרטים אלו</w:t>
      </w:r>
      <w:r w:rsidRPr="0078788F">
        <w:rPr>
          <w:rtl/>
        </w:rPr>
        <w:t xml:space="preserve"> חלק ניכר</w:t>
      </w:r>
      <w:r>
        <w:rPr>
          <w:rFonts w:hint="cs"/>
          <w:rtl/>
        </w:rPr>
        <w:t xml:space="preserve"> מהן</w:t>
      </w:r>
      <w:r w:rsidRPr="0078788F">
        <w:rPr>
          <w:rtl/>
        </w:rPr>
        <w:t xml:space="preserve"> מן התורה.</w:t>
      </w:r>
    </w:p>
    <w:p w14:paraId="55CB818D" w14:textId="0A57E2AE" w:rsidR="00652BA0" w:rsidRPr="0078788F" w:rsidRDefault="00652BA0" w:rsidP="00423C6D">
      <w:pPr>
        <w:pStyle w:val="a2"/>
        <w:rPr>
          <w:rFonts w:ascii="Times New Roman" w:hAnsi="Times New Roman" w:cs="Times New Roman"/>
          <w:rtl/>
        </w:rPr>
      </w:pPr>
      <w:r w:rsidRPr="0078788F">
        <w:rPr>
          <w:rtl/>
        </w:rPr>
        <w:t>והמשנ</w:t>
      </w:r>
      <w:r>
        <w:rPr>
          <w:rFonts w:hint="cs"/>
          <w:rtl/>
        </w:rPr>
        <w:t>י</w:t>
      </w:r>
      <w:r w:rsidRPr="0078788F">
        <w:rPr>
          <w:rtl/>
        </w:rPr>
        <w:t xml:space="preserve">ות במס' מנחות מפרטים את מדות היבש והלח של המנחות, נסכים שמן ומים. רוב המדות הן ממה שכתוב מפורש בתורה או עכ"פ הלכה למשה מסיני. ולמרות כל זאת, נמנעה התורה לכתוב את </w:t>
      </w:r>
      <w:r w:rsidRPr="0078788F">
        <w:rPr>
          <w:b/>
          <w:bCs/>
          <w:rtl/>
        </w:rPr>
        <w:t xml:space="preserve">כמות </w:t>
      </w:r>
      <w:r w:rsidRPr="0078788F">
        <w:rPr>
          <w:rtl/>
        </w:rPr>
        <w:t>השמן ששמים בכל לי</w:t>
      </w:r>
      <w:r>
        <w:rPr>
          <w:rtl/>
        </w:rPr>
        <w:t>לה (ועובי הפתילות) בנרות המנורה</w:t>
      </w:r>
      <w:r>
        <w:rPr>
          <w:rFonts w:hint="cs"/>
          <w:rtl/>
        </w:rPr>
        <w:t>.</w:t>
      </w:r>
      <w:r w:rsidRPr="0078788F">
        <w:rPr>
          <w:rtl/>
        </w:rPr>
        <w:t xml:space="preserve"> </w:t>
      </w:r>
    </w:p>
    <w:p w14:paraId="5AC01A38" w14:textId="13C51233" w:rsidR="00652BA0" w:rsidRPr="0078788F" w:rsidRDefault="00652BA0" w:rsidP="00423C6D">
      <w:pPr>
        <w:pStyle w:val="a2"/>
        <w:rPr>
          <w:rFonts w:ascii="Times New Roman" w:hAnsi="Times New Roman" w:cs="Times New Roman"/>
          <w:rtl/>
        </w:rPr>
      </w:pPr>
      <w:r w:rsidRPr="0078788F">
        <w:rPr>
          <w:rtl/>
        </w:rPr>
        <w:t>פרט חשוב, שאמנם נראה טכני, ונועד להשיג את המטרה שהמנורה תדלק מערב עד בוקר, אך עם זאת הוא מהווה חלק בלתי נפרד מתכלית עשיית המנורה, השאירה התורה לשיעורם של חכמים. ע"ד שמצינו בכו"כ הלכות ש"מסרן הכתוב לחכמים"</w:t>
      </w:r>
      <w:r>
        <w:rPr>
          <w:rStyle w:val="FootnoteReference"/>
          <w:rFonts w:ascii="Arial" w:hAnsi="Arial" w:cs="Arial"/>
          <w:color w:val="000000"/>
          <w:rtl/>
        </w:rPr>
        <w:footnoteReference w:id="62"/>
      </w:r>
      <w:r>
        <w:rPr>
          <w:rFonts w:hint="cs"/>
          <w:rtl/>
        </w:rPr>
        <w:t>.</w:t>
      </w:r>
    </w:p>
    <w:p w14:paraId="127BD2F5" w14:textId="4F448C3E" w:rsidR="00652BA0" w:rsidRDefault="00652BA0" w:rsidP="00423C6D">
      <w:pPr>
        <w:pStyle w:val="a2"/>
        <w:rPr>
          <w:rFonts w:ascii="Times New Roman" w:hAnsi="Times New Roman" w:cs="Times New Roman"/>
          <w:rtl/>
        </w:rPr>
      </w:pPr>
      <w:r>
        <w:rPr>
          <w:rtl/>
        </w:rPr>
        <w:t xml:space="preserve">ועוד דבר תמוה: הלשון </w:t>
      </w:r>
      <w:r>
        <w:rPr>
          <w:rFonts w:hint="cs"/>
          <w:rtl/>
        </w:rPr>
        <w:t>"</w:t>
      </w:r>
      <w:r>
        <w:rPr>
          <w:rtl/>
        </w:rPr>
        <w:t>שיערו חכמים</w:t>
      </w:r>
      <w:r>
        <w:rPr>
          <w:rFonts w:hint="cs"/>
          <w:rtl/>
        </w:rPr>
        <w:t>"</w:t>
      </w:r>
      <w:r w:rsidRPr="0078788F">
        <w:rPr>
          <w:rtl/>
        </w:rPr>
        <w:t xml:space="preserve">. ניסוי מדידת כמות השמן הזה החל לכאורה כבר בלילה הראשון של ימי המילואים. והרי אז הדליק משה </w:t>
      </w:r>
      <w:r>
        <w:rPr>
          <w:rtl/>
        </w:rPr>
        <w:t xml:space="preserve">רבינו את המנורה, אם כן הוא הוא </w:t>
      </w:r>
      <w:r>
        <w:rPr>
          <w:rFonts w:hint="cs"/>
          <w:rtl/>
        </w:rPr>
        <w:t>"</w:t>
      </w:r>
      <w:r>
        <w:rPr>
          <w:rtl/>
        </w:rPr>
        <w:t>החכמים</w:t>
      </w:r>
      <w:r>
        <w:rPr>
          <w:rFonts w:hint="cs"/>
          <w:rtl/>
        </w:rPr>
        <w:t>"</w:t>
      </w:r>
      <w:r w:rsidRPr="0078788F">
        <w:rPr>
          <w:rtl/>
        </w:rPr>
        <w:t xml:space="preserve"> ולמה לא נזכר שמו? ולא מוזכר שמרע״ה הלך להתייעץ עם החכמים שבדורו. </w:t>
      </w:r>
    </w:p>
    <w:p w14:paraId="6DE55AC8" w14:textId="69B13B80" w:rsidR="00652BA0" w:rsidRDefault="00652BA0" w:rsidP="00423C6D">
      <w:pPr>
        <w:pStyle w:val="a2"/>
        <w:rPr>
          <w:rFonts w:ascii="Times New Roman" w:hAnsi="Times New Roman" w:cs="Times New Roman"/>
          <w:rtl/>
        </w:rPr>
      </w:pPr>
      <w:r w:rsidRPr="0078788F">
        <w:rPr>
          <w:rtl/>
        </w:rPr>
        <w:t>אפילו את״ל שאחרי שמונ</w:t>
      </w:r>
      <w:r>
        <w:rPr>
          <w:rtl/>
        </w:rPr>
        <w:t>ה הימים (ששימש משה רבינו במשכן)</w:t>
      </w:r>
      <w:r w:rsidRPr="0078788F">
        <w:rPr>
          <w:rFonts w:ascii="Cambria" w:hAnsi="Cambria" w:cs="Cambria" w:hint="cs"/>
          <w:rtl/>
        </w:rPr>
        <w:t> </w:t>
      </w:r>
      <w:r w:rsidRPr="0078788F">
        <w:rPr>
          <w:rFonts w:hint="cs"/>
          <w:rtl/>
        </w:rPr>
        <w:t>טרם</w:t>
      </w:r>
      <w:r w:rsidRPr="0078788F">
        <w:rPr>
          <w:rtl/>
        </w:rPr>
        <w:t xml:space="preserve"> </w:t>
      </w:r>
      <w:r w:rsidRPr="0078788F">
        <w:rPr>
          <w:rFonts w:hint="cs"/>
          <w:rtl/>
        </w:rPr>
        <w:t>הגיעו</w:t>
      </w:r>
      <w:r w:rsidRPr="0078788F">
        <w:rPr>
          <w:rtl/>
        </w:rPr>
        <w:t xml:space="preserve"> </w:t>
      </w:r>
      <w:r w:rsidRPr="0078788F">
        <w:rPr>
          <w:rFonts w:hint="cs"/>
          <w:rtl/>
        </w:rPr>
        <w:t>למדה</w:t>
      </w:r>
      <w:r w:rsidRPr="0078788F">
        <w:rPr>
          <w:rtl/>
        </w:rPr>
        <w:t xml:space="preserve"> </w:t>
      </w:r>
      <w:r w:rsidRPr="0078788F">
        <w:rPr>
          <w:rFonts w:hint="cs"/>
          <w:rtl/>
        </w:rPr>
        <w:t>הנכונה</w:t>
      </w:r>
      <w:r w:rsidRPr="0078788F">
        <w:rPr>
          <w:rtl/>
        </w:rPr>
        <w:t xml:space="preserve"> </w:t>
      </w:r>
      <w:r w:rsidRPr="0078788F">
        <w:rPr>
          <w:rFonts w:hint="cs"/>
          <w:rtl/>
        </w:rPr>
        <w:t>של</w:t>
      </w:r>
      <w:r w:rsidRPr="0078788F">
        <w:rPr>
          <w:rtl/>
        </w:rPr>
        <w:t xml:space="preserve"> </w:t>
      </w:r>
      <w:r w:rsidRPr="0078788F">
        <w:rPr>
          <w:rFonts w:hint="cs"/>
          <w:rtl/>
        </w:rPr>
        <w:t>חצי</w:t>
      </w:r>
      <w:r w:rsidRPr="0078788F">
        <w:rPr>
          <w:rtl/>
        </w:rPr>
        <w:t xml:space="preserve"> </w:t>
      </w:r>
      <w:r w:rsidRPr="0078788F">
        <w:rPr>
          <w:rFonts w:hint="cs"/>
          <w:rtl/>
        </w:rPr>
        <w:t>הלוג</w:t>
      </w:r>
      <w:r w:rsidRPr="0078788F">
        <w:rPr>
          <w:rtl/>
        </w:rPr>
        <w:t xml:space="preserve">, </w:t>
      </w:r>
      <w:r w:rsidRPr="0078788F">
        <w:rPr>
          <w:rFonts w:hint="cs"/>
          <w:rtl/>
        </w:rPr>
        <w:t>הרי</w:t>
      </w:r>
      <w:r w:rsidRPr="0078788F">
        <w:rPr>
          <w:rtl/>
        </w:rPr>
        <w:t xml:space="preserve"> </w:t>
      </w:r>
      <w:r w:rsidRPr="0078788F">
        <w:rPr>
          <w:rFonts w:hint="cs"/>
          <w:rtl/>
        </w:rPr>
        <w:t>אז</w:t>
      </w:r>
      <w:r w:rsidRPr="0078788F">
        <w:rPr>
          <w:rtl/>
        </w:rPr>
        <w:t xml:space="preserve"> </w:t>
      </w:r>
      <w:r w:rsidRPr="0078788F">
        <w:rPr>
          <w:rFonts w:hint="cs"/>
          <w:rtl/>
        </w:rPr>
        <w:t>מדובר</w:t>
      </w:r>
      <w:r w:rsidRPr="0078788F">
        <w:rPr>
          <w:rtl/>
        </w:rPr>
        <w:t xml:space="preserve"> </w:t>
      </w:r>
      <w:r w:rsidRPr="0078788F">
        <w:rPr>
          <w:rFonts w:hint="cs"/>
          <w:rtl/>
        </w:rPr>
        <w:t>בהדלקה</w:t>
      </w:r>
      <w:r w:rsidRPr="0078788F">
        <w:rPr>
          <w:rtl/>
        </w:rPr>
        <w:t xml:space="preserve"> </w:t>
      </w:r>
      <w:r w:rsidRPr="0078788F">
        <w:rPr>
          <w:rFonts w:hint="cs"/>
          <w:rtl/>
        </w:rPr>
        <w:t>שנעשתה</w:t>
      </w:r>
      <w:r w:rsidRPr="0078788F">
        <w:rPr>
          <w:rtl/>
        </w:rPr>
        <w:t xml:space="preserve"> </w:t>
      </w:r>
      <w:r w:rsidRPr="0078788F">
        <w:rPr>
          <w:rFonts w:hint="cs"/>
          <w:rtl/>
        </w:rPr>
        <w:t>ע״י</w:t>
      </w:r>
      <w:r w:rsidRPr="0078788F">
        <w:rPr>
          <w:rtl/>
        </w:rPr>
        <w:t xml:space="preserve"> </w:t>
      </w:r>
      <w:r w:rsidRPr="0078788F">
        <w:rPr>
          <w:rFonts w:hint="cs"/>
          <w:rtl/>
        </w:rPr>
        <w:t>אהרן</w:t>
      </w:r>
      <w:r w:rsidRPr="0078788F">
        <w:rPr>
          <w:rtl/>
        </w:rPr>
        <w:t xml:space="preserve"> </w:t>
      </w:r>
      <w:r w:rsidRPr="0078788F">
        <w:rPr>
          <w:rFonts w:hint="cs"/>
          <w:rtl/>
        </w:rPr>
        <w:t>הכהן</w:t>
      </w:r>
      <w:r w:rsidRPr="0078788F">
        <w:rPr>
          <w:rtl/>
        </w:rPr>
        <w:t xml:space="preserve">. </w:t>
      </w:r>
      <w:r w:rsidRPr="0078788F">
        <w:rPr>
          <w:rFonts w:hint="cs"/>
          <w:rtl/>
        </w:rPr>
        <w:t>ומדוע</w:t>
      </w:r>
      <w:r w:rsidRPr="0078788F">
        <w:rPr>
          <w:rtl/>
        </w:rPr>
        <w:t xml:space="preserve"> </w:t>
      </w:r>
      <w:r w:rsidRPr="0078788F">
        <w:rPr>
          <w:rFonts w:hint="cs"/>
          <w:rtl/>
        </w:rPr>
        <w:t>לא</w:t>
      </w:r>
      <w:r w:rsidRPr="0078788F">
        <w:rPr>
          <w:rtl/>
        </w:rPr>
        <w:t xml:space="preserve"> </w:t>
      </w:r>
      <w:r w:rsidRPr="0078788F">
        <w:rPr>
          <w:rFonts w:hint="cs"/>
          <w:rtl/>
        </w:rPr>
        <w:t>מצינו</w:t>
      </w:r>
      <w:r w:rsidRPr="0078788F">
        <w:rPr>
          <w:rtl/>
        </w:rPr>
        <w:t xml:space="preserve"> </w:t>
      </w:r>
      <w:r w:rsidRPr="0078788F">
        <w:rPr>
          <w:rFonts w:hint="cs"/>
          <w:rtl/>
        </w:rPr>
        <w:t>אסמכתא</w:t>
      </w:r>
      <w:r w:rsidRPr="0078788F">
        <w:rPr>
          <w:rtl/>
        </w:rPr>
        <w:t xml:space="preserve"> </w:t>
      </w:r>
      <w:r w:rsidRPr="0078788F">
        <w:rPr>
          <w:rFonts w:hint="cs"/>
          <w:rtl/>
        </w:rPr>
        <w:t>למעורבותם</w:t>
      </w:r>
      <w:r w:rsidRPr="0078788F">
        <w:rPr>
          <w:rtl/>
        </w:rPr>
        <w:t xml:space="preserve"> </w:t>
      </w:r>
      <w:r w:rsidRPr="0078788F">
        <w:rPr>
          <w:rFonts w:hint="cs"/>
          <w:rtl/>
        </w:rPr>
        <w:t>של</w:t>
      </w:r>
      <w:r w:rsidRPr="0078788F">
        <w:rPr>
          <w:rtl/>
        </w:rPr>
        <w:t xml:space="preserve"> </w:t>
      </w:r>
      <w:r w:rsidRPr="0078788F">
        <w:rPr>
          <w:rFonts w:hint="cs"/>
          <w:rtl/>
        </w:rPr>
        <w:t>החכמים</w:t>
      </w:r>
      <w:r w:rsidRPr="0078788F">
        <w:rPr>
          <w:rtl/>
        </w:rPr>
        <w:t>?</w:t>
      </w:r>
    </w:p>
    <w:p w14:paraId="1D590916" w14:textId="17BA85F1" w:rsidR="00652BA0" w:rsidRPr="0078788F" w:rsidRDefault="00652BA0" w:rsidP="00423C6D">
      <w:pPr>
        <w:pStyle w:val="a2"/>
        <w:rPr>
          <w:rFonts w:ascii="Times New Roman" w:hAnsi="Times New Roman" w:cs="Times New Roman"/>
          <w:rtl/>
        </w:rPr>
      </w:pPr>
      <w:r w:rsidRPr="0078788F">
        <w:rPr>
          <w:rtl/>
        </w:rPr>
        <w:t xml:space="preserve">ועוד, מה צורך יש בחכמים? כל בעל'באסטע מצויה יודעת, בכשרון טבעי או </w:t>
      </w:r>
      <w:r w:rsidRPr="0078788F">
        <w:rPr>
          <w:rtl/>
        </w:rPr>
        <w:lastRenderedPageBreak/>
        <w:t>עכ״פ אחרי כמה ניסויים, את הכמות, המידה והמרכיבים הנדרשים לבישול או אפי'. ואם החלה יצאה קצת יבשה אז בפעם הבאה הי</w:t>
      </w:r>
      <w:r>
        <w:rPr>
          <w:rtl/>
        </w:rPr>
        <w:t>א תוסיף קצת יותר מים לבצק וכו'</w:t>
      </w:r>
      <w:r>
        <w:rPr>
          <w:rStyle w:val="FootnoteReference"/>
          <w:rFonts w:ascii="Arial" w:hAnsi="Arial" w:cs="Arial"/>
          <w:color w:val="000000"/>
          <w:rtl/>
        </w:rPr>
        <w:footnoteReference w:id="63"/>
      </w:r>
      <w:r>
        <w:rPr>
          <w:rtl/>
        </w:rPr>
        <w:t>.</w:t>
      </w:r>
    </w:p>
    <w:p w14:paraId="7BBE454A" w14:textId="77777777" w:rsidR="00652BA0" w:rsidRPr="0078788F" w:rsidRDefault="00652BA0" w:rsidP="00423C6D">
      <w:pPr>
        <w:pStyle w:val="a2"/>
        <w:rPr>
          <w:rFonts w:ascii="Times New Roman" w:hAnsi="Times New Roman" w:cs="Times New Roman"/>
        </w:rPr>
      </w:pPr>
      <w:r w:rsidRPr="0078788F">
        <w:rPr>
          <w:rtl/>
        </w:rPr>
        <w:t xml:space="preserve">ויש לומר בדרך אפשר, שרמז גדול יש פה, בהתייחסות הזאת של התורה, ובזה שהיא העלימה את מדת השמן והעבירה את הסמכות לחכמים. </w:t>
      </w:r>
    </w:p>
    <w:p w14:paraId="215373F8" w14:textId="494FDC12" w:rsidR="00652BA0" w:rsidRPr="0078788F" w:rsidRDefault="00652BA0" w:rsidP="00423C6D">
      <w:pPr>
        <w:pStyle w:val="a2"/>
        <w:rPr>
          <w:rFonts w:ascii="Times New Roman" w:hAnsi="Times New Roman" w:cs="Times New Roman"/>
          <w:rtl/>
        </w:rPr>
      </w:pPr>
      <w:r w:rsidRPr="0078788F">
        <w:rPr>
          <w:rtl/>
        </w:rPr>
        <w:t xml:space="preserve">והיינו, שהתורה והמצוות שאנו מקיימים בכל דור אמנם מפורשת היא בספרינו הקדושים החל בחמשה חומשי תורה עד לחידושים שתלמיד ותיק מחדש בכל דור. וזה מעשה המנורה עצמה שתבניתה מורשת בתורה. </w:t>
      </w:r>
    </w:p>
    <w:p w14:paraId="7666279D" w14:textId="0B6C0030" w:rsidR="00652BA0" w:rsidRPr="0078788F" w:rsidRDefault="00652BA0" w:rsidP="00423C6D">
      <w:pPr>
        <w:pStyle w:val="a2"/>
        <w:rPr>
          <w:rFonts w:ascii="Times New Roman" w:hAnsi="Times New Roman" w:cs="Times New Roman"/>
          <w:rtl/>
        </w:rPr>
      </w:pPr>
      <w:r w:rsidRPr="0078788F">
        <w:rPr>
          <w:rtl/>
        </w:rPr>
        <w:t xml:space="preserve">אבל מעבר לעצם קיום המצוות, יש גם את </w:t>
      </w:r>
      <w:r>
        <w:rPr>
          <w:rFonts w:hint="cs"/>
          <w:rtl/>
        </w:rPr>
        <w:t>"</w:t>
      </w:r>
      <w:r>
        <w:rPr>
          <w:rtl/>
        </w:rPr>
        <w:t>השמן</w:t>
      </w:r>
      <w:r>
        <w:rPr>
          <w:rFonts w:hint="cs"/>
          <w:rtl/>
        </w:rPr>
        <w:t>"</w:t>
      </w:r>
      <w:r w:rsidRPr="0078788F">
        <w:rPr>
          <w:rtl/>
        </w:rPr>
        <w:t xml:space="preserve">, ההנהגה בפועל, סוג של דגש וסדר עדיפויות שאותו כל דור מקבל מראשי בני ישראל שבדורם. (לקו"א פ"ב). </w:t>
      </w:r>
    </w:p>
    <w:p w14:paraId="5BE6512E" w14:textId="2E0831D2" w:rsidR="00652BA0" w:rsidRPr="0078788F" w:rsidRDefault="00652BA0" w:rsidP="00423C6D">
      <w:pPr>
        <w:pStyle w:val="a2"/>
        <w:rPr>
          <w:rFonts w:ascii="Times New Roman" w:hAnsi="Times New Roman" w:cs="Times New Roman"/>
          <w:rtl/>
        </w:rPr>
      </w:pPr>
      <w:r w:rsidRPr="0078788F">
        <w:rPr>
          <w:rtl/>
        </w:rPr>
        <w:t xml:space="preserve">מה לקיים - בשביל זה יש את השו"ע. והתורה לא תהי' מוחלפת. </w:t>
      </w:r>
    </w:p>
    <w:p w14:paraId="03D0879C" w14:textId="184BC66E" w:rsidR="00652BA0" w:rsidRPr="0078788F" w:rsidRDefault="00652BA0" w:rsidP="00423C6D">
      <w:pPr>
        <w:pStyle w:val="a2"/>
        <w:rPr>
          <w:rFonts w:ascii="Times New Roman" w:hAnsi="Times New Roman" w:cs="Times New Roman"/>
          <w:rtl/>
        </w:rPr>
      </w:pPr>
      <w:r w:rsidRPr="0078788F">
        <w:rPr>
          <w:rtl/>
        </w:rPr>
        <w:t xml:space="preserve">איך </w:t>
      </w:r>
      <w:r w:rsidRPr="0078788F">
        <w:rPr>
          <w:b/>
          <w:bCs/>
          <w:rtl/>
        </w:rPr>
        <w:t xml:space="preserve">ליישם </w:t>
      </w:r>
      <w:r w:rsidRPr="0078788F">
        <w:rPr>
          <w:rtl/>
        </w:rPr>
        <w:t>את הקיום ואיך התנהגות זו באה ל</w:t>
      </w:r>
      <w:r>
        <w:rPr>
          <w:rtl/>
        </w:rPr>
        <w:t>ידי ביטוי, זה דבר שמשתנה בכל דו</w:t>
      </w:r>
      <w:r>
        <w:rPr>
          <w:rFonts w:hint="cs"/>
          <w:rtl/>
        </w:rPr>
        <w:t>ר</w:t>
      </w:r>
      <w:r w:rsidRPr="0078788F">
        <w:rPr>
          <w:rtl/>
        </w:rPr>
        <w:t xml:space="preserve"> בהתאם להוראות חכמים. הם הסמכות הקובעת איך צריכה להיות ההתאמה בין הדרישות המתחייבות ממצב העולם ועל מה צריך לתת את הדגש בעבודת</w:t>
      </w:r>
      <w:r>
        <w:rPr>
          <w:rtl/>
        </w:rPr>
        <w:t>ם של בני ישראל. וזוהי המשמעות ב</w:t>
      </w:r>
      <w:r>
        <w:rPr>
          <w:rFonts w:hint="cs"/>
          <w:rtl/>
        </w:rPr>
        <w:t>"</w:t>
      </w:r>
      <w:r>
        <w:rPr>
          <w:rtl/>
        </w:rPr>
        <w:t>שיערו חכמים</w:t>
      </w:r>
      <w:r>
        <w:rPr>
          <w:rFonts w:hint="cs"/>
          <w:rtl/>
        </w:rPr>
        <w:t>"</w:t>
      </w:r>
      <w:r w:rsidRPr="0078788F">
        <w:rPr>
          <w:rtl/>
        </w:rPr>
        <w:t xml:space="preserve">. </w:t>
      </w:r>
      <w:r w:rsidRPr="0078788F">
        <w:rPr>
          <w:rFonts w:ascii="Cambria" w:hAnsi="Cambria" w:cs="Cambria" w:hint="cs"/>
          <w:rtl/>
        </w:rPr>
        <w:t> </w:t>
      </w:r>
    </w:p>
    <w:p w14:paraId="7CBEAFA8" w14:textId="738D8C49" w:rsidR="00652BA0" w:rsidRPr="0078788F" w:rsidRDefault="00652BA0" w:rsidP="00423C6D">
      <w:pPr>
        <w:pStyle w:val="a2"/>
        <w:rPr>
          <w:rFonts w:ascii="Times New Roman" w:hAnsi="Times New Roman" w:cs="Times New Roman"/>
          <w:rtl/>
        </w:rPr>
      </w:pPr>
      <w:r w:rsidRPr="0078788F">
        <w:rPr>
          <w:rtl/>
        </w:rPr>
        <w:t>כל</w:t>
      </w:r>
      <w:r>
        <w:rPr>
          <w:rtl/>
        </w:rPr>
        <w:t xml:space="preserve">ומר, החכמים בבינתם מחליטים איך </w:t>
      </w:r>
      <w:r>
        <w:rPr>
          <w:rFonts w:hint="cs"/>
          <w:rtl/>
        </w:rPr>
        <w:t>"</w:t>
      </w:r>
      <w:r>
        <w:rPr>
          <w:rtl/>
        </w:rPr>
        <w:t>להאכיל בכפית</w:t>
      </w:r>
      <w:r>
        <w:rPr>
          <w:rFonts w:hint="cs"/>
          <w:rtl/>
        </w:rPr>
        <w:t>"</w:t>
      </w:r>
      <w:r w:rsidRPr="0078788F">
        <w:rPr>
          <w:rtl/>
        </w:rPr>
        <w:t xml:space="preserve"> בהתאם ליכולת ההכלה והקיבול של כל אחד ואחד. </w:t>
      </w:r>
    </w:p>
    <w:p w14:paraId="6A5928E4" w14:textId="5C639665" w:rsidR="00652BA0" w:rsidRPr="0078788F" w:rsidRDefault="00652BA0" w:rsidP="00423C6D">
      <w:pPr>
        <w:pStyle w:val="a2"/>
        <w:rPr>
          <w:rFonts w:ascii="Times New Roman" w:hAnsi="Times New Roman" w:cs="Times New Roman"/>
          <w:rtl/>
        </w:rPr>
      </w:pPr>
      <w:r w:rsidRPr="0078788F">
        <w:rPr>
          <w:rtl/>
        </w:rPr>
        <w:t>ו</w:t>
      </w:r>
      <w:r w:rsidRPr="00FA60BC">
        <w:rPr>
          <w:rtl/>
        </w:rPr>
        <w:t xml:space="preserve">שני אופנים בזה: מלמעלה למטה או מלמטה למעלה. </w:t>
      </w:r>
    </w:p>
    <w:p w14:paraId="79829548" w14:textId="77777777" w:rsidR="00652BA0" w:rsidRPr="0078788F" w:rsidRDefault="00652BA0" w:rsidP="00423C6D">
      <w:pPr>
        <w:pStyle w:val="a2"/>
        <w:rPr>
          <w:rFonts w:ascii="Times New Roman" w:hAnsi="Times New Roman" w:cs="Times New Roman"/>
        </w:rPr>
      </w:pPr>
      <w:r w:rsidRPr="0078788F">
        <w:rPr>
          <w:b/>
          <w:bCs/>
          <w:rtl/>
        </w:rPr>
        <w:t>מלמעלה למטה</w:t>
      </w:r>
      <w:r w:rsidRPr="0078788F">
        <w:rPr>
          <w:rtl/>
        </w:rPr>
        <w:t xml:space="preserve"> - כלומר שהתחילו עם יותר מחצי לוג שמן</w:t>
      </w:r>
      <w:r>
        <w:rPr>
          <w:rtl/>
        </w:rPr>
        <w:t xml:space="preserve">, ולאט לאט הפחיתו </w:t>
      </w:r>
      <w:r>
        <w:rPr>
          <w:rtl/>
        </w:rPr>
        <w:lastRenderedPageBreak/>
        <w:t>עד שהגיעו למד</w:t>
      </w:r>
      <w:r>
        <w:rPr>
          <w:rFonts w:hint="cs"/>
          <w:rtl/>
        </w:rPr>
        <w:t>ה</w:t>
      </w:r>
      <w:r w:rsidRPr="0078788F">
        <w:rPr>
          <w:rtl/>
        </w:rPr>
        <w:t xml:space="preserve"> הנכונה. עד"מ מלמד בחדר, ששכלו מכיל את כל חומר הלימוד, אבל למרות זאת הוא אמור להבחין ביכולת ההבנה והקליטה המשתנה של התלמידים, ובהתאם לכך להכין ולמסור את השיעור.</w:t>
      </w:r>
    </w:p>
    <w:p w14:paraId="7365CFA2" w14:textId="3246ACE5" w:rsidR="00652BA0" w:rsidRPr="0078788F" w:rsidRDefault="00652BA0" w:rsidP="00423C6D">
      <w:pPr>
        <w:pStyle w:val="a2"/>
        <w:rPr>
          <w:rFonts w:ascii="Times New Roman" w:hAnsi="Times New Roman" w:cs="Times New Roman"/>
          <w:rtl/>
        </w:rPr>
      </w:pPr>
      <w:r w:rsidRPr="0078788F">
        <w:rPr>
          <w:rtl/>
        </w:rPr>
        <w:t xml:space="preserve">ועד"ז ישנם מצבים וסוגי אנשים שכדי לקרבם, יש לתת להם כבר בהתחלה את מלוא המידע האפשרי (כמו בהודעה לגר שרוצה להתגייר) שיש חיוב לקיים את כל התורה. ואם נאמר להם שיש דרכים עוקפות בהלכה בסופו של דבר יבואו בטענות של למה רימיתני. </w:t>
      </w:r>
    </w:p>
    <w:p w14:paraId="35E91CA1" w14:textId="2954B8EA" w:rsidR="00652BA0" w:rsidRPr="0078788F" w:rsidRDefault="00652BA0" w:rsidP="00423C6D">
      <w:pPr>
        <w:pStyle w:val="a2"/>
        <w:rPr>
          <w:rFonts w:ascii="Times New Roman" w:hAnsi="Times New Roman" w:cs="Times New Roman"/>
          <w:rtl/>
        </w:rPr>
      </w:pPr>
      <w:r w:rsidRPr="0078788F">
        <w:rPr>
          <w:b/>
          <w:bCs/>
          <w:rtl/>
        </w:rPr>
        <w:t>מלמטה למעלה.</w:t>
      </w:r>
      <w:r w:rsidRPr="0078788F">
        <w:rPr>
          <w:rtl/>
        </w:rPr>
        <w:t xml:space="preserve"> התחילו בפחות מחצי לוג שמן. כי לאידך, יש אנשים שלפי אופיים ויכולת ההכלה שלהם, הדרך הנכונה להכניסם למעגל הלימוד, או להשפיע עליהם לקבל עול מלכות שמים ושמירת התורה ומצוות היא אך ורק בשיטה של מלמטה למעלה. לאט לאט. </w:t>
      </w:r>
    </w:p>
    <w:p w14:paraId="1A91E9AC" w14:textId="4AFC21C2" w:rsidR="00652BA0" w:rsidRDefault="00652BA0" w:rsidP="00423C6D">
      <w:pPr>
        <w:pStyle w:val="a2"/>
        <w:rPr>
          <w:rtl/>
        </w:rPr>
      </w:pPr>
      <w:r w:rsidRPr="0078788F">
        <w:rPr>
          <w:rtl/>
        </w:rPr>
        <w:t>איך שיהי', שתי השיטות חותרות לאותה מגמה - מאורתא ועד צפרא. כלומר מחושך ואי ודאות לאור, בהירות ובטיחות.</w:t>
      </w:r>
    </w:p>
    <w:p w14:paraId="1F4BB9D0" w14:textId="77777777" w:rsidR="00DC68BF" w:rsidRPr="00347933" w:rsidRDefault="00DC68BF" w:rsidP="00DC68BF">
      <w:pPr>
        <w:pStyle w:val="a4"/>
        <w:sectPr w:rsidR="00DC68B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61F0EFD" w14:textId="390CB680" w:rsidR="00C947C6" w:rsidRDefault="00C947C6" w:rsidP="00C947C6">
      <w:pPr>
        <w:pStyle w:val="a"/>
        <w:rPr>
          <w:rtl/>
        </w:rPr>
      </w:pPr>
      <w:bookmarkStart w:id="138" w:name="_Toc531140379"/>
      <w:r>
        <w:rPr>
          <w:rFonts w:hint="cs"/>
          <w:rtl/>
        </w:rPr>
        <w:t>בוקר הוי עד שש שעות</w:t>
      </w:r>
      <w:bookmarkEnd w:id="138"/>
    </w:p>
    <w:p w14:paraId="108ED69B" w14:textId="784CE00C" w:rsidR="00C947C6" w:rsidRPr="008307D7" w:rsidRDefault="00C947C6" w:rsidP="00C40DBA">
      <w:pPr>
        <w:pStyle w:val="a0"/>
        <w:rPr>
          <w:rtl/>
        </w:rPr>
      </w:pPr>
      <w:bookmarkStart w:id="139" w:name="_Toc531140380"/>
      <w:r w:rsidRPr="008307D7">
        <w:rPr>
          <w:rFonts w:hint="cs"/>
          <w:rtl/>
          <w:lang w:bidi="he-IL"/>
        </w:rPr>
        <w:t>הת</w:t>
      </w:r>
      <w:r w:rsidRPr="008307D7">
        <w:rPr>
          <w:rFonts w:hint="cs"/>
          <w:rtl/>
        </w:rPr>
        <w:t>'</w:t>
      </w:r>
      <w:r w:rsidR="00813E9E">
        <w:rPr>
          <w:rFonts w:hint="cs"/>
          <w:rtl/>
          <w:lang w:bidi="he-IL"/>
        </w:rPr>
        <w:t xml:space="preserve"> יוסף</w:t>
      </w:r>
      <w:r w:rsidRPr="008307D7">
        <w:rPr>
          <w:rFonts w:hint="cs"/>
          <w:rtl/>
          <w:lang w:bidi="he-IL"/>
        </w:rPr>
        <w:t xml:space="preserve"> מ</w:t>
      </w:r>
      <w:r w:rsidR="00BE2EAB" w:rsidRPr="008307D7">
        <w:rPr>
          <w:rFonts w:hint="cs"/>
          <w:rtl/>
          <w:lang w:bidi="he-IL"/>
        </w:rPr>
        <w:t xml:space="preserve">נחם </w:t>
      </w:r>
      <w:r w:rsidRPr="008307D7">
        <w:rPr>
          <w:rFonts w:hint="cs"/>
          <w:rtl/>
          <w:lang w:bidi="he-IL"/>
        </w:rPr>
        <w:t>מ</w:t>
      </w:r>
      <w:r w:rsidR="00BE2EAB" w:rsidRPr="008307D7">
        <w:rPr>
          <w:rFonts w:hint="cs"/>
          <w:rtl/>
          <w:lang w:bidi="he-IL"/>
        </w:rPr>
        <w:t>ענדל</w:t>
      </w:r>
      <w:r w:rsidRPr="008307D7">
        <w:rPr>
          <w:rFonts w:hint="cs"/>
          <w:rtl/>
          <w:lang w:bidi="he-IL"/>
        </w:rPr>
        <w:t xml:space="preserve"> טענענבוים</w:t>
      </w:r>
      <w:bookmarkEnd w:id="139"/>
    </w:p>
    <w:p w14:paraId="1970E666" w14:textId="1B438464" w:rsidR="00BE2EAB" w:rsidRPr="00BE2EAB" w:rsidRDefault="00BE2EAB" w:rsidP="000E110A">
      <w:pPr>
        <w:pStyle w:val="a1"/>
        <w:spacing w:after="0"/>
        <w:rPr>
          <w:rtl/>
          <w:lang w:val="en-GB"/>
        </w:rPr>
      </w:pPr>
      <w:r>
        <w:rPr>
          <w:rFonts w:hint="cs"/>
          <w:rtl/>
          <w:lang w:val="en-GB"/>
        </w:rPr>
        <w:t>תלמיד בישיבה</w:t>
      </w:r>
    </w:p>
    <w:p w14:paraId="52CBB1DA" w14:textId="77777777" w:rsidR="00C947C6" w:rsidRDefault="00C947C6" w:rsidP="00423C6D">
      <w:pPr>
        <w:pStyle w:val="a2"/>
        <w:rPr>
          <w:rtl/>
        </w:rPr>
      </w:pPr>
      <w:r>
        <w:rPr>
          <w:rFonts w:hint="cs"/>
          <w:rtl/>
        </w:rPr>
        <w:t>איתא במסכת פסחים (ב,א) "מיתיבי' וכאור בבוקר יזרח שמש, אלמא אור יממא הוא, מי כתיב אור בוקר, וכאור בוקר כתיב, והכי קאמר, וכאור בוקר בעוה"ז כעין זריחת שמש לצדיקים לע"ל". ופי' התוס' (ד"ה וכאור בוקר בעוה"ז) וז"ל "פי' ר"ת דהיינו עד חצי היום, כדמוכח בפרק תמיד נשחט, דעד ו' שעות נקרא בוקר"</w:t>
      </w:r>
    </w:p>
    <w:p w14:paraId="6B72E537" w14:textId="77777777" w:rsidR="00C947C6" w:rsidRDefault="00C947C6" w:rsidP="00423C6D">
      <w:pPr>
        <w:pStyle w:val="a2"/>
        <w:rPr>
          <w:rtl/>
        </w:rPr>
      </w:pPr>
      <w:r>
        <w:rPr>
          <w:rFonts w:hint="cs"/>
          <w:rtl/>
        </w:rPr>
        <w:t xml:space="preserve">והקשה ע"ז בשפת אמת על אתר וז"ל "תמוה דליתא התם אלא דבין הערבים מתחיל מן אחר שש, אבל בוקר נראה דלא הוי רק עד ד' שעות, כזמן תמיד של שחר, [למאי דקיי"ל כר"י בברכות (כז) דזמן תפלת השחר עד ד' שעות מטעם הנ"ל]". דהיינו בגמ' ברכות (כז) כחלקו ר"י ורבנן בזמן תפלת שחרית (שהוא כנגד התמידין דיכתיב בי' בבוקר), לר"י הוי רק עד ד' שעות, ולפי רבנן הוי עד חצות, ולהלכה נקטינן כר"י שזמן תפלת הוי עד ד' שעות. א"כ מנ"ל להתוס' מפרק תמיד נשחט דבוקר הוי עד ו' </w:t>
      </w:r>
      <w:r>
        <w:rPr>
          <w:rFonts w:hint="cs"/>
          <w:rtl/>
        </w:rPr>
        <w:lastRenderedPageBreak/>
        <w:t>שעות.</w:t>
      </w:r>
    </w:p>
    <w:p w14:paraId="31D053D6" w14:textId="77777777" w:rsidR="00C947C6" w:rsidRDefault="00C947C6" w:rsidP="00423C6D">
      <w:pPr>
        <w:pStyle w:val="a2"/>
        <w:rPr>
          <w:rtl/>
        </w:rPr>
      </w:pPr>
      <w:r>
        <w:rPr>
          <w:rFonts w:hint="cs"/>
          <w:rtl/>
        </w:rPr>
        <w:t>ואוא"ל, דראית התוס' הוא לא מהפסוק של תמיד, אלא מהסוגיא בסוף העמ' שמביא ברייתא, "ת"ר כסידורו בחול כך סידורו בשבת דברי ר"י ר"ע אומר כסידורו בערב פסח", ולפי האוקימתא דאביי, המחלוקת הוא בנוגע ער"פ שחל להיות בשבת מתי מקריבין תמיד של בין הערביים, ותלוי אם אמרינן דבזיכן קודמין למוספין או להיפוך. ובביאור דאם אמרינן בזיכין קודמין למוספין, ומוספין אורחייהו בשש, במילא יכולין להקריב התמיד בשש ומחצה, כסידורו בער"פ שחל להיות בשבת. ואם אמרינן שמוספין קודמין לבזיכין, א"כ מוספין בשש "שאורחייהו בשש" ובזיכין בשבע והתמיד בשבע ומחצה.</w:t>
      </w:r>
    </w:p>
    <w:p w14:paraId="0CAEB9EA" w14:textId="42812BBB" w:rsidR="00C947C6" w:rsidRPr="00C947C6" w:rsidRDefault="00C947C6" w:rsidP="00423C6D">
      <w:pPr>
        <w:pStyle w:val="a2"/>
        <w:rPr>
          <w:rFonts w:cstheme="minorBidi"/>
          <w:rtl/>
        </w:rPr>
      </w:pPr>
      <w:r>
        <w:rPr>
          <w:rFonts w:hint="cs"/>
          <w:rtl/>
        </w:rPr>
        <w:t xml:space="preserve"> וע"</w:t>
      </w:r>
      <w:r w:rsidR="00813E9E">
        <w:rPr>
          <w:rFonts w:hint="cs"/>
          <w:rtl/>
        </w:rPr>
        <w:t>ד</w:t>
      </w:r>
      <w:r>
        <w:rPr>
          <w:rFonts w:hint="cs"/>
          <w:rtl/>
        </w:rPr>
        <w:t xml:space="preserve"> </w:t>
      </w:r>
      <w:r w:rsidR="00813E9E">
        <w:rPr>
          <w:rFonts w:hint="cs"/>
          <w:rtl/>
        </w:rPr>
        <w:t>ד</w:t>
      </w:r>
      <w:r>
        <w:rPr>
          <w:rFonts w:hint="cs"/>
          <w:rtl/>
        </w:rPr>
        <w:t>אמרינן מו</w:t>
      </w:r>
      <w:r w:rsidR="004C5368">
        <w:rPr>
          <w:rFonts w:hint="cs"/>
          <w:rtl/>
        </w:rPr>
        <w:t>ספ</w:t>
      </w:r>
      <w:r>
        <w:rPr>
          <w:rFonts w:hint="cs"/>
          <w:rtl/>
        </w:rPr>
        <w:t>ין אורחיי</w:t>
      </w:r>
      <w:r w:rsidR="004C5368">
        <w:rPr>
          <w:rFonts w:hint="cs"/>
          <w:rtl/>
        </w:rPr>
        <w:t>ה</w:t>
      </w:r>
      <w:r>
        <w:rPr>
          <w:rFonts w:hint="cs"/>
          <w:rtl/>
        </w:rPr>
        <w:t>ו בשש מפרש רש"י מפני שלא כתיב בי' בוקר, אלא יום סתם ואיתא ביומא (לד) שיום (סתם) הוי איחור, וא"כ י"ל שזהו הוכחת תוס' שעד שש הוי בוקר.</w:t>
      </w:r>
    </w:p>
    <w:p w14:paraId="183546DA" w14:textId="77777777" w:rsidR="00BE2EAB" w:rsidRPr="00347933" w:rsidRDefault="00BE2EAB" w:rsidP="000E110A">
      <w:pPr>
        <w:pStyle w:val="a4"/>
        <w:spacing w:before="0" w:after="0"/>
        <w:sectPr w:rsidR="00BE2EAB"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C6A5CBF" w14:textId="2649C432" w:rsidR="00487CCC" w:rsidRDefault="00487CCC" w:rsidP="00487CCC">
      <w:pPr>
        <w:pStyle w:val="a"/>
        <w:rPr>
          <w:rtl/>
        </w:rPr>
      </w:pPr>
      <w:bookmarkStart w:id="140" w:name="_Toc531140381"/>
      <w:r w:rsidRPr="002F3996">
        <w:rPr>
          <w:rtl/>
        </w:rPr>
        <w:t>בענין "מלך אינו מעיד" במלכי ישראל ומלכי ב"ד</w:t>
      </w:r>
      <w:bookmarkEnd w:id="140"/>
    </w:p>
    <w:p w14:paraId="3734FA27" w14:textId="4A57885A" w:rsidR="00487CCC" w:rsidRPr="008307D7" w:rsidRDefault="00DC68BF" w:rsidP="00C40DBA">
      <w:pPr>
        <w:pStyle w:val="a0"/>
        <w:rPr>
          <w:rtl/>
        </w:rPr>
      </w:pPr>
      <w:bookmarkStart w:id="141" w:name="_Toc531140382"/>
      <w:r w:rsidRPr="008307D7">
        <w:rPr>
          <w:rFonts w:hint="cs"/>
          <w:rtl/>
          <w:lang w:bidi="he-IL"/>
        </w:rPr>
        <w:t>הנ</w:t>
      </w:r>
      <w:r w:rsidRPr="008307D7">
        <w:rPr>
          <w:rFonts w:hint="cs"/>
          <w:rtl/>
        </w:rPr>
        <w:t>"</w:t>
      </w:r>
      <w:r w:rsidRPr="008307D7">
        <w:rPr>
          <w:rFonts w:hint="cs"/>
          <w:rtl/>
          <w:lang w:bidi="he-IL"/>
        </w:rPr>
        <w:t>ל</w:t>
      </w:r>
      <w:bookmarkEnd w:id="141"/>
    </w:p>
    <w:p w14:paraId="066D7FE4" w14:textId="77777777" w:rsidR="00487CCC" w:rsidRPr="002F3996" w:rsidRDefault="00487CCC" w:rsidP="00423C6D">
      <w:pPr>
        <w:pStyle w:val="a2"/>
        <w:rPr>
          <w:rtl/>
        </w:rPr>
      </w:pPr>
      <w:r w:rsidRPr="002F3996">
        <w:rPr>
          <w:rtl/>
        </w:rPr>
        <w:t xml:space="preserve">תנן בריש </w:t>
      </w:r>
      <w:r>
        <w:rPr>
          <w:rFonts w:hint="cs"/>
          <w:rtl/>
        </w:rPr>
        <w:t xml:space="preserve">פ' </w:t>
      </w:r>
      <w:r w:rsidRPr="002F3996">
        <w:rPr>
          <w:rtl/>
        </w:rPr>
        <w:t>כהן גדול</w:t>
      </w:r>
      <w:r>
        <w:rPr>
          <w:rStyle w:val="FootnoteReference"/>
          <w:spacing w:val="4"/>
          <w:rtl/>
        </w:rPr>
        <w:footnoteReference w:id="64"/>
      </w:r>
      <w:r w:rsidRPr="002F3996">
        <w:rPr>
          <w:rtl/>
        </w:rPr>
        <w:t>: "</w:t>
      </w:r>
      <w:r w:rsidRPr="00277487">
        <w:rPr>
          <w:rtl/>
        </w:rPr>
        <w:t>כהן גדול דן ודנין אותו מעיד ומעידין אותו</w:t>
      </w:r>
      <w:r w:rsidRPr="00277487">
        <w:rPr>
          <w:rFonts w:ascii="Times New Roman" w:hAnsi="Times New Roman" w:cs="Times New Roman"/>
        </w:rPr>
        <w:t> </w:t>
      </w:r>
      <w:r>
        <w:rPr>
          <w:rFonts w:ascii="Times New Roman" w:hAnsi="Times New Roman" w:cs="Times New Roman" w:hint="cs"/>
          <w:rtl/>
        </w:rPr>
        <w:t>וכו'</w:t>
      </w:r>
      <w:r w:rsidRPr="00277487">
        <w:rPr>
          <w:rtl/>
        </w:rPr>
        <w:t xml:space="preserve"> </w:t>
      </w:r>
      <w:r w:rsidRPr="002F3996">
        <w:rPr>
          <w:rtl/>
        </w:rPr>
        <w:t>המלך לא דן ואין דנין אותו, לא מעיד ואין מעידין אותו". וכן כתב הרמב"ם ז"ל בהלכות עדות</w:t>
      </w:r>
      <w:r>
        <w:rPr>
          <w:rStyle w:val="FootnoteReference"/>
          <w:spacing w:val="4"/>
          <w:rtl/>
        </w:rPr>
        <w:footnoteReference w:id="65"/>
      </w:r>
      <w:r w:rsidRPr="002F3996">
        <w:rPr>
          <w:vertAlign w:val="superscript"/>
          <w:rtl/>
        </w:rPr>
        <w:t xml:space="preserve"> </w:t>
      </w:r>
      <w:r w:rsidRPr="002F3996">
        <w:rPr>
          <w:rtl/>
        </w:rPr>
        <w:t>ש"מלכי ישראל אין מעידין ואין מעידין עליהם".</w:t>
      </w:r>
    </w:p>
    <w:p w14:paraId="31CFF983" w14:textId="77777777" w:rsidR="00487CCC" w:rsidRPr="002F3996" w:rsidRDefault="00487CCC" w:rsidP="00423C6D">
      <w:pPr>
        <w:pStyle w:val="a2"/>
        <w:rPr>
          <w:rtl/>
        </w:rPr>
      </w:pPr>
      <w:r w:rsidRPr="002F3996">
        <w:rPr>
          <w:rtl/>
        </w:rPr>
        <w:t>אבל בהמשך הגמ'</w:t>
      </w:r>
      <w:r>
        <w:rPr>
          <w:rStyle w:val="FootnoteReference"/>
          <w:spacing w:val="4"/>
          <w:rtl/>
        </w:rPr>
        <w:footnoteReference w:id="66"/>
      </w:r>
      <w:r w:rsidRPr="002F3996">
        <w:rPr>
          <w:rtl/>
        </w:rPr>
        <w:t xml:space="preserve"> איתא "אמר רב יוסף לא שנו אלא מלכי ישראל אבל מלכי בית דוד דן ודנין אותן... ומלכי ישראל מ"ט לא? משום מעשה שהיה דעבדי' דינאי מלכא וכו' באותה שעה אמרו מלך לא דן ואין דנין אותו, לא מעיד ואין מעידין אותו". וכ"כ הרמב"ם שם, שהטעם הוא "מפני שהן אלמים בעלי זרוע ואין נכנעים תחת עול הדיינים".</w:t>
      </w:r>
    </w:p>
    <w:p w14:paraId="12A3EC76" w14:textId="77777777" w:rsidR="00487CCC" w:rsidRPr="002F3996" w:rsidRDefault="00487CCC" w:rsidP="00423C6D">
      <w:pPr>
        <w:pStyle w:val="a2"/>
        <w:rPr>
          <w:rtl/>
        </w:rPr>
      </w:pPr>
      <w:r w:rsidRPr="002F3996">
        <w:rPr>
          <w:rtl/>
        </w:rPr>
        <w:lastRenderedPageBreak/>
        <w:t>ומזה שכתבו בגמ' על המשנה, ד"לא שנו אלא במלכי ישראל אבל במלכי בית דוד וכו'" משמע, שמלכי בית דוד אכן מעידין. וכן מזה שהמקור לדין זה ש"המלך לא מעיד" הוא ממעשה שקרה עם ינאי מלכא שהי' ממלכי ישראל, משמע, שמלכי בית דוד אכן מעידין. וכ"ה ג"כ משמעות הרמב"ם.</w:t>
      </w:r>
    </w:p>
    <w:p w14:paraId="35B3247D" w14:textId="77777777" w:rsidR="00487CCC" w:rsidRPr="002F3996" w:rsidRDefault="00487CCC" w:rsidP="00423C6D">
      <w:pPr>
        <w:pStyle w:val="a2"/>
      </w:pPr>
      <w:r w:rsidRPr="002F3996">
        <w:rPr>
          <w:rtl/>
        </w:rPr>
        <w:t>והנה, בכת"י ובכמה ראשונים יש הגירסא "באותה שעה אמרו מלך לא דן ואין דנין אותו", ולא גרסו "לא מעיד ואין מעידין אותו". ו</w:t>
      </w:r>
      <w:r>
        <w:rPr>
          <w:rFonts w:hint="cs"/>
          <w:rtl/>
        </w:rPr>
        <w:t>נראה</w:t>
      </w:r>
      <w:r w:rsidRPr="002F3996">
        <w:rPr>
          <w:rtl/>
        </w:rPr>
        <w:t xml:space="preserve"> דאכן צריכים להגיה כזה, משום</w:t>
      </w:r>
      <w:r>
        <w:rPr>
          <w:rFonts w:hint="cs"/>
          <w:rtl/>
        </w:rPr>
        <w:t xml:space="preserve"> ד</w:t>
      </w:r>
      <w:r w:rsidRPr="002F3996">
        <w:rPr>
          <w:rtl/>
        </w:rPr>
        <w:t xml:space="preserve">רב יוסף אמר רק ד"מלכי בית דוד </w:t>
      </w:r>
      <w:r w:rsidRPr="002F3996">
        <w:rPr>
          <w:b/>
          <w:bCs/>
          <w:rtl/>
        </w:rPr>
        <w:t>דן</w:t>
      </w:r>
      <w:r w:rsidRPr="002F3996">
        <w:rPr>
          <w:rtl/>
        </w:rPr>
        <w:t xml:space="preserve"> </w:t>
      </w:r>
      <w:r w:rsidRPr="002F3996">
        <w:rPr>
          <w:b/>
          <w:bCs/>
          <w:rtl/>
        </w:rPr>
        <w:t>ודנין</w:t>
      </w:r>
      <w:r w:rsidRPr="002F3996">
        <w:rPr>
          <w:rtl/>
        </w:rPr>
        <w:t xml:space="preserve"> </w:t>
      </w:r>
      <w:r w:rsidRPr="002F3996">
        <w:rPr>
          <w:b/>
          <w:bCs/>
          <w:rtl/>
        </w:rPr>
        <w:t>אותן</w:t>
      </w:r>
      <w:r w:rsidRPr="002F3996">
        <w:rPr>
          <w:rtl/>
        </w:rPr>
        <w:t>", ותו לא הזכיר בנוגע לעדות. ועפ"ז יש ללמוד בפשטות, שהחילוק בין מלכי ישראל ומלכי בית דוד הוא רק בדיינות, אבל לענין עדות, מלכי בית דוד נמי אינן מעידין.</w:t>
      </w:r>
    </w:p>
    <w:p w14:paraId="348B9D09" w14:textId="77777777" w:rsidR="00487CCC" w:rsidRPr="002F3996" w:rsidRDefault="00487CCC" w:rsidP="00423C6D">
      <w:pPr>
        <w:pStyle w:val="a2"/>
        <w:rPr>
          <w:rtl/>
        </w:rPr>
      </w:pPr>
      <w:r>
        <w:rPr>
          <w:rFonts w:hint="cs"/>
          <w:rtl/>
        </w:rPr>
        <w:t>ו</w:t>
      </w:r>
      <w:r w:rsidRPr="002F3996">
        <w:rPr>
          <w:rtl/>
        </w:rPr>
        <w:t xml:space="preserve">כן משמע מהמעשה דמביא הגמ' אודות ינאי המלך </w:t>
      </w:r>
      <w:r w:rsidRPr="00790C9E">
        <w:rPr>
          <w:rtl/>
          <w:lang w:bidi="ar-SA"/>
        </w:rPr>
        <w:t>–</w:t>
      </w:r>
    </w:p>
    <w:p w14:paraId="6B144300" w14:textId="77777777" w:rsidR="00487CCC" w:rsidRPr="002F3996" w:rsidRDefault="00487CCC" w:rsidP="00423C6D">
      <w:pPr>
        <w:pStyle w:val="a2"/>
        <w:rPr>
          <w:rtl/>
        </w:rPr>
      </w:pPr>
      <w:r w:rsidRPr="002F3996">
        <w:rPr>
          <w:rtl/>
        </w:rPr>
        <w:t>"דעבדיה דינאי מלכא קטל נפשא אמר להו שמעון בן שטח לחכמים "תנו עיניכם בו ונדוננו". שלחו ליה "עבדך קטל נפשא" כו'. אתא ויתיב, א"ל שמעון בן שטח "ינאי המלך! עמוד על רגליך ויעידו בך" כו', אמר לו "לא כשתאמר אתה, אלא כמה שיאמרו חבריך".</w:t>
      </w:r>
      <w:bookmarkStart w:id="142" w:name="HtmpReportNum0035_L2"/>
      <w:bookmarkStart w:id="143" w:name="דףBיטB-Bב"/>
      <w:bookmarkEnd w:id="142"/>
      <w:bookmarkEnd w:id="143"/>
    </w:p>
    <w:p w14:paraId="035B43F3" w14:textId="77777777" w:rsidR="00487CCC" w:rsidRPr="002F3996" w:rsidRDefault="00487CCC" w:rsidP="00423C6D">
      <w:pPr>
        <w:pStyle w:val="a2"/>
        <w:rPr>
          <w:rtl/>
        </w:rPr>
      </w:pPr>
      <w:r w:rsidRPr="002F3996">
        <w:rPr>
          <w:rtl/>
        </w:rPr>
        <w:t xml:space="preserve">"נפנה לימינו כבשו פניהם בקרקע, נפנה לשמאלו וכבשו פניהם בקרקע, אמר להן שמעון בן שטח, "בעלי מחשבות אתם! יבא בעל מחשבות ויפרע מכם." מיד בא גבריאל וחבטן בקרקע ומתו. באותה שעה אמרו מלך לא דן ואין דנין אותו." </w:t>
      </w:r>
      <w:r w:rsidRPr="00790C9E">
        <w:rPr>
          <w:rtl/>
          <w:lang w:bidi="ar-SA"/>
        </w:rPr>
        <w:t>–</w:t>
      </w:r>
    </w:p>
    <w:p w14:paraId="5F4A78F3" w14:textId="77777777" w:rsidR="00487CCC" w:rsidRPr="002F3996" w:rsidRDefault="00487CCC" w:rsidP="00423C6D">
      <w:pPr>
        <w:pStyle w:val="a2"/>
        <w:rPr>
          <w:rtl/>
        </w:rPr>
      </w:pPr>
      <w:r w:rsidRPr="002F3996">
        <w:rPr>
          <w:rtl/>
        </w:rPr>
        <w:t>שממעשה זה יכולים ללמוד רק שאין דנין אותו, (וא"כ ממילא אינו דן משום האי כללא ד'קשוט עצמך תחילה', כדאיתא לעיל מיני' בגמ' שם) וזהו "לא דן ולא דנין אותן", אבל אודות הגדת עדות לא מדובר, ולכן אין ללמוד מזה ד"לא מעידין".</w:t>
      </w:r>
    </w:p>
    <w:p w14:paraId="470EDA8B" w14:textId="77777777" w:rsidR="00487CCC" w:rsidRPr="002F3996" w:rsidRDefault="00487CCC" w:rsidP="00423C6D">
      <w:pPr>
        <w:pStyle w:val="a2"/>
        <w:rPr>
          <w:rtl/>
        </w:rPr>
      </w:pPr>
      <w:r w:rsidRPr="002F3996">
        <w:rPr>
          <w:rtl/>
        </w:rPr>
        <w:t>ונמצא דהחילוק בין מלכי ישראל ומלכי בית דוד הוא רק בדיינות, ולא בעדות, וכפס"ד הרמב"ם</w:t>
      </w:r>
      <w:r>
        <w:rPr>
          <w:rStyle w:val="FootnoteReference"/>
          <w:spacing w:val="4"/>
          <w:rtl/>
        </w:rPr>
        <w:footnoteReference w:id="67"/>
      </w:r>
      <w:r w:rsidRPr="002F3996">
        <w:rPr>
          <w:rtl/>
        </w:rPr>
        <w:t xml:space="preserve"> ד"מלכי בית דוד... דנים הם את העם, ודנים אותם וכו' אבל מלכי ישראל אין דנין ואין דנין אותם, לפי שאין נכנעים לדברי תורה; שמא תבא מהן תקלה", והדין ד"מלך לא מעיד" נשאר כבתחילה, היינו בין במלכי ישראל ובין במלכי בית דוד, ולא עסקינן אלא בנוגע לדיינות. ולכן נראה להשמיט המילים "לא מעיד ואין מעידין אותו" כבגירסות הנ"ל.</w:t>
      </w:r>
    </w:p>
    <w:p w14:paraId="1FE2DF4A" w14:textId="77777777" w:rsidR="00487CCC" w:rsidRPr="002F3996" w:rsidRDefault="00487CCC" w:rsidP="00423C6D">
      <w:pPr>
        <w:pStyle w:val="a2"/>
        <w:rPr>
          <w:rtl/>
        </w:rPr>
      </w:pPr>
      <w:r>
        <w:rPr>
          <w:rFonts w:hint="cs"/>
          <w:rtl/>
        </w:rPr>
        <w:t xml:space="preserve">    </w:t>
      </w:r>
      <w:r w:rsidRPr="002F3996">
        <w:rPr>
          <w:rtl/>
        </w:rPr>
        <w:t>אך קשה, דהרי בהל' עדות שם כתב רק ש</w:t>
      </w:r>
      <w:r w:rsidRPr="002F3996">
        <w:rPr>
          <w:b/>
          <w:bCs/>
          <w:rtl/>
        </w:rPr>
        <w:t xml:space="preserve">מלכי ישראל </w:t>
      </w:r>
      <w:r w:rsidRPr="002F3996">
        <w:rPr>
          <w:rtl/>
        </w:rPr>
        <w:t xml:space="preserve">"אין מעידין", וע"פ </w:t>
      </w:r>
      <w:r w:rsidRPr="002F3996">
        <w:rPr>
          <w:rtl/>
        </w:rPr>
        <w:lastRenderedPageBreak/>
        <w:t xml:space="preserve">מה שנתב"ל הוה ליה להרמב"ם לכלול ג"כ ש"מלכי </w:t>
      </w:r>
      <w:r w:rsidRPr="002F3996">
        <w:rPr>
          <w:b/>
          <w:bCs/>
          <w:rtl/>
        </w:rPr>
        <w:t>בית דוד</w:t>
      </w:r>
      <w:r w:rsidRPr="002F3996">
        <w:rPr>
          <w:rtl/>
        </w:rPr>
        <w:t xml:space="preserve"> אינן מעידין"?</w:t>
      </w:r>
    </w:p>
    <w:p w14:paraId="5D9CD6B9" w14:textId="77777777" w:rsidR="00487CCC" w:rsidRPr="002F3996" w:rsidRDefault="00487CCC" w:rsidP="00423C6D">
      <w:pPr>
        <w:pStyle w:val="a2"/>
        <w:rPr>
          <w:rtl/>
        </w:rPr>
      </w:pPr>
      <w:r w:rsidRPr="002F3996">
        <w:rPr>
          <w:rtl/>
        </w:rPr>
        <w:t>והנה הרדב"ז על אתר מציין לגמ' דידן, וגרס "לא מעיד וכו'" לבסוף (כבגמ' לפנינו), ומזה יוצא לכאורה דס"ל כאופן הא', שמלכי בית דוד אכן מעידין (למרות הקושיות הנ"ל בפירוש זה), וזהו שלא כתבו הרמב"ם כאן, שלשיטתו, אכן מעידין מלכי ב"ד.</w:t>
      </w:r>
    </w:p>
    <w:p w14:paraId="64E663ED" w14:textId="77777777" w:rsidR="00487CCC" w:rsidRPr="002F3996" w:rsidRDefault="00487CCC" w:rsidP="00423C6D">
      <w:pPr>
        <w:pStyle w:val="a2"/>
        <w:rPr>
          <w:rtl/>
        </w:rPr>
      </w:pPr>
      <w:r>
        <w:rPr>
          <w:rtl/>
        </w:rPr>
        <w:t>ו</w:t>
      </w:r>
      <w:r>
        <w:rPr>
          <w:rFonts w:hint="cs"/>
          <w:rtl/>
        </w:rPr>
        <w:t>בכס"מ</w:t>
      </w:r>
      <w:r w:rsidRPr="002F3996">
        <w:rPr>
          <w:rtl/>
        </w:rPr>
        <w:t xml:space="preserve"> מציין לגמ' דידן, וגרס בדברי רב יוסף "</w:t>
      </w:r>
      <w:r>
        <w:rPr>
          <w:rFonts w:hint="cs"/>
          <w:rtl/>
        </w:rPr>
        <w:t xml:space="preserve">אבל </w:t>
      </w:r>
      <w:r w:rsidRPr="002F3996">
        <w:rPr>
          <w:rtl/>
        </w:rPr>
        <w:t>מלכי בית דוד דן ומעידין עליהם". היינו (לכאו'), שאין החילוק בדיינות בלבד, כ"א ג"כ בעדות. (ולפי זה לכאורה יוצא שגורס ג"כ בסוף הגמ' כהרדב"ז.) ומסיים "וזהו שֶׁכִּיוֵן רבינו באומרו מלכי ישראל". היינו, שבדווקא לא כתב הרמב"ם במלכי בית דוד, שהרי במלכי בית דוד דין זה אינו; אך לפי משנת"ל אכן קשה: למה לא כ' הרמב"ם שמלכי בית דוד ג"כ "אין מעידין"?</w:t>
      </w:r>
    </w:p>
    <w:p w14:paraId="75946A70" w14:textId="77777777" w:rsidR="00487CCC" w:rsidRPr="002F3996" w:rsidRDefault="00487CCC" w:rsidP="00423C6D">
      <w:pPr>
        <w:pStyle w:val="a2"/>
        <w:rPr>
          <w:rtl/>
        </w:rPr>
      </w:pPr>
      <w:r w:rsidRPr="002F3996">
        <w:rPr>
          <w:rtl/>
        </w:rPr>
        <w:t>והנה, בהלכות מלכים</w:t>
      </w:r>
      <w:r>
        <w:rPr>
          <w:rStyle w:val="FootnoteReference"/>
          <w:spacing w:val="4"/>
          <w:rtl/>
        </w:rPr>
        <w:footnoteReference w:id="68"/>
      </w:r>
      <w:r w:rsidRPr="002F3996">
        <w:rPr>
          <w:vertAlign w:val="superscript"/>
          <w:rtl/>
        </w:rPr>
        <w:t xml:space="preserve"> </w:t>
      </w:r>
      <w:r w:rsidRPr="002F3996">
        <w:rPr>
          <w:rtl/>
        </w:rPr>
        <w:t xml:space="preserve">כ' הרמב"ם </w:t>
      </w:r>
      <w:r w:rsidRPr="002F3996">
        <w:rPr>
          <w:b/>
          <w:bCs/>
          <w:rtl/>
        </w:rPr>
        <w:t>בהדיא</w:t>
      </w:r>
      <w:r>
        <w:rPr>
          <w:rtl/>
        </w:rPr>
        <w:t xml:space="preserve"> </w:t>
      </w:r>
      <w:r>
        <w:rPr>
          <w:rFonts w:hint="cs"/>
          <w:rtl/>
        </w:rPr>
        <w:t>ד</w:t>
      </w:r>
      <w:r w:rsidRPr="002F3996">
        <w:rPr>
          <w:rtl/>
        </w:rPr>
        <w:t xml:space="preserve">"כבר ביארנו שמלכי בית דוד דנין, ודנין אותן, ומעידין אליהם. אבל מלכי ישראל, גזרו חכמים שלא ידון ולא דנין אותו. ולא מעיד ולא מעידין עליו. מפני שלבן גס בהן ויבא מן הדבר תקלה והפסד על הדת". וכתב הכסף משנה על אתר (בסוף דבריו) ש"כתב רבינו במלכי בית דוד שמעידין עליהם, </w:t>
      </w:r>
      <w:r w:rsidRPr="002F3996">
        <w:rPr>
          <w:b/>
          <w:bCs/>
          <w:rtl/>
        </w:rPr>
        <w:t>ולא כתב שהם יעידו</w:t>
      </w:r>
      <w:r w:rsidRPr="002F3996">
        <w:rPr>
          <w:rtl/>
        </w:rPr>
        <w:t xml:space="preserve"> משום דלא גרעו מכה"ג שאינו </w:t>
      </w:r>
      <w:r>
        <w:rPr>
          <w:rtl/>
        </w:rPr>
        <w:t>מעיד לשום אדם אלא למלך". ומ</w:t>
      </w:r>
      <w:r>
        <w:rPr>
          <w:rFonts w:hint="cs"/>
          <w:rtl/>
        </w:rPr>
        <w:t>שום ד</w:t>
      </w:r>
      <w:r w:rsidRPr="002F3996">
        <w:rPr>
          <w:rtl/>
        </w:rPr>
        <w:t>אין מי שלמעלה מן המלך, הרי אין לו למי להעיד.</w:t>
      </w:r>
    </w:p>
    <w:p w14:paraId="59C447BE" w14:textId="77777777" w:rsidR="00487CCC" w:rsidRDefault="00487CCC" w:rsidP="00423C6D">
      <w:pPr>
        <w:pStyle w:val="a2"/>
        <w:rPr>
          <w:rtl/>
        </w:rPr>
      </w:pPr>
      <w:r>
        <w:rPr>
          <w:rtl/>
        </w:rPr>
        <w:t xml:space="preserve">וביאור דבריו, </w:t>
      </w:r>
      <w:r>
        <w:rPr>
          <w:rFonts w:hint="cs"/>
          <w:rtl/>
        </w:rPr>
        <w:t>ד</w:t>
      </w:r>
      <w:r>
        <w:rPr>
          <w:rtl/>
        </w:rPr>
        <w:t xml:space="preserve">הרי פירשו בגמ' </w:t>
      </w:r>
      <w:r>
        <w:rPr>
          <w:rFonts w:hint="cs"/>
          <w:rtl/>
        </w:rPr>
        <w:t>דהא ד</w:t>
      </w:r>
      <w:r w:rsidRPr="002F3996">
        <w:rPr>
          <w:rtl/>
        </w:rPr>
        <w:t>שנינן במתניתין דכה"ג מעיד, ה"ז רק למלך, והוא משום כבוד</w:t>
      </w:r>
      <w:r>
        <w:rPr>
          <w:rFonts w:hint="cs"/>
          <w:rtl/>
        </w:rPr>
        <w:t>וד</w:t>
      </w:r>
      <w:r>
        <w:rPr>
          <w:rtl/>
        </w:rPr>
        <w:t xml:space="preserve"> כה"ג</w:t>
      </w:r>
      <w:r>
        <w:rPr>
          <w:rFonts w:hint="cs"/>
          <w:rtl/>
        </w:rPr>
        <w:t>.</w:t>
      </w:r>
      <w:r w:rsidRPr="002F3996">
        <w:rPr>
          <w:rtl/>
        </w:rPr>
        <w:t xml:space="preserve"> ובדברי רש"י: "והכא נמי זילותא הוא לגבי כה"ג ליתי לאסהודי לבע"ד"; "והדרא קושייא לדוכתא דאיכא זילותא לכה"ג"; והמלך עצמו, שהוא למעלה מכל העם, הרי א"א לו להעיד כלל משום זלזול בכבודו, וה</w:t>
      </w:r>
      <w:r>
        <w:rPr>
          <w:rtl/>
        </w:rPr>
        <w:t>יינו שכתב הכ"מ "דלא גרעי מכה</w:t>
      </w:r>
      <w:r>
        <w:rPr>
          <w:rFonts w:hint="cs"/>
          <w:rtl/>
        </w:rPr>
        <w:t>ן גדול".</w:t>
      </w:r>
    </w:p>
    <w:p w14:paraId="5A012401" w14:textId="77777777" w:rsidR="00487CCC" w:rsidRPr="002F3996" w:rsidRDefault="00487CCC" w:rsidP="00423C6D">
      <w:pPr>
        <w:pStyle w:val="a2"/>
        <w:rPr>
          <w:rtl/>
        </w:rPr>
      </w:pPr>
      <w:r>
        <w:rPr>
          <w:rFonts w:hint="cs"/>
          <w:rtl/>
        </w:rPr>
        <w:t>היינו משום דכתיב</w:t>
      </w:r>
      <w:r>
        <w:rPr>
          <w:rStyle w:val="FootnoteReference"/>
          <w:spacing w:val="4"/>
          <w:rtl/>
        </w:rPr>
        <w:footnoteReference w:id="69"/>
      </w:r>
      <w:r>
        <w:rPr>
          <w:rFonts w:hint="cs"/>
          <w:rtl/>
        </w:rPr>
        <w:t xml:space="preserve">  "שום תשים עליך מלך", ואיתמר עלה</w:t>
      </w:r>
      <w:r>
        <w:rPr>
          <w:rStyle w:val="FootnoteReference"/>
          <w:spacing w:val="4"/>
          <w:rtl/>
        </w:rPr>
        <w:footnoteReference w:id="70"/>
      </w:r>
      <w:r>
        <w:rPr>
          <w:rFonts w:hint="cs"/>
          <w:rtl/>
        </w:rPr>
        <w:t xml:space="preserve"> דהיינו "שתהא אימתו עליך", ולזול הוא למלך כשצריך לבא להעיד, שהרי צריך לעמוד. ובלשון </w:t>
      </w:r>
      <w:r>
        <w:rPr>
          <w:rFonts w:hint="cs"/>
          <w:rtl/>
        </w:rPr>
        <w:lastRenderedPageBreak/>
        <w:t>רש"י</w:t>
      </w:r>
      <w:r>
        <w:rPr>
          <w:rStyle w:val="FootnoteReference"/>
          <w:spacing w:val="4"/>
          <w:rtl/>
        </w:rPr>
        <w:footnoteReference w:id="71"/>
      </w:r>
      <w:r>
        <w:rPr>
          <w:rFonts w:hint="cs"/>
          <w:rtl/>
        </w:rPr>
        <w:t>: "</w:t>
      </w:r>
      <w:r w:rsidRPr="00973BB4">
        <w:rPr>
          <w:rtl/>
        </w:rPr>
        <w:t>דכתיב</w:t>
      </w:r>
      <w:r>
        <w:rPr>
          <w:rStyle w:val="FootnoteReference"/>
          <w:spacing w:val="4"/>
          <w:rtl/>
        </w:rPr>
        <w:footnoteReference w:id="72"/>
      </w:r>
      <w:r w:rsidRPr="00973BB4">
        <w:rPr>
          <w:rtl/>
        </w:rPr>
        <w:t xml:space="preserve"> </w:t>
      </w:r>
      <w:r>
        <w:rPr>
          <w:rFonts w:hint="cs"/>
          <w:rtl/>
        </w:rPr>
        <w:t xml:space="preserve">שום </w:t>
      </w:r>
      <w:r w:rsidRPr="00973BB4">
        <w:rPr>
          <w:rtl/>
        </w:rPr>
        <w:t>תשים עליך מלך שתהא אימתו עליך והבא להעיד צריך לעמוד לפני הדיין כדאמרן לעיל</w:t>
      </w:r>
      <w:r>
        <w:rPr>
          <w:rStyle w:val="FootnoteReference"/>
          <w:spacing w:val="4"/>
          <w:rtl/>
        </w:rPr>
        <w:footnoteReference w:id="73"/>
      </w:r>
      <w:r w:rsidRPr="00973BB4">
        <w:rPr>
          <w:rtl/>
        </w:rPr>
        <w:t xml:space="preserve"> ודרך בזיון הוא לו</w:t>
      </w:r>
      <w:r>
        <w:rPr>
          <w:rFonts w:hint="cs"/>
          <w:rtl/>
        </w:rPr>
        <w:t>".</w:t>
      </w:r>
    </w:p>
    <w:p w14:paraId="78CF2E59" w14:textId="77777777" w:rsidR="00487CCC" w:rsidRPr="002F3996" w:rsidRDefault="00487CCC" w:rsidP="00423C6D">
      <w:pPr>
        <w:pStyle w:val="a2"/>
        <w:rPr>
          <w:rtl/>
        </w:rPr>
      </w:pPr>
      <w:r w:rsidRPr="002F3996">
        <w:rPr>
          <w:rtl/>
        </w:rPr>
        <w:t xml:space="preserve">ולכן שפיר י"ל על הפס"ד שנפסק </w:t>
      </w:r>
      <w:r>
        <w:rPr>
          <w:rFonts w:hint="cs"/>
          <w:rtl/>
        </w:rPr>
        <w:t xml:space="preserve">על כ"ק אדמו"ר </w:t>
      </w:r>
      <w:r w:rsidRPr="002F3996">
        <w:rPr>
          <w:rtl/>
        </w:rPr>
        <w:t xml:space="preserve">בי"ג כסלו </w:t>
      </w:r>
      <w:r>
        <w:rPr>
          <w:rFonts w:hint="cs"/>
          <w:rtl/>
        </w:rPr>
        <w:t xml:space="preserve">תשמ"ו </w:t>
      </w:r>
      <w:r w:rsidRPr="002F3996">
        <w:rPr>
          <w:rtl/>
        </w:rPr>
        <w:t>שהוא הדין ד"מלך אינו מעיד</w:t>
      </w:r>
      <w:r>
        <w:rPr>
          <w:rStyle w:val="FootnoteReference"/>
          <w:spacing w:val="4"/>
          <w:rtl/>
        </w:rPr>
        <w:footnoteReference w:id="74"/>
      </w:r>
      <w:r w:rsidRPr="002F3996">
        <w:rPr>
          <w:rtl/>
        </w:rPr>
        <w:t>", (שלא כטעות ההמון שהוא מפני "שהן אלמים בעלי זרוע ואין נכנעים תחת עול הדיינים" שאין זה שייך כלל וכלל בנדו"ד כמובן, אלא) שהוא משום כבוד המלך.</w:t>
      </w:r>
    </w:p>
    <w:p w14:paraId="3F32136E" w14:textId="77777777" w:rsidR="00487CCC" w:rsidRPr="00531518" w:rsidRDefault="00487CCC" w:rsidP="00423C6D">
      <w:pPr>
        <w:pStyle w:val="a2"/>
        <w:rPr>
          <w:b/>
          <w:bCs/>
          <w:color w:val="FF0000"/>
          <w:sz w:val="34"/>
          <w:szCs w:val="34"/>
          <w:highlight w:val="yellow"/>
          <w:rtl/>
        </w:rPr>
      </w:pPr>
      <w:r w:rsidRPr="002F3996">
        <w:rPr>
          <w:rtl/>
        </w:rPr>
        <w:t>והביאור בהרמב"ם בהל' עדות י"ל, שהרי באותו פרק מונה הרמב"ם מי שפסול לעדות שלא מחמת עבירה (הפסולים מחמת עבירה מונה הרמב"ם בפרק שלאח"ז)</w:t>
      </w:r>
      <w:r>
        <w:rPr>
          <w:rFonts w:hint="cs"/>
          <w:rtl/>
        </w:rPr>
        <w:t xml:space="preserve"> </w:t>
      </w:r>
      <w:r>
        <w:rPr>
          <w:rtl/>
        </w:rPr>
        <w:t>–</w:t>
      </w:r>
      <w:r w:rsidRPr="002F3996">
        <w:rPr>
          <w:rtl/>
        </w:rPr>
        <w:t xml:space="preserve"> "מי שאינו לא במקרא ולא במשנה וכו'"; "וכן הבזויין פסולין מדבריהם"; "והאפיקורסין והמינים והמשומדים לא הצריכו חכמים למנותן וכו'"; ובהמשך לזה בא "מלכי ישראל לא מעידין... מפני שהן אלמים בעלי זרוע ואין נכנעים תחת עול הדיינים", ולכן אינו שייך כאן הדין דמלכי בית דוד אין מעידין, שהוא </w:t>
      </w:r>
      <w:r>
        <w:rPr>
          <w:rtl/>
        </w:rPr>
        <w:t>–</w:t>
      </w:r>
      <w:r w:rsidRPr="002F3996">
        <w:rPr>
          <w:rtl/>
        </w:rPr>
        <w:t xml:space="preserve"> כנ"ל </w:t>
      </w:r>
      <w:r>
        <w:rPr>
          <w:rtl/>
        </w:rPr>
        <w:t>–</w:t>
      </w:r>
      <w:r w:rsidRPr="002F3996">
        <w:rPr>
          <w:rtl/>
        </w:rPr>
        <w:t xml:space="preserve"> משום כבודו. (משא"כ בהל' מלכים בה מדובר אודות הלכות </w:t>
      </w:r>
      <w:r w:rsidRPr="002F3996">
        <w:rPr>
          <w:b/>
          <w:bCs/>
          <w:rtl/>
        </w:rPr>
        <w:t>מלכים</w:t>
      </w:r>
      <w:r w:rsidRPr="002F3996">
        <w:rPr>
          <w:rtl/>
        </w:rPr>
        <w:t xml:space="preserve"> </w:t>
      </w:r>
      <w:r>
        <w:rPr>
          <w:rtl/>
        </w:rPr>
        <w:t>–</w:t>
      </w:r>
      <w:r w:rsidRPr="002F3996">
        <w:rPr>
          <w:rtl/>
        </w:rPr>
        <w:t xml:space="preserve"> כל מלך במשמע.)</w:t>
      </w:r>
    </w:p>
    <w:p w14:paraId="7F20299D" w14:textId="77777777" w:rsidR="00487CCC" w:rsidRPr="002F3996" w:rsidRDefault="00487CCC" w:rsidP="00423C6D">
      <w:pPr>
        <w:pStyle w:val="a2"/>
        <w:rPr>
          <w:rtl/>
        </w:rPr>
      </w:pPr>
      <w:r w:rsidRPr="002F3996">
        <w:rPr>
          <w:rtl/>
        </w:rPr>
        <w:t xml:space="preserve">וזה שכתב הרמב"ם (וכן הכס"מ לעיל) "ומעידין עליהם", י"ל </w:t>
      </w:r>
      <w:r>
        <w:rPr>
          <w:rFonts w:hint="cs"/>
          <w:rtl/>
        </w:rPr>
        <w:t xml:space="preserve">ע"פ מש"כ המאירי (בבית הבחירה יט, א ד"ה והמשנה השני'.) </w:t>
      </w:r>
      <w:r w:rsidRPr="002F3996">
        <w:rPr>
          <w:rtl/>
        </w:rPr>
        <w:t>שזהו חלק מהפס"ד ד"דנין אותן", שהרי אם א"א להעיד עליהם, איך דנין אותן? וזה שבגמ' לא כתבו כן להדיא י"ל, שהוא מפני הדין ד"לא דנין" והדין ד"לא מעיד" שאכן אינם תלויים זב"ז, וכשרצה הגמ' לומר שמלכי בית דוד אכן דנין ודנין אותן, תנו בלשון כפל</w:t>
      </w:r>
      <w:r>
        <w:rPr>
          <w:rFonts w:hint="cs"/>
          <w:rtl/>
        </w:rPr>
        <w:t xml:space="preserve"> </w:t>
      </w:r>
      <w:r>
        <w:rPr>
          <w:rtl/>
        </w:rPr>
        <w:t>–</w:t>
      </w:r>
      <w:r w:rsidRPr="002F3996">
        <w:rPr>
          <w:rtl/>
        </w:rPr>
        <w:t xml:space="preserve"> "דן ודנין אותן", ולא הול"ל "דן ודנין אותן ומעידין עליהם" (וכן י"ל בזה שבסוף הגמ' לא כ' (לפני משנת"ל) "לא דן ולא דנין אותן ולא מעידין עליהם").</w:t>
      </w:r>
    </w:p>
    <w:p w14:paraId="0FE97741" w14:textId="77777777" w:rsidR="00487CCC" w:rsidRPr="00DF4CDD" w:rsidRDefault="00487CCC" w:rsidP="00423C6D">
      <w:pPr>
        <w:pStyle w:val="a2"/>
        <w:rPr>
          <w:sz w:val="20"/>
          <w:szCs w:val="20"/>
          <w:rtl/>
          <w:lang w:val="en-US"/>
        </w:rPr>
      </w:pPr>
      <w:r w:rsidRPr="002F3996">
        <w:rPr>
          <w:rtl/>
        </w:rPr>
        <w:t>ולמסקנא: הדין ד"מלך אינו מעיד" הוא גם דמלכי בית דוד, והוא משום כבודו דמלך.</w:t>
      </w:r>
      <w:r w:rsidRPr="002F3996">
        <w:rPr>
          <w:rStyle w:val="FootnoteReference"/>
          <w:spacing w:val="4"/>
          <w:rtl/>
        </w:rPr>
        <w:footnoteReference w:id="75"/>
      </w:r>
      <w:r w:rsidRPr="002F3996">
        <w:rPr>
          <w:sz w:val="20"/>
          <w:szCs w:val="20"/>
        </w:rPr>
        <w:t xml:space="preserve"> </w:t>
      </w:r>
    </w:p>
    <w:p w14:paraId="0D7E89F9" w14:textId="77777777" w:rsidR="00487CCC" w:rsidRPr="00347933" w:rsidRDefault="00487CCC" w:rsidP="00487CCC">
      <w:pPr>
        <w:pStyle w:val="a4"/>
        <w:sectPr w:rsidR="00487CCC" w:rsidRPr="00347933" w:rsidSect="00E65DD5">
          <w:footnotePr>
            <w:numRestart w:val="eachSect"/>
          </w:footnotePr>
          <w:type w:val="continuous"/>
          <w:pgSz w:w="7920" w:h="12240"/>
          <w:pgMar w:top="-810" w:right="864" w:bottom="720" w:left="864" w:header="270" w:footer="0" w:gutter="0"/>
          <w:cols w:space="720"/>
          <w:docGrid w:linePitch="360"/>
        </w:sectPr>
      </w:pPr>
      <w:r w:rsidRPr="00347933">
        <w:lastRenderedPageBreak/>
        <w:t>g</w:t>
      </w:r>
    </w:p>
    <w:p w14:paraId="083A9FB0" w14:textId="7156C26C" w:rsidR="00BE2EAB" w:rsidRDefault="00BE2EAB" w:rsidP="00BE2EAB">
      <w:pPr>
        <w:pStyle w:val="a"/>
        <w:rPr>
          <w:rtl/>
        </w:rPr>
      </w:pPr>
      <w:bookmarkStart w:id="144" w:name="_Toc531140383"/>
      <w:r>
        <w:rPr>
          <w:rFonts w:hint="cs"/>
          <w:rtl/>
        </w:rPr>
        <w:t>בענין תנאי לאחר המעשה</w:t>
      </w:r>
      <w:bookmarkEnd w:id="144"/>
    </w:p>
    <w:p w14:paraId="4C0CCE9F" w14:textId="77777777" w:rsidR="00BE2EAB" w:rsidRPr="008307D7" w:rsidRDefault="00BE2EAB" w:rsidP="00C40DBA">
      <w:pPr>
        <w:pStyle w:val="a0"/>
        <w:rPr>
          <w:rtl/>
        </w:rPr>
      </w:pPr>
      <w:bookmarkStart w:id="145" w:name="_Toc531140384"/>
      <w:r w:rsidRPr="008307D7">
        <w:rPr>
          <w:rFonts w:hint="cs"/>
          <w:rtl/>
          <w:lang w:bidi="he-IL"/>
        </w:rPr>
        <w:t>הת</w:t>
      </w:r>
      <w:r w:rsidRPr="008307D7">
        <w:rPr>
          <w:rFonts w:hint="cs"/>
          <w:rtl/>
        </w:rPr>
        <w:t xml:space="preserve">' </w:t>
      </w:r>
      <w:r w:rsidRPr="008307D7">
        <w:rPr>
          <w:rFonts w:hint="cs"/>
          <w:rtl/>
          <w:lang w:bidi="he-IL"/>
        </w:rPr>
        <w:t>מנחם מענדל שפירא</w:t>
      </w:r>
      <w:bookmarkEnd w:id="145"/>
    </w:p>
    <w:p w14:paraId="6F351EDD" w14:textId="63EE0888" w:rsidR="00BE2EAB" w:rsidRPr="00BE2EAB" w:rsidRDefault="00BE2EAB" w:rsidP="00BE2EAB">
      <w:pPr>
        <w:pStyle w:val="a1"/>
        <w:rPr>
          <w:rtl/>
          <w:lang w:val="en-GB"/>
        </w:rPr>
      </w:pPr>
      <w:r>
        <w:rPr>
          <w:rFonts w:hint="cs"/>
          <w:rtl/>
          <w:lang w:val="en-GB"/>
        </w:rPr>
        <w:t>תלמיד בישיבה</w:t>
      </w:r>
    </w:p>
    <w:p w14:paraId="225F7FA2" w14:textId="77777777" w:rsidR="00BE2EAB" w:rsidRDefault="00BE2EAB" w:rsidP="00423C6D">
      <w:pPr>
        <w:pStyle w:val="a2"/>
        <w:rPr>
          <w:rtl/>
        </w:rPr>
      </w:pPr>
      <w:r>
        <w:rPr>
          <w:rFonts w:hint="cs"/>
          <w:rtl/>
        </w:rPr>
        <w:t>הרמב"ם (הל' אישות פ"ו) מפרש, ארבעה דברים בכל תנאי, ואחד מהם שצריך לומר התנאי קודם המעשה, אבל אם עשה המעשה ואח"כ התנה, אין זה תנאי. ובלשון הרמב"ם (שם ה"ד) "אבל אם אמר לה הרי את מקודשת לי בדינר זה, ונתן הדינר בידה, ושלים התנאי ואמר, אם תתנו לי מאתיים זוז תהי' מקודשת ואם לא תתני לי לא תהי' מקודשת, הרי התנאי בטל, מפני שהקדים המעשה ונתן בידה ואח"כ התנה, ואע"פ שהכל בתוך כדי דיבור" עכ"ל.</w:t>
      </w:r>
    </w:p>
    <w:p w14:paraId="44B02379" w14:textId="77777777" w:rsidR="00BE2EAB" w:rsidRDefault="00BE2EAB" w:rsidP="00423C6D">
      <w:pPr>
        <w:pStyle w:val="a2"/>
        <w:rPr>
          <w:rtl/>
        </w:rPr>
      </w:pPr>
      <w:r>
        <w:rPr>
          <w:rFonts w:hint="cs"/>
          <w:rtl/>
        </w:rPr>
        <w:t>ובהגהות הרמ"ך תמה על הרמב"ם, וז"ל "תימה הוא מה שפירש בכאן מעשה קודם לתנאי, שהשלים המעשה ואח"כ התנה . . ועוד כיון דקיימא לן (נדרים פז,א) דבקידושין ובגירושין לא אמרינן תוך כדי דיבור כדיבור דמי, א"כ "בעל מנת" ו"בעכשיו" אם הקדים המעשה לתנאי, אמאי הוי התנאי קיים, הא הוי התנאי כחזרה כיון שנגמר המעשה קודם הזכרת התנאי, וצ"ע" עכ"ל.</w:t>
      </w:r>
    </w:p>
    <w:p w14:paraId="344DA695" w14:textId="77777777" w:rsidR="00BE2EAB" w:rsidRDefault="00BE2EAB" w:rsidP="00423C6D">
      <w:pPr>
        <w:pStyle w:val="a2"/>
        <w:rPr>
          <w:rtl/>
        </w:rPr>
      </w:pPr>
      <w:r>
        <w:rPr>
          <w:rFonts w:hint="cs"/>
          <w:rtl/>
        </w:rPr>
        <w:t>וכוותו הוא על מ"ש הרמב"ם בהלכה יז-יח שהאומר "הרי את מקודשת לי על מנת וכו' או מעכשיו וכו' אין צריך להקדים התנאי להמעשה. וקשה ליה, אם הכוונה ב"מעשה הוא נתינת הדינר, איך מועיל שום תנאי לאחר זה. וא"ת שיאמר התנאי תוך כדי דיבור מנתינת הדינר , הא אמרינן בנדרים (פז,א) שתוך כדי דיבור אינו מועיל בקידושין . ונשאר בצ"ע.</w:t>
      </w:r>
    </w:p>
    <w:p w14:paraId="4EEBD48A" w14:textId="21FC82DD" w:rsidR="00BE2EAB" w:rsidRDefault="00BE2EAB" w:rsidP="00423C6D">
      <w:pPr>
        <w:pStyle w:val="a2"/>
        <w:rPr>
          <w:rtl/>
        </w:rPr>
      </w:pPr>
      <w:r>
        <w:rPr>
          <w:rFonts w:hint="cs"/>
          <w:rtl/>
        </w:rPr>
        <w:t>ואולי אפשר לתרץ, שכאן אין מועיל התנאי מדין תוך כדי דיבור, רק כי מוכח שלא סיים עדיין דבריו הראשונים. כי הוא אומר כך: "הרי את מקודשת לי בדינר זה על מנת" ונותן הדינר ואח"כ ממשיך "שתתני מאתיים זוז". ובאופן כזה כשהוא אומר התנאי (שתתני לי מאתיים זוז) אחר המעשה, מוכח שהוא עדיין באמצע דבריו הראשונים "על מנת", ולא סיים דבריו ועכשיו רוצה להוסיף תוך כדי דיבור, ופשוט.</w:t>
      </w:r>
    </w:p>
    <w:p w14:paraId="324E2407" w14:textId="77777777" w:rsidR="00BE2EAB" w:rsidRPr="00347933" w:rsidRDefault="00BE2EAB" w:rsidP="00571D4C">
      <w:pPr>
        <w:pStyle w:val="a4"/>
        <w:sectPr w:rsidR="00BE2EAB"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D91C222" w14:textId="65840E76" w:rsidR="00BE2EAB" w:rsidRDefault="00BE2EAB" w:rsidP="00BE2EAB">
      <w:pPr>
        <w:pStyle w:val="a"/>
        <w:rPr>
          <w:rtl/>
        </w:rPr>
      </w:pPr>
      <w:bookmarkStart w:id="146" w:name="_Toc531140385"/>
      <w:r>
        <w:rPr>
          <w:rFonts w:hint="cs"/>
          <w:rtl/>
        </w:rPr>
        <w:lastRenderedPageBreak/>
        <w:t>בפירוש רש"י דחס עליה לשורפה</w:t>
      </w:r>
      <w:bookmarkEnd w:id="146"/>
    </w:p>
    <w:p w14:paraId="0BD18E49" w14:textId="2846BC30" w:rsidR="00BE2EAB" w:rsidRPr="008307D7" w:rsidRDefault="00BE2EAB" w:rsidP="00C40DBA">
      <w:pPr>
        <w:pStyle w:val="a0"/>
        <w:rPr>
          <w:rtl/>
        </w:rPr>
      </w:pPr>
      <w:bookmarkStart w:id="147" w:name="_Toc531140386"/>
      <w:r w:rsidRPr="008307D7">
        <w:rPr>
          <w:rFonts w:hint="cs"/>
          <w:rtl/>
          <w:lang w:bidi="he-IL"/>
        </w:rPr>
        <w:t>הנ</w:t>
      </w:r>
      <w:r w:rsidRPr="008307D7">
        <w:rPr>
          <w:rFonts w:hint="cs"/>
          <w:rtl/>
        </w:rPr>
        <w:t>"</w:t>
      </w:r>
      <w:r w:rsidRPr="008307D7">
        <w:rPr>
          <w:rFonts w:hint="cs"/>
          <w:rtl/>
          <w:lang w:bidi="he-IL"/>
        </w:rPr>
        <w:t>ל</w:t>
      </w:r>
      <w:bookmarkEnd w:id="147"/>
    </w:p>
    <w:p w14:paraId="014C4AC9" w14:textId="77777777" w:rsidR="00BE2EAB" w:rsidRDefault="00BE2EAB" w:rsidP="00423C6D">
      <w:pPr>
        <w:pStyle w:val="a2"/>
        <w:rPr>
          <w:rtl/>
        </w:rPr>
      </w:pPr>
      <w:r>
        <w:rPr>
          <w:rFonts w:hint="cs"/>
          <w:rtl/>
        </w:rPr>
        <w:t>איתא בפסחים (ו,ב) "אמר רב יהודה אמר רב הבודק צריך שיבטל, מאי טעמא, אמר רבא שמא ימצא גלוסקא יפה ודעתי' עילוי', וכי משכחת לי' לבטלי', דךמא משכחת לי' לאחר איסורא ולאו ברשותי' קיימא ולא מצי מבטיל".</w:t>
      </w:r>
    </w:p>
    <w:p w14:paraId="66DDA056" w14:textId="77777777" w:rsidR="00BE2EAB" w:rsidRDefault="00BE2EAB" w:rsidP="00423C6D">
      <w:pPr>
        <w:pStyle w:val="a2"/>
        <w:rPr>
          <w:rtl/>
        </w:rPr>
      </w:pPr>
      <w:r>
        <w:rPr>
          <w:rFonts w:hint="cs"/>
          <w:rtl/>
        </w:rPr>
        <w:t>ופרש"י (ד"ה ודעתו עליה) "חשובה היא בעיניו וחס עליה לשורפה ומשהה אפי' רגע אחד ונמצא עובר עליה בב"י וב"י.</w:t>
      </w:r>
    </w:p>
    <w:p w14:paraId="5F5D0099" w14:textId="77777777" w:rsidR="00BE2EAB" w:rsidRDefault="00BE2EAB" w:rsidP="00423C6D">
      <w:pPr>
        <w:pStyle w:val="a2"/>
        <w:rPr>
          <w:rtl/>
        </w:rPr>
      </w:pPr>
      <w:r>
        <w:rPr>
          <w:rFonts w:hint="cs"/>
          <w:rtl/>
        </w:rPr>
        <w:t>והקשה בתוס' (ד"ה ודעתי' עילוי') "שאם חס עליה לשורפה מאי פריך הגמ' "וכי משכחת לי' לבטלי'" הא לא רצה לבטלי'. ומפרש המהרש"א, שאע"פ שרש"י פי' שחס עליה לשורפה, ""ממילא משמע דאותה רגע שחס עליה לשורפה ודאי דחס נמי עליה לבטלה".</w:t>
      </w:r>
    </w:p>
    <w:p w14:paraId="0DECCE78" w14:textId="77777777" w:rsidR="00BE2EAB" w:rsidRDefault="00BE2EAB" w:rsidP="00423C6D">
      <w:pPr>
        <w:pStyle w:val="a2"/>
        <w:rPr>
          <w:rtl/>
        </w:rPr>
      </w:pPr>
      <w:r>
        <w:rPr>
          <w:rFonts w:hint="cs"/>
          <w:rtl/>
        </w:rPr>
        <w:t>[הפנ"י תירץ "דאין כוונת רש"י דחס עליה לבטלה דלאו ברשיעי עסקינן שיתכוון לזכות בחמץ בפסח אלא מה שכתב רש"י דחס עליה לשורפה היינו שרוצה ליתן לבהמת הפקר או לעובד כוכבים שאינו מכירו או לישל לחכמים מה יעשה בה ובתוך כך יעבור עליו" וקצת דוחק לומר שבזה הוי מבטל החמץ, כי ביטול הוא לחשוב שחמץ זה הוא כעפרא דערעא, וכאן הוא רוצה החמץ מאיזה סיבה שהיא, אף כי בעיניו חמץ זה בטל, אבל בה בשעה חושב שיש איזה שהיא צורך בחמץ זה, וצע"ק].</w:t>
      </w:r>
    </w:p>
    <w:p w14:paraId="50B97FC0" w14:textId="70778537" w:rsidR="00BE2EAB" w:rsidRDefault="00BE2EAB" w:rsidP="00423C6D">
      <w:pPr>
        <w:pStyle w:val="a2"/>
        <w:rPr>
          <w:rtl/>
        </w:rPr>
      </w:pPr>
      <w:r>
        <w:rPr>
          <w:rFonts w:hint="cs"/>
          <w:rtl/>
        </w:rPr>
        <w:t>ואולי אפשר לתרץ,</w:t>
      </w:r>
      <w:r>
        <w:t xml:space="preserve"> </w:t>
      </w:r>
      <w:r>
        <w:rPr>
          <w:rFonts w:hint="cs"/>
          <w:rtl/>
        </w:rPr>
        <w:t>לפי מה שנתבאר התוס' רי</w:t>
      </w:r>
      <w:r w:rsidR="004C5368">
        <w:rPr>
          <w:rFonts w:hint="cs"/>
          <w:rtl/>
        </w:rPr>
        <w:t>"</w:t>
      </w:r>
      <w:r>
        <w:rPr>
          <w:rFonts w:hint="cs"/>
          <w:rtl/>
        </w:rPr>
        <w:t>ד (ד"ה גזירה שמא ימצא) "</w:t>
      </w:r>
      <w:r w:rsidRPr="004C5368">
        <w:rPr>
          <w:rFonts w:hint="cs"/>
          <w:rtl/>
        </w:rPr>
        <w:t>פי</w:t>
      </w:r>
      <w:r w:rsidRPr="004C5368">
        <w:rPr>
          <w:rtl/>
        </w:rPr>
        <w:t>'</w:t>
      </w:r>
      <w:r>
        <w:rPr>
          <w:rFonts w:cs="Arial"/>
          <w:rtl/>
        </w:rPr>
        <w:t xml:space="preserve"> </w:t>
      </w:r>
      <w:r w:rsidRPr="00BE2EAB">
        <w:rPr>
          <w:rFonts w:hint="cs"/>
          <w:rtl/>
        </w:rPr>
        <w:t>מדמקשה</w:t>
      </w:r>
      <w:r w:rsidRPr="00BE2EAB">
        <w:rPr>
          <w:rtl/>
        </w:rPr>
        <w:t xml:space="preserve"> </w:t>
      </w:r>
      <w:r w:rsidRPr="00BE2EAB">
        <w:rPr>
          <w:rFonts w:hint="cs"/>
          <w:rtl/>
        </w:rPr>
        <w:t>וכי</w:t>
      </w:r>
      <w:r w:rsidRPr="00BE2EAB">
        <w:rPr>
          <w:rtl/>
        </w:rPr>
        <w:t xml:space="preserve"> </w:t>
      </w:r>
      <w:r w:rsidRPr="00BE2EAB">
        <w:rPr>
          <w:rFonts w:hint="cs"/>
          <w:rtl/>
        </w:rPr>
        <w:t>משכח</w:t>
      </w:r>
      <w:r w:rsidRPr="00BE2EAB">
        <w:rPr>
          <w:rtl/>
        </w:rPr>
        <w:t xml:space="preserve"> </w:t>
      </w:r>
      <w:r w:rsidRPr="00BE2EAB">
        <w:rPr>
          <w:rFonts w:hint="cs"/>
          <w:rtl/>
        </w:rPr>
        <w:t>לי</w:t>
      </w:r>
      <w:r w:rsidRPr="00BE2EAB">
        <w:rPr>
          <w:rtl/>
        </w:rPr>
        <w:t xml:space="preserve">' </w:t>
      </w:r>
      <w:r w:rsidRPr="00BE2EAB">
        <w:rPr>
          <w:rFonts w:hint="cs"/>
          <w:rtl/>
        </w:rPr>
        <w:t>לבטליה</w:t>
      </w:r>
      <w:r w:rsidRPr="00BE2EAB">
        <w:rPr>
          <w:rtl/>
        </w:rPr>
        <w:t xml:space="preserve"> </w:t>
      </w:r>
      <w:r w:rsidRPr="00BE2EAB">
        <w:rPr>
          <w:rFonts w:hint="cs"/>
          <w:rtl/>
        </w:rPr>
        <w:t>ומתרץ</w:t>
      </w:r>
      <w:r w:rsidRPr="00BE2EAB">
        <w:rPr>
          <w:rtl/>
        </w:rPr>
        <w:t xml:space="preserve"> </w:t>
      </w:r>
      <w:r w:rsidRPr="00BE2EAB">
        <w:rPr>
          <w:rFonts w:hint="cs"/>
          <w:rtl/>
        </w:rPr>
        <w:t>דילמא</w:t>
      </w:r>
      <w:r w:rsidRPr="00BE2EAB">
        <w:rPr>
          <w:rtl/>
        </w:rPr>
        <w:t xml:space="preserve"> </w:t>
      </w:r>
      <w:r w:rsidRPr="00BE2EAB">
        <w:rPr>
          <w:rFonts w:hint="cs"/>
          <w:rtl/>
        </w:rPr>
        <w:t>משכח</w:t>
      </w:r>
      <w:r w:rsidRPr="00BE2EAB">
        <w:rPr>
          <w:rtl/>
        </w:rPr>
        <w:t xml:space="preserve"> </w:t>
      </w:r>
      <w:r w:rsidRPr="00BE2EAB">
        <w:rPr>
          <w:rFonts w:hint="cs"/>
          <w:rtl/>
        </w:rPr>
        <w:t>לה</w:t>
      </w:r>
      <w:r w:rsidRPr="00BE2EAB">
        <w:rPr>
          <w:rtl/>
        </w:rPr>
        <w:t xml:space="preserve"> </w:t>
      </w:r>
      <w:r w:rsidRPr="00BE2EAB">
        <w:rPr>
          <w:rFonts w:hint="cs"/>
          <w:rtl/>
        </w:rPr>
        <w:t>לבתר</w:t>
      </w:r>
      <w:r w:rsidRPr="00BE2EAB">
        <w:rPr>
          <w:rtl/>
        </w:rPr>
        <w:t xml:space="preserve"> </w:t>
      </w:r>
      <w:r w:rsidRPr="00BE2EAB">
        <w:rPr>
          <w:rFonts w:hint="cs"/>
          <w:rtl/>
        </w:rPr>
        <w:t>איסורה</w:t>
      </w:r>
      <w:r w:rsidRPr="00BE2EAB">
        <w:rPr>
          <w:rtl/>
        </w:rPr>
        <w:t xml:space="preserve"> </w:t>
      </w:r>
      <w:r w:rsidRPr="00BE2EAB">
        <w:rPr>
          <w:rFonts w:hint="cs"/>
          <w:rtl/>
        </w:rPr>
        <w:t>ש</w:t>
      </w:r>
      <w:r w:rsidRPr="00BE2EAB">
        <w:rPr>
          <w:rtl/>
        </w:rPr>
        <w:t>"</w:t>
      </w:r>
      <w:r w:rsidRPr="00BE2EAB">
        <w:rPr>
          <w:rFonts w:hint="cs"/>
          <w:rtl/>
        </w:rPr>
        <w:t>מ</w:t>
      </w:r>
      <w:r w:rsidRPr="00BE2EAB">
        <w:rPr>
          <w:rtl/>
        </w:rPr>
        <w:t xml:space="preserve"> </w:t>
      </w:r>
      <w:r w:rsidRPr="00BE2EAB">
        <w:rPr>
          <w:rFonts w:hint="cs"/>
          <w:rtl/>
        </w:rPr>
        <w:t>דעד</w:t>
      </w:r>
      <w:r w:rsidRPr="00BE2EAB">
        <w:rPr>
          <w:rtl/>
        </w:rPr>
        <w:t xml:space="preserve"> </w:t>
      </w:r>
      <w:r w:rsidRPr="00BE2EAB">
        <w:rPr>
          <w:rFonts w:hint="cs"/>
          <w:rtl/>
        </w:rPr>
        <w:t>השתא</w:t>
      </w:r>
      <w:r w:rsidRPr="00BE2EAB">
        <w:rPr>
          <w:rtl/>
        </w:rPr>
        <w:t xml:space="preserve"> </w:t>
      </w:r>
      <w:r w:rsidRPr="00BE2EAB">
        <w:rPr>
          <w:rFonts w:hint="cs"/>
          <w:rtl/>
        </w:rPr>
        <w:t>מיקמי</w:t>
      </w:r>
      <w:r w:rsidRPr="00BE2EAB">
        <w:rPr>
          <w:rtl/>
        </w:rPr>
        <w:t xml:space="preserve"> </w:t>
      </w:r>
      <w:r w:rsidRPr="00BE2EAB">
        <w:rPr>
          <w:rFonts w:hint="cs"/>
          <w:rtl/>
        </w:rPr>
        <w:t>איסורא</w:t>
      </w:r>
      <w:r w:rsidRPr="00BE2EAB">
        <w:rPr>
          <w:rtl/>
        </w:rPr>
        <w:t xml:space="preserve"> </w:t>
      </w:r>
      <w:r w:rsidRPr="00BE2EAB">
        <w:rPr>
          <w:rFonts w:hint="cs"/>
          <w:rtl/>
        </w:rPr>
        <w:t>קאמר</w:t>
      </w:r>
      <w:r w:rsidRPr="00BE2EAB">
        <w:rPr>
          <w:rtl/>
        </w:rPr>
        <w:t xml:space="preserve"> </w:t>
      </w:r>
      <w:r w:rsidRPr="00BE2EAB">
        <w:rPr>
          <w:rFonts w:hint="cs"/>
          <w:rtl/>
        </w:rPr>
        <w:t>וה</w:t>
      </w:r>
      <w:r w:rsidRPr="00BE2EAB">
        <w:rPr>
          <w:rtl/>
        </w:rPr>
        <w:t>"</w:t>
      </w:r>
      <w:r w:rsidRPr="00BE2EAB">
        <w:rPr>
          <w:rFonts w:hint="cs"/>
          <w:rtl/>
        </w:rPr>
        <w:t>פ</w:t>
      </w:r>
      <w:r w:rsidRPr="00BE2EAB">
        <w:rPr>
          <w:rtl/>
        </w:rPr>
        <w:t xml:space="preserve"> </w:t>
      </w:r>
      <w:r w:rsidRPr="00BE2EAB">
        <w:rPr>
          <w:rFonts w:hint="cs"/>
          <w:rtl/>
        </w:rPr>
        <w:t>שמא</w:t>
      </w:r>
      <w:r w:rsidRPr="00BE2EAB">
        <w:rPr>
          <w:rtl/>
        </w:rPr>
        <w:t xml:space="preserve"> </w:t>
      </w:r>
      <w:r w:rsidRPr="00BE2EAB">
        <w:rPr>
          <w:rFonts w:hint="cs"/>
          <w:rtl/>
        </w:rPr>
        <w:t>יצא</w:t>
      </w:r>
      <w:r w:rsidRPr="00BE2EAB">
        <w:rPr>
          <w:rtl/>
        </w:rPr>
        <w:t xml:space="preserve"> </w:t>
      </w:r>
      <w:r w:rsidRPr="00BE2EAB">
        <w:rPr>
          <w:rFonts w:hint="cs"/>
          <w:rtl/>
        </w:rPr>
        <w:t>גלוסקא</w:t>
      </w:r>
      <w:r w:rsidRPr="00BE2EAB">
        <w:rPr>
          <w:rtl/>
        </w:rPr>
        <w:t xml:space="preserve"> </w:t>
      </w:r>
      <w:r w:rsidRPr="00BE2EAB">
        <w:rPr>
          <w:rFonts w:hint="cs"/>
          <w:rtl/>
        </w:rPr>
        <w:t>יפה</w:t>
      </w:r>
      <w:r w:rsidRPr="00BE2EAB">
        <w:rPr>
          <w:rtl/>
        </w:rPr>
        <w:t xml:space="preserve"> </w:t>
      </w:r>
      <w:r w:rsidRPr="00BE2EAB">
        <w:rPr>
          <w:rFonts w:hint="cs"/>
          <w:rtl/>
        </w:rPr>
        <w:t>אחר</w:t>
      </w:r>
      <w:r w:rsidRPr="00BE2EAB">
        <w:rPr>
          <w:rtl/>
        </w:rPr>
        <w:t xml:space="preserve"> </w:t>
      </w:r>
      <w:r w:rsidRPr="00BE2EAB">
        <w:rPr>
          <w:rFonts w:hint="cs"/>
          <w:rtl/>
        </w:rPr>
        <w:t>בדיקתו</w:t>
      </w:r>
      <w:r w:rsidRPr="00BE2EAB">
        <w:rPr>
          <w:rtl/>
        </w:rPr>
        <w:t xml:space="preserve"> </w:t>
      </w:r>
      <w:r w:rsidRPr="00BE2EAB">
        <w:rPr>
          <w:rFonts w:hint="cs"/>
          <w:rtl/>
        </w:rPr>
        <w:t>ודעתו</w:t>
      </w:r>
      <w:r w:rsidRPr="00BE2EAB">
        <w:rPr>
          <w:rtl/>
        </w:rPr>
        <w:t xml:space="preserve"> </w:t>
      </w:r>
      <w:r w:rsidRPr="00BE2EAB">
        <w:rPr>
          <w:rFonts w:hint="cs"/>
          <w:rtl/>
        </w:rPr>
        <w:t>לאכלה".</w:t>
      </w:r>
    </w:p>
    <w:p w14:paraId="7AC8F49C" w14:textId="3BA2F3C5" w:rsidR="00BE2EAB" w:rsidRPr="00BE2EAB" w:rsidRDefault="00BE2EAB" w:rsidP="00423C6D">
      <w:pPr>
        <w:pStyle w:val="a2"/>
        <w:rPr>
          <w:rtl/>
          <w:lang w:val="en-US"/>
        </w:rPr>
      </w:pPr>
      <w:r>
        <w:rPr>
          <w:rFonts w:hint="cs"/>
          <w:rtl/>
        </w:rPr>
        <w:t>ולפי זה י"ל ברש"י שלעולם כוונת רש"י הוא שחס עליה לשורפה ולבטלה, (כמ"ש המהרש"א) והפירכא "וכי משכחת לי' לבטלי'" הוא רק בההו"א שמיירי קודם זמן איסורא (כדמוכח מתי' הגמ' "דלמא משכחת לי' לבתר איסורא כו'" ומוכח שהמקשן סובר שרבא מיירי קודם איסורא. (וצ"ע איך יש הו"א שגזירת "שמא ימצא גלוסקא יפה" הוא קודם זמן איסורא)) ורש"י מפרש דברי רבא לפי המסקנא, שמא ימצא לאחר איסורו ולא יכול לבטלו, וחס עליה ומשהה אפי' רגע אחד. (ותדע שר"י מפרש לפי המסקנא שמיירי אחר זמן איסורו כי הוא אומר "ונמצא עובר עליו בב"י וב"י", וקודם זמן איסורו אינו עובר. אלא ע"כ רש"י מפרש לפי המסקנא).</w:t>
      </w:r>
    </w:p>
    <w:p w14:paraId="2C380704" w14:textId="77777777" w:rsidR="00EE6654" w:rsidRPr="00C46326" w:rsidRDefault="00EE6654" w:rsidP="00EA6FAC">
      <w:pPr>
        <w:pStyle w:val="a"/>
        <w:rPr>
          <w:rtl/>
        </w:rPr>
      </w:pPr>
      <w:bookmarkStart w:id="148" w:name="_Toc531140387"/>
      <w:r w:rsidRPr="00C46326">
        <w:rPr>
          <w:rFonts w:hint="cs"/>
          <w:rtl/>
        </w:rPr>
        <w:lastRenderedPageBreak/>
        <w:t>ב' ביאורים בפרש"י ד"ה עושה לו</w:t>
      </w:r>
      <w:bookmarkEnd w:id="148"/>
    </w:p>
    <w:p w14:paraId="7C71EAF5" w14:textId="149AE17F" w:rsidR="00EE6654" w:rsidRPr="008307D7" w:rsidRDefault="00EE6654" w:rsidP="00C40DBA">
      <w:pPr>
        <w:pStyle w:val="a0"/>
        <w:rPr>
          <w:rtl/>
        </w:rPr>
      </w:pPr>
      <w:bookmarkStart w:id="149" w:name="_Toc531140388"/>
      <w:r w:rsidRPr="008307D7">
        <w:rPr>
          <w:rFonts w:hint="cs"/>
          <w:rtl/>
          <w:lang w:bidi="he-IL"/>
        </w:rPr>
        <w:t>הת</w:t>
      </w:r>
      <w:r w:rsidRPr="008307D7">
        <w:rPr>
          <w:rFonts w:hint="cs"/>
          <w:rtl/>
        </w:rPr>
        <w:t xml:space="preserve">' </w:t>
      </w:r>
      <w:r w:rsidR="00E771D2" w:rsidRPr="008307D7">
        <w:rPr>
          <w:rFonts w:hint="cs"/>
          <w:rtl/>
          <w:lang w:bidi="he-IL"/>
        </w:rPr>
        <w:t>מנחם מענדל</w:t>
      </w:r>
      <w:r w:rsidRPr="008307D7">
        <w:rPr>
          <w:rFonts w:hint="cs"/>
          <w:rtl/>
          <w:lang w:bidi="he-IL"/>
        </w:rPr>
        <w:t xml:space="preserve"> הכהן הענדל</w:t>
      </w:r>
      <w:bookmarkEnd w:id="149"/>
    </w:p>
    <w:p w14:paraId="5FAADDF5" w14:textId="3911DCB1" w:rsidR="00EA6FAC" w:rsidRPr="00EA6FAC" w:rsidRDefault="00EA6FAC" w:rsidP="00EA6FAC">
      <w:pPr>
        <w:pStyle w:val="a1"/>
        <w:rPr>
          <w:rtl/>
          <w:lang w:val="en-GB"/>
        </w:rPr>
      </w:pPr>
      <w:r>
        <w:rPr>
          <w:rFonts w:hint="cs"/>
          <w:rtl/>
          <w:lang w:val="en-GB"/>
        </w:rPr>
        <w:t>תלמיד בישיבה</w:t>
      </w:r>
    </w:p>
    <w:p w14:paraId="394FB649" w14:textId="77777777" w:rsidR="00EE6654" w:rsidRPr="00E125FC" w:rsidRDefault="00EE6654" w:rsidP="00423C6D">
      <w:pPr>
        <w:pStyle w:val="a2"/>
        <w:rPr>
          <w:rtl/>
        </w:rPr>
      </w:pPr>
      <w:r w:rsidRPr="00E125FC">
        <w:rPr>
          <w:rFonts w:hint="cs"/>
          <w:rtl/>
        </w:rPr>
        <w:t>איתא בגמ'</w:t>
      </w:r>
      <w:r>
        <w:rPr>
          <w:rStyle w:val="FootnoteReference"/>
          <w:sz w:val="32"/>
          <w:szCs w:val="32"/>
          <w:rtl/>
        </w:rPr>
        <w:footnoteReference w:id="76"/>
      </w:r>
      <w:r w:rsidRPr="00E125FC">
        <w:rPr>
          <w:rFonts w:hint="cs"/>
          <w:rtl/>
        </w:rPr>
        <w:t xml:space="preserve"> "אמר</w:t>
      </w:r>
      <w:r w:rsidRPr="00E125FC">
        <w:rPr>
          <w:rtl/>
        </w:rPr>
        <w:t xml:space="preserve"> </w:t>
      </w:r>
      <w:r w:rsidRPr="00E125FC">
        <w:rPr>
          <w:rFonts w:hint="cs"/>
          <w:rtl/>
        </w:rPr>
        <w:t>רב</w:t>
      </w:r>
      <w:r w:rsidRPr="00E125FC">
        <w:rPr>
          <w:rtl/>
        </w:rPr>
        <w:t xml:space="preserve"> </w:t>
      </w:r>
      <w:r w:rsidRPr="00E125FC">
        <w:rPr>
          <w:rFonts w:hint="cs"/>
          <w:rtl/>
        </w:rPr>
        <w:t>יהודה</w:t>
      </w:r>
      <w:r w:rsidRPr="00E125FC">
        <w:rPr>
          <w:rtl/>
        </w:rPr>
        <w:t xml:space="preserve"> </w:t>
      </w:r>
      <w:r w:rsidRPr="00E125FC">
        <w:rPr>
          <w:rFonts w:hint="cs"/>
          <w:rtl/>
        </w:rPr>
        <w:t>אמר</w:t>
      </w:r>
      <w:r w:rsidRPr="00E125FC">
        <w:rPr>
          <w:rtl/>
        </w:rPr>
        <w:t xml:space="preserve"> </w:t>
      </w:r>
      <w:r w:rsidRPr="00E125FC">
        <w:rPr>
          <w:rFonts w:hint="cs"/>
          <w:rtl/>
        </w:rPr>
        <w:t>רב</w:t>
      </w:r>
      <w:r w:rsidRPr="00E125FC">
        <w:rPr>
          <w:rtl/>
        </w:rPr>
        <w:t xml:space="preserve"> </w:t>
      </w:r>
      <w:r w:rsidRPr="00E125FC">
        <w:rPr>
          <w:rFonts w:hint="cs"/>
          <w:rtl/>
        </w:rPr>
        <w:t>המוצא</w:t>
      </w:r>
      <w:r w:rsidRPr="00E125FC">
        <w:rPr>
          <w:rtl/>
        </w:rPr>
        <w:t xml:space="preserve"> </w:t>
      </w:r>
      <w:r w:rsidRPr="00E125FC">
        <w:rPr>
          <w:rFonts w:hint="cs"/>
          <w:rtl/>
        </w:rPr>
        <w:t>חמץ</w:t>
      </w:r>
      <w:r w:rsidRPr="00E125FC">
        <w:rPr>
          <w:rtl/>
        </w:rPr>
        <w:t xml:space="preserve"> </w:t>
      </w:r>
      <w:r w:rsidRPr="00E125FC">
        <w:rPr>
          <w:rFonts w:hint="cs"/>
          <w:rtl/>
        </w:rPr>
        <w:t>בביתו</w:t>
      </w:r>
      <w:r w:rsidRPr="00E125FC">
        <w:rPr>
          <w:rtl/>
        </w:rPr>
        <w:t xml:space="preserve"> </w:t>
      </w:r>
      <w:r w:rsidRPr="00E125FC">
        <w:rPr>
          <w:rFonts w:hint="cs"/>
          <w:rtl/>
        </w:rPr>
        <w:t>ביום</w:t>
      </w:r>
      <w:r w:rsidRPr="00E125FC">
        <w:rPr>
          <w:rtl/>
        </w:rPr>
        <w:t xml:space="preserve"> </w:t>
      </w:r>
      <w:r w:rsidRPr="00E125FC">
        <w:rPr>
          <w:rFonts w:hint="cs"/>
          <w:rtl/>
        </w:rPr>
        <w:t>טוב,</w:t>
      </w:r>
      <w:r w:rsidRPr="00E125FC">
        <w:rPr>
          <w:rtl/>
        </w:rPr>
        <w:t xml:space="preserve"> </w:t>
      </w:r>
      <w:r w:rsidRPr="00E125FC">
        <w:rPr>
          <w:rFonts w:hint="cs"/>
          <w:rtl/>
        </w:rPr>
        <w:t>כופה</w:t>
      </w:r>
      <w:r w:rsidRPr="00E125FC">
        <w:rPr>
          <w:rtl/>
        </w:rPr>
        <w:t xml:space="preserve"> </w:t>
      </w:r>
      <w:r w:rsidRPr="00E125FC">
        <w:rPr>
          <w:rFonts w:hint="cs"/>
          <w:rtl/>
        </w:rPr>
        <w:t>עליו</w:t>
      </w:r>
      <w:r w:rsidRPr="00E125FC">
        <w:rPr>
          <w:rtl/>
        </w:rPr>
        <w:t xml:space="preserve"> </w:t>
      </w:r>
      <w:r w:rsidRPr="00E125FC">
        <w:rPr>
          <w:rFonts w:hint="cs"/>
          <w:rtl/>
        </w:rPr>
        <w:t>את</w:t>
      </w:r>
      <w:r w:rsidRPr="00E125FC">
        <w:rPr>
          <w:rtl/>
        </w:rPr>
        <w:t xml:space="preserve"> </w:t>
      </w:r>
      <w:r w:rsidRPr="00E125FC">
        <w:rPr>
          <w:rFonts w:hint="cs"/>
          <w:rtl/>
        </w:rPr>
        <w:t>הכלי</w:t>
      </w:r>
      <w:r w:rsidRPr="00E125FC">
        <w:rPr>
          <w:rtl/>
        </w:rPr>
        <w:t xml:space="preserve">. </w:t>
      </w:r>
      <w:r w:rsidRPr="00E125FC">
        <w:rPr>
          <w:rFonts w:hint="cs"/>
          <w:rtl/>
        </w:rPr>
        <w:t>אמר</w:t>
      </w:r>
      <w:r w:rsidRPr="00E125FC">
        <w:rPr>
          <w:rtl/>
        </w:rPr>
        <w:t xml:space="preserve"> </w:t>
      </w:r>
      <w:r w:rsidRPr="00E125FC">
        <w:rPr>
          <w:rFonts w:hint="cs"/>
          <w:rtl/>
        </w:rPr>
        <w:t>רבא</w:t>
      </w:r>
      <w:r w:rsidRPr="00E125FC">
        <w:rPr>
          <w:rtl/>
        </w:rPr>
        <w:t xml:space="preserve"> </w:t>
      </w:r>
      <w:r w:rsidRPr="00E125FC">
        <w:rPr>
          <w:rFonts w:hint="cs"/>
          <w:rtl/>
        </w:rPr>
        <w:t>אם</w:t>
      </w:r>
      <w:r w:rsidRPr="00E125FC">
        <w:rPr>
          <w:rtl/>
        </w:rPr>
        <w:t xml:space="preserve"> </w:t>
      </w:r>
      <w:r w:rsidRPr="00E125FC">
        <w:rPr>
          <w:rFonts w:hint="cs"/>
          <w:rtl/>
        </w:rPr>
        <w:t>של</w:t>
      </w:r>
      <w:r w:rsidRPr="00E125FC">
        <w:rPr>
          <w:rtl/>
        </w:rPr>
        <w:t xml:space="preserve"> </w:t>
      </w:r>
      <w:r w:rsidRPr="00E125FC">
        <w:rPr>
          <w:rFonts w:hint="cs"/>
          <w:rtl/>
        </w:rPr>
        <w:t>הקדש</w:t>
      </w:r>
      <w:r w:rsidRPr="00E125FC">
        <w:rPr>
          <w:rtl/>
        </w:rPr>
        <w:t xml:space="preserve"> </w:t>
      </w:r>
      <w:r w:rsidRPr="00E125FC">
        <w:rPr>
          <w:rFonts w:hint="cs"/>
          <w:rtl/>
        </w:rPr>
        <w:t>הוא, אינו</w:t>
      </w:r>
      <w:r w:rsidRPr="00E125FC">
        <w:rPr>
          <w:rtl/>
        </w:rPr>
        <w:t xml:space="preserve"> </w:t>
      </w:r>
      <w:r w:rsidRPr="00E125FC">
        <w:rPr>
          <w:rFonts w:hint="cs"/>
          <w:rtl/>
        </w:rPr>
        <w:t>צריך</w:t>
      </w:r>
      <w:r w:rsidRPr="00E125FC">
        <w:rPr>
          <w:rtl/>
        </w:rPr>
        <w:t xml:space="preserve">. </w:t>
      </w:r>
      <w:r w:rsidRPr="00E125FC">
        <w:rPr>
          <w:rFonts w:hint="cs"/>
          <w:rtl/>
        </w:rPr>
        <w:t>מאי</w:t>
      </w:r>
      <w:r w:rsidRPr="00E125FC">
        <w:rPr>
          <w:rtl/>
        </w:rPr>
        <w:t xml:space="preserve"> </w:t>
      </w:r>
      <w:r w:rsidRPr="00E125FC">
        <w:rPr>
          <w:rFonts w:hint="cs"/>
          <w:rtl/>
        </w:rPr>
        <w:t>טעמא</w:t>
      </w:r>
      <w:r w:rsidRPr="00E125FC">
        <w:rPr>
          <w:rtl/>
        </w:rPr>
        <w:t xml:space="preserve"> </w:t>
      </w:r>
      <w:r w:rsidRPr="00E125FC">
        <w:rPr>
          <w:rFonts w:hint="cs"/>
          <w:rtl/>
        </w:rPr>
        <w:t>מיבדל</w:t>
      </w:r>
      <w:r w:rsidRPr="00E125FC">
        <w:rPr>
          <w:rtl/>
        </w:rPr>
        <w:t xml:space="preserve"> </w:t>
      </w:r>
      <w:r w:rsidRPr="00E125FC">
        <w:rPr>
          <w:rFonts w:hint="cs"/>
          <w:rtl/>
        </w:rPr>
        <w:t>בדילי</w:t>
      </w:r>
      <w:r w:rsidRPr="00E125FC">
        <w:rPr>
          <w:rtl/>
        </w:rPr>
        <w:t xml:space="preserve"> </w:t>
      </w:r>
      <w:r w:rsidRPr="00E125FC">
        <w:rPr>
          <w:rFonts w:hint="cs"/>
          <w:rtl/>
        </w:rPr>
        <w:t>מיניה</w:t>
      </w:r>
      <w:r w:rsidRPr="00E125FC">
        <w:rPr>
          <w:rtl/>
        </w:rPr>
        <w:t xml:space="preserve">. </w:t>
      </w:r>
      <w:r w:rsidRPr="00E125FC">
        <w:rPr>
          <w:rFonts w:hint="cs"/>
          <w:rtl/>
        </w:rPr>
        <w:t>ואמר</w:t>
      </w:r>
      <w:r w:rsidRPr="00E125FC">
        <w:rPr>
          <w:rtl/>
        </w:rPr>
        <w:t xml:space="preserve"> </w:t>
      </w:r>
      <w:r w:rsidRPr="00E125FC">
        <w:rPr>
          <w:rFonts w:hint="cs"/>
          <w:rtl/>
        </w:rPr>
        <w:t>רב</w:t>
      </w:r>
      <w:r w:rsidRPr="00E125FC">
        <w:rPr>
          <w:rtl/>
        </w:rPr>
        <w:t xml:space="preserve"> </w:t>
      </w:r>
      <w:r w:rsidRPr="00E125FC">
        <w:rPr>
          <w:rFonts w:hint="cs"/>
          <w:rtl/>
        </w:rPr>
        <w:t>יהודה</w:t>
      </w:r>
      <w:r w:rsidRPr="00E125FC">
        <w:rPr>
          <w:rtl/>
        </w:rPr>
        <w:t xml:space="preserve"> </w:t>
      </w:r>
      <w:r w:rsidRPr="00E125FC">
        <w:rPr>
          <w:rFonts w:hint="cs"/>
          <w:rtl/>
        </w:rPr>
        <w:t>אמר</w:t>
      </w:r>
      <w:r w:rsidRPr="00E125FC">
        <w:rPr>
          <w:rtl/>
        </w:rPr>
        <w:t xml:space="preserve"> </w:t>
      </w:r>
      <w:r w:rsidRPr="00E125FC">
        <w:rPr>
          <w:rFonts w:hint="cs"/>
          <w:rtl/>
        </w:rPr>
        <w:t>רב</w:t>
      </w:r>
      <w:r w:rsidRPr="00E125FC">
        <w:rPr>
          <w:rtl/>
        </w:rPr>
        <w:t xml:space="preserve"> </w:t>
      </w:r>
      <w:r w:rsidRPr="00E125FC">
        <w:rPr>
          <w:rFonts w:hint="cs"/>
          <w:rtl/>
        </w:rPr>
        <w:t>חמצו</w:t>
      </w:r>
      <w:r w:rsidRPr="00E125FC">
        <w:rPr>
          <w:rtl/>
        </w:rPr>
        <w:t xml:space="preserve"> </w:t>
      </w:r>
      <w:r w:rsidRPr="00E125FC">
        <w:rPr>
          <w:rFonts w:hint="cs"/>
          <w:rtl/>
        </w:rPr>
        <w:t>של</w:t>
      </w:r>
      <w:r w:rsidRPr="00E125FC">
        <w:rPr>
          <w:rtl/>
        </w:rPr>
        <w:t xml:space="preserve"> </w:t>
      </w:r>
      <w:r w:rsidRPr="00E125FC">
        <w:rPr>
          <w:rFonts w:hint="cs"/>
          <w:rtl/>
        </w:rPr>
        <w:t>נכרי,</w:t>
      </w:r>
      <w:r w:rsidRPr="00E125FC">
        <w:rPr>
          <w:rtl/>
        </w:rPr>
        <w:t xml:space="preserve"> </w:t>
      </w:r>
      <w:r w:rsidRPr="00E125FC">
        <w:rPr>
          <w:rFonts w:hint="cs"/>
          <w:rtl/>
        </w:rPr>
        <w:t>עושה</w:t>
      </w:r>
      <w:r w:rsidRPr="00E125FC">
        <w:rPr>
          <w:rtl/>
        </w:rPr>
        <w:t xml:space="preserve"> </w:t>
      </w:r>
      <w:r w:rsidRPr="00E125FC">
        <w:rPr>
          <w:rFonts w:hint="cs"/>
          <w:rtl/>
        </w:rPr>
        <w:t>לו</w:t>
      </w:r>
      <w:r w:rsidRPr="00E125FC">
        <w:rPr>
          <w:rtl/>
        </w:rPr>
        <w:t xml:space="preserve"> </w:t>
      </w:r>
      <w:r w:rsidRPr="00E125FC">
        <w:rPr>
          <w:rFonts w:hint="cs"/>
          <w:rtl/>
        </w:rPr>
        <w:t>מחיצה</w:t>
      </w:r>
      <w:r w:rsidRPr="00E125FC">
        <w:rPr>
          <w:rtl/>
        </w:rPr>
        <w:t xml:space="preserve"> </w:t>
      </w:r>
      <w:r w:rsidRPr="00E125FC">
        <w:rPr>
          <w:rFonts w:hint="cs"/>
          <w:rtl/>
        </w:rPr>
        <w:t>עשרה</w:t>
      </w:r>
      <w:r w:rsidRPr="00E125FC">
        <w:rPr>
          <w:rtl/>
        </w:rPr>
        <w:t xml:space="preserve"> </w:t>
      </w:r>
      <w:r w:rsidRPr="00E125FC">
        <w:rPr>
          <w:rFonts w:hint="cs"/>
          <w:rtl/>
        </w:rPr>
        <w:t>טפחים</w:t>
      </w:r>
      <w:r w:rsidRPr="00E125FC">
        <w:rPr>
          <w:rtl/>
        </w:rPr>
        <w:t xml:space="preserve"> </w:t>
      </w:r>
      <w:r w:rsidRPr="00E125FC">
        <w:rPr>
          <w:rFonts w:hint="cs"/>
          <w:rtl/>
        </w:rPr>
        <w:t>משום</w:t>
      </w:r>
      <w:r w:rsidRPr="00E125FC">
        <w:rPr>
          <w:rtl/>
        </w:rPr>
        <w:t xml:space="preserve"> </w:t>
      </w:r>
      <w:r w:rsidRPr="00E125FC">
        <w:rPr>
          <w:rFonts w:hint="cs"/>
          <w:rtl/>
        </w:rPr>
        <w:t>היכר</w:t>
      </w:r>
      <w:r w:rsidRPr="00E125FC">
        <w:rPr>
          <w:rtl/>
        </w:rPr>
        <w:t xml:space="preserve">, </w:t>
      </w:r>
      <w:r w:rsidRPr="00E125FC">
        <w:rPr>
          <w:rFonts w:hint="cs"/>
          <w:rtl/>
        </w:rPr>
        <w:t>ואם</w:t>
      </w:r>
      <w:r w:rsidRPr="00E125FC">
        <w:rPr>
          <w:rtl/>
        </w:rPr>
        <w:t xml:space="preserve"> </w:t>
      </w:r>
      <w:r w:rsidRPr="00E125FC">
        <w:rPr>
          <w:rFonts w:hint="cs"/>
          <w:rtl/>
        </w:rPr>
        <w:t>של</w:t>
      </w:r>
      <w:r w:rsidRPr="00E125FC">
        <w:rPr>
          <w:rtl/>
        </w:rPr>
        <w:t xml:space="preserve"> </w:t>
      </w:r>
      <w:r w:rsidRPr="00E125FC">
        <w:rPr>
          <w:rFonts w:hint="cs"/>
          <w:rtl/>
        </w:rPr>
        <w:t>הקדש</w:t>
      </w:r>
      <w:r w:rsidRPr="00E125FC">
        <w:rPr>
          <w:rtl/>
        </w:rPr>
        <w:t xml:space="preserve"> </w:t>
      </w:r>
      <w:r w:rsidRPr="00E125FC">
        <w:rPr>
          <w:rFonts w:hint="cs"/>
          <w:rtl/>
        </w:rPr>
        <w:t>הוא,</w:t>
      </w:r>
      <w:r w:rsidRPr="00E125FC">
        <w:rPr>
          <w:rtl/>
        </w:rPr>
        <w:t xml:space="preserve"> </w:t>
      </w:r>
      <w:r w:rsidRPr="00E125FC">
        <w:rPr>
          <w:rFonts w:hint="cs"/>
          <w:rtl/>
        </w:rPr>
        <w:t>אינו</w:t>
      </w:r>
      <w:r w:rsidRPr="00E125FC">
        <w:rPr>
          <w:rtl/>
        </w:rPr>
        <w:t xml:space="preserve"> </w:t>
      </w:r>
      <w:r w:rsidRPr="00E125FC">
        <w:rPr>
          <w:rFonts w:hint="cs"/>
          <w:rtl/>
        </w:rPr>
        <w:t>צריך</w:t>
      </w:r>
      <w:r w:rsidRPr="00E125FC">
        <w:rPr>
          <w:rtl/>
        </w:rPr>
        <w:t xml:space="preserve">. </w:t>
      </w:r>
      <w:r w:rsidRPr="00E125FC">
        <w:rPr>
          <w:rFonts w:hint="cs"/>
          <w:rtl/>
        </w:rPr>
        <w:t>מאי</w:t>
      </w:r>
      <w:r w:rsidRPr="00E125FC">
        <w:rPr>
          <w:rtl/>
        </w:rPr>
        <w:t xml:space="preserve"> </w:t>
      </w:r>
      <w:r w:rsidRPr="00E125FC">
        <w:rPr>
          <w:rFonts w:hint="cs"/>
          <w:rtl/>
        </w:rPr>
        <w:t>טעמא,</w:t>
      </w:r>
      <w:r w:rsidRPr="00E125FC">
        <w:rPr>
          <w:rtl/>
        </w:rPr>
        <w:t xml:space="preserve"> </w:t>
      </w:r>
      <w:r w:rsidRPr="00E125FC">
        <w:rPr>
          <w:rFonts w:hint="cs"/>
          <w:rtl/>
        </w:rPr>
        <w:t>מיבדל</w:t>
      </w:r>
      <w:r w:rsidRPr="00E125FC">
        <w:rPr>
          <w:rtl/>
        </w:rPr>
        <w:t xml:space="preserve"> </w:t>
      </w:r>
      <w:r w:rsidRPr="00E125FC">
        <w:rPr>
          <w:rFonts w:hint="cs"/>
          <w:rtl/>
        </w:rPr>
        <w:t>בדילי</w:t>
      </w:r>
      <w:r w:rsidRPr="00E125FC">
        <w:rPr>
          <w:rtl/>
        </w:rPr>
        <w:t xml:space="preserve"> </w:t>
      </w:r>
      <w:r w:rsidRPr="00E125FC">
        <w:rPr>
          <w:rFonts w:hint="cs"/>
          <w:rtl/>
        </w:rPr>
        <w:t>אינשי</w:t>
      </w:r>
      <w:r w:rsidRPr="00E125FC">
        <w:rPr>
          <w:rtl/>
        </w:rPr>
        <w:t xml:space="preserve"> </w:t>
      </w:r>
      <w:r w:rsidRPr="00E125FC">
        <w:rPr>
          <w:rFonts w:hint="cs"/>
          <w:rtl/>
        </w:rPr>
        <w:t>מיניה</w:t>
      </w:r>
      <w:r w:rsidRPr="00E125FC">
        <w:rPr>
          <w:rtl/>
        </w:rPr>
        <w:t>.</w:t>
      </w:r>
    </w:p>
    <w:p w14:paraId="4210DCF8" w14:textId="77777777" w:rsidR="00EE6654" w:rsidRPr="00E125FC" w:rsidRDefault="00EE6654" w:rsidP="00423C6D">
      <w:pPr>
        <w:pStyle w:val="a2"/>
        <w:rPr>
          <w:rtl/>
        </w:rPr>
      </w:pPr>
      <w:r w:rsidRPr="00E125FC">
        <w:rPr>
          <w:rFonts w:hint="cs"/>
          <w:rtl/>
        </w:rPr>
        <w:t>והנה בהטעם שבחמצו של נכרי לא סגי בכפיית כלי כההוא דלעיל מיני', מפרש הר"ן "דהתם חד יומא בלחוד הוא שהרי בלילה יבערנו ועוד דמחיצה ביו"ט לא אפשר".</w:t>
      </w:r>
    </w:p>
    <w:p w14:paraId="1BF9F6C1" w14:textId="77777777" w:rsidR="00EE6654" w:rsidRPr="00E125FC" w:rsidRDefault="00EE6654" w:rsidP="00423C6D">
      <w:pPr>
        <w:pStyle w:val="a2"/>
        <w:rPr>
          <w:rtl/>
        </w:rPr>
      </w:pPr>
      <w:r w:rsidRPr="00E125FC">
        <w:rPr>
          <w:rFonts w:hint="cs"/>
          <w:rtl/>
        </w:rPr>
        <w:t>ואולי יש לבאר הנפ"מ בין שני טעמים אלו, דהנה הרמ"א</w:t>
      </w:r>
      <w:r>
        <w:rPr>
          <w:rStyle w:val="FootnoteReference"/>
          <w:sz w:val="32"/>
          <w:szCs w:val="32"/>
          <w:rtl/>
        </w:rPr>
        <w:footnoteReference w:id="77"/>
      </w:r>
      <w:r w:rsidRPr="00E125FC">
        <w:rPr>
          <w:rFonts w:hint="cs"/>
          <w:rtl/>
        </w:rPr>
        <w:t xml:space="preserve"> כותב " ואינו יהודי שהניח חמץ בבית ישראל בלא רשותו, כופה עליו כלי. ודוקא ביו"ט, אבל אם הוא קודם יו"ט צריך לעשות מחיצה". היינו גם בחמצו של נכרי אם הופקד ביו"ט סגי בכפיית כלי.</w:t>
      </w:r>
    </w:p>
    <w:p w14:paraId="5F7C09BA" w14:textId="77777777" w:rsidR="00EE6654" w:rsidRPr="00E125FC" w:rsidRDefault="00EE6654" w:rsidP="00423C6D">
      <w:pPr>
        <w:pStyle w:val="a2"/>
        <w:rPr>
          <w:rtl/>
        </w:rPr>
      </w:pPr>
      <w:r w:rsidRPr="00E125FC">
        <w:rPr>
          <w:rFonts w:hint="cs"/>
          <w:rtl/>
        </w:rPr>
        <w:t xml:space="preserve">ועפ"ז י"ל, דאם נקטינן כטעם הא' דכפיית כלי סגי משום "דחד יומא בלחוד הוא", א"כ חמצו של נכרי שהופקד בחוה"מ וברור וידוע לו שהנכרי יבוא לקחת החמץ הערב </w:t>
      </w:r>
      <w:r w:rsidRPr="00E125FC">
        <w:rPr>
          <w:rtl/>
        </w:rPr>
        <w:t>–</w:t>
      </w:r>
      <w:r w:rsidRPr="00E125FC">
        <w:rPr>
          <w:rFonts w:hint="cs"/>
          <w:rtl/>
        </w:rPr>
        <w:t xml:space="preserve"> סגי בכפיית כלי ואינו צריך לעשות מחיצה ואע"ג דאפשר לעשות מחיצה.</w:t>
      </w:r>
    </w:p>
    <w:p w14:paraId="348E0694" w14:textId="77777777" w:rsidR="00EE6654" w:rsidRPr="00E125FC" w:rsidRDefault="00EE6654" w:rsidP="00423C6D">
      <w:pPr>
        <w:pStyle w:val="a2"/>
        <w:rPr>
          <w:rtl/>
        </w:rPr>
      </w:pPr>
      <w:r w:rsidRPr="00E125FC">
        <w:rPr>
          <w:rFonts w:hint="cs"/>
          <w:rtl/>
        </w:rPr>
        <w:t>ואם נקטינן כטעם הב' דסגי בכפיית כלי משום ש"מחיצה ביו"ט א"א", א"כ חמצו של נכרי בחוה"מ, לא סגי בכפיית כלי וצריך לעשות מחיצה, אפי' אם הוי רק לחצי יום.</w:t>
      </w:r>
    </w:p>
    <w:p w14:paraId="479F25B8" w14:textId="77777777" w:rsidR="00EE6654" w:rsidRPr="00E125FC" w:rsidRDefault="00EE6654" w:rsidP="00423C6D">
      <w:pPr>
        <w:pStyle w:val="a2"/>
        <w:rPr>
          <w:rtl/>
        </w:rPr>
      </w:pPr>
      <w:r w:rsidRPr="00E125FC">
        <w:rPr>
          <w:rFonts w:hint="cs"/>
          <w:rtl/>
        </w:rPr>
        <w:t>והנה ב</w:t>
      </w:r>
      <w:r>
        <w:rPr>
          <w:rFonts w:hint="cs"/>
          <w:rtl/>
        </w:rPr>
        <w:t xml:space="preserve">רש"י </w:t>
      </w:r>
      <w:r w:rsidRPr="00E125FC">
        <w:rPr>
          <w:rFonts w:hint="cs"/>
          <w:rtl/>
        </w:rPr>
        <w:t xml:space="preserve"> </w:t>
      </w:r>
      <w:r>
        <w:rPr>
          <w:rFonts w:hint="cs"/>
          <w:rtl/>
        </w:rPr>
        <w:t>ד"ה עושה לו מחיצה כתב</w:t>
      </w:r>
      <w:r w:rsidRPr="00E125FC">
        <w:rPr>
          <w:rFonts w:hint="cs"/>
          <w:rtl/>
        </w:rPr>
        <w:t xml:space="preserve"> "ולא סגי בכפיית כלי כל שבעה שהכלי ניטל לצורך ומיהו ההוא דלעיל לא אפשר לי' במחיצה ומשום חד יומא סגי לי' בכפיית כלי ובלילה יבערנו".</w:t>
      </w:r>
    </w:p>
    <w:p w14:paraId="3F76E866" w14:textId="77777777" w:rsidR="00EE6654" w:rsidRPr="00E125FC" w:rsidRDefault="00EE6654" w:rsidP="00423C6D">
      <w:pPr>
        <w:pStyle w:val="a2"/>
        <w:rPr>
          <w:rtl/>
        </w:rPr>
      </w:pPr>
      <w:r w:rsidRPr="00E125FC">
        <w:rPr>
          <w:rFonts w:hint="cs"/>
          <w:rtl/>
        </w:rPr>
        <w:t>ודבריו צ"ב דנראה שמערב ב' הטעמים יחד, ועוד דצריך בירור מהו סובר בנוגע לחמצו של נכרי בחוה"מ האם לחד יומא סגי בכפיית כלי או לא (דכנ"ל, זה תלוי באיזה טעם נקיט).</w:t>
      </w:r>
    </w:p>
    <w:p w14:paraId="4FBE61C0" w14:textId="77777777" w:rsidR="00EE6654" w:rsidRPr="00E125FC" w:rsidRDefault="00EE6654" w:rsidP="00423C6D">
      <w:pPr>
        <w:pStyle w:val="a2"/>
        <w:rPr>
          <w:rtl/>
        </w:rPr>
      </w:pPr>
      <w:r w:rsidRPr="00E125FC">
        <w:rPr>
          <w:rFonts w:hint="cs"/>
          <w:rtl/>
        </w:rPr>
        <w:lastRenderedPageBreak/>
        <w:t xml:space="preserve">והנה התוס' חכמי אנגלי' </w:t>
      </w:r>
      <w:r>
        <w:rPr>
          <w:rFonts w:hint="cs"/>
          <w:rtl/>
        </w:rPr>
        <w:t>ב</w:t>
      </w:r>
      <w:r w:rsidRPr="00E125FC">
        <w:rPr>
          <w:rFonts w:hint="cs"/>
          <w:rtl/>
        </w:rPr>
        <w:t>ד"ה המוצא חמץ של גוי</w:t>
      </w:r>
      <w:r>
        <w:rPr>
          <w:rFonts w:hint="cs"/>
          <w:rtl/>
        </w:rPr>
        <w:t xml:space="preserve"> </w:t>
      </w:r>
      <w:r w:rsidRPr="00E125FC">
        <w:rPr>
          <w:rFonts w:hint="cs"/>
          <w:rtl/>
        </w:rPr>
        <w:t>כתבו "והק' הקו' אמאי אינו כופה עליו כלי, ותי' כו'. הדר הקשה אמאי אמר בההיא דלעיל דכופין, הוה לי' למימר שעושין מחיצה, ותי' דאין עושין מחיצה ביו"ט. הדר הקשה היאך סגי בכפיית כלי הא חיישינן דיש לו צורך הכלי ויקחנו, ותי' דמשום חד יומא סגי".</w:t>
      </w:r>
    </w:p>
    <w:p w14:paraId="55B8F4A4" w14:textId="77777777" w:rsidR="00EE6654" w:rsidRPr="00E125FC" w:rsidRDefault="00EE6654" w:rsidP="00423C6D">
      <w:pPr>
        <w:pStyle w:val="a2"/>
        <w:rPr>
          <w:rtl/>
        </w:rPr>
      </w:pPr>
      <w:r w:rsidRPr="00E125FC">
        <w:rPr>
          <w:rFonts w:hint="cs"/>
          <w:rtl/>
        </w:rPr>
        <w:t xml:space="preserve">הנראה כוונתו שסובר שעיקר הטעם לפרש"י </w:t>
      </w:r>
      <w:r>
        <w:rPr>
          <w:rFonts w:hint="cs"/>
          <w:rtl/>
        </w:rPr>
        <w:t>דסגי בכפיית כלי הו</w:t>
      </w:r>
      <w:r w:rsidRPr="00E125FC">
        <w:rPr>
          <w:rFonts w:hint="cs"/>
          <w:rtl/>
        </w:rPr>
        <w:t xml:space="preserve">א משום דאין עושין מחיצה ביו"ט, אלא </w:t>
      </w:r>
      <w:r>
        <w:rPr>
          <w:rFonts w:hint="cs"/>
          <w:rtl/>
        </w:rPr>
        <w:t xml:space="preserve">דהדר </w:t>
      </w:r>
      <w:r w:rsidRPr="00E125FC">
        <w:rPr>
          <w:rFonts w:hint="cs"/>
          <w:rtl/>
        </w:rPr>
        <w:t xml:space="preserve">מקשה, דאפי' אם נאמר דא"א לעשות מחיצה, מה יעזור </w:t>
      </w:r>
      <w:r>
        <w:rPr>
          <w:rFonts w:hint="cs"/>
          <w:rtl/>
        </w:rPr>
        <w:t>שיכפה</w:t>
      </w:r>
      <w:r w:rsidRPr="00E125FC">
        <w:rPr>
          <w:rFonts w:hint="cs"/>
          <w:rtl/>
        </w:rPr>
        <w:t xml:space="preserve"> כלי, הרי הכלי ניטל לצורך ולא הוי היכר מספיק. וע"ז מתרץ רש"י, דמשום חד יומא סגי. הוציא מדבריהם, דלפרש"י, דדוקא ביו"ט כשא"א לו לעשות מחיצה נתיר לו לכפות כלי לחד יומא, אבל בחוה"מ לא.</w:t>
      </w:r>
    </w:p>
    <w:p w14:paraId="338E1504" w14:textId="77777777" w:rsidR="00EE6654" w:rsidRPr="00E125FC" w:rsidRDefault="00EE6654" w:rsidP="00423C6D">
      <w:pPr>
        <w:pStyle w:val="a2"/>
        <w:rPr>
          <w:rtl/>
        </w:rPr>
      </w:pPr>
      <w:r w:rsidRPr="00E125FC">
        <w:rPr>
          <w:rFonts w:hint="cs"/>
          <w:rtl/>
        </w:rPr>
        <w:t>והנה המ"א</w:t>
      </w:r>
      <w:r>
        <w:rPr>
          <w:rStyle w:val="FootnoteReference"/>
          <w:sz w:val="32"/>
          <w:szCs w:val="32"/>
          <w:rtl/>
        </w:rPr>
        <w:footnoteReference w:id="78"/>
      </w:r>
      <w:r w:rsidRPr="00E125FC">
        <w:rPr>
          <w:rFonts w:hint="cs"/>
          <w:rtl/>
        </w:rPr>
        <w:t xml:space="preserve"> כותב "ואם</w:t>
      </w:r>
      <w:r w:rsidRPr="00E125FC">
        <w:rPr>
          <w:rtl/>
        </w:rPr>
        <w:t xml:space="preserve"> </w:t>
      </w:r>
      <w:r w:rsidRPr="00E125FC">
        <w:rPr>
          <w:rFonts w:hint="cs"/>
          <w:rtl/>
        </w:rPr>
        <w:t>הניחו</w:t>
      </w:r>
      <w:r w:rsidRPr="00E125FC">
        <w:rPr>
          <w:rtl/>
        </w:rPr>
        <w:t xml:space="preserve"> </w:t>
      </w:r>
      <w:r w:rsidRPr="00E125FC">
        <w:rPr>
          <w:rFonts w:hint="cs"/>
          <w:rtl/>
        </w:rPr>
        <w:t>בח</w:t>
      </w:r>
      <w:r w:rsidRPr="00E125FC">
        <w:rPr>
          <w:rtl/>
        </w:rPr>
        <w:t>"</w:t>
      </w:r>
      <w:r w:rsidRPr="00E125FC">
        <w:rPr>
          <w:rFonts w:hint="cs"/>
          <w:rtl/>
        </w:rPr>
        <w:t>ה</w:t>
      </w:r>
      <w:r w:rsidRPr="00E125FC">
        <w:rPr>
          <w:rtl/>
        </w:rPr>
        <w:t xml:space="preserve"> </w:t>
      </w:r>
      <w:r w:rsidRPr="00E125FC">
        <w:rPr>
          <w:rFonts w:hint="cs"/>
          <w:rtl/>
        </w:rPr>
        <w:t>צריך</w:t>
      </w:r>
      <w:r w:rsidRPr="00E125FC">
        <w:rPr>
          <w:rtl/>
        </w:rPr>
        <w:t xml:space="preserve"> </w:t>
      </w:r>
      <w:r w:rsidRPr="00E125FC">
        <w:rPr>
          <w:rFonts w:hint="cs"/>
          <w:rtl/>
        </w:rPr>
        <w:t>לעשות</w:t>
      </w:r>
      <w:r w:rsidRPr="00E125FC">
        <w:rPr>
          <w:rtl/>
        </w:rPr>
        <w:t xml:space="preserve"> </w:t>
      </w:r>
      <w:r w:rsidRPr="00E125FC">
        <w:rPr>
          <w:rFonts w:hint="cs"/>
          <w:rtl/>
        </w:rPr>
        <w:t>מחיצה</w:t>
      </w:r>
      <w:r w:rsidRPr="00E125FC">
        <w:rPr>
          <w:rtl/>
        </w:rPr>
        <w:t xml:space="preserve"> </w:t>
      </w:r>
      <w:r w:rsidRPr="00E125FC">
        <w:rPr>
          <w:rFonts w:hint="cs"/>
          <w:rtl/>
        </w:rPr>
        <w:t>וכ</w:t>
      </w:r>
      <w:r w:rsidRPr="00E125FC">
        <w:rPr>
          <w:rtl/>
        </w:rPr>
        <w:t>"</w:t>
      </w:r>
      <w:r w:rsidRPr="00E125FC">
        <w:rPr>
          <w:rFonts w:hint="cs"/>
          <w:rtl/>
        </w:rPr>
        <w:t>מ</w:t>
      </w:r>
      <w:r w:rsidRPr="00E125FC">
        <w:rPr>
          <w:rtl/>
        </w:rPr>
        <w:t xml:space="preserve"> </w:t>
      </w:r>
      <w:r w:rsidRPr="00E125FC">
        <w:rPr>
          <w:rFonts w:hint="cs"/>
          <w:rtl/>
        </w:rPr>
        <w:t>מל</w:t>
      </w:r>
      <w:r w:rsidRPr="00E125FC">
        <w:rPr>
          <w:rtl/>
        </w:rPr>
        <w:t xml:space="preserve">' </w:t>
      </w:r>
      <w:r w:rsidRPr="00E125FC">
        <w:rPr>
          <w:rFonts w:hint="cs"/>
          <w:rtl/>
        </w:rPr>
        <w:t>רש</w:t>
      </w:r>
      <w:r w:rsidRPr="00E125FC">
        <w:rPr>
          <w:rtl/>
        </w:rPr>
        <w:t>"</w:t>
      </w:r>
      <w:r w:rsidRPr="00E125FC">
        <w:rPr>
          <w:rFonts w:hint="cs"/>
          <w:rtl/>
        </w:rPr>
        <w:t>י</w:t>
      </w:r>
      <w:r w:rsidRPr="00E125FC">
        <w:rPr>
          <w:rtl/>
        </w:rPr>
        <w:t xml:space="preserve"> </w:t>
      </w:r>
      <w:r w:rsidRPr="00E125FC">
        <w:rPr>
          <w:rFonts w:hint="cs"/>
          <w:rtl/>
        </w:rPr>
        <w:t>אף</w:t>
      </w:r>
      <w:r w:rsidRPr="00E125FC">
        <w:rPr>
          <w:rtl/>
        </w:rPr>
        <w:t xml:space="preserve"> </w:t>
      </w:r>
      <w:r w:rsidRPr="00E125FC">
        <w:rPr>
          <w:rFonts w:hint="cs"/>
          <w:rtl/>
        </w:rPr>
        <w:t>על</w:t>
      </w:r>
      <w:r w:rsidRPr="00E125FC">
        <w:rPr>
          <w:rtl/>
        </w:rPr>
        <w:t xml:space="preserve"> </w:t>
      </w:r>
      <w:r w:rsidRPr="00E125FC">
        <w:rPr>
          <w:rFonts w:hint="cs"/>
          <w:rtl/>
        </w:rPr>
        <w:t>פי</w:t>
      </w:r>
      <w:r w:rsidRPr="00E125FC">
        <w:rPr>
          <w:rtl/>
        </w:rPr>
        <w:t xml:space="preserve"> </w:t>
      </w:r>
      <w:r w:rsidRPr="00E125FC">
        <w:rPr>
          <w:rFonts w:hint="cs"/>
          <w:rtl/>
        </w:rPr>
        <w:t>שעתיד</w:t>
      </w:r>
      <w:r w:rsidRPr="00E125FC">
        <w:rPr>
          <w:rtl/>
        </w:rPr>
        <w:t xml:space="preserve"> </w:t>
      </w:r>
      <w:r w:rsidRPr="00E125FC">
        <w:rPr>
          <w:rFonts w:hint="cs"/>
          <w:rtl/>
        </w:rPr>
        <w:t>ליטלו</w:t>
      </w:r>
      <w:r w:rsidRPr="00E125FC">
        <w:rPr>
          <w:rtl/>
        </w:rPr>
        <w:t xml:space="preserve"> </w:t>
      </w:r>
      <w:r w:rsidRPr="00E125FC">
        <w:rPr>
          <w:rFonts w:hint="cs"/>
          <w:rtl/>
        </w:rPr>
        <w:t>למחר</w:t>
      </w:r>
      <w:r w:rsidRPr="00E125FC">
        <w:rPr>
          <w:rtl/>
        </w:rPr>
        <w:t xml:space="preserve"> </w:t>
      </w:r>
      <w:r w:rsidRPr="00E125FC">
        <w:rPr>
          <w:rFonts w:hint="cs"/>
          <w:rtl/>
        </w:rPr>
        <w:t>אבל</w:t>
      </w:r>
      <w:r w:rsidRPr="00E125FC">
        <w:rPr>
          <w:rtl/>
        </w:rPr>
        <w:t xml:space="preserve"> </w:t>
      </w:r>
      <w:r w:rsidRPr="00E125FC">
        <w:rPr>
          <w:rFonts w:hint="cs"/>
          <w:rtl/>
        </w:rPr>
        <w:t>אם</w:t>
      </w:r>
      <w:r w:rsidRPr="00E125FC">
        <w:rPr>
          <w:rtl/>
        </w:rPr>
        <w:t xml:space="preserve"> </w:t>
      </w:r>
      <w:r w:rsidRPr="00E125FC">
        <w:rPr>
          <w:rFonts w:hint="cs"/>
          <w:rtl/>
        </w:rPr>
        <w:t>לא</w:t>
      </w:r>
      <w:r w:rsidRPr="00E125FC">
        <w:rPr>
          <w:rtl/>
        </w:rPr>
        <w:t xml:space="preserve"> </w:t>
      </w:r>
      <w:r w:rsidRPr="00E125FC">
        <w:rPr>
          <w:rFonts w:hint="cs"/>
          <w:rtl/>
        </w:rPr>
        <w:t>הניחו</w:t>
      </w:r>
      <w:r w:rsidRPr="00E125FC">
        <w:rPr>
          <w:rtl/>
        </w:rPr>
        <w:t xml:space="preserve"> </w:t>
      </w:r>
      <w:r w:rsidRPr="00E125FC">
        <w:rPr>
          <w:rFonts w:hint="cs"/>
          <w:rtl/>
        </w:rPr>
        <w:t>אלא</w:t>
      </w:r>
      <w:r w:rsidRPr="00E125FC">
        <w:rPr>
          <w:rtl/>
        </w:rPr>
        <w:t xml:space="preserve"> </w:t>
      </w:r>
      <w:r w:rsidRPr="00E125FC">
        <w:rPr>
          <w:rFonts w:hint="cs"/>
          <w:rtl/>
        </w:rPr>
        <w:t>לחצי</w:t>
      </w:r>
      <w:r w:rsidRPr="00E125FC">
        <w:rPr>
          <w:rtl/>
        </w:rPr>
        <w:t xml:space="preserve"> </w:t>
      </w:r>
      <w:r w:rsidRPr="00E125FC">
        <w:rPr>
          <w:rFonts w:hint="cs"/>
          <w:rtl/>
        </w:rPr>
        <w:t>יום</w:t>
      </w:r>
      <w:r w:rsidRPr="00E125FC">
        <w:rPr>
          <w:rtl/>
        </w:rPr>
        <w:t xml:space="preserve"> </w:t>
      </w:r>
      <w:r w:rsidRPr="00E125FC">
        <w:rPr>
          <w:rFonts w:hint="cs"/>
          <w:rtl/>
        </w:rPr>
        <w:t>יש</w:t>
      </w:r>
      <w:r w:rsidRPr="00E125FC">
        <w:rPr>
          <w:rtl/>
        </w:rPr>
        <w:t xml:space="preserve"> </w:t>
      </w:r>
      <w:r w:rsidRPr="00E125FC">
        <w:rPr>
          <w:rFonts w:hint="cs"/>
          <w:rtl/>
        </w:rPr>
        <w:t>להקל</w:t>
      </w:r>
      <w:r w:rsidRPr="00E125FC">
        <w:rPr>
          <w:rtl/>
        </w:rPr>
        <w:t xml:space="preserve"> </w:t>
      </w:r>
      <w:r w:rsidRPr="00E125FC">
        <w:rPr>
          <w:rFonts w:hint="cs"/>
          <w:rtl/>
        </w:rPr>
        <w:t>בכפית</w:t>
      </w:r>
      <w:r w:rsidRPr="00E125FC">
        <w:rPr>
          <w:rtl/>
        </w:rPr>
        <w:t xml:space="preserve"> </w:t>
      </w:r>
      <w:r w:rsidRPr="00E125FC">
        <w:rPr>
          <w:rFonts w:hint="cs"/>
          <w:rtl/>
        </w:rPr>
        <w:t>כלי"</w:t>
      </w:r>
    </w:p>
    <w:p w14:paraId="6CC90155" w14:textId="77777777" w:rsidR="00EE6654" w:rsidRPr="00E125FC" w:rsidRDefault="00EE6654" w:rsidP="00423C6D">
      <w:pPr>
        <w:pStyle w:val="a2"/>
        <w:rPr>
          <w:rtl/>
        </w:rPr>
      </w:pPr>
      <w:r w:rsidRPr="00E125FC">
        <w:rPr>
          <w:rFonts w:hint="cs"/>
          <w:rtl/>
        </w:rPr>
        <w:t>ובפמ"ג</w:t>
      </w:r>
      <w:r>
        <w:rPr>
          <w:rStyle w:val="FootnoteReference"/>
          <w:sz w:val="32"/>
          <w:szCs w:val="32"/>
          <w:rtl/>
        </w:rPr>
        <w:footnoteReference w:id="79"/>
      </w:r>
      <w:r w:rsidRPr="00E125FC">
        <w:rPr>
          <w:rFonts w:hint="cs"/>
          <w:rtl/>
        </w:rPr>
        <w:t xml:space="preserve"> כותב "וכן</w:t>
      </w:r>
      <w:r w:rsidRPr="00E125FC">
        <w:rPr>
          <w:rtl/>
        </w:rPr>
        <w:t xml:space="preserve"> </w:t>
      </w:r>
      <w:r w:rsidRPr="00E125FC">
        <w:rPr>
          <w:rFonts w:hint="cs"/>
          <w:rtl/>
        </w:rPr>
        <w:t>כתב</w:t>
      </w:r>
      <w:r w:rsidRPr="00E125FC">
        <w:rPr>
          <w:rtl/>
        </w:rPr>
        <w:t xml:space="preserve"> </w:t>
      </w:r>
      <w:r w:rsidRPr="00E125FC">
        <w:rPr>
          <w:rFonts w:hint="cs"/>
          <w:rtl/>
        </w:rPr>
        <w:t>המ</w:t>
      </w:r>
      <w:r w:rsidRPr="00E125FC">
        <w:rPr>
          <w:rtl/>
        </w:rPr>
        <w:t>"</w:t>
      </w:r>
      <w:r w:rsidRPr="00E125FC">
        <w:rPr>
          <w:rFonts w:hint="cs"/>
          <w:rtl/>
        </w:rPr>
        <w:t>א</w:t>
      </w:r>
      <w:r w:rsidRPr="00E125FC">
        <w:rPr>
          <w:rtl/>
        </w:rPr>
        <w:t xml:space="preserve"> [</w:t>
      </w:r>
      <w:r w:rsidRPr="00E125FC">
        <w:rPr>
          <w:rFonts w:hint="cs"/>
          <w:rtl/>
        </w:rPr>
        <w:t>ס</w:t>
      </w:r>
      <w:r w:rsidRPr="00E125FC">
        <w:rPr>
          <w:rtl/>
        </w:rPr>
        <w:t>"</w:t>
      </w:r>
      <w:r w:rsidRPr="00E125FC">
        <w:rPr>
          <w:rFonts w:hint="cs"/>
          <w:rtl/>
        </w:rPr>
        <w:t>ק</w:t>
      </w:r>
      <w:r w:rsidRPr="00E125FC">
        <w:rPr>
          <w:rtl/>
        </w:rPr>
        <w:t xml:space="preserve">] </w:t>
      </w:r>
      <w:r w:rsidRPr="00E125FC">
        <w:rPr>
          <w:rFonts w:hint="cs"/>
          <w:rtl/>
        </w:rPr>
        <w:t>ה</w:t>
      </w:r>
      <w:r w:rsidRPr="00E125FC">
        <w:rPr>
          <w:rtl/>
        </w:rPr>
        <w:t xml:space="preserve">'. </w:t>
      </w:r>
      <w:r w:rsidRPr="00E125FC">
        <w:rPr>
          <w:rFonts w:hint="cs"/>
          <w:rtl/>
        </w:rPr>
        <w:t>ועיין</w:t>
      </w:r>
      <w:r w:rsidRPr="00E125FC">
        <w:rPr>
          <w:rtl/>
        </w:rPr>
        <w:t xml:space="preserve"> </w:t>
      </w:r>
      <w:r w:rsidRPr="00E125FC">
        <w:rPr>
          <w:rFonts w:hint="cs"/>
          <w:rtl/>
        </w:rPr>
        <w:t>רש</w:t>
      </w:r>
      <w:r w:rsidRPr="00E125FC">
        <w:rPr>
          <w:rtl/>
        </w:rPr>
        <w:t>"</w:t>
      </w:r>
      <w:r w:rsidRPr="00E125FC">
        <w:rPr>
          <w:rFonts w:hint="cs"/>
          <w:rtl/>
        </w:rPr>
        <w:t>י</w:t>
      </w:r>
      <w:r w:rsidRPr="00E125FC">
        <w:rPr>
          <w:rtl/>
        </w:rPr>
        <w:t xml:space="preserve"> </w:t>
      </w:r>
      <w:r w:rsidRPr="00E125FC">
        <w:rPr>
          <w:rFonts w:hint="cs"/>
          <w:rtl/>
        </w:rPr>
        <w:t>פסחים</w:t>
      </w:r>
      <w:r w:rsidRPr="00E125FC">
        <w:rPr>
          <w:rtl/>
        </w:rPr>
        <w:t xml:space="preserve"> </w:t>
      </w:r>
      <w:r w:rsidRPr="00E125FC">
        <w:rPr>
          <w:rFonts w:hint="cs"/>
          <w:rtl/>
        </w:rPr>
        <w:t>ו</w:t>
      </w:r>
      <w:r w:rsidRPr="00E125FC">
        <w:rPr>
          <w:rtl/>
        </w:rPr>
        <w:t xml:space="preserve">' </w:t>
      </w:r>
      <w:r w:rsidRPr="00E125FC">
        <w:rPr>
          <w:rFonts w:hint="cs"/>
          <w:rtl/>
        </w:rPr>
        <w:t>א</w:t>
      </w:r>
      <w:r w:rsidRPr="00E125FC">
        <w:rPr>
          <w:rtl/>
        </w:rPr>
        <w:t xml:space="preserve">' </w:t>
      </w:r>
      <w:r w:rsidRPr="00E125FC">
        <w:rPr>
          <w:rFonts w:hint="cs"/>
          <w:rtl/>
        </w:rPr>
        <w:t>ד</w:t>
      </w:r>
      <w:r w:rsidRPr="00E125FC">
        <w:rPr>
          <w:rtl/>
        </w:rPr>
        <w:t>"</w:t>
      </w:r>
      <w:r w:rsidRPr="00E125FC">
        <w:rPr>
          <w:rFonts w:hint="cs"/>
          <w:rtl/>
        </w:rPr>
        <w:t>ה</w:t>
      </w:r>
      <w:r w:rsidRPr="00E125FC">
        <w:rPr>
          <w:rtl/>
        </w:rPr>
        <w:t xml:space="preserve"> </w:t>
      </w:r>
      <w:r w:rsidRPr="00E125FC">
        <w:rPr>
          <w:rFonts w:hint="cs"/>
          <w:rtl/>
        </w:rPr>
        <w:t>עושה</w:t>
      </w:r>
      <w:r w:rsidRPr="00E125FC">
        <w:rPr>
          <w:rtl/>
        </w:rPr>
        <w:t xml:space="preserve">, </w:t>
      </w:r>
      <w:r w:rsidRPr="00E125FC">
        <w:rPr>
          <w:rFonts w:hint="cs"/>
          <w:rtl/>
        </w:rPr>
        <w:t>והוא</w:t>
      </w:r>
      <w:r w:rsidRPr="00E125FC">
        <w:rPr>
          <w:rtl/>
        </w:rPr>
        <w:t xml:space="preserve"> </w:t>
      </w:r>
      <w:r w:rsidRPr="00E125FC">
        <w:rPr>
          <w:rFonts w:hint="cs"/>
          <w:rtl/>
        </w:rPr>
        <w:t>כמו</w:t>
      </w:r>
      <w:r w:rsidRPr="00E125FC">
        <w:rPr>
          <w:rtl/>
        </w:rPr>
        <w:t xml:space="preserve"> </w:t>
      </w:r>
      <w:r w:rsidRPr="00E125FC">
        <w:rPr>
          <w:rFonts w:hint="cs"/>
          <w:rtl/>
        </w:rPr>
        <w:t>ב</w:t>
      </w:r>
      <w:r w:rsidRPr="00E125FC">
        <w:rPr>
          <w:rtl/>
        </w:rPr>
        <w:t xml:space="preserve">' </w:t>
      </w:r>
      <w:r w:rsidRPr="00E125FC">
        <w:rPr>
          <w:rFonts w:hint="cs"/>
          <w:rtl/>
        </w:rPr>
        <w:t>חילוקים</w:t>
      </w:r>
      <w:r w:rsidRPr="00E125FC">
        <w:rPr>
          <w:rtl/>
        </w:rPr>
        <w:t xml:space="preserve">. </w:t>
      </w:r>
      <w:r w:rsidRPr="00E125FC">
        <w:rPr>
          <w:rFonts w:hint="cs"/>
          <w:rtl/>
        </w:rPr>
        <w:t>א</w:t>
      </w:r>
      <w:r w:rsidRPr="00E125FC">
        <w:rPr>
          <w:rtl/>
        </w:rPr>
        <w:t xml:space="preserve">', </w:t>
      </w:r>
      <w:r w:rsidRPr="00E125FC">
        <w:rPr>
          <w:rFonts w:hint="cs"/>
          <w:rtl/>
        </w:rPr>
        <w:t>ביום</w:t>
      </w:r>
      <w:r w:rsidRPr="00E125FC">
        <w:rPr>
          <w:rtl/>
        </w:rPr>
        <w:t xml:space="preserve"> </w:t>
      </w:r>
      <w:r w:rsidRPr="00E125FC">
        <w:rPr>
          <w:rFonts w:hint="cs"/>
          <w:rtl/>
        </w:rPr>
        <w:t>טוב</w:t>
      </w:r>
      <w:r w:rsidRPr="00E125FC">
        <w:rPr>
          <w:rtl/>
        </w:rPr>
        <w:t xml:space="preserve"> </w:t>
      </w:r>
      <w:r w:rsidRPr="00E125FC">
        <w:rPr>
          <w:rFonts w:hint="cs"/>
          <w:rtl/>
        </w:rPr>
        <w:t>אי</w:t>
      </w:r>
      <w:r w:rsidRPr="00E125FC">
        <w:rPr>
          <w:rtl/>
        </w:rPr>
        <w:t xml:space="preserve"> </w:t>
      </w:r>
      <w:r w:rsidRPr="00E125FC">
        <w:rPr>
          <w:rFonts w:hint="cs"/>
          <w:rtl/>
        </w:rPr>
        <w:t>אפשר</w:t>
      </w:r>
      <w:r w:rsidRPr="00E125FC">
        <w:rPr>
          <w:rtl/>
        </w:rPr>
        <w:t xml:space="preserve">, </w:t>
      </w:r>
      <w:r w:rsidRPr="00E125FC">
        <w:rPr>
          <w:rFonts w:hint="cs"/>
          <w:rtl/>
        </w:rPr>
        <w:t>הא</w:t>
      </w:r>
      <w:r w:rsidRPr="00E125FC">
        <w:rPr>
          <w:rtl/>
        </w:rPr>
        <w:t xml:space="preserve"> </w:t>
      </w:r>
      <w:r w:rsidRPr="00E125FC">
        <w:rPr>
          <w:rFonts w:hint="cs"/>
          <w:rtl/>
        </w:rPr>
        <w:t>בחול</w:t>
      </w:r>
      <w:r w:rsidRPr="00E125FC">
        <w:rPr>
          <w:rtl/>
        </w:rPr>
        <w:t xml:space="preserve"> </w:t>
      </w:r>
      <w:r w:rsidRPr="00E125FC">
        <w:rPr>
          <w:rFonts w:hint="cs"/>
          <w:rtl/>
        </w:rPr>
        <w:t>המועד</w:t>
      </w:r>
      <w:r w:rsidRPr="00E125FC">
        <w:rPr>
          <w:rtl/>
        </w:rPr>
        <w:t xml:space="preserve"> </w:t>
      </w:r>
      <w:r w:rsidRPr="00E125FC">
        <w:rPr>
          <w:rFonts w:hint="cs"/>
          <w:rtl/>
        </w:rPr>
        <w:t>אף</w:t>
      </w:r>
      <w:r w:rsidRPr="00E125FC">
        <w:rPr>
          <w:rtl/>
        </w:rPr>
        <w:t xml:space="preserve"> </w:t>
      </w:r>
      <w:r w:rsidRPr="00E125FC">
        <w:rPr>
          <w:rFonts w:hint="cs"/>
          <w:rtl/>
        </w:rPr>
        <w:t>לחצי</w:t>
      </w:r>
      <w:r w:rsidRPr="00E125FC">
        <w:rPr>
          <w:rtl/>
        </w:rPr>
        <w:t xml:space="preserve"> </w:t>
      </w:r>
      <w:r w:rsidRPr="00E125FC">
        <w:rPr>
          <w:rFonts w:hint="cs"/>
          <w:rtl/>
        </w:rPr>
        <w:t>יום</w:t>
      </w:r>
      <w:r w:rsidRPr="00E125FC">
        <w:rPr>
          <w:rtl/>
        </w:rPr>
        <w:t xml:space="preserve"> </w:t>
      </w:r>
      <w:r w:rsidRPr="00E125FC">
        <w:rPr>
          <w:rFonts w:hint="cs"/>
          <w:rtl/>
        </w:rPr>
        <w:t>צריך</w:t>
      </w:r>
      <w:r w:rsidRPr="00E125FC">
        <w:rPr>
          <w:rtl/>
        </w:rPr>
        <w:t xml:space="preserve"> </w:t>
      </w:r>
      <w:r w:rsidRPr="00E125FC">
        <w:rPr>
          <w:rFonts w:hint="cs"/>
          <w:rtl/>
        </w:rPr>
        <w:t>מחיצה</w:t>
      </w:r>
      <w:r w:rsidRPr="00E125FC">
        <w:rPr>
          <w:rtl/>
        </w:rPr>
        <w:t xml:space="preserve">. </w:t>
      </w:r>
      <w:r w:rsidRPr="00E125FC">
        <w:rPr>
          <w:rFonts w:hint="cs"/>
          <w:rtl/>
        </w:rPr>
        <w:t>ואי</w:t>
      </w:r>
      <w:r w:rsidRPr="00E125FC">
        <w:rPr>
          <w:rtl/>
        </w:rPr>
        <w:t xml:space="preserve"> </w:t>
      </w:r>
      <w:r w:rsidRPr="00E125FC">
        <w:rPr>
          <w:rFonts w:hint="cs"/>
          <w:rtl/>
        </w:rPr>
        <w:t>נמי</w:t>
      </w:r>
      <w:r w:rsidRPr="00E125FC">
        <w:rPr>
          <w:rtl/>
        </w:rPr>
        <w:t xml:space="preserve">, </w:t>
      </w:r>
      <w:r w:rsidRPr="00E125FC">
        <w:rPr>
          <w:rFonts w:hint="cs"/>
          <w:rtl/>
        </w:rPr>
        <w:t>משום</w:t>
      </w:r>
      <w:r w:rsidRPr="00E125FC">
        <w:rPr>
          <w:rtl/>
        </w:rPr>
        <w:t xml:space="preserve"> </w:t>
      </w:r>
      <w:r w:rsidRPr="00E125FC">
        <w:rPr>
          <w:rFonts w:hint="cs"/>
          <w:rtl/>
        </w:rPr>
        <w:t>חד</w:t>
      </w:r>
      <w:r w:rsidRPr="00E125FC">
        <w:rPr>
          <w:rtl/>
        </w:rPr>
        <w:t xml:space="preserve"> </w:t>
      </w:r>
      <w:r w:rsidRPr="00E125FC">
        <w:rPr>
          <w:rFonts w:hint="cs"/>
          <w:rtl/>
        </w:rPr>
        <w:t>יומא</w:t>
      </w:r>
      <w:r w:rsidRPr="00E125FC">
        <w:rPr>
          <w:rtl/>
        </w:rPr>
        <w:t xml:space="preserve"> </w:t>
      </w:r>
      <w:r w:rsidRPr="00E125FC">
        <w:rPr>
          <w:rFonts w:hint="cs"/>
          <w:rtl/>
        </w:rPr>
        <w:t>אין</w:t>
      </w:r>
      <w:r w:rsidRPr="00E125FC">
        <w:rPr>
          <w:rtl/>
        </w:rPr>
        <w:t xml:space="preserve"> </w:t>
      </w:r>
      <w:r w:rsidRPr="00E125FC">
        <w:rPr>
          <w:rFonts w:hint="cs"/>
          <w:rtl/>
        </w:rPr>
        <w:t>צריך</w:t>
      </w:r>
      <w:r w:rsidRPr="00E125FC">
        <w:rPr>
          <w:rtl/>
        </w:rPr>
        <w:t xml:space="preserve">, </w:t>
      </w:r>
      <w:r w:rsidRPr="00E125FC">
        <w:rPr>
          <w:rFonts w:hint="cs"/>
          <w:rtl/>
        </w:rPr>
        <w:t>לערב</w:t>
      </w:r>
      <w:r w:rsidRPr="00E125FC">
        <w:rPr>
          <w:rtl/>
        </w:rPr>
        <w:t xml:space="preserve"> </w:t>
      </w:r>
      <w:r w:rsidRPr="00E125FC">
        <w:rPr>
          <w:rFonts w:hint="cs"/>
          <w:rtl/>
        </w:rPr>
        <w:t>יבערנו</w:t>
      </w:r>
      <w:r w:rsidRPr="00E125FC">
        <w:rPr>
          <w:rtl/>
        </w:rPr>
        <w:t xml:space="preserve">, </w:t>
      </w:r>
      <w:r w:rsidRPr="00E125FC">
        <w:rPr>
          <w:rFonts w:hint="cs"/>
          <w:rtl/>
        </w:rPr>
        <w:t>הא</w:t>
      </w:r>
      <w:r w:rsidRPr="00E125FC">
        <w:rPr>
          <w:rtl/>
        </w:rPr>
        <w:t xml:space="preserve"> </w:t>
      </w:r>
      <w:r w:rsidRPr="00E125FC">
        <w:rPr>
          <w:rFonts w:hint="cs"/>
          <w:rtl/>
        </w:rPr>
        <w:t>מעת</w:t>
      </w:r>
      <w:r w:rsidRPr="00E125FC">
        <w:rPr>
          <w:rtl/>
        </w:rPr>
        <w:t xml:space="preserve"> </w:t>
      </w:r>
      <w:r w:rsidRPr="00E125FC">
        <w:rPr>
          <w:rFonts w:hint="cs"/>
          <w:rtl/>
        </w:rPr>
        <w:t>לעת</w:t>
      </w:r>
      <w:r w:rsidRPr="00E125FC">
        <w:rPr>
          <w:rtl/>
        </w:rPr>
        <w:t xml:space="preserve"> </w:t>
      </w:r>
      <w:r w:rsidRPr="00E125FC">
        <w:rPr>
          <w:rFonts w:hint="cs"/>
          <w:rtl/>
        </w:rPr>
        <w:t>צריך</w:t>
      </w:r>
      <w:r w:rsidRPr="00E125FC">
        <w:rPr>
          <w:rtl/>
        </w:rPr>
        <w:t xml:space="preserve"> </w:t>
      </w:r>
      <w:r w:rsidRPr="00E125FC">
        <w:rPr>
          <w:rFonts w:hint="cs"/>
          <w:rtl/>
        </w:rPr>
        <w:t>מחיצה"</w:t>
      </w:r>
      <w:r w:rsidRPr="00E125FC">
        <w:rPr>
          <w:rtl/>
        </w:rPr>
        <w:t>.</w:t>
      </w:r>
    </w:p>
    <w:p w14:paraId="764513A2" w14:textId="77777777" w:rsidR="00EE6654" w:rsidRPr="00E125FC" w:rsidRDefault="00EE6654" w:rsidP="00423C6D">
      <w:pPr>
        <w:pStyle w:val="a2"/>
        <w:rPr>
          <w:rtl/>
        </w:rPr>
      </w:pPr>
      <w:r w:rsidRPr="00E125FC">
        <w:rPr>
          <w:rFonts w:hint="cs"/>
          <w:rtl/>
        </w:rPr>
        <w:t>היינו שאינו מפרש רש"י כפי' התוס' חכמי אנגלי' הנ"ל דהוי טעם אחד, אלא מפרש דהוי שני טעמים נפרדים (כמ"ש הר"ן), כאילו קתני בפרש"י "א"נ", והמ"א להלכה פוסק כטעם הב' בפרש"י</w:t>
      </w:r>
      <w:r w:rsidRPr="00E125FC">
        <w:rPr>
          <w:rStyle w:val="FootnoteReference"/>
          <w:sz w:val="32"/>
          <w:szCs w:val="32"/>
          <w:rtl/>
        </w:rPr>
        <w:footnoteReference w:id="80"/>
      </w:r>
      <w:r w:rsidRPr="00E125FC">
        <w:rPr>
          <w:rFonts w:hint="cs"/>
          <w:rtl/>
        </w:rPr>
        <w:t>.</w:t>
      </w:r>
    </w:p>
    <w:p w14:paraId="7D5B3CD5" w14:textId="5807229B" w:rsidR="00170D2C" w:rsidRPr="00D25B6F" w:rsidRDefault="00EE6654" w:rsidP="00423C6D">
      <w:pPr>
        <w:pStyle w:val="a2"/>
        <w:rPr>
          <w:rtl/>
          <w:lang w:val="en-US"/>
        </w:rPr>
      </w:pPr>
      <w:r w:rsidRPr="00E125FC">
        <w:rPr>
          <w:rFonts w:hint="cs"/>
          <w:rtl/>
        </w:rPr>
        <w:t>וכן פוסק כ"ק אדה"ז בשו"ע שלו</w:t>
      </w:r>
      <w:r>
        <w:rPr>
          <w:rStyle w:val="FootnoteReference"/>
          <w:sz w:val="32"/>
          <w:szCs w:val="32"/>
          <w:rtl/>
        </w:rPr>
        <w:footnoteReference w:id="81"/>
      </w:r>
      <w:r w:rsidRPr="00E125FC">
        <w:rPr>
          <w:rFonts w:hint="cs"/>
          <w:rtl/>
        </w:rPr>
        <w:t xml:space="preserve"> וזלה"ק "ואם</w:t>
      </w:r>
      <w:r w:rsidRPr="00E125FC">
        <w:rPr>
          <w:rtl/>
        </w:rPr>
        <w:t xml:space="preserve"> </w:t>
      </w:r>
      <w:r w:rsidRPr="00E125FC">
        <w:rPr>
          <w:rFonts w:hint="cs"/>
          <w:rtl/>
        </w:rPr>
        <w:t>הדבר</w:t>
      </w:r>
      <w:r w:rsidRPr="00E125FC">
        <w:rPr>
          <w:rtl/>
        </w:rPr>
        <w:t xml:space="preserve"> </w:t>
      </w:r>
      <w:r w:rsidRPr="00E125FC">
        <w:rPr>
          <w:rFonts w:hint="cs"/>
          <w:rtl/>
        </w:rPr>
        <w:t>ברור</w:t>
      </w:r>
      <w:r w:rsidRPr="00E125FC">
        <w:rPr>
          <w:rtl/>
        </w:rPr>
        <w:t xml:space="preserve"> </w:t>
      </w:r>
      <w:r w:rsidRPr="00E125FC">
        <w:rPr>
          <w:rFonts w:hint="cs"/>
          <w:rtl/>
        </w:rPr>
        <w:t>וידוע שלא</w:t>
      </w:r>
      <w:r w:rsidRPr="00E125FC">
        <w:rPr>
          <w:rtl/>
        </w:rPr>
        <w:t xml:space="preserve"> </w:t>
      </w:r>
      <w:r w:rsidRPr="00E125FC">
        <w:rPr>
          <w:rFonts w:hint="cs"/>
          <w:rtl/>
        </w:rPr>
        <w:t>ישתהה</w:t>
      </w:r>
      <w:r w:rsidRPr="00E125FC">
        <w:rPr>
          <w:rtl/>
        </w:rPr>
        <w:t xml:space="preserve"> </w:t>
      </w:r>
      <w:r w:rsidRPr="00E125FC">
        <w:rPr>
          <w:rFonts w:hint="cs"/>
          <w:rtl/>
        </w:rPr>
        <w:t>הנכרי</w:t>
      </w:r>
      <w:r w:rsidRPr="00E125FC">
        <w:rPr>
          <w:rtl/>
        </w:rPr>
        <w:t xml:space="preserve"> </w:t>
      </w:r>
      <w:r w:rsidRPr="00E125FC">
        <w:rPr>
          <w:rFonts w:hint="cs"/>
          <w:rtl/>
        </w:rPr>
        <w:t>חוץ</w:t>
      </w:r>
      <w:r w:rsidRPr="00E125FC">
        <w:rPr>
          <w:rtl/>
        </w:rPr>
        <w:t xml:space="preserve"> </w:t>
      </w:r>
      <w:r w:rsidRPr="00E125FC">
        <w:rPr>
          <w:rFonts w:hint="cs"/>
          <w:rtl/>
        </w:rPr>
        <w:t>לביתו</w:t>
      </w:r>
      <w:r w:rsidRPr="00E125FC">
        <w:rPr>
          <w:rtl/>
        </w:rPr>
        <w:t xml:space="preserve"> </w:t>
      </w:r>
      <w:r w:rsidRPr="00E125FC">
        <w:rPr>
          <w:rFonts w:hint="cs"/>
          <w:rtl/>
        </w:rPr>
        <w:t>של</w:t>
      </w:r>
      <w:r w:rsidRPr="00E125FC">
        <w:rPr>
          <w:rtl/>
        </w:rPr>
        <w:t xml:space="preserve"> </w:t>
      </w:r>
      <w:r w:rsidRPr="00E125FC">
        <w:rPr>
          <w:rFonts w:hint="cs"/>
          <w:rtl/>
        </w:rPr>
        <w:t>הישראל</w:t>
      </w:r>
      <w:r w:rsidRPr="00E125FC">
        <w:rPr>
          <w:rtl/>
        </w:rPr>
        <w:t xml:space="preserve"> </w:t>
      </w:r>
      <w:r w:rsidRPr="00E125FC">
        <w:rPr>
          <w:rFonts w:hint="cs"/>
          <w:rtl/>
        </w:rPr>
        <w:t>שחמצו</w:t>
      </w:r>
      <w:r w:rsidRPr="00E125FC">
        <w:rPr>
          <w:rtl/>
        </w:rPr>
        <w:t xml:space="preserve"> </w:t>
      </w:r>
      <w:r w:rsidRPr="00E125FC">
        <w:rPr>
          <w:rFonts w:hint="cs"/>
          <w:rtl/>
        </w:rPr>
        <w:t>מונח</w:t>
      </w:r>
      <w:r w:rsidRPr="00E125FC">
        <w:rPr>
          <w:rtl/>
        </w:rPr>
        <w:t xml:space="preserve"> </w:t>
      </w:r>
      <w:r w:rsidRPr="00E125FC">
        <w:rPr>
          <w:rFonts w:hint="cs"/>
          <w:rtl/>
        </w:rPr>
        <w:t>בתוכו</w:t>
      </w:r>
      <w:r w:rsidRPr="00E125FC">
        <w:rPr>
          <w:rtl/>
        </w:rPr>
        <w:t xml:space="preserve"> </w:t>
      </w:r>
      <w:r w:rsidRPr="00E125FC">
        <w:rPr>
          <w:rFonts w:hint="cs"/>
          <w:rtl/>
        </w:rPr>
        <w:t>רק</w:t>
      </w:r>
      <w:r w:rsidRPr="00E125FC">
        <w:rPr>
          <w:rtl/>
        </w:rPr>
        <w:t xml:space="preserve"> </w:t>
      </w:r>
      <w:r w:rsidRPr="00E125FC">
        <w:rPr>
          <w:rFonts w:hint="cs"/>
          <w:rtl/>
        </w:rPr>
        <w:t>כחצי</w:t>
      </w:r>
      <w:r w:rsidRPr="00E125FC">
        <w:rPr>
          <w:rtl/>
        </w:rPr>
        <w:t xml:space="preserve"> </w:t>
      </w:r>
      <w:r w:rsidRPr="00E125FC">
        <w:rPr>
          <w:rFonts w:hint="cs"/>
          <w:rtl/>
        </w:rPr>
        <w:t>היום</w:t>
      </w:r>
      <w:r w:rsidRPr="00E125FC">
        <w:rPr>
          <w:rtl/>
        </w:rPr>
        <w:t xml:space="preserve"> </w:t>
      </w:r>
      <w:r w:rsidRPr="00E125FC">
        <w:rPr>
          <w:rFonts w:hint="cs"/>
          <w:rtl/>
        </w:rPr>
        <w:t>ואח</w:t>
      </w:r>
      <w:r w:rsidRPr="00E125FC">
        <w:rPr>
          <w:rtl/>
        </w:rPr>
        <w:t>"</w:t>
      </w:r>
      <w:r w:rsidRPr="00E125FC">
        <w:rPr>
          <w:rFonts w:hint="cs"/>
          <w:rtl/>
        </w:rPr>
        <w:t>כ</w:t>
      </w:r>
      <w:r w:rsidRPr="00E125FC">
        <w:rPr>
          <w:rtl/>
        </w:rPr>
        <w:t xml:space="preserve"> </w:t>
      </w:r>
      <w:r w:rsidRPr="00E125FC">
        <w:rPr>
          <w:rFonts w:hint="cs"/>
          <w:rtl/>
        </w:rPr>
        <w:t>יחזור</w:t>
      </w:r>
      <w:r w:rsidRPr="00E125FC">
        <w:rPr>
          <w:rtl/>
        </w:rPr>
        <w:t xml:space="preserve"> </w:t>
      </w:r>
      <w:r w:rsidRPr="00E125FC">
        <w:rPr>
          <w:rFonts w:hint="cs"/>
          <w:rtl/>
        </w:rPr>
        <w:t>לבית</w:t>
      </w:r>
      <w:r w:rsidRPr="00E125FC">
        <w:rPr>
          <w:rtl/>
        </w:rPr>
        <w:t xml:space="preserve"> </w:t>
      </w:r>
      <w:r w:rsidRPr="00E125FC">
        <w:rPr>
          <w:rFonts w:hint="cs"/>
          <w:rtl/>
        </w:rPr>
        <w:t>הישראל</w:t>
      </w:r>
      <w:r w:rsidRPr="00E125FC">
        <w:rPr>
          <w:rtl/>
        </w:rPr>
        <w:t xml:space="preserve"> </w:t>
      </w:r>
      <w:r w:rsidRPr="00E125FC">
        <w:rPr>
          <w:rFonts w:hint="cs"/>
          <w:rtl/>
        </w:rPr>
        <w:t>ליטול</w:t>
      </w:r>
      <w:r w:rsidRPr="00E125FC">
        <w:rPr>
          <w:rtl/>
        </w:rPr>
        <w:t xml:space="preserve"> </w:t>
      </w:r>
      <w:r w:rsidRPr="00E125FC">
        <w:rPr>
          <w:rFonts w:hint="cs"/>
          <w:rtl/>
        </w:rPr>
        <w:t>חמצו</w:t>
      </w:r>
      <w:r w:rsidRPr="00E125FC">
        <w:rPr>
          <w:rtl/>
        </w:rPr>
        <w:t xml:space="preserve"> </w:t>
      </w:r>
      <w:r w:rsidRPr="00E125FC">
        <w:rPr>
          <w:rFonts w:hint="cs"/>
          <w:rtl/>
        </w:rPr>
        <w:t>משם</w:t>
      </w:r>
      <w:r w:rsidRPr="00E125FC">
        <w:rPr>
          <w:rtl/>
        </w:rPr>
        <w:t xml:space="preserve"> </w:t>
      </w:r>
      <w:r w:rsidRPr="00E125FC">
        <w:rPr>
          <w:rFonts w:hint="cs"/>
          <w:rtl/>
        </w:rPr>
        <w:t>א</w:t>
      </w:r>
      <w:r w:rsidRPr="00E125FC">
        <w:rPr>
          <w:rtl/>
        </w:rPr>
        <w:t>"</w:t>
      </w:r>
      <w:r w:rsidRPr="00E125FC">
        <w:rPr>
          <w:rFonts w:hint="cs"/>
          <w:rtl/>
        </w:rPr>
        <w:t>צ</w:t>
      </w:r>
      <w:r w:rsidRPr="00E125FC">
        <w:rPr>
          <w:rtl/>
        </w:rPr>
        <w:t xml:space="preserve"> </w:t>
      </w:r>
      <w:r w:rsidRPr="00E125FC">
        <w:rPr>
          <w:rFonts w:hint="cs"/>
          <w:rtl/>
        </w:rPr>
        <w:t>לעשות</w:t>
      </w:r>
      <w:r w:rsidRPr="00E125FC">
        <w:rPr>
          <w:rtl/>
        </w:rPr>
        <w:t xml:space="preserve"> </w:t>
      </w:r>
      <w:r w:rsidRPr="00E125FC">
        <w:rPr>
          <w:rFonts w:hint="cs"/>
          <w:rtl/>
        </w:rPr>
        <w:t>לפניו</w:t>
      </w:r>
      <w:r w:rsidRPr="00E125FC">
        <w:rPr>
          <w:rtl/>
        </w:rPr>
        <w:t xml:space="preserve"> </w:t>
      </w:r>
      <w:r w:rsidRPr="00E125FC">
        <w:rPr>
          <w:rFonts w:hint="cs"/>
          <w:rtl/>
        </w:rPr>
        <w:t>מחיצה</w:t>
      </w:r>
      <w:r w:rsidRPr="00E125FC">
        <w:rPr>
          <w:rtl/>
        </w:rPr>
        <w:t xml:space="preserve"> </w:t>
      </w:r>
      <w:r w:rsidRPr="00E125FC">
        <w:rPr>
          <w:rFonts w:hint="cs"/>
          <w:rtl/>
        </w:rPr>
        <w:t>אפילו</w:t>
      </w:r>
      <w:r w:rsidRPr="00E125FC">
        <w:rPr>
          <w:rtl/>
        </w:rPr>
        <w:t xml:space="preserve"> </w:t>
      </w:r>
      <w:r w:rsidRPr="00E125FC">
        <w:rPr>
          <w:rFonts w:hint="cs"/>
          <w:rtl/>
        </w:rPr>
        <w:t>הוא</w:t>
      </w:r>
      <w:r w:rsidRPr="00E125FC">
        <w:rPr>
          <w:rtl/>
        </w:rPr>
        <w:t xml:space="preserve"> </w:t>
      </w:r>
      <w:r w:rsidRPr="00E125FC">
        <w:rPr>
          <w:rFonts w:hint="cs"/>
          <w:rtl/>
        </w:rPr>
        <w:t>חולו</w:t>
      </w:r>
      <w:r w:rsidRPr="00E125FC">
        <w:rPr>
          <w:rtl/>
        </w:rPr>
        <w:t xml:space="preserve"> </w:t>
      </w:r>
      <w:r w:rsidRPr="00E125FC">
        <w:rPr>
          <w:rFonts w:hint="cs"/>
          <w:rtl/>
        </w:rPr>
        <w:t>של</w:t>
      </w:r>
      <w:r w:rsidRPr="00E125FC">
        <w:rPr>
          <w:rtl/>
        </w:rPr>
        <w:t xml:space="preserve"> </w:t>
      </w:r>
      <w:r w:rsidRPr="00E125FC">
        <w:rPr>
          <w:rFonts w:hint="cs"/>
          <w:rtl/>
        </w:rPr>
        <w:t>מועד</w:t>
      </w:r>
      <w:r w:rsidRPr="00E125FC">
        <w:rPr>
          <w:rtl/>
        </w:rPr>
        <w:t xml:space="preserve"> </w:t>
      </w:r>
      <w:r w:rsidRPr="00E125FC">
        <w:rPr>
          <w:rFonts w:hint="cs"/>
          <w:rtl/>
        </w:rPr>
        <w:t>שמותר</w:t>
      </w:r>
      <w:r w:rsidRPr="00E125FC">
        <w:rPr>
          <w:rtl/>
        </w:rPr>
        <w:t xml:space="preserve"> </w:t>
      </w:r>
      <w:r w:rsidRPr="00E125FC">
        <w:rPr>
          <w:rFonts w:hint="cs"/>
          <w:rtl/>
        </w:rPr>
        <w:t>בעשיית</w:t>
      </w:r>
      <w:r w:rsidRPr="00E125FC">
        <w:rPr>
          <w:rtl/>
        </w:rPr>
        <w:t xml:space="preserve"> </w:t>
      </w:r>
      <w:r w:rsidRPr="00E125FC">
        <w:rPr>
          <w:rFonts w:hint="cs"/>
          <w:rtl/>
        </w:rPr>
        <w:t>מלאכה</w:t>
      </w:r>
      <w:r w:rsidRPr="00E125FC">
        <w:rPr>
          <w:rtl/>
        </w:rPr>
        <w:t xml:space="preserve"> (</w:t>
      </w:r>
      <w:r w:rsidRPr="00E125FC">
        <w:rPr>
          <w:rFonts w:hint="cs"/>
          <w:rtl/>
        </w:rPr>
        <w:t>שאינה</w:t>
      </w:r>
      <w:r w:rsidRPr="00E125FC">
        <w:rPr>
          <w:rtl/>
        </w:rPr>
        <w:t xml:space="preserve"> </w:t>
      </w:r>
      <w:r w:rsidRPr="00E125FC">
        <w:rPr>
          <w:rFonts w:hint="cs"/>
          <w:rtl/>
        </w:rPr>
        <w:t>מעשה</w:t>
      </w:r>
      <w:r w:rsidRPr="00E125FC">
        <w:rPr>
          <w:rtl/>
        </w:rPr>
        <w:t xml:space="preserve"> </w:t>
      </w:r>
      <w:r w:rsidRPr="00E125FC">
        <w:rPr>
          <w:rFonts w:hint="cs"/>
          <w:rtl/>
        </w:rPr>
        <w:t>אומן</w:t>
      </w:r>
      <w:r w:rsidRPr="00E125FC">
        <w:rPr>
          <w:rtl/>
        </w:rPr>
        <w:t xml:space="preserve"> </w:t>
      </w:r>
      <w:r w:rsidRPr="00E125FC">
        <w:rPr>
          <w:rFonts w:hint="cs"/>
          <w:rtl/>
        </w:rPr>
        <w:t>כמו</w:t>
      </w:r>
      <w:r w:rsidRPr="00E125FC">
        <w:rPr>
          <w:rtl/>
        </w:rPr>
        <w:t xml:space="preserve"> </w:t>
      </w:r>
      <w:r w:rsidRPr="00E125FC">
        <w:rPr>
          <w:rFonts w:hint="cs"/>
          <w:rtl/>
        </w:rPr>
        <w:t>שיתבאר</w:t>
      </w:r>
      <w:r w:rsidRPr="00E125FC">
        <w:rPr>
          <w:rtl/>
        </w:rPr>
        <w:t xml:space="preserve"> </w:t>
      </w:r>
      <w:r w:rsidRPr="00E125FC">
        <w:rPr>
          <w:rFonts w:hint="cs"/>
          <w:rtl/>
        </w:rPr>
        <w:t>בסימן</w:t>
      </w:r>
      <w:r w:rsidRPr="00E125FC">
        <w:rPr>
          <w:rtl/>
        </w:rPr>
        <w:t xml:space="preserve"> </w:t>
      </w:r>
      <w:r w:rsidRPr="00E125FC">
        <w:rPr>
          <w:rFonts w:hint="cs"/>
          <w:rtl/>
        </w:rPr>
        <w:t>תק</w:t>
      </w:r>
      <w:r w:rsidRPr="00E125FC">
        <w:rPr>
          <w:rtl/>
        </w:rPr>
        <w:t>"</w:t>
      </w:r>
      <w:r w:rsidRPr="00E125FC">
        <w:rPr>
          <w:rFonts w:hint="cs"/>
          <w:rtl/>
        </w:rPr>
        <w:t>מ</w:t>
      </w:r>
      <w:r w:rsidRPr="00E125FC">
        <w:rPr>
          <w:rtl/>
        </w:rPr>
        <w:t xml:space="preserve">) </w:t>
      </w:r>
      <w:r w:rsidRPr="00E125FC">
        <w:rPr>
          <w:rFonts w:hint="cs"/>
          <w:rtl/>
        </w:rPr>
        <w:t>אלא</w:t>
      </w:r>
      <w:r w:rsidRPr="00E125FC">
        <w:rPr>
          <w:rtl/>
        </w:rPr>
        <w:t xml:space="preserve"> </w:t>
      </w:r>
      <w:r w:rsidRPr="00E125FC">
        <w:rPr>
          <w:rFonts w:hint="cs"/>
          <w:rtl/>
        </w:rPr>
        <w:t>די</w:t>
      </w:r>
      <w:r w:rsidRPr="00E125FC">
        <w:rPr>
          <w:rtl/>
        </w:rPr>
        <w:t xml:space="preserve"> </w:t>
      </w:r>
      <w:r w:rsidRPr="00E125FC">
        <w:rPr>
          <w:rFonts w:hint="cs"/>
          <w:rtl/>
        </w:rPr>
        <w:t>לו</w:t>
      </w:r>
      <w:r w:rsidRPr="00E125FC">
        <w:rPr>
          <w:rtl/>
        </w:rPr>
        <w:t xml:space="preserve"> </w:t>
      </w:r>
      <w:r w:rsidRPr="00E125FC">
        <w:rPr>
          <w:rFonts w:hint="cs"/>
          <w:rtl/>
        </w:rPr>
        <w:t>בכפיית</w:t>
      </w:r>
      <w:r w:rsidRPr="00E125FC">
        <w:rPr>
          <w:rtl/>
        </w:rPr>
        <w:t xml:space="preserve"> </w:t>
      </w:r>
      <w:r w:rsidRPr="00E125FC">
        <w:rPr>
          <w:rFonts w:hint="cs"/>
          <w:rtl/>
        </w:rPr>
        <w:t>כלי</w:t>
      </w:r>
      <w:r w:rsidRPr="00E125FC">
        <w:rPr>
          <w:rtl/>
        </w:rPr>
        <w:t xml:space="preserve"> </w:t>
      </w:r>
      <w:r w:rsidRPr="00E125FC">
        <w:rPr>
          <w:rFonts w:hint="cs"/>
          <w:rtl/>
        </w:rPr>
        <w:t>עד</w:t>
      </w:r>
      <w:r w:rsidRPr="00E125FC">
        <w:rPr>
          <w:rtl/>
        </w:rPr>
        <w:t xml:space="preserve"> </w:t>
      </w:r>
      <w:r w:rsidRPr="00E125FC">
        <w:rPr>
          <w:rFonts w:hint="cs"/>
          <w:rtl/>
        </w:rPr>
        <w:t>שיבא</w:t>
      </w:r>
      <w:r w:rsidRPr="00E125FC">
        <w:rPr>
          <w:rtl/>
        </w:rPr>
        <w:t xml:space="preserve"> </w:t>
      </w:r>
      <w:r w:rsidRPr="00E125FC">
        <w:rPr>
          <w:rFonts w:hint="cs"/>
          <w:rtl/>
        </w:rPr>
        <w:t>הנכרי</w:t>
      </w:r>
      <w:r w:rsidRPr="00E125FC">
        <w:rPr>
          <w:rtl/>
        </w:rPr>
        <w:t xml:space="preserve"> </w:t>
      </w:r>
      <w:r w:rsidRPr="00E125FC">
        <w:rPr>
          <w:rFonts w:hint="cs"/>
          <w:rtl/>
        </w:rPr>
        <w:t>ויטול</w:t>
      </w:r>
      <w:r w:rsidRPr="00E125FC">
        <w:rPr>
          <w:rtl/>
        </w:rPr>
        <w:t xml:space="preserve"> </w:t>
      </w:r>
      <w:r w:rsidRPr="00E125FC">
        <w:rPr>
          <w:rFonts w:hint="cs"/>
          <w:rtl/>
        </w:rPr>
        <w:t>חמצו</w:t>
      </w:r>
      <w:r w:rsidRPr="00E125FC">
        <w:rPr>
          <w:rtl/>
        </w:rPr>
        <w:t xml:space="preserve"> </w:t>
      </w:r>
      <w:r w:rsidRPr="00E125FC">
        <w:rPr>
          <w:rFonts w:hint="cs"/>
          <w:rtl/>
        </w:rPr>
        <w:t>דכיון</w:t>
      </w:r>
      <w:r w:rsidRPr="00E125FC">
        <w:rPr>
          <w:rtl/>
        </w:rPr>
        <w:t xml:space="preserve"> </w:t>
      </w:r>
      <w:r w:rsidRPr="00E125FC">
        <w:rPr>
          <w:rFonts w:hint="cs"/>
          <w:rtl/>
        </w:rPr>
        <w:t>שלא</w:t>
      </w:r>
      <w:r w:rsidRPr="00E125FC">
        <w:rPr>
          <w:rtl/>
        </w:rPr>
        <w:t xml:space="preserve"> </w:t>
      </w:r>
      <w:r w:rsidRPr="00E125FC">
        <w:rPr>
          <w:rFonts w:hint="cs"/>
          <w:rtl/>
        </w:rPr>
        <w:t>ישתהה</w:t>
      </w:r>
      <w:r w:rsidRPr="00E125FC">
        <w:rPr>
          <w:rtl/>
        </w:rPr>
        <w:t xml:space="preserve"> </w:t>
      </w:r>
      <w:r w:rsidRPr="00E125FC">
        <w:rPr>
          <w:rFonts w:hint="cs"/>
          <w:rtl/>
        </w:rPr>
        <w:t>הנכרי</w:t>
      </w:r>
      <w:r w:rsidRPr="00E125FC">
        <w:rPr>
          <w:rtl/>
        </w:rPr>
        <w:t xml:space="preserve"> </w:t>
      </w:r>
      <w:r w:rsidRPr="00E125FC">
        <w:rPr>
          <w:rFonts w:hint="cs"/>
          <w:rtl/>
        </w:rPr>
        <w:t>רק</w:t>
      </w:r>
      <w:r w:rsidRPr="00E125FC">
        <w:rPr>
          <w:rtl/>
        </w:rPr>
        <w:t xml:space="preserve"> </w:t>
      </w:r>
      <w:r w:rsidRPr="00E125FC">
        <w:rPr>
          <w:rFonts w:hint="cs"/>
          <w:rtl/>
        </w:rPr>
        <w:t>כחצי</w:t>
      </w:r>
      <w:r w:rsidRPr="00E125FC">
        <w:rPr>
          <w:rtl/>
        </w:rPr>
        <w:t xml:space="preserve"> </w:t>
      </w:r>
      <w:r w:rsidRPr="00E125FC">
        <w:rPr>
          <w:rFonts w:hint="cs"/>
          <w:rtl/>
        </w:rPr>
        <w:t>היום</w:t>
      </w:r>
      <w:r w:rsidRPr="00E125FC">
        <w:rPr>
          <w:rtl/>
        </w:rPr>
        <w:t xml:space="preserve"> </w:t>
      </w:r>
      <w:r w:rsidRPr="00E125FC">
        <w:rPr>
          <w:rFonts w:hint="cs"/>
          <w:rtl/>
        </w:rPr>
        <w:t>אין</w:t>
      </w:r>
      <w:r w:rsidRPr="00E125FC">
        <w:rPr>
          <w:rtl/>
        </w:rPr>
        <w:t xml:space="preserve"> </w:t>
      </w:r>
      <w:r w:rsidRPr="00E125FC">
        <w:rPr>
          <w:rFonts w:hint="cs"/>
          <w:rtl/>
        </w:rPr>
        <w:t>חוששין</w:t>
      </w:r>
      <w:r w:rsidRPr="00E125FC">
        <w:rPr>
          <w:rtl/>
        </w:rPr>
        <w:t xml:space="preserve"> </w:t>
      </w:r>
      <w:r w:rsidRPr="00E125FC">
        <w:rPr>
          <w:rFonts w:hint="cs"/>
          <w:rtl/>
        </w:rPr>
        <w:t>שמא</w:t>
      </w:r>
      <w:r w:rsidRPr="00E125FC">
        <w:rPr>
          <w:rtl/>
        </w:rPr>
        <w:t xml:space="preserve"> </w:t>
      </w:r>
      <w:r w:rsidRPr="00E125FC">
        <w:rPr>
          <w:rFonts w:hint="cs"/>
          <w:rtl/>
        </w:rPr>
        <w:t>ינטל</w:t>
      </w:r>
      <w:r w:rsidRPr="00E125FC">
        <w:rPr>
          <w:rtl/>
        </w:rPr>
        <w:t xml:space="preserve"> </w:t>
      </w:r>
      <w:r w:rsidRPr="00E125FC">
        <w:rPr>
          <w:rFonts w:hint="cs"/>
          <w:rtl/>
        </w:rPr>
        <w:t>הכלי</w:t>
      </w:r>
      <w:r w:rsidRPr="00E125FC">
        <w:rPr>
          <w:rtl/>
        </w:rPr>
        <w:t xml:space="preserve"> </w:t>
      </w:r>
      <w:r w:rsidRPr="00E125FC">
        <w:rPr>
          <w:rFonts w:hint="cs"/>
          <w:rtl/>
        </w:rPr>
        <w:t>בחצי</w:t>
      </w:r>
      <w:r w:rsidRPr="00E125FC">
        <w:rPr>
          <w:rtl/>
        </w:rPr>
        <w:t xml:space="preserve"> </w:t>
      </w:r>
      <w:r w:rsidRPr="00E125FC">
        <w:rPr>
          <w:rFonts w:hint="cs"/>
          <w:rtl/>
        </w:rPr>
        <w:t>יום</w:t>
      </w:r>
      <w:r w:rsidRPr="00E125FC">
        <w:rPr>
          <w:rtl/>
        </w:rPr>
        <w:t xml:space="preserve"> </w:t>
      </w:r>
      <w:r w:rsidRPr="00E125FC">
        <w:rPr>
          <w:rFonts w:hint="cs"/>
          <w:rtl/>
        </w:rPr>
        <w:t>זה"</w:t>
      </w:r>
    </w:p>
    <w:p w14:paraId="056B5210" w14:textId="77777777" w:rsidR="009464B2" w:rsidRDefault="009464B2" w:rsidP="00267BD1">
      <w:pPr>
        <w:pStyle w:val="a"/>
      </w:pPr>
      <w:bookmarkStart w:id="150" w:name="_Toc531140389"/>
      <w:r>
        <w:rPr>
          <w:rtl/>
        </w:rPr>
        <w:lastRenderedPageBreak/>
        <w:t>שיטת אביי בנכרי שלא כיבשתו</w:t>
      </w:r>
      <w:bookmarkEnd w:id="150"/>
    </w:p>
    <w:p w14:paraId="0137E1A5" w14:textId="77777777" w:rsidR="009464B2" w:rsidRDefault="009464B2" w:rsidP="00C40DBA">
      <w:pPr>
        <w:pStyle w:val="a0"/>
        <w:rPr>
          <w:rtl/>
        </w:rPr>
      </w:pPr>
      <w:bookmarkStart w:id="151" w:name="_Toc531140390"/>
      <w:r>
        <w:rPr>
          <w:rtl/>
          <w:lang w:bidi="he-IL"/>
        </w:rPr>
        <w:t>הת</w:t>
      </w:r>
      <w:r>
        <w:rPr>
          <w:rtl/>
        </w:rPr>
        <w:t xml:space="preserve">' </w:t>
      </w:r>
      <w:r>
        <w:rPr>
          <w:rtl/>
          <w:lang w:bidi="he-IL"/>
        </w:rPr>
        <w:t>יוסף אברהם הלוי שטאל</w:t>
      </w:r>
      <w:bookmarkEnd w:id="151"/>
    </w:p>
    <w:p w14:paraId="6B0A2ABB" w14:textId="52AEE755" w:rsidR="00267BD1" w:rsidRPr="00267BD1" w:rsidRDefault="00267BD1" w:rsidP="00267BD1">
      <w:pPr>
        <w:pStyle w:val="a1"/>
        <w:rPr>
          <w:rtl/>
          <w:lang w:val="en-GB"/>
        </w:rPr>
      </w:pPr>
      <w:r>
        <w:rPr>
          <w:rFonts w:hint="cs"/>
          <w:rtl/>
          <w:lang w:val="en-GB"/>
        </w:rPr>
        <w:t>תלמיד בישיבה</w:t>
      </w:r>
    </w:p>
    <w:p w14:paraId="57D82266" w14:textId="77777777" w:rsidR="009464B2" w:rsidRDefault="009464B2" w:rsidP="00423C6D">
      <w:pPr>
        <w:pStyle w:val="a2"/>
        <w:rPr>
          <w:rtl/>
        </w:rPr>
      </w:pPr>
      <w:r>
        <w:rPr>
          <w:rtl/>
        </w:rPr>
        <w:t xml:space="preserve">שנינו במסכת פסחים (ה,ב) תניא "לא יראה לך שאור בכל גבולך", "דכל גבולך" - אף חמץ שבבורות שיחין ומערות אסור להשהות. "לך" - שלך אי אתה רואה אבל אתה רואה של אחרים ושל גבוה. שמא מותר להטמינו אם אינו רואיהו, או לקבל פקדונות מנכרי, לכן נאמר "שבעת ימים שאור </w:t>
      </w:r>
      <w:r>
        <w:rPr>
          <w:b/>
          <w:bCs/>
          <w:rtl/>
        </w:rPr>
        <w:t>לא ימצא</w:t>
      </w:r>
      <w:r>
        <w:rPr>
          <w:rtl/>
        </w:rPr>
        <w:t xml:space="preserve"> בבתיכם" ולמידים בג"ש שאור שאור ל"לא יראה לך שאור בכל גבולך", שאף בגבולכם אסור להטמין ולקבל פקדונות מנכרי, כו'.</w:t>
      </w:r>
    </w:p>
    <w:p w14:paraId="19AC8A62" w14:textId="77777777" w:rsidR="009464B2" w:rsidRDefault="009464B2" w:rsidP="00423C6D">
      <w:pPr>
        <w:pStyle w:val="a2"/>
        <w:rPr>
          <w:rtl/>
        </w:rPr>
      </w:pPr>
      <w:r>
        <w:rPr>
          <w:rtl/>
        </w:rPr>
        <w:t>ומפרשינן שאם לא קיבל אחריות על חמץ הגוי מותר להשהותו (אבל אתה רואה של אחרים), ואם קיבל אחריות אסור (יכול יטמין ויקבל פקדונות מהנכרים) [וכמו שאמר רבא לבני מחוזא שיבערו את חמץ חילי הצבא מבתיהם, שאילו יגנב או יאבד הרי הוא באחריותם, נחשב כשלהם].</w:t>
      </w:r>
    </w:p>
    <w:p w14:paraId="0B45A30D" w14:textId="77777777" w:rsidR="009464B2" w:rsidRDefault="009464B2" w:rsidP="00423C6D">
      <w:pPr>
        <w:pStyle w:val="a2"/>
        <w:rPr>
          <w:rtl/>
        </w:rPr>
      </w:pPr>
      <w:r>
        <w:rPr>
          <w:rtl/>
        </w:rPr>
        <w:t xml:space="preserve">עוד שנינו בברייתא, מנין שאף נכרי שכיבשתו ושרוי עמך בחצר חמצו אסור, לכך נאמר "לא ימצא בבתיכם". לאביי - יש להפוך הגרסא, שכן נכרי שכיבשתו פשוט יותר שחמצו אסור. לרבא - ריבוי הכתוב נאמר על הרישא שבאופן שלא קיבל אחריות מותר אף בנכרי שכיבשתו, כיון שנאמר פעמיים "לא יראה </w:t>
      </w:r>
      <w:r>
        <w:rPr>
          <w:b/>
          <w:bCs/>
          <w:rtl/>
        </w:rPr>
        <w:t>לך</w:t>
      </w:r>
      <w:r>
        <w:rPr>
          <w:rtl/>
        </w:rPr>
        <w:t xml:space="preserve"> שאור" אם אינו ענין ללא יראה תניהו ללא ימצא שאף במצוי אצלך מותר.</w:t>
      </w:r>
    </w:p>
    <w:p w14:paraId="098CEE36" w14:textId="77777777" w:rsidR="009464B2" w:rsidRDefault="009464B2" w:rsidP="00423C6D">
      <w:pPr>
        <w:pStyle w:val="a2"/>
        <w:rPr>
          <w:rtl/>
        </w:rPr>
      </w:pPr>
      <w:r>
        <w:rPr>
          <w:rtl/>
        </w:rPr>
        <w:t>ולכאורה יש לתמוה על דברי אביי, שמפרש ששאלת הברייתא היא מנין שעובר גם על חמץ נכרי שלא כיבשתו כשקיבל עליו אחריות, הלא מאחר שריבה הכתוב שעוברים על "בל יראה" מחמת קבלת אחריות ועכשיו יש לישראל חלק בחמץ עכו"ם, מאי נפ"מ אם הוא נכרי שכיבשתו אם לא</w:t>
      </w:r>
      <w:r>
        <w:rPr>
          <w:rStyle w:val="FootnoteReference"/>
          <w:rtl/>
        </w:rPr>
        <w:footnoteReference w:id="82"/>
      </w:r>
      <w:r>
        <w:rPr>
          <w:rtl/>
        </w:rPr>
        <w:t>.</w:t>
      </w:r>
    </w:p>
    <w:p w14:paraId="7E9B41D7" w14:textId="77777777" w:rsidR="009464B2" w:rsidRDefault="009464B2" w:rsidP="00423C6D">
      <w:pPr>
        <w:pStyle w:val="a2"/>
        <w:rPr>
          <w:rtl/>
        </w:rPr>
      </w:pPr>
      <w:r>
        <w:rPr>
          <w:rtl/>
        </w:rPr>
        <w:t>וי"ל הביאור בזה בהקדים, מה שאיתא במכילתא (פ' בא פ"י) "בבתיכם למה נאמר, לפי שנאמר בכל גבולך שומע אני כמשמעו, ת"ל בבתיכם, מה בתיכם ברשותכם אף גבולך ברשותך וכו', יצא חמצו של נכרי שהוא ברשות ישראל וכו', אע"פ שהוא ברשותו אבל אינו יכול לבערו וכו'".</w:t>
      </w:r>
    </w:p>
    <w:p w14:paraId="2539C619" w14:textId="77777777" w:rsidR="009464B2" w:rsidRDefault="009464B2" w:rsidP="00423C6D">
      <w:pPr>
        <w:pStyle w:val="a2"/>
        <w:rPr>
          <w:rtl/>
        </w:rPr>
      </w:pPr>
      <w:r>
        <w:rPr>
          <w:rtl/>
        </w:rPr>
        <w:t xml:space="preserve">ורואים מהנ"ל, מה שנוגע הכא לאסור חמצו של נכרי או להתירו, הוא אם יכול </w:t>
      </w:r>
      <w:r>
        <w:rPr>
          <w:rtl/>
        </w:rPr>
        <w:lastRenderedPageBreak/>
        <w:t>לבערו אם לא, "נכרי שכיבשתו או נכרי שלא כיבשתו"</w:t>
      </w:r>
      <w:r>
        <w:rPr>
          <w:rStyle w:val="FootnoteReference"/>
          <w:rtl/>
        </w:rPr>
        <w:footnoteReference w:id="83"/>
      </w:r>
      <w:r>
        <w:rPr>
          <w:rtl/>
        </w:rPr>
        <w:t>.</w:t>
      </w:r>
    </w:p>
    <w:p w14:paraId="18F32583" w14:textId="4133754A" w:rsidR="009464B2" w:rsidRPr="009464B2" w:rsidRDefault="009464B2" w:rsidP="00423C6D">
      <w:pPr>
        <w:pStyle w:val="a2"/>
        <w:rPr>
          <w:rFonts w:ascii="Times New Roman" w:hAnsi="Times New Roman" w:cs="Times New Roman"/>
          <w:rtl/>
        </w:rPr>
      </w:pPr>
      <w:r>
        <w:rPr>
          <w:rtl/>
        </w:rPr>
        <w:t>ומשו"ה ניתן לאביי לחלק בין נכרי שכיבשתו לשלא כיבשתו (כסברת המכילתא). ולכן הי' צריך להביא על זה דרשה מיוחדת, להדגיש שהאבן הבוחן לחלק האם חמצו של נכרי מותר או אסור, תלוי רק על אחריות שיש לישראל עליו, ואינו נוגע כלל האם מדובר אודות נכרי שכיבשתו או לא.</w:t>
      </w:r>
      <w:r>
        <w:rPr>
          <w:rFonts w:ascii="Times New Roman" w:hAnsi="Times New Roman" w:cs="Times New Roman"/>
          <w:rtl/>
        </w:rPr>
        <w:t xml:space="preserve"> </w:t>
      </w:r>
    </w:p>
    <w:p w14:paraId="33CA7B3E" w14:textId="77777777" w:rsidR="00170D2C" w:rsidRPr="00347933" w:rsidRDefault="00170D2C" w:rsidP="00D25B6F">
      <w:pPr>
        <w:pStyle w:val="a4"/>
        <w:spacing w:after="0"/>
        <w:sectPr w:rsidR="00170D2C"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0F86444" w14:textId="6F61FD67" w:rsidR="0075010A" w:rsidRDefault="0075010A" w:rsidP="0075010A">
      <w:pPr>
        <w:pStyle w:val="12"/>
        <w:rPr>
          <w:rtl/>
        </w:rPr>
      </w:pPr>
      <w:bookmarkStart w:id="152" w:name="_Toc531140391"/>
      <w:r>
        <w:rPr>
          <w:rFonts w:hint="cs"/>
          <w:rtl/>
        </w:rPr>
        <w:t>הלכה ומנהג</w:t>
      </w:r>
      <w:bookmarkEnd w:id="152"/>
    </w:p>
    <w:p w14:paraId="2C4DB56A" w14:textId="77777777" w:rsidR="000159A2" w:rsidRDefault="000159A2" w:rsidP="000159A2">
      <w:pPr>
        <w:pStyle w:val="a"/>
        <w:rPr>
          <w:rtl/>
        </w:rPr>
      </w:pPr>
      <w:bookmarkStart w:id="153" w:name="_Toc531140392"/>
      <w:r>
        <w:rPr>
          <w:rFonts w:hint="cs"/>
          <w:rtl/>
        </w:rPr>
        <w:t>מתוך שהותרה לצורך הותרה שלא לצורך</w:t>
      </w:r>
      <w:bookmarkEnd w:id="153"/>
    </w:p>
    <w:p w14:paraId="3C35690B" w14:textId="7A582557" w:rsidR="000159A2" w:rsidRPr="008307D7" w:rsidRDefault="000159A2" w:rsidP="00C6208A">
      <w:pPr>
        <w:pStyle w:val="a0"/>
        <w:rPr>
          <w:rtl/>
        </w:rPr>
      </w:pPr>
      <w:bookmarkStart w:id="154" w:name="_Toc531140393"/>
      <w:r w:rsidRPr="008307D7">
        <w:rPr>
          <w:rFonts w:hint="cs"/>
          <w:rtl/>
          <w:lang w:bidi="he-IL"/>
        </w:rPr>
        <w:t>הרב אברהם הרץ</w:t>
      </w:r>
      <w:bookmarkEnd w:id="154"/>
    </w:p>
    <w:p w14:paraId="680B940D" w14:textId="77777777" w:rsidR="000159A2" w:rsidRDefault="000159A2" w:rsidP="00436C71">
      <w:pPr>
        <w:pStyle w:val="a1"/>
        <w:spacing w:after="0"/>
        <w:rPr>
          <w:rtl/>
          <w:lang w:val="en-GB"/>
        </w:rPr>
      </w:pPr>
      <w:r>
        <w:rPr>
          <w:rFonts w:hint="cs"/>
          <w:rtl/>
          <w:lang w:val="en-GB"/>
        </w:rPr>
        <w:t>ר"מ בישיבה</w:t>
      </w:r>
    </w:p>
    <w:p w14:paraId="1F3B9463" w14:textId="77777777" w:rsidR="000159A2" w:rsidRPr="008A5DCF" w:rsidRDefault="000159A2" w:rsidP="000159A2">
      <w:pPr>
        <w:pStyle w:val="a1"/>
        <w:rPr>
          <w:lang w:val="en-GB"/>
        </w:rPr>
      </w:pPr>
      <w:r>
        <w:rPr>
          <w:rFonts w:hint="cs"/>
          <w:rtl/>
          <w:lang w:val="en-GB"/>
        </w:rPr>
        <w:t xml:space="preserve">שליח כ"ק אדמו"ר </w:t>
      </w:r>
      <w:r>
        <w:rPr>
          <w:rtl/>
          <w:lang w:val="en-GB"/>
        </w:rPr>
        <w:t>–</w:t>
      </w:r>
      <w:r>
        <w:rPr>
          <w:rFonts w:hint="cs"/>
          <w:rtl/>
          <w:lang w:val="en-GB"/>
        </w:rPr>
        <w:t xml:space="preserve"> בנסנהרסט, נ.י.</w:t>
      </w:r>
    </w:p>
    <w:p w14:paraId="4BB84F63" w14:textId="77777777" w:rsidR="000159A2" w:rsidRDefault="000159A2" w:rsidP="00423C6D">
      <w:pPr>
        <w:pStyle w:val="11"/>
        <w:bidi/>
      </w:pPr>
      <w:r>
        <w:rPr>
          <w:rtl/>
        </w:rPr>
        <w:t>א</w:t>
      </w:r>
    </w:p>
    <w:p w14:paraId="78CA765B" w14:textId="77777777" w:rsidR="000159A2" w:rsidRDefault="000159A2" w:rsidP="00423C6D">
      <w:pPr>
        <w:pStyle w:val="a2"/>
      </w:pPr>
      <w:r>
        <w:rPr>
          <w:rtl/>
        </w:rPr>
        <w:t xml:space="preserve">א) בשו"ע אדה"ז </w:t>
      </w:r>
      <w:r>
        <w:rPr>
          <w:rFonts w:hint="cs"/>
          <w:rtl/>
        </w:rPr>
        <w:t>(</w:t>
      </w:r>
      <w:r>
        <w:rPr>
          <w:rtl/>
        </w:rPr>
        <w:t>הל' יו"ט סי' תק"י בקו"א סק"ב</w:t>
      </w:r>
      <w:r>
        <w:rPr>
          <w:rFonts w:hint="cs"/>
          <w:rtl/>
        </w:rPr>
        <w:t>)</w:t>
      </w:r>
      <w:r>
        <w:rPr>
          <w:rtl/>
        </w:rPr>
        <w:t xml:space="preserve"> כתב בא"ד וז"ל </w:t>
      </w:r>
      <w:r>
        <w:rPr>
          <w:rFonts w:hint="cs"/>
          <w:rtl/>
        </w:rPr>
        <w:t>"</w:t>
      </w:r>
      <w:r>
        <w:rPr>
          <w:rtl/>
        </w:rPr>
        <w:t xml:space="preserve">דודאי מלאכת אוכל נפש הותרה לגמרי ביו"ט כמו שכתב הר"ן בפ"ב ע"ש, ואין אומרים דחוי אצל מלאכת אוכל נפש , שהרי האכילה אינה כל כך מצוה גדולה שתדחה עשה ולא תעשה דיו"ט,  אלא על כרחך יו"ט הותרה לגמרי לצורך אכילה וא"כ לא מהדרינן אהיתירא כדאמרינן בפרק קמא דיומא </w:t>
      </w:r>
      <w:r>
        <w:rPr>
          <w:rFonts w:hint="cs"/>
          <w:rtl/>
        </w:rPr>
        <w:t>לענין</w:t>
      </w:r>
      <w:r>
        <w:rPr>
          <w:rtl/>
        </w:rPr>
        <w:t xml:space="preserve"> טומאה שהותרה בציבור , אלא האם אפשר לעשותה מערב יו"ט אסור מדברי סופרים,</w:t>
      </w:r>
      <w:r>
        <w:rPr>
          <w:rFonts w:hint="cs"/>
          <w:rtl/>
        </w:rPr>
        <w:t xml:space="preserve"> </w:t>
      </w:r>
      <w:r>
        <w:rPr>
          <w:rtl/>
        </w:rPr>
        <w:t>כדי שלא יניח כל המלאכות ליו"ט שהוא יום בטל ונמצא כל היום עוסק במלאכתו ובטל משמחת יו"ט</w:t>
      </w:r>
      <w:r>
        <w:rPr>
          <w:rFonts w:hint="cs"/>
          <w:rtl/>
        </w:rPr>
        <w:t>".</w:t>
      </w:r>
    </w:p>
    <w:p w14:paraId="0A2B88C2" w14:textId="77777777" w:rsidR="000159A2" w:rsidRDefault="000159A2" w:rsidP="00423C6D">
      <w:pPr>
        <w:pStyle w:val="a2"/>
      </w:pPr>
      <w:r>
        <w:rPr>
          <w:rtl/>
        </w:rPr>
        <w:t xml:space="preserve">ב) והנה בספר ארץ צבי </w:t>
      </w:r>
      <w:r>
        <w:rPr>
          <w:rFonts w:hint="cs"/>
          <w:rtl/>
        </w:rPr>
        <w:t xml:space="preserve">(סי' </w:t>
      </w:r>
      <w:r>
        <w:rPr>
          <w:rtl/>
        </w:rPr>
        <w:t>ס"ו</w:t>
      </w:r>
      <w:r>
        <w:rPr>
          <w:rFonts w:hint="cs"/>
          <w:rtl/>
        </w:rPr>
        <w:t>)</w:t>
      </w:r>
      <w:r>
        <w:rPr>
          <w:rtl/>
        </w:rPr>
        <w:t xml:space="preserve"> ובראשית בכורים עמוד כ"ה כתבו לחדש דדווקא מלאכת אוכל נפש הותרה לגמרי ביו"ט ולא צריך למיהדר אהיתירא לעשותה בלי חילול יו"ט שהרי המלאכה הותרה</w:t>
      </w:r>
      <w:r>
        <w:rPr>
          <w:rFonts w:hint="cs"/>
          <w:rtl/>
        </w:rPr>
        <w:t xml:space="preserve"> לגמרי.</w:t>
      </w:r>
    </w:p>
    <w:p w14:paraId="432A2C27" w14:textId="77777777" w:rsidR="000159A2" w:rsidRDefault="000159A2" w:rsidP="00423C6D">
      <w:pPr>
        <w:pStyle w:val="a2"/>
      </w:pPr>
      <w:r>
        <w:rPr>
          <w:rtl/>
        </w:rPr>
        <w:t xml:space="preserve">אבל בהא דאמרינן שמתוך שהותרה לצורך אכילה הותרה שלא לצורך ובלבד שיהא בהן צורך היום, הנה מה שהותרה שלא לצורך אכילה כגון להוציא ס"ת לקרות </w:t>
      </w:r>
      <w:r>
        <w:rPr>
          <w:rtl/>
        </w:rPr>
        <w:lastRenderedPageBreak/>
        <w:t>בו וכיו"ב היא בגדר דחוי' ולכן צריך לעשותה בלי חילול יו"ט היכי דאפשר</w:t>
      </w:r>
      <w:r>
        <w:t xml:space="preserve">. </w:t>
      </w:r>
    </w:p>
    <w:p w14:paraId="43ECBE6B" w14:textId="77777777" w:rsidR="000159A2" w:rsidRDefault="000159A2" w:rsidP="00423C6D">
      <w:pPr>
        <w:pStyle w:val="a2"/>
      </w:pPr>
      <w:r>
        <w:rPr>
          <w:rtl/>
        </w:rPr>
        <w:t>ג) והביאו</w:t>
      </w:r>
      <w:r>
        <w:rPr>
          <w:rFonts w:hint="cs"/>
          <w:rtl/>
        </w:rPr>
        <w:t xml:space="preserve"> </w:t>
      </w:r>
      <w:r>
        <w:rPr>
          <w:rtl/>
        </w:rPr>
        <w:t xml:space="preserve">סמוכין לזה משו"ע אדה"ז </w:t>
      </w:r>
      <w:r>
        <w:rPr>
          <w:rFonts w:hint="cs"/>
          <w:rtl/>
        </w:rPr>
        <w:t>(</w:t>
      </w:r>
      <w:r>
        <w:rPr>
          <w:rtl/>
        </w:rPr>
        <w:t>הל' פסח סי' תמ"ו ס</w:t>
      </w:r>
      <w:r>
        <w:rPr>
          <w:rFonts w:hint="cs"/>
          <w:rtl/>
        </w:rPr>
        <w:t>"ה)</w:t>
      </w:r>
      <w:r>
        <w:rPr>
          <w:rtl/>
        </w:rPr>
        <w:t xml:space="preserve"> בדעה השניה שם דמצא חמץ ביו"ט אסור לשורפו במקומו אע"ג דמתוך שהותרה לצורך אכילה הותרה לצורך מצוה כיון שמן התורה אפשר לקיים המצוה בלא חילול יו"ט דהיינו שישליכנו לנהר או לבית הכסא שהרי טילטול מוקצה אינו אסור אלא מדברי סופרים... (וראה בקו"א שם סק"ג). ומפרשים שהטעם בזה דמתוך אינה בגדר הותרה רק בגדר דחוי' ולכן אסור לשורפו במקומו כיון שיש לו אפשרות מן התורה לבער החמץ בלי חילול יו"ט</w:t>
      </w:r>
      <w:r>
        <w:rPr>
          <w:rFonts w:hint="cs"/>
          <w:rtl/>
        </w:rPr>
        <w:t>.</w:t>
      </w:r>
    </w:p>
    <w:p w14:paraId="6C51D813" w14:textId="77777777" w:rsidR="000159A2" w:rsidRDefault="000159A2" w:rsidP="00423C6D">
      <w:pPr>
        <w:pStyle w:val="11"/>
        <w:bidi/>
      </w:pPr>
      <w:r>
        <w:rPr>
          <w:rtl/>
        </w:rPr>
        <w:t>ב</w:t>
      </w:r>
    </w:p>
    <w:p w14:paraId="1ADB3C81" w14:textId="44A61ACA" w:rsidR="000159A2" w:rsidRDefault="000159A2" w:rsidP="00743E29">
      <w:pPr>
        <w:pStyle w:val="a2"/>
      </w:pPr>
      <w:r>
        <w:rPr>
          <w:rtl/>
        </w:rPr>
        <w:t>ד) אמנם לכאורה יש להעיר ע"ז שהרי הלשון היא מתוך שהותרה לצורך הותרה שלא לצורך ומשמע שהיא בגדר הותרה. וכמו שהותרה לצורך אכילה ה"נ הותרה לצורך מצוה</w:t>
      </w:r>
      <w:r w:rsidR="00743E29">
        <w:rPr>
          <w:rFonts w:hint="cs"/>
          <w:rtl/>
        </w:rPr>
        <w:t>.</w:t>
      </w:r>
    </w:p>
    <w:p w14:paraId="67ACCE0B" w14:textId="77777777" w:rsidR="000159A2" w:rsidRDefault="000159A2" w:rsidP="00423C6D">
      <w:pPr>
        <w:pStyle w:val="a2"/>
      </w:pPr>
      <w:r>
        <w:rPr>
          <w:rtl/>
        </w:rPr>
        <w:t>וראה בראשית בכורים שם שהעיר מהלשון וכתב דלאו דווקא וצ"ע</w:t>
      </w:r>
      <w:r>
        <w:t>.</w:t>
      </w:r>
    </w:p>
    <w:p w14:paraId="6B696A23" w14:textId="77777777" w:rsidR="000159A2" w:rsidRDefault="000159A2" w:rsidP="00423C6D">
      <w:pPr>
        <w:pStyle w:val="a2"/>
      </w:pPr>
      <w:r>
        <w:rPr>
          <w:rtl/>
        </w:rPr>
        <w:t xml:space="preserve">וראה בשו"ע אדה"ז </w:t>
      </w:r>
      <w:r>
        <w:rPr>
          <w:rFonts w:hint="cs"/>
          <w:rtl/>
        </w:rPr>
        <w:t>(</w:t>
      </w:r>
      <w:r>
        <w:rPr>
          <w:rtl/>
        </w:rPr>
        <w:t>שם בתחילת הסעיף</w:t>
      </w:r>
      <w:r>
        <w:rPr>
          <w:rFonts w:hint="cs"/>
          <w:rtl/>
        </w:rPr>
        <w:t>)</w:t>
      </w:r>
      <w:r>
        <w:rPr>
          <w:rtl/>
        </w:rPr>
        <w:t xml:space="preserve"> וז"ל "מכל מקום כיון שמלאכת ההבערה והזריי' לרוח הותרה ביו"ט מן התורה לצורך אכילה הותרה לגמרי אפילו שלא לצורך אכילה</w:t>
      </w:r>
      <w:r>
        <w:t xml:space="preserve"> </w:t>
      </w:r>
      <w:r>
        <w:rPr>
          <w:rFonts w:hint="cs"/>
          <w:rtl/>
        </w:rPr>
        <w:t>".</w:t>
      </w:r>
    </w:p>
    <w:p w14:paraId="4619C15E" w14:textId="77777777" w:rsidR="000159A2" w:rsidRDefault="000159A2" w:rsidP="00423C6D">
      <w:pPr>
        <w:pStyle w:val="a2"/>
      </w:pPr>
      <w:r>
        <w:rPr>
          <w:rtl/>
        </w:rPr>
        <w:t>ומודגש להדיא דהותרה לגמרי שלא לצורך אכילה ואין לפרש דזהו הדיעה הראשונה שם שמותר לשרוף החמץ  במצא חמץ ביו"ט ודעת היש חולקים ס"ל דאסור משום דהיא בגדר דחוי</w:t>
      </w:r>
      <w:r>
        <w:rPr>
          <w:rFonts w:hint="cs"/>
          <w:rtl/>
        </w:rPr>
        <w:t>'.</w:t>
      </w:r>
    </w:p>
    <w:p w14:paraId="651C0857" w14:textId="77777777" w:rsidR="000159A2" w:rsidRDefault="000159A2" w:rsidP="00423C6D">
      <w:pPr>
        <w:pStyle w:val="a2"/>
      </w:pPr>
      <w:r>
        <w:rPr>
          <w:rtl/>
        </w:rPr>
        <w:t xml:space="preserve">שהרי בהל' יו"ט </w:t>
      </w:r>
      <w:r>
        <w:rPr>
          <w:rFonts w:hint="cs"/>
          <w:rtl/>
        </w:rPr>
        <w:t>(</w:t>
      </w:r>
      <w:r>
        <w:rPr>
          <w:rtl/>
        </w:rPr>
        <w:t>סי' תצ"ה סעיף ג'</w:t>
      </w:r>
      <w:r>
        <w:rPr>
          <w:rFonts w:hint="cs"/>
          <w:rtl/>
        </w:rPr>
        <w:t>)</w:t>
      </w:r>
      <w:r>
        <w:rPr>
          <w:rtl/>
        </w:rPr>
        <w:t xml:space="preserve"> כתב "וקבלו חכמים שכל מלאכת אוכל נפש מתוך שהותרה לעשותן לצורך אכילת יו"ט הותרו לגמרי אפילו שלא לצורך אכילת יו"ט ובלבד שיהא בהן קצת צורך יו"ט</w:t>
      </w:r>
      <w:r>
        <w:rPr>
          <w:rFonts w:hint="cs"/>
          <w:rtl/>
        </w:rPr>
        <w:t>".</w:t>
      </w:r>
    </w:p>
    <w:p w14:paraId="7F78DF99" w14:textId="77777777" w:rsidR="000159A2" w:rsidRDefault="000159A2" w:rsidP="00423C6D">
      <w:pPr>
        <w:pStyle w:val="a2"/>
      </w:pPr>
      <w:r>
        <w:rPr>
          <w:rtl/>
        </w:rPr>
        <w:t>ומב</w:t>
      </w:r>
      <w:r>
        <w:rPr>
          <w:rFonts w:hint="cs"/>
          <w:rtl/>
        </w:rPr>
        <w:t>ו</w:t>
      </w:r>
      <w:r>
        <w:rPr>
          <w:rtl/>
        </w:rPr>
        <w:t xml:space="preserve">אר שדעת אדה"ז בפשטות היא דגדר ההיתר במלאכת אוכל נפש היא דהותרה לגמרי בין לצורך אכילה ובין לצורך מצוה </w:t>
      </w:r>
      <w:r>
        <w:rPr>
          <w:rFonts w:hint="cs"/>
          <w:rtl/>
        </w:rPr>
        <w:t>(</w:t>
      </w:r>
      <w:r>
        <w:rPr>
          <w:rtl/>
        </w:rPr>
        <w:t>וראה בלקו"ש</w:t>
      </w:r>
      <w:r>
        <w:rPr>
          <w:rFonts w:hint="cs"/>
          <w:rtl/>
        </w:rPr>
        <w:t xml:space="preserve"> חי"א פ' בא שיחה א' הערה 35).</w:t>
      </w:r>
    </w:p>
    <w:p w14:paraId="5B26E34C" w14:textId="77777777" w:rsidR="000159A2" w:rsidRDefault="000159A2" w:rsidP="00423C6D">
      <w:pPr>
        <w:pStyle w:val="a2"/>
      </w:pPr>
      <w:r>
        <w:rPr>
          <w:rtl/>
        </w:rPr>
        <w:t>והנה לפ''ז צ"ב מהו הטעם בדעת היש חולקין שם דאסור לשרוף החמץ במקומו כיון דיכול מה"ת לטלטלו בלי חילול יו"ט הרי מלאכת אוכל נפש הותרה לגמרי ומדוע צריך למיהדר הכא אהיתירא</w:t>
      </w:r>
      <w:r>
        <w:t>?</w:t>
      </w:r>
    </w:p>
    <w:p w14:paraId="7DEAB80B" w14:textId="77777777" w:rsidR="000159A2" w:rsidRDefault="000159A2" w:rsidP="00423C6D">
      <w:pPr>
        <w:pStyle w:val="11"/>
        <w:bidi/>
      </w:pPr>
      <w:r>
        <w:rPr>
          <w:rFonts w:hint="cs"/>
          <w:rtl/>
        </w:rPr>
        <w:lastRenderedPageBreak/>
        <w:t>ג</w:t>
      </w:r>
    </w:p>
    <w:p w14:paraId="30A36B3E" w14:textId="77777777" w:rsidR="000159A2" w:rsidRDefault="000159A2" w:rsidP="00423C6D">
      <w:pPr>
        <w:pStyle w:val="a2"/>
      </w:pPr>
      <w:r>
        <w:rPr>
          <w:rtl/>
        </w:rPr>
        <w:t xml:space="preserve">ה) והנה בקו"א </w:t>
      </w:r>
      <w:r>
        <w:rPr>
          <w:rFonts w:hint="cs"/>
          <w:rtl/>
        </w:rPr>
        <w:t>(</w:t>
      </w:r>
      <w:r>
        <w:rPr>
          <w:rtl/>
        </w:rPr>
        <w:t>סי' תמ"ו סק"ג</w:t>
      </w:r>
      <w:r>
        <w:rPr>
          <w:rFonts w:hint="cs"/>
          <w:rtl/>
        </w:rPr>
        <w:t>)</w:t>
      </w:r>
      <w:r>
        <w:rPr>
          <w:rtl/>
        </w:rPr>
        <w:t xml:space="preserve"> כתב דיש ללמוד איסור שריפת חמץ ביו"ט מהא דשריפת קדשים אסור ביו"ט והטעם דלא דחי משום דאפשר לשרפן במוצאי יו"ט כדפרשי' שבת דף כ"ד וה"ה למילה שלא בזמנה דאע"ג דאיכא למימר בה מתוך שהותרה חבורה לצורך אכילה , דהיינו שחיטה , הותרה נמי לצורך מצוה כדאמרינן בפרק קמא דכתובות גבי בעילת מצוה, אפ"ה לא דחי,</w:t>
      </w:r>
      <w:r>
        <w:t xml:space="preserve"> </w:t>
      </w:r>
      <w:r>
        <w:rPr>
          <w:rtl/>
        </w:rPr>
        <w:t>משום דאפשר לקיים המצוה למחר כדפרש"י שם, וא"כ כ"ש וק"ו היכא דאפשר לקיים המצוה בו ביום בלא חילול יו"ט כגון להשליך החמץ לנהר דלא דחינן יו"ט</w:t>
      </w:r>
      <w:r>
        <w:t xml:space="preserve"> .</w:t>
      </w:r>
    </w:p>
    <w:p w14:paraId="0855FD12" w14:textId="77777777" w:rsidR="000159A2" w:rsidRDefault="000159A2" w:rsidP="00423C6D">
      <w:pPr>
        <w:pStyle w:val="a2"/>
      </w:pPr>
      <w:r>
        <w:rPr>
          <w:rtl/>
        </w:rPr>
        <w:t>וצ"ב מהי הק"ו הרי שריפת קדשים ומילה שלא בזמנה אין כאן צורך לעשותן היום שהרי יכול לעשותן למחר כדפרש</w:t>
      </w:r>
      <w:r>
        <w:rPr>
          <w:rFonts w:hint="cs"/>
          <w:rtl/>
        </w:rPr>
        <w:t>"</w:t>
      </w:r>
      <w:r>
        <w:rPr>
          <w:rtl/>
        </w:rPr>
        <w:t xml:space="preserve">י. ולכך לא הותרה המלאכה, אבל בחמץ הרי צריך לבער החמץ כדי שלא יעבור </w:t>
      </w:r>
      <w:r>
        <w:rPr>
          <w:rFonts w:hint="cs"/>
          <w:rtl/>
        </w:rPr>
        <w:t>בבל יראה</w:t>
      </w:r>
      <w:r>
        <w:rPr>
          <w:rtl/>
        </w:rPr>
        <w:t xml:space="preserve"> היום וא"כ יש צורך ומדוע שלא ישרפנו הרי היכי דיש צורך מצוה מותר לעשות מלאכה? ומהו הק"ו שנלמד ממילה שלא בזמנה</w:t>
      </w:r>
      <w:r>
        <w:t xml:space="preserve"> ?</w:t>
      </w:r>
    </w:p>
    <w:p w14:paraId="65DA6352" w14:textId="77777777" w:rsidR="000159A2" w:rsidRDefault="000159A2" w:rsidP="00423C6D">
      <w:pPr>
        <w:pStyle w:val="a2"/>
      </w:pPr>
      <w:r>
        <w:rPr>
          <w:rtl/>
        </w:rPr>
        <w:t>ו) ויש לבאר בהקדים</w:t>
      </w:r>
      <w:r>
        <w:rPr>
          <w:rFonts w:hint="cs"/>
          <w:rtl/>
        </w:rPr>
        <w:t>,</w:t>
      </w:r>
      <w:r>
        <w:rPr>
          <w:rtl/>
        </w:rPr>
        <w:t xml:space="preserve"> דכתב אדה"ז בהל' יו"ט שם ס"י תצ"ה סעיף ג' דהותרו לגמרי שלא לצורך אכילת יו"ט ובלבד שיהא בהן קצת צורך יו"ט אע"פ שאינה צורך אכילה אלא צורך הנאת הגוף או צורך מצוה עוברת שזמנה בו ביום שהיא ג"כ </w:t>
      </w:r>
      <w:r>
        <w:rPr>
          <w:rFonts w:hint="cs"/>
          <w:rtl/>
        </w:rPr>
        <w:t>כהנאת</w:t>
      </w:r>
      <w:r>
        <w:rPr>
          <w:rtl/>
        </w:rPr>
        <w:t xml:space="preserve"> הגוף לענין זה</w:t>
      </w:r>
      <w:r>
        <w:t>.</w:t>
      </w:r>
    </w:p>
    <w:p w14:paraId="06211B15" w14:textId="77777777" w:rsidR="000159A2" w:rsidRDefault="000159A2" w:rsidP="00423C6D">
      <w:pPr>
        <w:pStyle w:val="a2"/>
      </w:pPr>
      <w:r>
        <w:rPr>
          <w:rtl/>
        </w:rPr>
        <w:t xml:space="preserve">ומבואר דהותרה המלאכה רק אם היא מצוה </w:t>
      </w:r>
      <w:r w:rsidRPr="00347011">
        <w:rPr>
          <w:b/>
          <w:bCs/>
          <w:rtl/>
        </w:rPr>
        <w:t>עוברת שזמנה בו ביום</w:t>
      </w:r>
      <w:r>
        <w:rPr>
          <w:rtl/>
        </w:rPr>
        <w:t xml:space="preserve"> שאז חשיב </w:t>
      </w:r>
      <w:r w:rsidRPr="004D6669">
        <w:rPr>
          <w:b/>
          <w:bCs/>
          <w:rtl/>
        </w:rPr>
        <w:t>כצורך היום</w:t>
      </w:r>
      <w:r>
        <w:rPr>
          <w:rtl/>
        </w:rPr>
        <w:t xml:space="preserve"> כמודגש בלשון אדה"ז "ובלבד שיהא בהן קצת צורך יו"ט</w:t>
      </w:r>
      <w:r>
        <w:t xml:space="preserve"> </w:t>
      </w:r>
      <w:r>
        <w:rPr>
          <w:rFonts w:hint="cs"/>
          <w:rtl/>
        </w:rPr>
        <w:t>".</w:t>
      </w:r>
    </w:p>
    <w:p w14:paraId="3F18A362" w14:textId="77777777" w:rsidR="000159A2" w:rsidRDefault="000159A2" w:rsidP="00423C6D">
      <w:pPr>
        <w:pStyle w:val="a2"/>
      </w:pPr>
      <w:r>
        <w:rPr>
          <w:rtl/>
        </w:rPr>
        <w:t>וראה בתוס' פסחים</w:t>
      </w:r>
      <w:r>
        <w:t xml:space="preserve"> </w:t>
      </w:r>
      <w:r>
        <w:rPr>
          <w:rtl/>
        </w:rPr>
        <w:t>(ה</w:t>
      </w:r>
      <w:r>
        <w:rPr>
          <w:rFonts w:hint="cs"/>
          <w:rtl/>
        </w:rPr>
        <w:t>,ב</w:t>
      </w:r>
      <w:r>
        <w:rPr>
          <w:rtl/>
        </w:rPr>
        <w:t>) ד"ה לא אמרינן מתוך דאי אמרינן מתוך שרי אע"ג דבעינן צורך היום קצת הכא מה שמבער הוי צורך</w:t>
      </w:r>
      <w:r>
        <w:t>.</w:t>
      </w:r>
    </w:p>
    <w:p w14:paraId="2F40CDA1" w14:textId="77777777" w:rsidR="000159A2" w:rsidRDefault="000159A2" w:rsidP="00423C6D">
      <w:pPr>
        <w:pStyle w:val="11"/>
        <w:bidi/>
        <w:rPr>
          <w:rtl/>
        </w:rPr>
      </w:pPr>
      <w:r>
        <w:rPr>
          <w:rFonts w:hint="cs"/>
          <w:rtl/>
        </w:rPr>
        <w:t>ד</w:t>
      </w:r>
    </w:p>
    <w:p w14:paraId="641D69F6" w14:textId="3178533F" w:rsidR="000159A2" w:rsidRDefault="000159A2" w:rsidP="00743E29">
      <w:pPr>
        <w:pStyle w:val="a2"/>
      </w:pPr>
      <w:r>
        <w:rPr>
          <w:rtl/>
        </w:rPr>
        <w:t xml:space="preserve">ולפי"ז יש לבאר דהדיון בהל' פסח אם מותר לשרוף החמץ במקומו ביו"ט או לא אינה אם המלאכה היא בגדר הותרה או דחוי' אלא האם השריפה חשיב מצוה שיש בו </w:t>
      </w:r>
      <w:r w:rsidRPr="00347011">
        <w:rPr>
          <w:b/>
          <w:bCs/>
          <w:rtl/>
        </w:rPr>
        <w:t>צורך היום</w:t>
      </w:r>
      <w:r w:rsidR="00743E29">
        <w:rPr>
          <w:rFonts w:hint="cs"/>
          <w:rtl/>
        </w:rPr>
        <w:t>.</w:t>
      </w:r>
    </w:p>
    <w:p w14:paraId="5776DF5A" w14:textId="0C8F6C69" w:rsidR="000159A2" w:rsidRDefault="000159A2" w:rsidP="00743E29">
      <w:pPr>
        <w:pStyle w:val="a2"/>
      </w:pPr>
      <w:r>
        <w:rPr>
          <w:rtl/>
        </w:rPr>
        <w:t>וע"ז כתבו היש חולקין דהיות שמן התורה יכול לבער החמץ בלי חילול יו"ט נמצא שאין השריפה צורך היום, דאע"פ שהאדם מקיים מצוות ביעור חמץ בשורף החמץ אבל אין זה מצות היום שצריך דווקא לשרפה שהרי יש לו אפשרות אחרת, ולכך ל</w:t>
      </w:r>
      <w:r w:rsidR="00743E29">
        <w:rPr>
          <w:rtl/>
        </w:rPr>
        <w:t>א דחי יו"ט שאין השריפה צורך יו"</w:t>
      </w:r>
      <w:r w:rsidR="00743E29">
        <w:rPr>
          <w:rFonts w:hint="cs"/>
          <w:rtl/>
        </w:rPr>
        <w:t>ט.</w:t>
      </w:r>
    </w:p>
    <w:p w14:paraId="0663697F" w14:textId="77777777" w:rsidR="000159A2" w:rsidRDefault="000159A2" w:rsidP="00423C6D">
      <w:pPr>
        <w:pStyle w:val="a2"/>
      </w:pPr>
      <w:r>
        <w:rPr>
          <w:rtl/>
        </w:rPr>
        <w:lastRenderedPageBreak/>
        <w:t xml:space="preserve">והדיעה הראשונה סוברת דמותר לשרפה דסו"ס יש כאן קיום מצות ביעור חמץ שלא יעבור היום </w:t>
      </w:r>
      <w:r>
        <w:rPr>
          <w:rFonts w:hint="cs"/>
          <w:rtl/>
        </w:rPr>
        <w:t>בבל יראה</w:t>
      </w:r>
      <w:r>
        <w:rPr>
          <w:rtl/>
        </w:rPr>
        <w:t xml:space="preserve"> וחשיב צורך היום</w:t>
      </w:r>
      <w:r>
        <w:rPr>
          <w:rFonts w:hint="cs"/>
          <w:rtl/>
        </w:rPr>
        <w:t>.</w:t>
      </w:r>
    </w:p>
    <w:p w14:paraId="2ED2F2E5" w14:textId="77777777" w:rsidR="000159A2" w:rsidRDefault="000159A2" w:rsidP="00423C6D">
      <w:pPr>
        <w:pStyle w:val="a2"/>
      </w:pPr>
      <w:r>
        <w:rPr>
          <w:rFonts w:hint="cs"/>
          <w:rtl/>
        </w:rPr>
        <w:t>(</w:t>
      </w:r>
      <w:r>
        <w:rPr>
          <w:rtl/>
        </w:rPr>
        <w:t>ומה שכתב שם בדיעה הראשונה דאם יכול להשליכו לנהר ישליכנו ולא ישרפנו כדי למעט בחילול יו"ט היא מדרבנן ע"ד המבואר במלאכות אוכל נפש שאסור לעשותן מערב יו"ט שאסרו חכמים כמבואר בהל' יו"ט</w:t>
      </w:r>
      <w:r>
        <w:rPr>
          <w:rFonts w:hint="cs"/>
          <w:rtl/>
        </w:rPr>
        <w:t>).</w:t>
      </w:r>
    </w:p>
    <w:p w14:paraId="6DBD1926" w14:textId="77777777" w:rsidR="000159A2" w:rsidRDefault="000159A2" w:rsidP="00423C6D">
      <w:pPr>
        <w:pStyle w:val="a2"/>
      </w:pPr>
      <w:r>
        <w:rPr>
          <w:rtl/>
        </w:rPr>
        <w:t>ח) ועפי"ז יש לבאר הק"ו שכתב אדה"ז, שהרי</w:t>
      </w:r>
      <w:r>
        <w:rPr>
          <w:rFonts w:hint="cs"/>
          <w:rtl/>
        </w:rPr>
        <w:t xml:space="preserve"> אף</w:t>
      </w:r>
      <w:r>
        <w:rPr>
          <w:rtl/>
        </w:rPr>
        <w:t xml:space="preserve"> מילה שלא בזמנה מקיים מצוה אם ימול אותו ביו"ט ועוד שהרי עובר בכל רגע ורגע שלא מל כמבואר ברמב"ם הל' מילה , ומזה הוכיח אדה"ז דאע"פ שהאדם צריך למול את עצמו מיד מ"מ אין זו מצות היום שהרי במילה שלא בזמנה מצוה </w:t>
      </w:r>
      <w:r w:rsidRPr="00347011">
        <w:rPr>
          <w:b/>
          <w:bCs/>
          <w:rtl/>
        </w:rPr>
        <w:t>זו</w:t>
      </w:r>
      <w:r>
        <w:rPr>
          <w:rtl/>
        </w:rPr>
        <w:t xml:space="preserve"> יכול לקיימה </w:t>
      </w:r>
      <w:r w:rsidRPr="00347011">
        <w:rPr>
          <w:b/>
          <w:bCs/>
          <w:rtl/>
        </w:rPr>
        <w:t>למחר</w:t>
      </w:r>
      <w:r>
        <w:rPr>
          <w:rtl/>
        </w:rPr>
        <w:t xml:space="preserve"> ולא </w:t>
      </w:r>
      <w:r w:rsidRPr="00347011">
        <w:rPr>
          <w:b/>
          <w:bCs/>
          <w:rtl/>
        </w:rPr>
        <w:t>חשיב צורך יו"ט</w:t>
      </w:r>
      <w:r>
        <w:rPr>
          <w:rFonts w:hint="cs"/>
          <w:rtl/>
        </w:rPr>
        <w:t>.</w:t>
      </w:r>
    </w:p>
    <w:p w14:paraId="0A7ABE78" w14:textId="77777777" w:rsidR="000159A2" w:rsidRDefault="000159A2" w:rsidP="00423C6D">
      <w:pPr>
        <w:pStyle w:val="a2"/>
      </w:pPr>
      <w:r>
        <w:rPr>
          <w:rtl/>
        </w:rPr>
        <w:t>ולפי"ז מתפרש הק"ו דמה מילה שלא בזמנה שיש לו מצוה וצריך לעשותה מיד אם אפשר,  מ"מ לא דחי משום דמעשה מילה זו אינה מצות היום שהרי יכול לקיימה למחר אותה מצוה.  א"כ כ"ש וק"ו שריפת חמץ שאין צריך לבער החמץ דוקא בשריפה דאע"פ שצריך לבער החמץ היום שלא יעבור</w:t>
      </w:r>
      <w:r>
        <w:rPr>
          <w:rFonts w:hint="cs"/>
          <w:rtl/>
        </w:rPr>
        <w:t xml:space="preserve"> בבל יראה</w:t>
      </w:r>
      <w:r>
        <w:rPr>
          <w:rtl/>
        </w:rPr>
        <w:t xml:space="preserve"> מ"מ יכול לעשותה בלי חילול יו"ט נמצא שאין השריפה צורך צורך יו"ט ולא דחי</w:t>
      </w:r>
      <w:r>
        <w:t>.</w:t>
      </w:r>
    </w:p>
    <w:p w14:paraId="21E9B838" w14:textId="77777777" w:rsidR="000159A2" w:rsidRDefault="000159A2" w:rsidP="00423C6D">
      <w:pPr>
        <w:pStyle w:val="a2"/>
        <w:rPr>
          <w:rtl/>
        </w:rPr>
      </w:pPr>
      <w:r>
        <w:rPr>
          <w:rtl/>
        </w:rPr>
        <w:t>ולפי"ז נמצא שעיקר הק"ו הוא ממילה שלא בזמנה שהרי שריפת קדשים אין כאן חיוב לעשותן דווקא היום משא"כ מילה צריך לעשותה מיד, ומ"מ לא דחי כיון שאינה צורך יו"ט ה"נ שריפת חמץ ביו"ט לא חשיב צורך יו"ט כיון דאפשר לבער החמץ מה"ת בלי חילול יו"ט</w:t>
      </w:r>
      <w:r>
        <w:t xml:space="preserve"> .</w:t>
      </w:r>
    </w:p>
    <w:p w14:paraId="1E4CFFC8" w14:textId="77777777" w:rsidR="000159A2" w:rsidRDefault="000159A2" w:rsidP="000159A2">
      <w:pPr>
        <w:pStyle w:val="a4"/>
        <w:spacing w:after="0"/>
        <w:rPr>
          <w:rtl/>
        </w:rPr>
      </w:pPr>
      <w:r w:rsidRPr="00347933">
        <w:t>g</w:t>
      </w:r>
    </w:p>
    <w:p w14:paraId="27C65D2E" w14:textId="77777777" w:rsidR="00B1191D" w:rsidRDefault="00B1191D" w:rsidP="000159A2">
      <w:pPr>
        <w:pStyle w:val="a4"/>
        <w:spacing w:after="0"/>
        <w:rPr>
          <w:rtl/>
        </w:rPr>
      </w:pPr>
    </w:p>
    <w:p w14:paraId="2409974A" w14:textId="77777777" w:rsidR="00B1191D" w:rsidRDefault="00B1191D" w:rsidP="000159A2">
      <w:pPr>
        <w:pStyle w:val="a4"/>
        <w:spacing w:after="0"/>
        <w:rPr>
          <w:rtl/>
        </w:rPr>
      </w:pPr>
    </w:p>
    <w:p w14:paraId="6D80706C" w14:textId="77777777" w:rsidR="00B1191D" w:rsidRPr="00347933" w:rsidRDefault="00B1191D" w:rsidP="000159A2">
      <w:pPr>
        <w:pStyle w:val="a4"/>
        <w:spacing w:after="0"/>
        <w:sectPr w:rsidR="00B1191D" w:rsidRPr="00347933" w:rsidSect="00E65DD5">
          <w:footnotePr>
            <w:numRestart w:val="eachSect"/>
          </w:footnotePr>
          <w:type w:val="continuous"/>
          <w:pgSz w:w="7920" w:h="12240"/>
          <w:pgMar w:top="-810" w:right="864" w:bottom="720" w:left="864" w:header="270" w:footer="0" w:gutter="0"/>
          <w:cols w:space="720"/>
          <w:docGrid w:linePitch="360"/>
        </w:sectPr>
      </w:pPr>
    </w:p>
    <w:p w14:paraId="26A0572D" w14:textId="0F794ABD" w:rsidR="000B6EE8" w:rsidRPr="00685C25" w:rsidRDefault="000B6EE8" w:rsidP="000B6EE8">
      <w:pPr>
        <w:pStyle w:val="a"/>
        <w:rPr>
          <w:rtl/>
        </w:rPr>
      </w:pPr>
      <w:bookmarkStart w:id="155" w:name="_Toc531140394"/>
      <w:r w:rsidRPr="00685C25">
        <w:rPr>
          <w:rFonts w:hint="cs"/>
          <w:rtl/>
        </w:rPr>
        <w:lastRenderedPageBreak/>
        <w:t>מי שנהרג מפני יהדותו הרי זה נהרג על קידוש השם (גליון)</w:t>
      </w:r>
      <w:bookmarkEnd w:id="155"/>
    </w:p>
    <w:p w14:paraId="703D1AD5" w14:textId="77777777" w:rsidR="000B6EE8" w:rsidRPr="008307D7" w:rsidRDefault="000B6EE8" w:rsidP="00C40DBA">
      <w:pPr>
        <w:pStyle w:val="a0"/>
        <w:rPr>
          <w:rtl/>
        </w:rPr>
      </w:pPr>
      <w:bookmarkStart w:id="156" w:name="_Toc531140395"/>
      <w:r w:rsidRPr="008307D7">
        <w:rPr>
          <w:rFonts w:hint="cs"/>
          <w:rtl/>
          <w:lang w:bidi="he-IL"/>
        </w:rPr>
        <w:t xml:space="preserve">הרב </w:t>
      </w:r>
      <w:r w:rsidRPr="008307D7">
        <w:rPr>
          <w:rtl/>
          <w:lang w:bidi="he-IL"/>
        </w:rPr>
        <w:t>ברוך אבערלאנדער</w:t>
      </w:r>
      <w:bookmarkEnd w:id="156"/>
    </w:p>
    <w:p w14:paraId="733B5423" w14:textId="77777777" w:rsidR="000B6EE8" w:rsidRPr="00685C25" w:rsidRDefault="000B6EE8" w:rsidP="000B6EE8">
      <w:pPr>
        <w:pStyle w:val="a1"/>
        <w:spacing w:after="0"/>
        <w:rPr>
          <w:rtl/>
          <w:lang w:val="hu-HU"/>
        </w:rPr>
      </w:pPr>
      <w:r w:rsidRPr="00685C25">
        <w:rPr>
          <w:rtl/>
          <w:lang w:val="hu-HU"/>
        </w:rPr>
        <w:t>אב"ד הבד"צ דקהילות החרדים</w:t>
      </w:r>
    </w:p>
    <w:p w14:paraId="4617BF2C" w14:textId="77777777" w:rsidR="000B6EE8" w:rsidRPr="00685C25" w:rsidRDefault="000B6EE8" w:rsidP="000B6EE8">
      <w:pPr>
        <w:pStyle w:val="a1"/>
        <w:spacing w:after="0"/>
        <w:rPr>
          <w:rtl/>
          <w:lang w:val="hu-HU"/>
        </w:rPr>
      </w:pPr>
      <w:r w:rsidRPr="00685C25">
        <w:rPr>
          <w:rtl/>
          <w:lang w:val="hu-HU"/>
        </w:rPr>
        <w:t xml:space="preserve">ושליח כ"ק אדמו"ר </w:t>
      </w:r>
    </w:p>
    <w:p w14:paraId="180DC996" w14:textId="77777777" w:rsidR="000B6EE8" w:rsidRPr="00685C25" w:rsidRDefault="000B6EE8" w:rsidP="000B6EE8">
      <w:pPr>
        <w:pStyle w:val="a1"/>
        <w:spacing w:after="0"/>
        <w:rPr>
          <w:rtl/>
          <w:lang w:val="hu-HU"/>
        </w:rPr>
      </w:pPr>
      <w:r w:rsidRPr="00685C25">
        <w:rPr>
          <w:rtl/>
          <w:lang w:val="hu-HU"/>
        </w:rPr>
        <w:t>בודאפעסט, הונגריה</w:t>
      </w:r>
    </w:p>
    <w:p w14:paraId="63FB47B9" w14:textId="77777777" w:rsidR="000B6EE8" w:rsidRPr="00685C25" w:rsidRDefault="000B6EE8" w:rsidP="00423C6D">
      <w:pPr>
        <w:pStyle w:val="11"/>
        <w:bidi/>
        <w:rPr>
          <w:rtl/>
        </w:rPr>
      </w:pPr>
      <w:r w:rsidRPr="00685C25">
        <w:rPr>
          <w:rFonts w:hint="cs"/>
          <w:rtl/>
        </w:rPr>
        <w:t>דעתו של הגה"צ מצעהלים אודות אמירת קדיש אחרי קדושי השואה</w:t>
      </w:r>
    </w:p>
    <w:p w14:paraId="39FB61F1" w14:textId="77777777" w:rsidR="000B6EE8" w:rsidRPr="00685C25" w:rsidRDefault="000B6EE8" w:rsidP="00423C6D">
      <w:pPr>
        <w:pStyle w:val="a2"/>
        <w:rPr>
          <w:rtl/>
        </w:rPr>
      </w:pPr>
      <w:r w:rsidRPr="00685C25">
        <w:rPr>
          <w:rFonts w:hint="cs"/>
          <w:rtl/>
        </w:rPr>
        <w:t>ב'הערות וביאורים'</w:t>
      </w:r>
      <w:r>
        <w:rPr>
          <w:rStyle w:val="FootnoteReference"/>
          <w:rFonts w:ascii="Times New Roman" w:hAnsi="Times New Roman" w:cs="Narkisim"/>
          <w:rtl/>
        </w:rPr>
        <w:footnoteReference w:id="84"/>
      </w:r>
      <w:r w:rsidRPr="00685C25">
        <w:rPr>
          <w:rFonts w:hint="cs"/>
          <w:rtl/>
        </w:rPr>
        <w:t xml:space="preserve"> הבאתי מה שכתב הרב חיים יחזקאל שרגא לויפער ש"אחד הרבנים החשובים... אמר, שלפי דעתו אין צריכים לומר קדיש אחר הקדושים שנהרגו על קידוש השם בימי המלחמה, כיון שכבר הגיע[ו] למדריגה גבוהה מאוד ואין למעלה הימנו במחיצתם, על כן אין צריכים עוד להקדיש שלנו".</w:t>
      </w:r>
    </w:p>
    <w:p w14:paraId="7BE93D4E" w14:textId="77777777" w:rsidR="000B6EE8" w:rsidRPr="00685C25" w:rsidRDefault="000B6EE8" w:rsidP="00423C6D">
      <w:pPr>
        <w:pStyle w:val="a2"/>
        <w:rPr>
          <w:rtl/>
        </w:rPr>
      </w:pPr>
      <w:r w:rsidRPr="00685C25">
        <w:rPr>
          <w:rFonts w:hint="cs"/>
          <w:rtl/>
        </w:rPr>
        <w:t>אוסיף כאן, מה שאמר לי בן המחבר ר' יואל לויפער, שזכור לו כמעט ברור שהכוונה להגה"צ מצעהלים בעל 'מגדלות מרקחים'.</w:t>
      </w:r>
    </w:p>
    <w:p w14:paraId="3DE1C29C" w14:textId="71125398" w:rsidR="000B6EE8" w:rsidRPr="00196006" w:rsidRDefault="000B6EE8" w:rsidP="00743E29">
      <w:pPr>
        <w:pStyle w:val="a2"/>
        <w:rPr>
          <w:sz w:val="28"/>
          <w:szCs w:val="28"/>
          <w:rtl/>
        </w:rPr>
      </w:pPr>
      <w:r w:rsidRPr="00685C25">
        <w:rPr>
          <w:rFonts w:hint="cs"/>
          <w:rtl/>
        </w:rPr>
        <w:t>אמנם הרה"ח ר' אהרן געשטעטנער, תלמיד מובהק של הגה"צ מצעהלים, אמר לי שמעולם לא שמע שזו היתה שיטתו של רבו הנ"ל, וודאי שבבית הכנסת דצעהלים נהגו כל המתפללים לומר קדיש ולנהוג בכל מנהגי היארצייט אחרי בני משפחותיהם הקדושים שנהרגו בשואה. [אמנם הוסיף לספר מה שהורה הגה"צ מצעהלים לאביו הרבני ר' דוד לוי ע"ה געשטעטנער, כשרשם את שמות כל בני משפחתו שנפטרו כדי להנציחם בסוף ספר 'ערוגת הבשם' שעמדו להדפיס, שלא ירשום את בני המשפחה כסדר לידתם, אלא שיקדים את קדושי השואה בראש ה</w:t>
      </w:r>
      <w:r w:rsidR="00743E29">
        <w:rPr>
          <w:rFonts w:hint="cs"/>
          <w:rtl/>
        </w:rPr>
        <w:t>רשימה, כי הם במעלה גדולה וחשובה.]</w:t>
      </w:r>
    </w:p>
    <w:p w14:paraId="18F3BC75" w14:textId="77777777" w:rsidR="000B6EE8" w:rsidRPr="00685C25" w:rsidRDefault="000B6EE8" w:rsidP="00423C6D">
      <w:pPr>
        <w:pStyle w:val="11"/>
        <w:bidi/>
        <w:rPr>
          <w:rtl/>
        </w:rPr>
      </w:pPr>
      <w:r w:rsidRPr="00685C25">
        <w:rPr>
          <w:rFonts w:hint="cs"/>
          <w:rtl/>
        </w:rPr>
        <w:t>החסיד שנהרג ע"י הקג"ב מסר את נפשו מרצונו</w:t>
      </w:r>
    </w:p>
    <w:p w14:paraId="5991898D" w14:textId="77777777" w:rsidR="000B6EE8" w:rsidRPr="00685C25" w:rsidRDefault="000B6EE8" w:rsidP="00423C6D">
      <w:pPr>
        <w:pStyle w:val="a2"/>
        <w:rPr>
          <w:rtl/>
        </w:rPr>
      </w:pPr>
      <w:r w:rsidRPr="00685C25">
        <w:rPr>
          <w:rFonts w:hint="cs"/>
          <w:rtl/>
        </w:rPr>
        <w:t>ב'הערות וביאורים' שם</w:t>
      </w:r>
      <w:r>
        <w:rPr>
          <w:rStyle w:val="FootnoteReference"/>
          <w:rFonts w:ascii="Times New Roman" w:hAnsi="Times New Roman" w:cs="Narkisim"/>
          <w:rtl/>
        </w:rPr>
        <w:footnoteReference w:id="85"/>
      </w:r>
      <w:r w:rsidRPr="00685C25">
        <w:rPr>
          <w:rFonts w:hint="cs"/>
          <w:rtl/>
        </w:rPr>
        <w:t xml:space="preserve"> הבאתי מה שאמר כ"ק אדמו"ר  אודות החסיד ר' יענקל ז'וראביצער הי"ד </w:t>
      </w:r>
      <w:r w:rsidRPr="00685C25">
        <w:rPr>
          <w:rtl/>
        </w:rPr>
        <w:t>שנהרג בידי הסובייטים: "איהם פעלט גארניט ניט... ער איז שוין לאנג אין די הויכע עולמות"</w:t>
      </w:r>
      <w:r w:rsidRPr="00685C25">
        <w:rPr>
          <w:rFonts w:hint="cs"/>
          <w:rtl/>
        </w:rPr>
        <w:t xml:space="preserve">, והשוויתי את זה לשיטתו של </w:t>
      </w:r>
      <w:r w:rsidRPr="00685C25">
        <w:rPr>
          <w:rtl/>
        </w:rPr>
        <w:t xml:space="preserve">הרה"ק </w:t>
      </w:r>
      <w:r w:rsidRPr="00685C25">
        <w:rPr>
          <w:rFonts w:hint="cs"/>
          <w:rtl/>
        </w:rPr>
        <w:t xml:space="preserve">מהר"א </w:t>
      </w:r>
      <w:r w:rsidRPr="00685C25">
        <w:rPr>
          <w:rtl/>
        </w:rPr>
        <w:t xml:space="preserve">מבעלזא </w:t>
      </w:r>
      <w:r w:rsidRPr="00685C25">
        <w:rPr>
          <w:rFonts w:hint="cs"/>
          <w:rtl/>
        </w:rPr>
        <w:t xml:space="preserve">אודות בני משפחתו שנהרגו בשואה </w:t>
      </w:r>
      <w:r w:rsidRPr="00685C25">
        <w:rPr>
          <w:rtl/>
        </w:rPr>
        <w:t xml:space="preserve">ש"סבר שלא צריך לומר קדיש אחריהם, כיון שהם </w:t>
      </w:r>
      <w:r w:rsidRPr="00685C25">
        <w:rPr>
          <w:rtl/>
        </w:rPr>
        <w:lastRenderedPageBreak/>
        <w:t>קדושים וטהורים"</w:t>
      </w:r>
      <w:r w:rsidRPr="00685C25">
        <w:rPr>
          <w:rFonts w:hint="cs"/>
          <w:rtl/>
        </w:rPr>
        <w:t>, כי הרה"ק סבר שכיון שנהרגו אך ורק בהיותם יהודים, זה כבר מחשיב אותם כמי שקדש את השם ברבים, שאין מעלה על מעלתן.</w:t>
      </w:r>
    </w:p>
    <w:p w14:paraId="3F56D724" w14:textId="77777777" w:rsidR="000B6EE8" w:rsidRPr="00685C25" w:rsidRDefault="000B6EE8" w:rsidP="00423C6D">
      <w:pPr>
        <w:pStyle w:val="a2"/>
        <w:rPr>
          <w:rtl/>
        </w:rPr>
      </w:pPr>
      <w:r w:rsidRPr="00685C25">
        <w:rPr>
          <w:rFonts w:hint="cs"/>
          <w:rtl/>
        </w:rPr>
        <w:t xml:space="preserve">אמנם באמת אין שני הדברים דומים, שהרי </w:t>
      </w:r>
      <w:r w:rsidRPr="00685C25">
        <w:rPr>
          <w:rtl/>
        </w:rPr>
        <w:t>בנוגע ל</w:t>
      </w:r>
      <w:r w:rsidRPr="00685C25">
        <w:rPr>
          <w:rFonts w:hint="cs"/>
          <w:rtl/>
        </w:rPr>
        <w:t xml:space="preserve">חסיד ר' יענקל </w:t>
      </w:r>
      <w:r w:rsidRPr="00685C25">
        <w:rPr>
          <w:rtl/>
        </w:rPr>
        <w:t>שנהרג אצל סטאלין</w:t>
      </w:r>
      <w:r>
        <w:t xml:space="preserve"> </w:t>
      </w:r>
      <w:r>
        <w:rPr>
          <w:rFonts w:hint="cs"/>
          <w:rtl/>
        </w:rPr>
        <w:t>ימ"ש</w:t>
      </w:r>
      <w:r w:rsidRPr="00685C25">
        <w:rPr>
          <w:rtl/>
        </w:rPr>
        <w:t xml:space="preserve">, ודאי שהיה לו ברירה לשתף פעולה במאסר, ואז היו משחררים אותו כמלשין, וממילא </w:t>
      </w:r>
      <w:r w:rsidRPr="00685C25">
        <w:rPr>
          <w:rFonts w:hint="cs"/>
          <w:rtl/>
        </w:rPr>
        <w:t xml:space="preserve">כשהחליט שלא לספר כלום לחוקרים מהקג"ב, כיון שאינו רוצה לסכן את אחיו החסידים שפעלו למען שמירת הגחלת היהודית במדינה, </w:t>
      </w:r>
      <w:r w:rsidRPr="00685C25">
        <w:rPr>
          <w:rtl/>
        </w:rPr>
        <w:t>זה</w:t>
      </w:r>
      <w:r>
        <w:rPr>
          <w:rFonts w:hint="cs"/>
          <w:rtl/>
        </w:rPr>
        <w:t>ו</w:t>
      </w:r>
      <w:r w:rsidRPr="00685C25">
        <w:rPr>
          <w:rtl/>
        </w:rPr>
        <w:t xml:space="preserve"> קידוש השם כפשוטו. אם כי אין זה </w:t>
      </w:r>
      <w:r w:rsidRPr="00685C25">
        <w:rPr>
          <w:rFonts w:hint="cs"/>
          <w:rtl/>
        </w:rPr>
        <w:t xml:space="preserve">מסירת נפש </w:t>
      </w:r>
      <w:r w:rsidRPr="00685C25">
        <w:rPr>
          <w:rtl/>
        </w:rPr>
        <w:t xml:space="preserve">על אמונת ה', אבל ודאי שזה </w:t>
      </w:r>
      <w:r w:rsidRPr="00685C25">
        <w:rPr>
          <w:rFonts w:hint="cs"/>
          <w:rtl/>
        </w:rPr>
        <w:t xml:space="preserve">מסירת נפש למען </w:t>
      </w:r>
      <w:r w:rsidRPr="00685C25">
        <w:rPr>
          <w:rtl/>
        </w:rPr>
        <w:t>דת ישראל.</w:t>
      </w:r>
    </w:p>
    <w:p w14:paraId="01884FA8" w14:textId="77777777" w:rsidR="000B6EE8" w:rsidRPr="00685C25" w:rsidRDefault="000B6EE8" w:rsidP="00423C6D">
      <w:pPr>
        <w:pStyle w:val="11"/>
        <w:bidi/>
        <w:rPr>
          <w:rtl/>
        </w:rPr>
      </w:pPr>
      <w:r w:rsidRPr="00685C25">
        <w:rPr>
          <w:rFonts w:hint="cs"/>
          <w:rtl/>
        </w:rPr>
        <w:t>י"ל שגם קדושי השואה מסרו את נפשם כשהחליטו שלא להתנצר ולהינצל</w:t>
      </w:r>
    </w:p>
    <w:p w14:paraId="65648FC2" w14:textId="77777777" w:rsidR="000B6EE8" w:rsidRPr="00685C25" w:rsidRDefault="000B6EE8" w:rsidP="00423C6D">
      <w:pPr>
        <w:pStyle w:val="a2"/>
        <w:rPr>
          <w:rtl/>
        </w:rPr>
      </w:pPr>
      <w:r w:rsidRPr="00685C25">
        <w:rPr>
          <w:rFonts w:hint="cs"/>
          <w:rtl/>
        </w:rPr>
        <w:t>ויש להוסיף עוד,</w:t>
      </w:r>
      <w:r w:rsidRPr="00685C25">
        <w:rPr>
          <w:rtl/>
        </w:rPr>
        <w:t xml:space="preserve"> </w:t>
      </w:r>
      <w:r w:rsidRPr="00685C25">
        <w:rPr>
          <w:rFonts w:hint="cs"/>
          <w:rtl/>
        </w:rPr>
        <w:t>שלפי דעת הרבי</w:t>
      </w:r>
      <w:r>
        <w:rPr>
          <w:rStyle w:val="FootnoteReference"/>
          <w:rFonts w:ascii="Times New Roman" w:hAnsi="Times New Roman" w:cs="Narkisim"/>
          <w:rtl/>
        </w:rPr>
        <w:footnoteReference w:id="86"/>
      </w:r>
      <w:r w:rsidRPr="00685C25">
        <w:rPr>
          <w:rFonts w:hint="cs"/>
          <w:rtl/>
        </w:rPr>
        <w:t xml:space="preserve"> </w:t>
      </w:r>
      <w:r w:rsidRPr="00685C25">
        <w:rPr>
          <w:rtl/>
        </w:rPr>
        <w:t xml:space="preserve">גם בשואה </w:t>
      </w:r>
      <w:r w:rsidRPr="00685C25">
        <w:rPr>
          <w:rFonts w:hint="cs"/>
          <w:rtl/>
        </w:rPr>
        <w:t xml:space="preserve">היו הרבה מקומות שבהם </w:t>
      </w:r>
      <w:r w:rsidRPr="00685C25">
        <w:rPr>
          <w:rtl/>
        </w:rPr>
        <w:t>היה אפשרות להתנצר</w:t>
      </w:r>
      <w:r w:rsidRPr="00685C25">
        <w:rPr>
          <w:rFonts w:hint="cs"/>
          <w:rtl/>
        </w:rPr>
        <w:t xml:space="preserve"> ולהינצל. וב'הערות וביאורים'</w:t>
      </w:r>
      <w:r>
        <w:rPr>
          <w:rStyle w:val="FootnoteReference"/>
          <w:rFonts w:ascii="Times New Roman" w:hAnsi="Times New Roman" w:cs="Narkisim"/>
          <w:rtl/>
        </w:rPr>
        <w:footnoteReference w:id="87"/>
      </w:r>
      <w:r w:rsidRPr="00685C25">
        <w:rPr>
          <w:rFonts w:hint="cs"/>
          <w:rtl/>
        </w:rPr>
        <w:t xml:space="preserve"> ביארתי שעכ"פ חשבו שעל ידי ההתנצרות ינצלו. </w:t>
      </w:r>
      <w:r w:rsidRPr="00685C25">
        <w:rPr>
          <w:rtl/>
        </w:rPr>
        <w:t xml:space="preserve">ולמרות שלפועל זה לא עזר, אבל זה נתברר אחר כך, והא ראיה שהרבה יהודים אכן התנצרו! מעתה </w:t>
      </w:r>
      <w:r w:rsidRPr="00685C25">
        <w:rPr>
          <w:rFonts w:hint="cs"/>
          <w:rtl/>
        </w:rPr>
        <w:t xml:space="preserve">י"ל </w:t>
      </w:r>
      <w:r w:rsidRPr="00685C25">
        <w:rPr>
          <w:rtl/>
        </w:rPr>
        <w:t xml:space="preserve">כל היהודים שלא התנצרו הלכו על קידוש השם מדעתם. [ועדיין י"ל שהם לא ידעו מראש שעומדים להרוג אותם. וצ"ע.] ועדיין </w:t>
      </w:r>
      <w:r w:rsidRPr="00685C25">
        <w:rPr>
          <w:rFonts w:hint="cs"/>
          <w:rtl/>
        </w:rPr>
        <w:t xml:space="preserve">יש לדון </w:t>
      </w:r>
      <w:r w:rsidRPr="00685C25">
        <w:rPr>
          <w:rtl/>
        </w:rPr>
        <w:t>בקשר לאלו שבאמת התנצרו ולבסוף נהרגו כיון שהם היו יהודים, האם הם קדושים.</w:t>
      </w:r>
    </w:p>
    <w:p w14:paraId="5DEBFA5D" w14:textId="77777777" w:rsidR="000B6EE8" w:rsidRPr="00685C25" w:rsidRDefault="000B6EE8" w:rsidP="00423C6D">
      <w:pPr>
        <w:pStyle w:val="11"/>
        <w:bidi/>
        <w:rPr>
          <w:rtl/>
        </w:rPr>
      </w:pPr>
      <w:r w:rsidRPr="00685C25">
        <w:rPr>
          <w:rFonts w:hint="cs"/>
          <w:rtl/>
        </w:rPr>
        <w:t>לדעת הרבי כל מי שנהרג מחמת יהדותו הוא מהקדושים, אבל עדיין צריך מירוק</w:t>
      </w:r>
    </w:p>
    <w:p w14:paraId="40F0B4E0" w14:textId="77777777" w:rsidR="000B6EE8" w:rsidRPr="00685C25" w:rsidRDefault="000B6EE8" w:rsidP="00423C6D">
      <w:pPr>
        <w:pStyle w:val="a2"/>
        <w:rPr>
          <w:rtl/>
        </w:rPr>
      </w:pPr>
      <w:r w:rsidRPr="00685C25">
        <w:rPr>
          <w:rFonts w:hint="cs"/>
          <w:rtl/>
        </w:rPr>
        <w:t>במה שהארכתי ב'הערות וביאורים' שם</w:t>
      </w:r>
      <w:r>
        <w:rPr>
          <w:rStyle w:val="FootnoteReference"/>
          <w:rFonts w:ascii="Times New Roman" w:hAnsi="Times New Roman" w:cs="Narkisim"/>
          <w:rtl/>
        </w:rPr>
        <w:footnoteReference w:id="88"/>
      </w:r>
      <w:r w:rsidRPr="00685C25">
        <w:rPr>
          <w:rFonts w:hint="cs"/>
          <w:rtl/>
        </w:rPr>
        <w:t xml:space="preserve"> לדון האם מי שנהרג מפני יהדותו, "שלא נתנו להם את הברירה להניחם בחיים אם יכפרו בהשי"ת רח"ל", האם הם בדרגת הקדושים שעליהם נאמר </w:t>
      </w:r>
      <w:r w:rsidRPr="00685C25">
        <w:rPr>
          <w:rtl/>
        </w:rPr>
        <w:t>הרוגי מלכות אין אדם יכול לעמוד במחיצתן</w:t>
      </w:r>
      <w:r w:rsidRPr="00685C25">
        <w:rPr>
          <w:rFonts w:hint="cs"/>
          <w:rtl/>
        </w:rPr>
        <w:t>, ו</w:t>
      </w:r>
      <w:r w:rsidRPr="00685C25">
        <w:rPr>
          <w:rtl/>
        </w:rPr>
        <w:t>אין מעלה על מעלת</w:t>
      </w:r>
      <w:r w:rsidRPr="00685C25">
        <w:rPr>
          <w:rFonts w:hint="cs"/>
          <w:rtl/>
        </w:rPr>
        <w:t>ם.</w:t>
      </w:r>
      <w:r w:rsidRPr="00685C25">
        <w:rPr>
          <w:rtl/>
        </w:rPr>
        <w:t xml:space="preserve"> </w:t>
      </w:r>
    </w:p>
    <w:p w14:paraId="6D57CF36" w14:textId="77777777" w:rsidR="000B6EE8" w:rsidRPr="00685C25" w:rsidRDefault="000B6EE8" w:rsidP="00423C6D">
      <w:pPr>
        <w:pStyle w:val="a2"/>
        <w:rPr>
          <w:rtl/>
        </w:rPr>
      </w:pPr>
      <w:r w:rsidRPr="00685C25">
        <w:rPr>
          <w:rFonts w:hint="cs"/>
          <w:rtl/>
        </w:rPr>
        <w:t>הנה ישנו חידוש גדול בדברי הרבי בשיחת ש"פ חיי שרה מבה"ח כסלו תשל"ג</w:t>
      </w:r>
      <w:r>
        <w:rPr>
          <w:rStyle w:val="FootnoteReference"/>
          <w:rFonts w:ascii="Times New Roman" w:hAnsi="Times New Roman" w:cs="Narkisim"/>
          <w:rtl/>
        </w:rPr>
        <w:footnoteReference w:id="89"/>
      </w:r>
      <w:r w:rsidRPr="00685C25">
        <w:rPr>
          <w:rFonts w:hint="cs"/>
          <w:rtl/>
        </w:rPr>
        <w:t xml:space="preserve">, בהמשך לאירוע בכ"ו אלול תשל"ב, שנחטפו ונרצחו בידי מחבלים י"א מחברי </w:t>
      </w:r>
      <w:r w:rsidRPr="00685C25">
        <w:rPr>
          <w:rFonts w:hint="cs"/>
          <w:rtl/>
        </w:rPr>
        <w:lastRenderedPageBreak/>
        <w:t xml:space="preserve">המשלחת האולימפית הישראלית: </w:t>
      </w:r>
    </w:p>
    <w:p w14:paraId="5CB542A7" w14:textId="77777777" w:rsidR="000B6EE8" w:rsidRPr="00685C25" w:rsidRDefault="000B6EE8" w:rsidP="00423C6D">
      <w:pPr>
        <w:pStyle w:val="a2"/>
        <w:rPr>
          <w:rtl/>
        </w:rPr>
      </w:pPr>
      <w:r w:rsidRPr="00685C25">
        <w:rPr>
          <w:rFonts w:hint="cs"/>
          <w:rtl/>
        </w:rPr>
        <w:t xml:space="preserve">"ולאחרי המעשה (שנהרגו במינכן י"א בחורים)... ויש להעיר ולהבהיר: בנוגע לאלו שנהרגו שם </w:t>
      </w:r>
      <w:r w:rsidRPr="00685C25">
        <w:rPr>
          <w:rtl/>
        </w:rPr>
        <w:t>–</w:t>
      </w:r>
      <w:r w:rsidRPr="00685C25">
        <w:rPr>
          <w:rFonts w:hint="cs"/>
          <w:rtl/>
        </w:rPr>
        <w:t xml:space="preserve"> הנה כיון שנהרגו בגלל היותם יהודים, פוסקת הגמרא שעליהם נאמרו 'אספו לי חסידי כורתי בריתי עלי זבח'! </w:t>
      </w:r>
      <w:r w:rsidRPr="00685C25">
        <w:rPr>
          <w:rtl/>
        </w:rPr>
        <w:t>–</w:t>
      </w:r>
      <w:r w:rsidRPr="00685C25">
        <w:rPr>
          <w:rFonts w:hint="cs"/>
          <w:rtl/>
        </w:rPr>
        <w:t xml:space="preserve"> אין נפק"מ מעמדם ומצבם עד עתה הנוגע ליהדות; הנפק"מ היא בנוגע למירוק בגיהנם כו', אבל בנוגע מכאן ולהבא </w:t>
      </w:r>
      <w:r w:rsidRPr="00685C25">
        <w:rPr>
          <w:rtl/>
        </w:rPr>
        <w:t>–</w:t>
      </w:r>
      <w:r w:rsidRPr="00685C25">
        <w:rPr>
          <w:rFonts w:hint="cs"/>
          <w:rtl/>
        </w:rPr>
        <w:t xml:space="preserve"> קורא אותם הקב"ה 'כורתי בריתי עלי זבח'!"</w:t>
      </w:r>
    </w:p>
    <w:p w14:paraId="30CADA35" w14:textId="77777777" w:rsidR="000B6EE8" w:rsidRPr="00685C25" w:rsidRDefault="000B6EE8" w:rsidP="00423C6D">
      <w:pPr>
        <w:pStyle w:val="a2"/>
        <w:rPr>
          <w:rtl/>
        </w:rPr>
      </w:pPr>
      <w:r w:rsidRPr="00685C25">
        <w:rPr>
          <w:rFonts w:hint="cs"/>
          <w:rtl/>
        </w:rPr>
        <w:t xml:space="preserve">הנה מצד אחד הרבי קובע ברור שכיון שנהרגו בגלל היותם יהודים הרי הם בדרגת הקדושים שעליהם </w:t>
      </w:r>
      <w:r w:rsidRPr="00685C25">
        <w:rPr>
          <w:rtl/>
        </w:rPr>
        <w:t>נאמר</w:t>
      </w:r>
      <w:r>
        <w:rPr>
          <w:rStyle w:val="FootnoteReference"/>
          <w:rFonts w:ascii="Times New Roman" w:hAnsi="Times New Roman" w:cs="Narkisim"/>
          <w:rtl/>
        </w:rPr>
        <w:footnoteReference w:id="90"/>
      </w:r>
      <w:r w:rsidRPr="00685C25">
        <w:rPr>
          <w:rtl/>
        </w:rPr>
        <w:t xml:space="preserve"> אספו לי חסידי כורתי בריתי עלי זבח</w:t>
      </w:r>
      <w:r w:rsidRPr="00685C25">
        <w:rPr>
          <w:rFonts w:hint="cs"/>
          <w:rtl/>
        </w:rPr>
        <w:t>. אבל הרבי גם מוסיף: "אין נפק"מ מעמדם ומצבם עד עתה הנוגע ליהדות; הנפק"מ היא בנוגע למירוק בגיהנם", ש</w:t>
      </w:r>
      <w:r w:rsidRPr="00685C25">
        <w:rPr>
          <w:rtl/>
        </w:rPr>
        <w:t>גם הקדושים הללו יצטרכו מירוק בגיהנם, אל</w:t>
      </w:r>
      <w:r w:rsidRPr="00685C25">
        <w:rPr>
          <w:rFonts w:hint="cs"/>
          <w:rtl/>
        </w:rPr>
        <w:t>א</w:t>
      </w:r>
      <w:r w:rsidRPr="00685C25">
        <w:rPr>
          <w:rtl/>
        </w:rPr>
        <w:t xml:space="preserve"> </w:t>
      </w:r>
      <w:r w:rsidRPr="00685C25">
        <w:rPr>
          <w:rFonts w:hint="cs"/>
          <w:rtl/>
        </w:rPr>
        <w:t>של</w:t>
      </w:r>
      <w:r w:rsidRPr="00685C25">
        <w:rPr>
          <w:rtl/>
        </w:rPr>
        <w:t>אחרי זה מקומם מובטח בין הקדושים</w:t>
      </w:r>
      <w:r w:rsidRPr="00685C25">
        <w:rPr>
          <w:rFonts w:hint="cs"/>
          <w:rtl/>
        </w:rPr>
        <w:t>.</w:t>
      </w:r>
    </w:p>
    <w:p w14:paraId="7121FF6A" w14:textId="77777777" w:rsidR="000B6EE8" w:rsidRPr="00685C25" w:rsidRDefault="000B6EE8" w:rsidP="00423C6D">
      <w:pPr>
        <w:pStyle w:val="a2"/>
        <w:rPr>
          <w:rtl/>
        </w:rPr>
      </w:pPr>
      <w:r w:rsidRPr="00685C25">
        <w:rPr>
          <w:rFonts w:hint="cs"/>
          <w:rtl/>
        </w:rPr>
        <w:t>ועד"ז כתב בשו"ת 'דבר יהושע'</w:t>
      </w:r>
      <w:r>
        <w:rPr>
          <w:rStyle w:val="FootnoteReference"/>
          <w:rFonts w:ascii="Times New Roman" w:hAnsi="Times New Roman" w:cs="Narkisim"/>
          <w:rtl/>
        </w:rPr>
        <w:footnoteReference w:id="91"/>
      </w:r>
      <w:r w:rsidRPr="00685C25">
        <w:rPr>
          <w:rFonts w:hint="cs"/>
          <w:rtl/>
        </w:rPr>
        <w:t xml:space="preserve"> : "ומ"ש כת"ר שליט"א לחדש, דמי שנהרג ע"י גוים לא שייך חרדת הדין, מפני שנתכפר להם עוונותיהם, כמ"ש בש"ס</w:t>
      </w:r>
      <w:r>
        <w:rPr>
          <w:rStyle w:val="FootnoteReference"/>
          <w:rFonts w:ascii="Times New Roman" w:hAnsi="Times New Roman" w:cs="Narkisim"/>
          <w:rtl/>
        </w:rPr>
        <w:footnoteReference w:id="92"/>
      </w:r>
      <w:r w:rsidRPr="00685C25">
        <w:rPr>
          <w:rFonts w:hint="cs"/>
          <w:rtl/>
        </w:rPr>
        <w:t xml:space="preserve"> גבי הרוגי מלכות, כיון דלאו כי אורחיה מיית </w:t>
      </w:r>
      <w:r w:rsidRPr="00685C25">
        <w:rPr>
          <w:rFonts w:hint="cs"/>
          <w:sz w:val="20"/>
          <w:szCs w:val="20"/>
          <w:rtl/>
        </w:rPr>
        <w:t xml:space="preserve">[ושלא בדין קא מיקטלי] </w:t>
      </w:r>
      <w:r w:rsidRPr="00685C25">
        <w:rPr>
          <w:rFonts w:hint="cs"/>
          <w:rtl/>
        </w:rPr>
        <w:t xml:space="preserve">הוי להו כפרה, ויליף ממה שנקראו עבדיך... לפענ"ד אי אפשר לומר כן... </w:t>
      </w:r>
      <w:r w:rsidRPr="00685C25">
        <w:rPr>
          <w:rtl/>
        </w:rPr>
        <w:t>והענין מובן מאד לפי מה</w:t>
      </w:r>
      <w:r w:rsidRPr="00685C25">
        <w:rPr>
          <w:rFonts w:hint="cs"/>
          <w:rtl/>
        </w:rPr>
        <w:t xml:space="preserve"> </w:t>
      </w:r>
      <w:r w:rsidRPr="00685C25">
        <w:rPr>
          <w:rtl/>
        </w:rPr>
        <w:t>שכתבו המקובלים, שהחוטא שתים רעות עושה, א</w:t>
      </w:r>
      <w:r w:rsidRPr="00685C25">
        <w:rPr>
          <w:rFonts w:hint="cs"/>
          <w:rtl/>
        </w:rPr>
        <w:t>'</w:t>
      </w:r>
      <w:r w:rsidRPr="00685C25">
        <w:rPr>
          <w:rtl/>
        </w:rPr>
        <w:t xml:space="preserve"> מה שעובר על מצות המל</w:t>
      </w:r>
      <w:r w:rsidRPr="00685C25">
        <w:rPr>
          <w:rFonts w:hint="cs"/>
          <w:rtl/>
        </w:rPr>
        <w:t>ך,</w:t>
      </w:r>
      <w:r w:rsidRPr="00685C25">
        <w:rPr>
          <w:rtl/>
        </w:rPr>
        <w:t xml:space="preserve"> והב</w:t>
      </w:r>
      <w:r w:rsidRPr="00685C25">
        <w:rPr>
          <w:rFonts w:hint="cs"/>
          <w:rtl/>
        </w:rPr>
        <w:t>'</w:t>
      </w:r>
      <w:r w:rsidRPr="00685C25">
        <w:rPr>
          <w:rtl/>
        </w:rPr>
        <w:t xml:space="preserve"> מה שעצם החטא פוגם בנפשו לפי שהמעשה מתועב</w:t>
      </w:r>
      <w:r w:rsidRPr="00685C25">
        <w:rPr>
          <w:rFonts w:hint="cs"/>
          <w:rtl/>
        </w:rPr>
        <w:t>.</w:t>
      </w:r>
      <w:r w:rsidRPr="00685C25">
        <w:rPr>
          <w:rtl/>
        </w:rPr>
        <w:t xml:space="preserve"> והנה על מה שעבר על גזירת המלך</w:t>
      </w:r>
      <w:r w:rsidRPr="00685C25">
        <w:rPr>
          <w:rFonts w:hint="cs"/>
          <w:rtl/>
        </w:rPr>
        <w:t>,</w:t>
      </w:r>
      <w:r w:rsidRPr="00685C25">
        <w:rPr>
          <w:rtl/>
        </w:rPr>
        <w:t xml:space="preserve"> ראוי שיקבל ענשו בעולם הזה בגופו או בממונו</w:t>
      </w:r>
      <w:r w:rsidRPr="00685C25">
        <w:rPr>
          <w:rFonts w:hint="cs"/>
          <w:rtl/>
        </w:rPr>
        <w:t>,</w:t>
      </w:r>
      <w:r w:rsidRPr="00685C25">
        <w:rPr>
          <w:rtl/>
        </w:rPr>
        <w:t xml:space="preserve"> משא</w:t>
      </w:r>
      <w:r w:rsidRPr="00685C25">
        <w:rPr>
          <w:rFonts w:hint="cs"/>
          <w:rtl/>
        </w:rPr>
        <w:t>"</w:t>
      </w:r>
      <w:r w:rsidRPr="00685C25">
        <w:rPr>
          <w:rtl/>
        </w:rPr>
        <w:t xml:space="preserve">כ על מה שפגם את נפשו על ידי חטאו </w:t>
      </w:r>
      <w:r w:rsidRPr="00685C25">
        <w:rPr>
          <w:rFonts w:hint="cs"/>
          <w:rtl/>
        </w:rPr>
        <w:t xml:space="preserve">ע"י חטאו, </w:t>
      </w:r>
      <w:r w:rsidRPr="00685C25">
        <w:rPr>
          <w:rtl/>
        </w:rPr>
        <w:t>אין נפשו מתטהר אלא בענשו אשר יקבל בעולם הנשמות</w:t>
      </w:r>
      <w:r w:rsidRPr="00685C25">
        <w:rPr>
          <w:rFonts w:hint="cs"/>
          <w:rtl/>
        </w:rPr>
        <w:t>.</w:t>
      </w:r>
      <w:r w:rsidRPr="00685C25">
        <w:rPr>
          <w:rtl/>
        </w:rPr>
        <w:t xml:space="preserve"> ולכך מי שמת במיתה משונה</w:t>
      </w:r>
      <w:r w:rsidRPr="00685C25">
        <w:rPr>
          <w:rFonts w:hint="cs"/>
          <w:rtl/>
        </w:rPr>
        <w:t>,</w:t>
      </w:r>
      <w:r w:rsidRPr="00685C25">
        <w:rPr>
          <w:rtl/>
        </w:rPr>
        <w:t xml:space="preserve"> </w:t>
      </w:r>
      <w:r w:rsidRPr="00685C25">
        <w:rPr>
          <w:rFonts w:hint="cs"/>
          <w:rtl/>
        </w:rPr>
        <w:t xml:space="preserve">כיון דלאו כי אורחיה מיית, </w:t>
      </w:r>
      <w:r w:rsidRPr="00685C25">
        <w:rPr>
          <w:rtl/>
        </w:rPr>
        <w:t>הרי קיבל הגוף את ענשו בעולם הזה, אבל הנשמה אינה מתיסרת בכך במה שיצאה מן הגוף במיתה משונה</w:t>
      </w:r>
      <w:r w:rsidRPr="00685C25">
        <w:rPr>
          <w:rFonts w:hint="cs"/>
          <w:rtl/>
        </w:rPr>
        <w:t xml:space="preserve"> טפי ממת כדרכו</w:t>
      </w:r>
      <w:r w:rsidRPr="00685C25">
        <w:rPr>
          <w:rtl/>
        </w:rPr>
        <w:t xml:space="preserve">, לכך היא צריכה עוד לדין בעולם הנשמות, </w:t>
      </w:r>
      <w:r w:rsidRPr="00685C25">
        <w:rPr>
          <w:rFonts w:hint="cs"/>
          <w:rtl/>
        </w:rPr>
        <w:t>ד</w:t>
      </w:r>
      <w:r w:rsidRPr="00685C25">
        <w:rPr>
          <w:rtl/>
        </w:rPr>
        <w:t>היינו ז</w:t>
      </w:r>
      <w:r w:rsidRPr="00685C25">
        <w:rPr>
          <w:rFonts w:hint="cs"/>
          <w:rtl/>
        </w:rPr>
        <w:t>'</w:t>
      </w:r>
      <w:r w:rsidRPr="00685C25">
        <w:rPr>
          <w:rtl/>
        </w:rPr>
        <w:t xml:space="preserve"> מדורי גיהנום</w:t>
      </w:r>
      <w:r w:rsidRPr="00685C25">
        <w:rPr>
          <w:rFonts w:hint="cs"/>
          <w:rtl/>
        </w:rPr>
        <w:t>...".</w:t>
      </w:r>
    </w:p>
    <w:p w14:paraId="40506F62" w14:textId="77777777" w:rsidR="000B6EE8" w:rsidRPr="00685C25" w:rsidRDefault="000B6EE8" w:rsidP="00423C6D">
      <w:pPr>
        <w:pStyle w:val="a2"/>
        <w:rPr>
          <w:rtl/>
        </w:rPr>
      </w:pPr>
      <w:r w:rsidRPr="00685C25">
        <w:rPr>
          <w:rFonts w:hint="cs"/>
          <w:rtl/>
        </w:rPr>
        <w:t>ודברים דומים קצת כתב גם ב</w:t>
      </w:r>
      <w:r w:rsidRPr="00685C25">
        <w:rPr>
          <w:rtl/>
        </w:rPr>
        <w:t>שו"ת מהרי"ל</w:t>
      </w:r>
      <w:r>
        <w:rPr>
          <w:rStyle w:val="FootnoteReference"/>
          <w:rFonts w:ascii="Times New Roman" w:hAnsi="Times New Roman" w:cs="Narkisim"/>
          <w:rtl/>
        </w:rPr>
        <w:footnoteReference w:id="93"/>
      </w:r>
      <w:r w:rsidRPr="00685C25">
        <w:rPr>
          <w:rtl/>
        </w:rPr>
        <w:t xml:space="preserve"> </w:t>
      </w:r>
      <w:r w:rsidRPr="00685C25">
        <w:rPr>
          <w:rFonts w:hint="cs"/>
          <w:rtl/>
        </w:rPr>
        <w:t>שהבאתי בגליון הקודם: "</w:t>
      </w:r>
      <w:r w:rsidRPr="00685C25">
        <w:rPr>
          <w:rtl/>
        </w:rPr>
        <w:t>והיא גופא נראה לי</w:t>
      </w:r>
      <w:r w:rsidRPr="00685C25">
        <w:rPr>
          <w:rFonts w:hint="cs"/>
          <w:rtl/>
        </w:rPr>
        <w:t>,</w:t>
      </w:r>
      <w:r w:rsidRPr="00685C25">
        <w:rPr>
          <w:rtl/>
        </w:rPr>
        <w:t xml:space="preserve"> אע</w:t>
      </w:r>
      <w:r w:rsidRPr="00685C25">
        <w:rPr>
          <w:rFonts w:hint="cs"/>
          <w:rtl/>
        </w:rPr>
        <w:t>"</w:t>
      </w:r>
      <w:r w:rsidRPr="00685C25">
        <w:rPr>
          <w:rtl/>
        </w:rPr>
        <w:t>ג שהם קדושי עליון ובמדרגה העליונה ואין בריה יכולה לעמוד במחיצתם</w:t>
      </w:r>
      <w:r w:rsidRPr="00685C25">
        <w:rPr>
          <w:rFonts w:hint="cs"/>
          <w:rtl/>
        </w:rPr>
        <w:t>,</w:t>
      </w:r>
      <w:r w:rsidRPr="00685C25">
        <w:rPr>
          <w:rtl/>
        </w:rPr>
        <w:t xml:space="preserve"> מ"מ מי מפיס דיש עבירות שצריכות מיתה משונה וצערא דקברא</w:t>
      </w:r>
      <w:r w:rsidRPr="00685C25">
        <w:rPr>
          <w:rFonts w:hint="cs"/>
          <w:rtl/>
        </w:rPr>
        <w:t>,</w:t>
      </w:r>
      <w:r w:rsidRPr="00685C25">
        <w:rPr>
          <w:rtl/>
        </w:rPr>
        <w:t xml:space="preserve"> כמו שכתב ר' שמחה</w:t>
      </w:r>
      <w:r w:rsidRPr="00685C25">
        <w:rPr>
          <w:rFonts w:hint="cs"/>
          <w:rtl/>
        </w:rPr>
        <w:t>" עיי"ש עוד.</w:t>
      </w:r>
      <w:r w:rsidRPr="00685C25">
        <w:rPr>
          <w:rtl/>
        </w:rPr>
        <w:t xml:space="preserve"> </w:t>
      </w:r>
      <w:r w:rsidRPr="00685C25">
        <w:rPr>
          <w:rFonts w:hint="cs"/>
          <w:rtl/>
        </w:rPr>
        <w:t>אלא שיש לעיין בדיוק למה כוונתו.</w:t>
      </w:r>
    </w:p>
    <w:p w14:paraId="68CDCF67" w14:textId="77777777" w:rsidR="000B6EE8" w:rsidRPr="00685C25" w:rsidRDefault="000B6EE8" w:rsidP="00423C6D">
      <w:pPr>
        <w:pStyle w:val="11"/>
        <w:bidi/>
        <w:rPr>
          <w:rtl/>
        </w:rPr>
      </w:pPr>
      <w:r w:rsidRPr="00685C25">
        <w:rPr>
          <w:rFonts w:hint="cs"/>
          <w:rtl/>
        </w:rPr>
        <w:lastRenderedPageBreak/>
        <w:t>לדעת הרבי יש לומר קדיש גם אחרי קדושי השואה</w:t>
      </w:r>
    </w:p>
    <w:p w14:paraId="3A9A833A" w14:textId="77777777" w:rsidR="000B6EE8" w:rsidRPr="00685C25" w:rsidRDefault="000B6EE8" w:rsidP="00423C6D">
      <w:pPr>
        <w:pStyle w:val="a2"/>
        <w:rPr>
          <w:rtl/>
        </w:rPr>
      </w:pPr>
      <w:r w:rsidRPr="00685C25">
        <w:rPr>
          <w:rFonts w:hint="cs"/>
          <w:rtl/>
        </w:rPr>
        <w:t xml:space="preserve">אמנם גם לאחרי שנתברר שכל מי שנהרג מחמת יהדותו הוא בדרגת הקדושים, מ"מ למעשה אין ספק ששיטת הרבי שיש לומר קדיש גם אחרי קדושי השואה, כי כן נהג הוא בעצמו כל ימיו לומר קדיש ביום ב' דר"ה על גיסתו מרת שיינא הורנשטיין, וביום כ"ד תשרי על זקנתו הרבנית מרת רחל ינובסקי. וי"א שביום כ"ה אלול אמר קדיש על אחיו הוו"ח ר' דובער הי"ד. </w:t>
      </w:r>
    </w:p>
    <w:p w14:paraId="54A9159F" w14:textId="77777777" w:rsidR="000B6EE8" w:rsidRPr="00685C25" w:rsidRDefault="000B6EE8" w:rsidP="00423C6D">
      <w:pPr>
        <w:pStyle w:val="a2"/>
        <w:rPr>
          <w:rtl/>
        </w:rPr>
      </w:pPr>
      <w:r w:rsidRPr="00685C25">
        <w:rPr>
          <w:rFonts w:hint="cs"/>
          <w:rtl/>
        </w:rPr>
        <w:t xml:space="preserve">ואציין גם מה שכתב לי הרב מנחם מענדל חיטריק רב ושליח </w:t>
      </w:r>
      <w:r>
        <w:rPr>
          <w:rFonts w:hint="cs"/>
          <w:rtl/>
        </w:rPr>
        <w:t>ב</w:t>
      </w:r>
      <w:r w:rsidRPr="00685C25">
        <w:rPr>
          <w:rFonts w:hint="cs"/>
          <w:rtl/>
        </w:rPr>
        <w:t>איסטנבול: "</w:t>
      </w:r>
      <w:r w:rsidRPr="00685C25">
        <w:rPr>
          <w:rtl/>
        </w:rPr>
        <w:t xml:space="preserve">אדמו"ר הקודם אמר לסבי </w:t>
      </w:r>
      <w:r w:rsidRPr="00685C25">
        <w:rPr>
          <w:rFonts w:hint="cs"/>
          <w:rtl/>
        </w:rPr>
        <w:t xml:space="preserve">הרב ליברמן </w:t>
      </w:r>
      <w:r w:rsidRPr="00685C25">
        <w:rPr>
          <w:rtl/>
        </w:rPr>
        <w:t>שליט"א שיבחר ערב ראש חודש וייקבע אותו ליארצייט אחר אמו שנהרגה באושוויץ. (</w:t>
      </w:r>
      <w:r w:rsidRPr="00685C25">
        <w:rPr>
          <w:rFonts w:hint="cs"/>
          <w:rtl/>
        </w:rPr>
        <w:t>הוא קבע את זה ל</w:t>
      </w:r>
      <w:r w:rsidRPr="00685C25">
        <w:rPr>
          <w:rtl/>
        </w:rPr>
        <w:t>ערב ראש חודש אלול</w:t>
      </w:r>
      <w:r w:rsidRPr="00685C25">
        <w:rPr>
          <w:rFonts w:hint="cs"/>
          <w:rtl/>
        </w:rPr>
        <w:t>,</w:t>
      </w:r>
      <w:r w:rsidRPr="00685C25">
        <w:rPr>
          <w:rtl/>
        </w:rPr>
        <w:t xml:space="preserve"> ובסוף התברר שלכאורה אכן נהרגה סביבות ערב ר"ח אלול)</w:t>
      </w:r>
      <w:r w:rsidRPr="00685C25">
        <w:rPr>
          <w:rFonts w:hint="cs"/>
          <w:rtl/>
        </w:rPr>
        <w:t>".</w:t>
      </w:r>
    </w:p>
    <w:p w14:paraId="75AF4E86" w14:textId="77777777" w:rsidR="000B6EE8" w:rsidRDefault="000B6EE8" w:rsidP="00423C6D">
      <w:pPr>
        <w:pStyle w:val="a2"/>
        <w:rPr>
          <w:rtl/>
        </w:rPr>
      </w:pPr>
      <w:r w:rsidRPr="00685C25">
        <w:rPr>
          <w:rFonts w:hint="cs"/>
          <w:rtl/>
        </w:rPr>
        <w:t>מעתה יש לעיין במה שהרבי אמר על החסיד ר' יענקל ז'וראביצער, שממנו משמע שדעתו נטה לומר שלא צריכים לומר אחריו קדיש. ואולי הלשון אינו מדוייק כל כך, והרבי רק התכוון לדבר במעלתו, אחרי שנהרג על קידוש השם, ולעודד בזה את בני משפחתו. וצ"ע.</w:t>
      </w:r>
    </w:p>
    <w:p w14:paraId="61645BBF" w14:textId="77777777" w:rsidR="000B6EE8" w:rsidRPr="00347933" w:rsidRDefault="000B6EE8" w:rsidP="000B6EE8">
      <w:pPr>
        <w:pStyle w:val="a4"/>
        <w:spacing w:after="0"/>
        <w:sectPr w:rsidR="000B6EE8"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04E72E1" w14:textId="38C1076C" w:rsidR="0075010A" w:rsidRDefault="0075010A" w:rsidP="00673E82">
      <w:pPr>
        <w:pStyle w:val="a"/>
        <w:bidi w:val="0"/>
        <w:rPr>
          <w:rtl/>
        </w:rPr>
      </w:pPr>
      <w:bookmarkStart w:id="157" w:name="_Toc531140396"/>
      <w:r w:rsidRPr="00A0097F">
        <w:rPr>
          <w:rtl/>
        </w:rPr>
        <w:t>"בשעה החמישית"</w:t>
      </w:r>
      <w:bookmarkEnd w:id="157"/>
    </w:p>
    <w:p w14:paraId="0D8DF6D0" w14:textId="77777777" w:rsidR="00673E82" w:rsidRPr="008307D7" w:rsidRDefault="00673E82" w:rsidP="00C40DBA">
      <w:pPr>
        <w:pStyle w:val="a0"/>
        <w:rPr>
          <w:rtl/>
        </w:rPr>
      </w:pPr>
      <w:bookmarkStart w:id="158" w:name="_Toc531140397"/>
      <w:r w:rsidRPr="008307D7">
        <w:rPr>
          <w:rtl/>
          <w:lang w:bidi="he-IL"/>
        </w:rPr>
        <w:t>הרב חנני</w:t>
      </w:r>
      <w:r w:rsidRPr="008307D7">
        <w:rPr>
          <w:rtl/>
        </w:rPr>
        <w:t xml:space="preserve">' </w:t>
      </w:r>
      <w:r w:rsidRPr="008307D7">
        <w:rPr>
          <w:rtl/>
          <w:lang w:bidi="he-IL"/>
        </w:rPr>
        <w:t>יוסף אייזנבך</w:t>
      </w:r>
      <w:bookmarkEnd w:id="158"/>
    </w:p>
    <w:p w14:paraId="6C582B9C" w14:textId="791886B7" w:rsidR="00673E82" w:rsidRPr="00673E82" w:rsidRDefault="00673E82" w:rsidP="00673E82">
      <w:pPr>
        <w:pStyle w:val="a1"/>
        <w:rPr>
          <w:rtl/>
        </w:rPr>
      </w:pPr>
      <w:r w:rsidRPr="00A0097F">
        <w:rPr>
          <w:rtl/>
        </w:rPr>
        <w:t>בעמ"ח ספר "מחנה יוסף"</w:t>
      </w:r>
    </w:p>
    <w:p w14:paraId="68CB6DCA" w14:textId="445E245A" w:rsidR="0075010A" w:rsidRPr="00A0097F" w:rsidRDefault="0075010A" w:rsidP="00423C6D">
      <w:pPr>
        <w:pStyle w:val="a2"/>
        <w:rPr>
          <w:rtl/>
        </w:rPr>
      </w:pPr>
      <w:r w:rsidRPr="00A0097F">
        <w:rPr>
          <w:rtl/>
        </w:rPr>
        <w:t>בנוסח ההזמנה של רבינו היה כתוב שהחופה תהיה "בשעה החמישית", ומאז ועד עתה, סימן היכר להזמנה חב"דית הוא, שנאמר בה שהחופה תהיה "בשעה החמישית" (גם אם בכוכב* מצויין בשולי ההזמנה השעה שהיא לאו דוקא בשעה החמישית), והדבר גרם לתמיהות ואף לגיחוך מצד חוגים שונים, כלום בשביל שבחתונת הרבי נערכה החופה "בשעה החמישית", צריך לכתוב כך בכל ההזמנות, תהא החופה באיזה שעה שתהיה?!</w:t>
      </w:r>
    </w:p>
    <w:p w14:paraId="2EF201AF" w14:textId="46128BDE" w:rsidR="0075010A" w:rsidRPr="00A0097F" w:rsidRDefault="0075010A" w:rsidP="00423C6D">
      <w:pPr>
        <w:pStyle w:val="a2"/>
        <w:rPr>
          <w:rtl/>
        </w:rPr>
      </w:pPr>
      <w:r w:rsidRPr="00A0097F">
        <w:rPr>
          <w:rtl/>
        </w:rPr>
        <w:t xml:space="preserve">ברם ברור הדבר, שכל דבר היוצא מפיהם או מפי כתבם של רבותינו הקדושים שכל הגה שלהם ברוח הקודש, מכוון הוא ביותר, ואף קביעת החופה בשעה החמישית, או (מאז) איזכורה של השעה החמישית, בכל הזמנה לחתונת איש ואשה בישראל, ודאי משמעות מיוחדת יש לה,  וכפי הנראה גם תלוי במספר חמש, המיוחס לענין </w:t>
      </w:r>
      <w:r w:rsidRPr="00A0097F">
        <w:rPr>
          <w:rtl/>
        </w:rPr>
        <w:lastRenderedPageBreak/>
        <w:t>הנשואין. ונציין כאן כמה פנים לדבר זה, כמובן בדרך אפשר:</w:t>
      </w:r>
    </w:p>
    <w:p w14:paraId="0A2E2C34" w14:textId="47453BC3" w:rsidR="0075010A" w:rsidRPr="00673E82" w:rsidRDefault="0075010A" w:rsidP="00423C6D">
      <w:pPr>
        <w:pStyle w:val="11"/>
        <w:rPr>
          <w:rtl/>
        </w:rPr>
      </w:pPr>
      <w:r w:rsidRPr="00A0097F">
        <w:rPr>
          <w:rtl/>
        </w:rPr>
        <w:t>א</w:t>
      </w:r>
    </w:p>
    <w:p w14:paraId="62F7D119" w14:textId="34C61590" w:rsidR="0075010A" w:rsidRPr="00673E82" w:rsidRDefault="0075010A" w:rsidP="00423C6D">
      <w:pPr>
        <w:pStyle w:val="11"/>
        <w:rPr>
          <w:rtl/>
        </w:rPr>
      </w:pPr>
      <w:r w:rsidRPr="00673E82">
        <w:rPr>
          <w:rtl/>
        </w:rPr>
        <w:t>"שעה חמישית עמד על רגליו"</w:t>
      </w:r>
    </w:p>
    <w:p w14:paraId="0184AAF1" w14:textId="0371FFA6" w:rsidR="0075010A" w:rsidRPr="00A0097F" w:rsidRDefault="0075010A" w:rsidP="00423C6D">
      <w:pPr>
        <w:pStyle w:val="a2"/>
        <w:rPr>
          <w:rtl/>
        </w:rPr>
      </w:pPr>
      <w:r w:rsidRPr="00A0097F">
        <w:rPr>
          <w:rtl/>
        </w:rPr>
        <w:t xml:space="preserve">בסנהדרין ל"ח: "א"ר יוחנן בר חנינא: שתים עשרה שעות הוי היום, שעה ראשונה הוצבר עפרו (של אדם הראשון), שניה נעשה גולם, שלישית נמתחו אבריו, רביעית נזרקה בו נשמה, </w:t>
      </w:r>
      <w:r w:rsidRPr="00A0097F">
        <w:rPr>
          <w:u w:val="single"/>
          <w:rtl/>
        </w:rPr>
        <w:t>שעה חמישית עמד על רגליו</w:t>
      </w:r>
      <w:r w:rsidRPr="00A0097F">
        <w:rPr>
          <w:rtl/>
        </w:rPr>
        <w:t xml:space="preserve"> כו'" ובמהר"ל (בחידושי אגדות שם וב"תפארת ישראל" פט"ז): "דבר זה המדריגה החמישית, כי המדריגה הראשונה מדריגות הגולם הוא שתמצא בדומם, מדריגות הצומח תמצא בצומח, מדריגות החיוני תמצא בבעלי חיים, אבל דבר זה ש"עמד על רגליו" לא תמצא רק באדם, שכולם הולכים כפופים פניהם יורד למטה, אבל האדם הולך קומם מפני שהוא מלך הנמצאים והתחתונים, והמלך ראוי שיהיה הולך בזקיפה כו' ודבר זה מעלת האדם על שאר בעלי חיים, שדבר זה מורה כי האדם אין עליו בתחתונים, ולפיכך שעה חמישית עמד על רגליו, ויש עוד בזה מה שהאדם זקוף, והוא המעלה שנברא האדם בצלם אלקים, ונתבאר בספר "דרך חיים" (אבות פ"ג). כלל הדבר כי מה שהולך בקומה זקופה, הוא מיוחד לאדם, למעלתו יותר על בעלי חיים".</w:t>
      </w:r>
    </w:p>
    <w:p w14:paraId="34613ADF" w14:textId="3CF52639" w:rsidR="0075010A" w:rsidRPr="00A0097F" w:rsidRDefault="0075010A" w:rsidP="00423C6D">
      <w:pPr>
        <w:pStyle w:val="a2"/>
        <w:rPr>
          <w:rtl/>
        </w:rPr>
      </w:pPr>
      <w:r w:rsidRPr="00A0097F">
        <w:rPr>
          <w:rtl/>
        </w:rPr>
        <w:t xml:space="preserve">והנה ביבמות ס"ג ע"א: "אשכחיה ר' יוסי לאליהו, אמר ליה, כתיב: "אעשה לו עזר" במה אשה עוזרתו לאדם? אמר ליה: אדם מביא חיטין, חטין כוסס? פשתן, פשתן לובש? לא נמצאת מאירה עיניו של אדם </w:t>
      </w:r>
      <w:r w:rsidRPr="00A0097F">
        <w:rPr>
          <w:b/>
          <w:bCs/>
          <w:rtl/>
        </w:rPr>
        <w:t>ומעמידתו על רגליו</w:t>
      </w:r>
      <w:r w:rsidRPr="00A0097F">
        <w:rPr>
          <w:rtl/>
        </w:rPr>
        <w:t xml:space="preserve"> ?!"</w:t>
      </w:r>
    </w:p>
    <w:p w14:paraId="05796F2D" w14:textId="23C82968" w:rsidR="0075010A" w:rsidRPr="00A0097F" w:rsidRDefault="0075010A" w:rsidP="00423C6D">
      <w:pPr>
        <w:pStyle w:val="a2"/>
        <w:rPr>
          <w:rtl/>
        </w:rPr>
      </w:pPr>
      <w:r w:rsidRPr="00A0097F">
        <w:rPr>
          <w:rtl/>
        </w:rPr>
        <w:t>ומבואר ששלימות זו של האדם ש"עומד על רגליו" ומולך על כל הנמצאים והתחתונים, באה לו ע"י האשה שהיא מאירה עיניו ו"מעמידתו על רגליו", ומתאים הוא לכל המבואר בסוגיא דיבמות שם ששלימותו של אדם היא ע"י האשה עי"ש.</w:t>
      </w:r>
    </w:p>
    <w:p w14:paraId="17760E07" w14:textId="3F3BED8B" w:rsidR="0075010A" w:rsidRPr="00A0097F" w:rsidRDefault="0075010A" w:rsidP="00423C6D">
      <w:pPr>
        <w:pStyle w:val="a2"/>
        <w:rPr>
          <w:rtl/>
        </w:rPr>
      </w:pPr>
      <w:r w:rsidRPr="00A0097F">
        <w:rPr>
          <w:rtl/>
        </w:rPr>
        <w:t>ולפי הנ"ל שזקיפות האדם ועמידתו על רגליו מורה על עליונותו על כל בעלי החיים, ויכול לשאת עיניו למרום ולראות מי ברא אלה, יומתק מה שמסופר ב"שבחי הבעש"ט" על הבעש"ט הק' אשר כשקיבל את השבת בשדה, אזי כל החיות והבהמות עמדו על רגליהם.. היינו שהוא הקדוש זי"ע פעל את ענין ה"עמד על רגליו" בכל הבריאה כולה [ולפלא שהדבר קשו</w:t>
      </w:r>
      <w:r w:rsidR="00673E82">
        <w:rPr>
          <w:rtl/>
        </w:rPr>
        <w:t>ר באמירת "לכה דודי לקראת כלה"].</w:t>
      </w:r>
    </w:p>
    <w:p w14:paraId="7FD56C83" w14:textId="3AAE1D76" w:rsidR="0075010A" w:rsidRPr="00673E82" w:rsidRDefault="0075010A" w:rsidP="00423C6D">
      <w:pPr>
        <w:pStyle w:val="11"/>
        <w:rPr>
          <w:sz w:val="26"/>
          <w:szCs w:val="26"/>
          <w:rtl/>
        </w:rPr>
      </w:pPr>
      <w:r w:rsidRPr="00A0097F">
        <w:rPr>
          <w:rtl/>
        </w:rPr>
        <w:t>ב</w:t>
      </w:r>
    </w:p>
    <w:p w14:paraId="4E73865C" w14:textId="5DCA7317" w:rsidR="0075010A" w:rsidRPr="00A0097F" w:rsidRDefault="0075010A" w:rsidP="00423C6D">
      <w:pPr>
        <w:pStyle w:val="11"/>
        <w:rPr>
          <w:rtl/>
        </w:rPr>
      </w:pPr>
      <w:r w:rsidRPr="00A0097F">
        <w:rPr>
          <w:rFonts w:hint="cs"/>
          <w:rtl/>
        </w:rPr>
        <w:t>שלימות</w:t>
      </w:r>
      <w:r w:rsidRPr="00A0097F">
        <w:rPr>
          <w:rtl/>
        </w:rPr>
        <w:t xml:space="preserve"> </w:t>
      </w:r>
      <w:r w:rsidRPr="00A0097F">
        <w:rPr>
          <w:rFonts w:hint="cs"/>
          <w:rtl/>
        </w:rPr>
        <w:t>הקידושין</w:t>
      </w:r>
      <w:r w:rsidRPr="00A0097F">
        <w:rPr>
          <w:rtl/>
        </w:rPr>
        <w:t xml:space="preserve"> </w:t>
      </w:r>
      <w:r w:rsidRPr="00A0097F">
        <w:rPr>
          <w:rFonts w:hint="cs"/>
          <w:rtl/>
        </w:rPr>
        <w:t>בחמשה</w:t>
      </w:r>
    </w:p>
    <w:p w14:paraId="4797C67B" w14:textId="484D6FE5" w:rsidR="0075010A" w:rsidRPr="00A0097F" w:rsidRDefault="0075010A" w:rsidP="00423C6D">
      <w:pPr>
        <w:pStyle w:val="a2"/>
        <w:rPr>
          <w:rtl/>
        </w:rPr>
      </w:pPr>
      <w:r w:rsidRPr="00A0097F">
        <w:rPr>
          <w:rtl/>
        </w:rPr>
        <w:lastRenderedPageBreak/>
        <w:t xml:space="preserve">כתב רבינו בחיי ז"ל בהקדמה לפרשת תזריע: "ראשית תבואתה, מובחר תבואתה, כמו (עמוס ו) וראשית שמנים ימשחו. התבואה חמשה מינין, חטה ושעורה שבולת שועל שיפון וכוסמין, ולכך תבואתה בה"א, ומבחר התבואה היא החטה, כן ישראל היו מבחר האומות שקבלו חמשה חומשי תורה שהיא מבחר התורות, ועל זה אמרו במדרש משל למלך שקידש אשתו </w:t>
      </w:r>
      <w:r w:rsidRPr="00A0097F">
        <w:rPr>
          <w:u w:val="single"/>
          <w:rtl/>
        </w:rPr>
        <w:t>בחמש טבעות,</w:t>
      </w:r>
      <w:r w:rsidRPr="00A0097F">
        <w:rPr>
          <w:rtl/>
        </w:rPr>
        <w:t xml:space="preserve"> שנאמר (הושע ב): "וארשתיך לי בצדק ובמשפט ובחסד וברחמים, וארשתיך לי באמונה וידעת את ה'", והנה מקום מקורו של המדרש לע"ע לא מצאתי, אבל נאמנים עלינו דברי רבינו בחיי ז"ל,  </w:t>
      </w:r>
    </w:p>
    <w:p w14:paraId="1949D00D" w14:textId="6797DEDB" w:rsidR="0075010A" w:rsidRPr="00A0097F" w:rsidRDefault="0075010A" w:rsidP="00423C6D">
      <w:pPr>
        <w:pStyle w:val="a2"/>
        <w:rPr>
          <w:rtl/>
        </w:rPr>
      </w:pPr>
      <w:r w:rsidRPr="00A0097F">
        <w:rPr>
          <w:rtl/>
        </w:rPr>
        <w:t>ומבואר בדבריו ז"ל ענין מחודש, שיש ענין בקידושין ב"חמש" טבעות, ויש לבאר הדבר, על פי מה שכתב ב"נועם אלימלך" פר' תרומה: "ועשית לו ארבע טבעות זהב, טבעת הוא טבעת קידושין להשכינה ע"ד דאמרינן וארשתיך לי לעולם וכו' והיינו שתקדש את שולחנך בארבע אותיות הוי' ברוך הוא היינו ארבע טבעות כו'" עי"ש. היינו שטבעת הקידושין שבה מקדש האיש את האשה, היא המשכת חותם שכינתו של הקב"ה, שהוא ענין שם הוי' ברוך הוא, וכפי שהוא בפרטות, הוא מחולק לארבע אותיות שם הוי', והן ארבע טבעות, ומעתה לפי מה שרגיל למנות גם את ה"קוצו של יו"ד", שביחד הם כנגד חמשה השמות שנקראו לה, נפש רוח נשמה חיה ויחידה, הן הם "חמש טבעות".</w:t>
      </w:r>
    </w:p>
    <w:p w14:paraId="26442C0E" w14:textId="596DE285" w:rsidR="0075010A" w:rsidRPr="00A0097F" w:rsidRDefault="0075010A" w:rsidP="00423C6D">
      <w:pPr>
        <w:pStyle w:val="a2"/>
        <w:rPr>
          <w:rtl/>
        </w:rPr>
      </w:pPr>
      <w:r w:rsidRPr="00A0097F">
        <w:rPr>
          <w:rtl/>
        </w:rPr>
        <w:t>[וי"ל שחמש הטבעות שהן כנגד חמשה חומשי תורה, הם חמשה הענינים שמוזכרים בפסוק וארשתי: "וארשתיך לי בצדק ובמשפט בחסד וברחמים וארשתיך לי באמונה"; "בצדק" הוא ספר בראשית, שבו מסופר על מעשי בריאת שמים וארץ והכרת אברהם אבינו ע"ה ויצחק בנו ויעקב בנו ביחידו של עולם, שהוא ענין "קו הצדק" כמו שכתב הרמב"ם בריש הל' עבודה זרה; "במשפט" הוא ספר שמות שבו מתחיל ענין המצוות, ובפרט פרשת "ואלה המשפטים" שבה כל ההלכות והדינים; "בחסד" הוא ספר ויקרא ספר הקרבנות, שהוא חסד מיוחד משמים, שגם לאחר שפגם וסר מן הדרך יכול להביא קרבן ונתכפר לו, ועי' ב"עיקרים" מאמר רביעי פרק כ"ה ועוד; "ברחמים" הוא ספר במדבר שמבוארים בו הנסים וגודל החסדים שעשה השי"ת עם ישראל, ו"וארשתיך לי באמונה וידעת את ה'" הוא ספר דברים, משנה תורה, שמשה "רעיא מהימנא "מפי עצמו" אמרה].</w:t>
      </w:r>
    </w:p>
    <w:p w14:paraId="5711DF5F" w14:textId="6FEFB133" w:rsidR="0075010A" w:rsidRPr="00A0097F" w:rsidRDefault="0075010A" w:rsidP="00423C6D">
      <w:pPr>
        <w:pStyle w:val="a2"/>
        <w:rPr>
          <w:rtl/>
        </w:rPr>
      </w:pPr>
      <w:r w:rsidRPr="00A0097F">
        <w:rPr>
          <w:rtl/>
        </w:rPr>
        <w:t xml:space="preserve">ולפי זה יומתק מאד, גם מה שקשר רבינו בחיי ז"ל ענין זה עם </w:t>
      </w:r>
      <w:r w:rsidRPr="00A0097F">
        <w:rPr>
          <w:u w:val="single"/>
          <w:rtl/>
        </w:rPr>
        <w:t>חמשת</w:t>
      </w:r>
      <w:r w:rsidRPr="00A0097F">
        <w:rPr>
          <w:rtl/>
        </w:rPr>
        <w:t xml:space="preserve"> מיני הדגן, שגם הם מכוונים כנגד נפש רוח ונשמה חיה ויחידה שכידוע הם כנגד ד' אותיות שם הוי' וה"קוצו של יו"ד", כי הנה הרמ"ע ז"ל מפאנו כתב ב"מאמר צבאות ה'" ח"א: "ויש במיני דגן סוד חמשה חלקי הנפש שזכרנו, כי הנה אותיות שיפון הן הן אותיות נפש בתוס' סימני ההקטנה כמו האמינון אחיך והוא בסוד המיעוט, שבולת שועל - רוח, כו' שעורה- נשמה, חטה - חיה., כו' וכוסמת - יחידה. ושמה יעיד עליה כי מעט אשר היה </w:t>
      </w:r>
      <w:r w:rsidRPr="00A0097F">
        <w:rPr>
          <w:rtl/>
        </w:rPr>
        <w:lastRenderedPageBreak/>
        <w:t>לה חלק במוחש להעלמה ועילוי (מדרתה) [מדרגתה] בדקות ורוחניות כו'" עי"ש, וב"מאמר הנפש" ח"ג פ"ג.</w:t>
      </w:r>
    </w:p>
    <w:p w14:paraId="5E9E6FC3" w14:textId="1759ED42" w:rsidR="0075010A" w:rsidRPr="00A0097F" w:rsidRDefault="0075010A" w:rsidP="00423C6D">
      <w:pPr>
        <w:pStyle w:val="a2"/>
        <w:rPr>
          <w:rtl/>
        </w:rPr>
      </w:pPr>
      <w:r w:rsidRPr="00A0097F">
        <w:rPr>
          <w:rtl/>
        </w:rPr>
        <w:t xml:space="preserve">[ואגב, לפי דברי הרמ"ע ז"ל, שחטים וכוסמין הם כנגד חי' ויחידה, יבואר היטב המקרא (שמות ט,לב): "והחיטה וכוסמת לא נוכו כי אפילות הנה" ובמדרש פירשו אפילות לשון "פלאות נעשו להם שלא לקו" שענין ה"פלאות" שבדבר, הוא ענין מקיף, ורש"י הוסיף "פלאי פלאות" היינו </w:t>
      </w:r>
      <w:r w:rsidR="00673E82">
        <w:rPr>
          <w:rtl/>
        </w:rPr>
        <w:t>מקיף, ומקיף דמקיף, חי' ויחידה].</w:t>
      </w:r>
    </w:p>
    <w:p w14:paraId="4B6DD624" w14:textId="55E8270E" w:rsidR="0075010A" w:rsidRPr="00673E82" w:rsidRDefault="0075010A" w:rsidP="00423C6D">
      <w:pPr>
        <w:pStyle w:val="11"/>
        <w:rPr>
          <w:rtl/>
        </w:rPr>
      </w:pPr>
      <w:r w:rsidRPr="00A0097F">
        <w:rPr>
          <w:rtl/>
        </w:rPr>
        <w:t>ג</w:t>
      </w:r>
    </w:p>
    <w:p w14:paraId="216A8798" w14:textId="30E1F9D0" w:rsidR="0075010A" w:rsidRPr="00673E82" w:rsidRDefault="00673E82" w:rsidP="00423C6D">
      <w:pPr>
        <w:pStyle w:val="11"/>
        <w:rPr>
          <w:rtl/>
        </w:rPr>
      </w:pPr>
      <w:r>
        <w:rPr>
          <w:rtl/>
        </w:rPr>
        <w:t>חמש עלין</w:t>
      </w:r>
    </w:p>
    <w:p w14:paraId="5B275947" w14:textId="1994B418" w:rsidR="0075010A" w:rsidRPr="00A0097F" w:rsidRDefault="0075010A" w:rsidP="00C77E25">
      <w:pPr>
        <w:pStyle w:val="a2"/>
        <w:rPr>
          <w:rtl/>
        </w:rPr>
      </w:pPr>
      <w:r w:rsidRPr="00A0097F">
        <w:rPr>
          <w:rtl/>
        </w:rPr>
        <w:t xml:space="preserve">איתא במדרש רבה בראשית (ח,יג): "(זכר ונקבה ברא אותם ויברך אותם אלקים) א"ר אבהו </w:t>
      </w:r>
      <w:r w:rsidRPr="00A0097F">
        <w:rPr>
          <w:u w:val="single"/>
          <w:rtl/>
        </w:rPr>
        <w:t>נטל כוס של ברכה</w:t>
      </w:r>
      <w:r w:rsidRPr="00A0097F">
        <w:rPr>
          <w:rtl/>
        </w:rPr>
        <w:t xml:space="preserve"> וברכן; אר"י ב""ר סימון: מיכאל וגבריאל הם היו שושבינין של אדם הראשון". מה הוא ענין "כוס של ברכה" שברכן בו? גם מהו "</w:t>
      </w:r>
      <w:r w:rsidRPr="00A0097F">
        <w:rPr>
          <w:u w:val="single"/>
          <w:rtl/>
        </w:rPr>
        <w:t xml:space="preserve">נטל </w:t>
      </w:r>
      <w:r w:rsidRPr="00A0097F">
        <w:rPr>
          <w:rtl/>
        </w:rPr>
        <w:t xml:space="preserve">כוס של ברכה וברכן" (ולא: ברכן בכוס של ברכה)? </w:t>
      </w:r>
    </w:p>
    <w:p w14:paraId="7553DCD5" w14:textId="52172F9A" w:rsidR="0075010A" w:rsidRPr="00A0097F" w:rsidRDefault="0075010A" w:rsidP="00423C6D">
      <w:pPr>
        <w:pStyle w:val="a2"/>
        <w:rPr>
          <w:rtl/>
        </w:rPr>
      </w:pPr>
      <w:r w:rsidRPr="00A0097F">
        <w:rPr>
          <w:rtl/>
        </w:rPr>
        <w:t>ונראה דהנה ז"ל הזוהר הקדוש בפתיחתו: "רבי חזקיה פתח: כתיב "כשושנה בין החוחים", מאן שושנה? דא כנסת ישראל. מה שושנה דאיהי בין החוחים, אית בה סומק וחיור (אדום ולבן), אוף כנסת ישראל אית בה דין ורחמי. מה שושנה אית בה תריסר עלין, אף כנסת ישראל אית בה תליסר מכילין דרחמי, דסחרין לה מכל סטראה כו' בגין לאפקא חמש עלין תקיפין דסחרין לשושנה, ואינון חמש איקרי ישועות ואינון חמש תרעין, ועל רזא דא כתיב כוס ישועות אשא, דא כוס של ברכה. כוס של ברכה אצטריך למהוי על חמש אצבען ולא יתיר, כגוונא דשושנה דיתבא על חמש עלין תקיפין דוגמא דחמש אצבען, ושושנה דא איהו כוס של ברכה".</w:t>
      </w:r>
    </w:p>
    <w:p w14:paraId="4D5BB1C3" w14:textId="5E89FBB0" w:rsidR="0075010A" w:rsidRPr="00A0097F" w:rsidRDefault="0075010A" w:rsidP="00423C6D">
      <w:pPr>
        <w:pStyle w:val="a2"/>
        <w:rPr>
          <w:rtl/>
        </w:rPr>
      </w:pPr>
      <w:r w:rsidRPr="00A0097F">
        <w:rPr>
          <w:rtl/>
        </w:rPr>
        <w:t xml:space="preserve">למדנו שענין </w:t>
      </w:r>
      <w:r w:rsidRPr="00A0097F">
        <w:rPr>
          <w:u w:val="single"/>
          <w:rtl/>
        </w:rPr>
        <w:t>נטילת כוס של ברכה על חמש האצבעות</w:t>
      </w:r>
      <w:r w:rsidRPr="00A0097F">
        <w:rPr>
          <w:rtl/>
        </w:rPr>
        <w:t>, הוא ענין השושנה, שיש בה תליסר עלין דרחמי אבל מוקפת בחמש עלין תקיפין [ואמרתי הרמז בזה כי "שושנה" עולה בגימ': "זה הוא כוס של ברכה"], ומכבר כתבתי שמכאן ההקפדה לקדש ולברך על גביע שאין בו "רגל", כדי שלא יחצוץ כלום בין חמש האצבעות לכוס.</w:t>
      </w:r>
    </w:p>
    <w:p w14:paraId="347BD6C2" w14:textId="6E89797C" w:rsidR="0075010A" w:rsidRPr="00A0097F" w:rsidRDefault="0075010A" w:rsidP="00423C6D">
      <w:pPr>
        <w:pStyle w:val="a2"/>
        <w:rPr>
          <w:rtl/>
        </w:rPr>
      </w:pPr>
      <w:r w:rsidRPr="00A0097F">
        <w:rPr>
          <w:rtl/>
        </w:rPr>
        <w:t>וזהו איפוא הדיוק "נטל" כוס של ברכה וברכן, שנטילה היינו בחמש האצבעות כביכול.</w:t>
      </w:r>
    </w:p>
    <w:p w14:paraId="7ACC02AD" w14:textId="2B066F20" w:rsidR="0075010A" w:rsidRPr="00A0097F" w:rsidRDefault="0075010A" w:rsidP="00423C6D">
      <w:pPr>
        <w:pStyle w:val="a2"/>
        <w:rPr>
          <w:rtl/>
        </w:rPr>
      </w:pPr>
      <w:r w:rsidRPr="00A0097F">
        <w:rPr>
          <w:rtl/>
        </w:rPr>
        <w:t xml:space="preserve">וזהו גם ההמשך לדברי רבי אבהו: "מיכאל וגבריאל הם השושבינין של אדם הראשון", כי מיכאל הוא שר של חסד וגבריאל שר של חסד, וצמודים יחד, כמו השושנה שיש בה "סומק וחיור" תליסר עלין דרחמי וחמש עלין תקיפין ["כי יופי </w:t>
      </w:r>
      <w:r w:rsidRPr="00A0097F">
        <w:rPr>
          <w:rtl/>
        </w:rPr>
        <w:lastRenderedPageBreak/>
        <w:t>החסד, בהתערבות מעט הדין, דוגמת השושנה שעיקרה לבנה, ומתערבת בה מעט אדמימות ליפות ולהדר יופי הלבן ("באר מים חיים" פר' קורח)".</w:t>
      </w:r>
    </w:p>
    <w:p w14:paraId="38546E8D" w14:textId="103B7519" w:rsidR="0075010A" w:rsidRPr="00A0097F" w:rsidRDefault="0075010A" w:rsidP="00423C6D">
      <w:pPr>
        <w:pStyle w:val="a2"/>
        <w:rPr>
          <w:rtl/>
        </w:rPr>
      </w:pPr>
      <w:r w:rsidRPr="00A0097F">
        <w:rPr>
          <w:rtl/>
        </w:rPr>
        <w:t xml:space="preserve">הנה למדנו שבנשואין הראשונים של אדם וחוה, הברכה היתה במספר חמש. וגם זה נרמז ב"בשעה </w:t>
      </w:r>
      <w:r w:rsidRPr="00A0097F">
        <w:rPr>
          <w:u w:val="single"/>
          <w:rtl/>
        </w:rPr>
        <w:t>החמישית</w:t>
      </w:r>
      <w:r w:rsidR="00673E82">
        <w:rPr>
          <w:rtl/>
        </w:rPr>
        <w:t>".</w:t>
      </w:r>
    </w:p>
    <w:p w14:paraId="2229EFFF" w14:textId="4FE66544" w:rsidR="0075010A" w:rsidRPr="00673E82" w:rsidRDefault="0075010A" w:rsidP="00423C6D">
      <w:pPr>
        <w:pStyle w:val="11"/>
        <w:rPr>
          <w:rtl/>
        </w:rPr>
      </w:pPr>
      <w:r w:rsidRPr="00A0097F">
        <w:rPr>
          <w:rtl/>
        </w:rPr>
        <w:t>ד</w:t>
      </w:r>
    </w:p>
    <w:p w14:paraId="27D38EDE" w14:textId="77D19B65" w:rsidR="0075010A" w:rsidRPr="00673E82" w:rsidRDefault="0075010A" w:rsidP="00423C6D">
      <w:pPr>
        <w:pStyle w:val="11"/>
        <w:rPr>
          <w:rtl/>
        </w:rPr>
      </w:pPr>
      <w:r w:rsidRPr="00A0097F">
        <w:rPr>
          <w:rtl/>
        </w:rPr>
        <w:t>"</w:t>
      </w:r>
      <w:r w:rsidR="00673E82">
        <w:rPr>
          <w:rtl/>
        </w:rPr>
        <w:t>הא לכם זרע"</w:t>
      </w:r>
    </w:p>
    <w:p w14:paraId="39229E25" w14:textId="3F4356A8" w:rsidR="0075010A" w:rsidRPr="00A0097F" w:rsidRDefault="0075010A" w:rsidP="00423C6D">
      <w:pPr>
        <w:pStyle w:val="a2"/>
        <w:rPr>
          <w:rtl/>
        </w:rPr>
      </w:pPr>
      <w:r w:rsidRPr="00A0097F">
        <w:rPr>
          <w:rtl/>
        </w:rPr>
        <w:t>כתב הגאון רבי יוסף ענגל ז"ל ב"אוצרות יוסף", מאמר "לבנה" אות כ"א:</w:t>
      </w:r>
    </w:p>
    <w:p w14:paraId="77ACA56E" w14:textId="675331D2" w:rsidR="0075010A" w:rsidRPr="00A0097F" w:rsidRDefault="0075010A" w:rsidP="00423C6D">
      <w:pPr>
        <w:pStyle w:val="a2"/>
        <w:rPr>
          <w:rtl/>
        </w:rPr>
      </w:pPr>
      <w:r w:rsidRPr="00A0097F">
        <w:rPr>
          <w:rtl/>
        </w:rPr>
        <w:t>"נודע בחכמה כי ענין פו"ר והולדת תולדה הוא בנוקבא, ה"א אחרונה שבשם, ונתנו סימן בכתוב ה"א לכם זרע (זוה"ק פנחס רעיא מהימנא רט"ז ע"ב), וזהו אומרם ז"ל (בראשית רבה מד,י): "אברם אינו מוליד אברהם מוליד", ובמדרש (בראשית רבה לט,יא): "הבט נא שמים אין כתיב כאן אלא השמים, אמר הקדוש ברוך הוא: בה"א בראתי את העולם, הריני מוסיף ה"א על שמך ואת פרה ורבה, וכן האמהות שרה רבקה לאה הי' ה"א בשמותיהם והולידו, ורחל שלא היה ה' בשמה לא הולידה, ולכן בהיות לבלה"ה שפחת רחל ב' ה"הין בשמה, לכן אמרה רחל ואיבנה גם אנכי ממנה".</w:t>
      </w:r>
    </w:p>
    <w:p w14:paraId="5B64D117" w14:textId="7DAB21AC" w:rsidR="0075010A" w:rsidRPr="00A0097F" w:rsidRDefault="0075010A" w:rsidP="00423C6D">
      <w:pPr>
        <w:pStyle w:val="a2"/>
        <w:rPr>
          <w:rtl/>
        </w:rPr>
      </w:pPr>
      <w:r w:rsidRPr="00A0097F">
        <w:rPr>
          <w:rtl/>
        </w:rPr>
        <w:t>וכבר כתב כן ה":כלי יקר" פר' ויגש על הפסוק "הא לכם זרע": "והמקובלים אמרו שמן ה"א אחרונה שבשם, נמשכו כל התולדות, וכל דבר עושה פרי".</w:t>
      </w:r>
    </w:p>
    <w:p w14:paraId="7D0A4A52" w14:textId="2937C244" w:rsidR="0075010A" w:rsidRPr="00A0097F" w:rsidRDefault="0075010A" w:rsidP="00423C6D">
      <w:pPr>
        <w:pStyle w:val="a2"/>
        <w:rPr>
          <w:rtl/>
        </w:rPr>
      </w:pPr>
      <w:r w:rsidRPr="00A0097F">
        <w:rPr>
          <w:rtl/>
        </w:rPr>
        <w:t>וכך כתב גם בן דורו, רבינו חיים ב"ר בצלאל ז"ל, אחי המהר"ל ז"ל, ב"אגרת הטיול" חלק הסוד אות ה': "מצאתי, כי אות הה"א מן השם הנכבד, היא אות ההריון. סימן לדבר: הא לכם זרע, ולכך לאה בלהה זלפה היו ראויין להריון, שיש בשמותן אות ה"א, אבל רחל שאין בשמה אות הה"א היתה עקרה, וחשבה רחל להבנות מן בלהה שפחתה, לפי שיש לה ה"א יתירה, שהרי הן ב' ה"הין בשמה של בלהה".</w:t>
      </w:r>
    </w:p>
    <w:p w14:paraId="2FBDA34C" w14:textId="5B246B11" w:rsidR="0075010A" w:rsidRPr="00A0097F" w:rsidRDefault="0075010A" w:rsidP="00423C6D">
      <w:pPr>
        <w:pStyle w:val="a2"/>
        <w:rPr>
          <w:rtl/>
        </w:rPr>
      </w:pPr>
      <w:r w:rsidRPr="00A0097F">
        <w:rPr>
          <w:rtl/>
        </w:rPr>
        <w:t>[וראה ב"שערי אורה" לרבינו יוסף גיקטלייא זי"ע, שער ה': "ובשנה החמישית תאכלו את פריו, שהרי מן הארבע קליפות ולפנים, אנו נכנסים להדבק בשם הוי', בסוד ה' אחרונה של שם, שהיא עומדת בשער, ולפיכך אמר זה השער להוי', וזו היאה' הרמוזה בסוד ובשנה ה-חמישית תאכלו את פריו בה' חמישית כו'".</w:t>
      </w:r>
    </w:p>
    <w:p w14:paraId="217C07E6" w14:textId="1F2C4624" w:rsidR="0075010A" w:rsidRPr="00A0097F" w:rsidRDefault="0075010A" w:rsidP="00423C6D">
      <w:pPr>
        <w:pStyle w:val="a2"/>
        <w:rPr>
          <w:rtl/>
        </w:rPr>
      </w:pPr>
      <w:r w:rsidRPr="00A0097F">
        <w:rPr>
          <w:rtl/>
        </w:rPr>
        <w:t xml:space="preserve">גם יעויין ב"עשרה מאמרות" לרבינו הרמ"ע מפאנו, חיקור דין פכ"ד: "ובאותה שנה ראשונה חל הושענא ביום ה', והלבנה מושלת בלילו בשעה רביעית, והוראותיה נודעות לרבים משעה חמישית ואיך שהדין נמסר לשלוחין, אם כן נרמז לו לאדם </w:t>
      </w:r>
      <w:r w:rsidRPr="00A0097F">
        <w:rPr>
          <w:rtl/>
        </w:rPr>
        <w:lastRenderedPageBreak/>
        <w:t>הראשון היום והשעה באות ה' של איכ"ה", ובפירוש "מגיני שלמה": "וה"י מורה על השעה החמישית כו'"].</w:t>
      </w:r>
    </w:p>
    <w:p w14:paraId="0979773E" w14:textId="46B12A9D" w:rsidR="0075010A" w:rsidRPr="00A0097F" w:rsidRDefault="0075010A" w:rsidP="00423C6D">
      <w:pPr>
        <w:pStyle w:val="a2"/>
        <w:rPr>
          <w:rtl/>
        </w:rPr>
      </w:pPr>
      <w:r w:rsidRPr="00A0097F">
        <w:rPr>
          <w:rtl/>
        </w:rPr>
        <w:t>מבואר שאות ה', האות החמישית, סגולה מיוחדת היא להצלחת הנשואין.</w:t>
      </w:r>
    </w:p>
    <w:p w14:paraId="1A98D674" w14:textId="3D0367C8" w:rsidR="0075010A" w:rsidRPr="00673E82" w:rsidRDefault="0075010A" w:rsidP="00423C6D">
      <w:pPr>
        <w:pStyle w:val="11"/>
        <w:rPr>
          <w:rtl/>
        </w:rPr>
      </w:pPr>
      <w:r w:rsidRPr="00A0097F">
        <w:rPr>
          <w:rtl/>
        </w:rPr>
        <w:t>ה</w:t>
      </w:r>
    </w:p>
    <w:p w14:paraId="4EB81FDD" w14:textId="18E24F28" w:rsidR="0075010A" w:rsidRPr="00A0097F" w:rsidRDefault="0075010A" w:rsidP="00423C6D">
      <w:pPr>
        <w:pStyle w:val="11"/>
        <w:rPr>
          <w:rtl/>
        </w:rPr>
      </w:pPr>
      <w:r w:rsidRPr="00A0097F">
        <w:rPr>
          <w:rtl/>
        </w:rPr>
        <w:t>"</w:t>
      </w:r>
      <w:r w:rsidRPr="00A0097F">
        <w:rPr>
          <w:rFonts w:hint="cs"/>
          <w:rtl/>
        </w:rPr>
        <w:t>השעה</w:t>
      </w:r>
      <w:r w:rsidRPr="00A0097F">
        <w:rPr>
          <w:rtl/>
        </w:rPr>
        <w:t xml:space="preserve"> </w:t>
      </w:r>
      <w:r w:rsidRPr="00A0097F">
        <w:rPr>
          <w:rFonts w:hint="cs"/>
          <w:rtl/>
        </w:rPr>
        <w:t>החמישית</w:t>
      </w:r>
      <w:r w:rsidRPr="00A0097F">
        <w:rPr>
          <w:rtl/>
        </w:rPr>
        <w:t xml:space="preserve">" </w:t>
      </w:r>
      <w:r w:rsidRPr="00A0097F">
        <w:rPr>
          <w:rFonts w:hint="cs"/>
          <w:rtl/>
        </w:rPr>
        <w:t>כנגד</w:t>
      </w:r>
      <w:r w:rsidRPr="00A0097F">
        <w:rPr>
          <w:rtl/>
        </w:rPr>
        <w:t xml:space="preserve"> </w:t>
      </w:r>
      <w:r w:rsidRPr="00A0097F">
        <w:rPr>
          <w:rFonts w:hint="cs"/>
          <w:rtl/>
        </w:rPr>
        <w:t>ט</w:t>
      </w:r>
      <w:r w:rsidRPr="00A0097F">
        <w:rPr>
          <w:rtl/>
        </w:rPr>
        <w:t>"</w:t>
      </w:r>
      <w:r w:rsidRPr="00A0097F">
        <w:rPr>
          <w:rFonts w:hint="cs"/>
          <w:rtl/>
        </w:rPr>
        <w:t>ו</w:t>
      </w:r>
      <w:r w:rsidRPr="00A0097F">
        <w:rPr>
          <w:rtl/>
        </w:rPr>
        <w:t xml:space="preserve"> </w:t>
      </w:r>
      <w:r w:rsidRPr="00A0097F">
        <w:rPr>
          <w:rFonts w:hint="cs"/>
          <w:rtl/>
        </w:rPr>
        <w:t>באב</w:t>
      </w:r>
    </w:p>
    <w:p w14:paraId="2B169729" w14:textId="1C53D0EA" w:rsidR="0075010A" w:rsidRPr="00A0097F" w:rsidRDefault="0075010A" w:rsidP="00423C6D">
      <w:pPr>
        <w:pStyle w:val="a2"/>
        <w:rPr>
          <w:rtl/>
        </w:rPr>
      </w:pPr>
      <w:r w:rsidRPr="00A0097F">
        <w:rPr>
          <w:rtl/>
        </w:rPr>
        <w:t>הנה בהקדמתו לספר "אמרי יוסף" להרה"ק המקובל רבי יוסף מאיר מספינקא זי"ע, של בן המחבר, הגאון המפורסם הרה"ק בעל "חקל יצחק" זי"ע, ("עשרה מאמרות" המאמר התשיעי אות י'), כתב:</w:t>
      </w:r>
    </w:p>
    <w:p w14:paraId="6E0C1231" w14:textId="5682711B" w:rsidR="0075010A" w:rsidRPr="00A0097F" w:rsidRDefault="0075010A" w:rsidP="00423C6D">
      <w:pPr>
        <w:pStyle w:val="a2"/>
        <w:rPr>
          <w:rtl/>
        </w:rPr>
      </w:pPr>
      <w:r w:rsidRPr="00A0097F">
        <w:rPr>
          <w:rtl/>
        </w:rPr>
        <w:t xml:space="preserve"> "דרכו בקודש היה, לכוין בי"ב שעות היום, הי"ב צירופי יקו"ק הידועים, ועל כן היה אומר בשם הצדיקים ז"ל, דכל איש הישראלי צריך להרגיש בכל יום קדושת כל המועדים, והיינו, כי בשעה ראשונה ביום הוא צירוף הא', והוא מחודש ניסן, אם יזכך נפשו ירגיש קדושת הפסח, וכן בשעה ג' שהוא כנגד סיון, ירגיש קדושת שבועות כו'" עי"ש, </w:t>
      </w:r>
    </w:p>
    <w:p w14:paraId="317F3D91" w14:textId="6539F950" w:rsidR="0075010A" w:rsidRPr="00A0097F" w:rsidRDefault="0075010A" w:rsidP="00423C6D">
      <w:pPr>
        <w:pStyle w:val="a2"/>
        <w:rPr>
          <w:rtl/>
        </w:rPr>
      </w:pPr>
      <w:r w:rsidRPr="00A0097F">
        <w:rPr>
          <w:rtl/>
        </w:rPr>
        <w:t>פירוש הדברים, כי י"ב צירופי שם הוי של י"ב שעות היום [המפורטים ומבוארים בספר "שערי צדק" להמקובל הקדמון רבי יוסף מגיקטלייא זי"ע, ובספר הפרד"ס להרמ"ק זי"ע  שער כ"א פרק ט"ו וב"עסיס רמונים" שם עי"ש], מכוונים כנגד י"ב הצירופים של י"ב החדשים, כמפורש בספר הפרד"ס להרמ"ק ז"ל, ונמצא כי השעה הראשונה בכל יום מכוונת כנגד חודש ניסן שהוא הראשון בחדשי השנה, ואותו הצירוף של חודש ניסן הוא גם הצירוף של השעה הראשונה ביום, ועל דרך זה השעה השניה, שהיא כנגד חודש אייר, וכך כל חדשי השנה.</w:t>
      </w:r>
    </w:p>
    <w:p w14:paraId="6751CBD2" w14:textId="6A781894" w:rsidR="0075010A" w:rsidRDefault="0075010A" w:rsidP="00423C6D">
      <w:pPr>
        <w:pStyle w:val="a2"/>
        <w:rPr>
          <w:rtl/>
        </w:rPr>
      </w:pPr>
      <w:r w:rsidRPr="00A0097F">
        <w:rPr>
          <w:rtl/>
        </w:rPr>
        <w:t>ולפי זה הרי "השעה החמישית" היא כנגד חודש מנחם אב, שעל עיצומו של חודש אב אמרו חז"ל: "לא היו ימים טובים כחמישה עשר באב כו' שבהם היו בנות ישראל יוצאות בבגדי לבן שאולין כו'" (שלהי מס' תענית), הרי ש"השעה החמישית" אין כמוה מסוגלת ומתאימה לענין החופה והנשואין</w:t>
      </w:r>
      <w:r w:rsidRPr="00A0097F">
        <w:rPr>
          <w:rStyle w:val="FootnoteReference"/>
          <w:sz w:val="28"/>
          <w:szCs w:val="28"/>
          <w:rtl/>
        </w:rPr>
        <w:footnoteReference w:id="94"/>
      </w:r>
      <w:r w:rsidR="00673E82">
        <w:rPr>
          <w:rtl/>
        </w:rPr>
        <w:t>,</w:t>
      </w:r>
    </w:p>
    <w:p w14:paraId="7C1E7077" w14:textId="15BCA367" w:rsidR="00673E82" w:rsidRPr="00673E82" w:rsidRDefault="00673E82" w:rsidP="00423C6D">
      <w:pPr>
        <w:pStyle w:val="11"/>
        <w:bidi/>
        <w:rPr>
          <w:rtl/>
        </w:rPr>
      </w:pPr>
      <w:r>
        <w:rPr>
          <w:rFonts w:hint="cs"/>
          <w:rtl/>
        </w:rPr>
        <w:t>ו</w:t>
      </w:r>
    </w:p>
    <w:p w14:paraId="085A4F0A" w14:textId="4FFBAA99" w:rsidR="0075010A" w:rsidRPr="0075010A" w:rsidRDefault="0075010A" w:rsidP="00423C6D">
      <w:pPr>
        <w:pStyle w:val="11"/>
        <w:rPr>
          <w:rtl/>
        </w:rPr>
      </w:pPr>
      <w:r w:rsidRPr="0075010A">
        <w:rPr>
          <w:rtl/>
        </w:rPr>
        <w:t>השעה החמישית כנגד מזל "בתולה"</w:t>
      </w:r>
    </w:p>
    <w:p w14:paraId="375CCDF7" w14:textId="71706DA4" w:rsidR="0075010A" w:rsidRPr="00A0097F" w:rsidRDefault="0075010A" w:rsidP="00423C6D">
      <w:pPr>
        <w:pStyle w:val="a2"/>
        <w:rPr>
          <w:rtl/>
        </w:rPr>
      </w:pPr>
      <w:r w:rsidRPr="00A0097F">
        <w:rPr>
          <w:rtl/>
        </w:rPr>
        <w:lastRenderedPageBreak/>
        <w:t xml:space="preserve"> ב"מגלה עמוקות" לפורים דרוש א' כתב: "כי י"ב חדשים של שנה הם נחלקים לד' יסודות, טלה אריה קשת – אש; שור בתולה גדי – עפר; תאומים מאזנים דלי – רוח; סרטן עקרב דגים – מים"  עי"ש, ובזכרוני שכבר כתוב סדר זה גם בספרי קבלה שלפניו, </w:t>
      </w:r>
    </w:p>
    <w:p w14:paraId="3F6C2977" w14:textId="77777777" w:rsidR="00673E82" w:rsidRDefault="0075010A" w:rsidP="00423C6D">
      <w:pPr>
        <w:pStyle w:val="a2"/>
        <w:rPr>
          <w:rtl/>
        </w:rPr>
      </w:pPr>
      <w:r w:rsidRPr="00A0097F">
        <w:rPr>
          <w:rtl/>
        </w:rPr>
        <w:t>ולפי הסדר הזה יוצא ש"בתולה" היא כנגד החודש החמישי, וכנ"ל הוא גם בי"ב שעות היום, ואם כן השעה החמישית היא כנגד מזל "בתולה",  אז תשמח בתולה במחול.</w:t>
      </w:r>
    </w:p>
    <w:p w14:paraId="10311986" w14:textId="00D55C25" w:rsidR="00673E82" w:rsidRDefault="00673E82" w:rsidP="00423C6D">
      <w:pPr>
        <w:pStyle w:val="11"/>
        <w:bidi/>
        <w:rPr>
          <w:rtl/>
        </w:rPr>
      </w:pPr>
      <w:r>
        <w:rPr>
          <w:rFonts w:hint="cs"/>
          <w:rtl/>
        </w:rPr>
        <w:t>ז</w:t>
      </w:r>
    </w:p>
    <w:p w14:paraId="3AC295CD" w14:textId="46ACF56F" w:rsidR="0075010A" w:rsidRPr="0075010A" w:rsidRDefault="0075010A" w:rsidP="00423C6D">
      <w:pPr>
        <w:pStyle w:val="11"/>
        <w:bidi/>
        <w:rPr>
          <w:rtl/>
        </w:rPr>
      </w:pPr>
      <w:r w:rsidRPr="00A0097F">
        <w:rPr>
          <w:rtl/>
        </w:rPr>
        <w:t>השעה החמישית "תפארת ומלכות"</w:t>
      </w:r>
    </w:p>
    <w:p w14:paraId="682FCC6C" w14:textId="7FC1B88D" w:rsidR="0075010A" w:rsidRPr="00A0097F" w:rsidRDefault="0075010A" w:rsidP="00423C6D">
      <w:pPr>
        <w:pStyle w:val="a2"/>
        <w:rPr>
          <w:rtl/>
        </w:rPr>
      </w:pPr>
      <w:r w:rsidRPr="00A0097F">
        <w:rPr>
          <w:rtl/>
        </w:rPr>
        <w:t xml:space="preserve">בספר הפרדס להרמ"ק ז"ל שער ערכי הכנויים פ"ח: "חופה כו' והתפארת והמלכות חתן וכלה בתוך חופתם", עיין שם שביאר שכל אחד מפריטי החופה, היינו העמודים והיריעות מורים  כל אחד על ספירה מעשר הספירות, והעיקר שבחופה שהם החתן והכלה, הם כנ"ל התפארת והמלכות, ושוב יעויין בספר הפרדס שם, בערך "חמשה" [וכן הובא גם ב"ערכי הכינויים" לבעל סדר הדורות שם] וזה לשונו: "פירש בזוהר פר' אמור, כי כל מקום שנאמר "חמשה" וכדומה (כלומר לשון אחרת של חמש), הרמז אל ה"תפארת" שהוא חמישי (מלמטה למעלה) כו'" וב"תיקונים" [בהקדמה דף ג:] כי בחמשה הוא ה"מלכות" שהיא ה'" עי"ש,   </w:t>
      </w:r>
    </w:p>
    <w:p w14:paraId="108ACAC4" w14:textId="45D202B7" w:rsidR="0075010A" w:rsidRPr="00A0097F" w:rsidRDefault="0075010A" w:rsidP="00423C6D">
      <w:pPr>
        <w:pStyle w:val="a2"/>
        <w:rPr>
          <w:rtl/>
        </w:rPr>
      </w:pPr>
      <w:r w:rsidRPr="00A0097F">
        <w:rPr>
          <w:rtl/>
        </w:rPr>
        <w:t xml:space="preserve">ועיי' גם בד"ה אשר ברא תשל"ט, שנדפס שוב כעת, שחתן וכלה בספירות, הן ז"א ומלכות, וציין ל"שמח תשמח" תרנ"ו עמוד תשעים.    </w:t>
      </w:r>
    </w:p>
    <w:p w14:paraId="3E423C71" w14:textId="0A2A356F" w:rsidR="0075010A" w:rsidRPr="0075010A" w:rsidRDefault="0075010A" w:rsidP="00423C6D">
      <w:pPr>
        <w:pStyle w:val="a2"/>
        <w:rPr>
          <w:rtl/>
        </w:rPr>
      </w:pPr>
      <w:r w:rsidRPr="00A0097F">
        <w:rPr>
          <w:rtl/>
        </w:rPr>
        <w:t>ונמצא שעיקר החופה שהוא החתן והכלה, שהם תפארת (ז"א) ומלכות, הן הם ענין ה"חמשה", שלפי הזוהר מורה על ה"תפארת" ולתיקוני הזוהר הו</w:t>
      </w:r>
      <w:r>
        <w:rPr>
          <w:rtl/>
        </w:rPr>
        <w:t>א מורה על ה"מלכות".</w:t>
      </w:r>
    </w:p>
    <w:p w14:paraId="45949008" w14:textId="77777777" w:rsidR="00B7497F" w:rsidRDefault="00B7497F" w:rsidP="00B7497F">
      <w:pPr>
        <w:pStyle w:val="a4"/>
        <w:spacing w:after="0"/>
        <w:rPr>
          <w:rtl/>
        </w:rPr>
      </w:pPr>
      <w:r w:rsidRPr="00347933">
        <w:t>g</w:t>
      </w:r>
    </w:p>
    <w:p w14:paraId="323F5593" w14:textId="77777777" w:rsidR="00B1191D" w:rsidRDefault="00B1191D" w:rsidP="00B7497F">
      <w:pPr>
        <w:pStyle w:val="a4"/>
        <w:spacing w:after="0"/>
        <w:rPr>
          <w:rtl/>
        </w:rPr>
      </w:pPr>
    </w:p>
    <w:p w14:paraId="6F6779FB" w14:textId="77777777" w:rsidR="00B1191D" w:rsidRPr="00347933" w:rsidRDefault="00B1191D" w:rsidP="00B7497F">
      <w:pPr>
        <w:pStyle w:val="a4"/>
        <w:spacing w:after="0"/>
        <w:sectPr w:rsidR="00B1191D" w:rsidRPr="00347933" w:rsidSect="00E65DD5">
          <w:footnotePr>
            <w:numRestart w:val="eachSect"/>
          </w:footnotePr>
          <w:type w:val="continuous"/>
          <w:pgSz w:w="7920" w:h="12240"/>
          <w:pgMar w:top="-810" w:right="864" w:bottom="720" w:left="864" w:header="270" w:footer="0" w:gutter="0"/>
          <w:cols w:space="720"/>
          <w:docGrid w:linePitch="360"/>
        </w:sectPr>
      </w:pPr>
    </w:p>
    <w:p w14:paraId="62867A47" w14:textId="0CFED38C" w:rsidR="00B7497F" w:rsidRDefault="004A4F2F" w:rsidP="00B7497F">
      <w:pPr>
        <w:pStyle w:val="a"/>
        <w:bidi w:val="0"/>
        <w:rPr>
          <w:rtl/>
        </w:rPr>
      </w:pPr>
      <w:bookmarkStart w:id="159" w:name="_Toc531140398"/>
      <w:r>
        <w:rPr>
          <w:rFonts w:hint="cs"/>
          <w:rtl/>
        </w:rPr>
        <w:lastRenderedPageBreak/>
        <w:t>הערות במנהגי חתונה</w:t>
      </w:r>
      <w:bookmarkEnd w:id="159"/>
    </w:p>
    <w:p w14:paraId="170E8B38" w14:textId="21748F01" w:rsidR="00B7497F" w:rsidRPr="008307D7" w:rsidRDefault="00B7497F" w:rsidP="00C40DBA">
      <w:pPr>
        <w:pStyle w:val="a0"/>
        <w:rPr>
          <w:rtl/>
        </w:rPr>
      </w:pPr>
      <w:bookmarkStart w:id="160" w:name="_Toc531140399"/>
      <w:r w:rsidRPr="008307D7">
        <w:rPr>
          <w:rFonts w:hint="cs"/>
          <w:rtl/>
          <w:lang w:bidi="he-IL"/>
        </w:rPr>
        <w:t>הרב מרדכי פרקש</w:t>
      </w:r>
      <w:bookmarkEnd w:id="160"/>
    </w:p>
    <w:p w14:paraId="7507973A" w14:textId="6367B60B" w:rsidR="00B7497F" w:rsidRPr="00232BC1" w:rsidRDefault="00B7497F" w:rsidP="00232BC1">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5C0DD2DA" w14:textId="77777777" w:rsidR="00B7497F" w:rsidRDefault="00B7497F" w:rsidP="00423C6D">
      <w:pPr>
        <w:pStyle w:val="a2"/>
        <w:rPr>
          <w:rtl/>
        </w:rPr>
      </w:pPr>
      <w:r w:rsidRPr="00A34C9E">
        <w:rPr>
          <w:rFonts w:hint="cs"/>
          <w:b/>
          <w:bCs/>
          <w:rtl/>
        </w:rPr>
        <w:t>שושבנים</w:t>
      </w:r>
      <w:r>
        <w:rPr>
          <w:rFonts w:hint="cs"/>
          <w:rtl/>
        </w:rPr>
        <w:t xml:space="preserve">: בספר המנהגים (עמ' 76) "נוהגין אשר את החתן מוליכים האבות של החו"כ, ואת הכלה מוליכות האמהות של החו"כ" . ומקורו שיחת וישלח יד כסלו תשי"ד (תורת מנחם ח"י עמ' 196 ואילך) ושם כותב "השושבנים שמוליכים החתן והכלה להחופה-הנה בהחתונה שלי לא היה אאמו"ר נוכח, אבל גם בהחתונה של גיסתי, היו שושביני החתן אבי החתן ואבי הכלה, כ"ק מו"ח אדמו"ר (אבי הכלה והרה"ח ר' משה הארענשטיין (אבי החתן). ושושביני הכלה </w:t>
      </w:r>
      <w:r>
        <w:rPr>
          <w:rtl/>
        </w:rPr>
        <w:t>–</w:t>
      </w:r>
      <w:r>
        <w:rPr>
          <w:rFonts w:hint="cs"/>
          <w:rtl/>
        </w:rPr>
        <w:t>אינני יודע, אבל כנראה שגם שם היה עד"ז-אם החתן ואם הכלה".</w:t>
      </w:r>
    </w:p>
    <w:p w14:paraId="195EE5F7" w14:textId="77777777" w:rsidR="00B7497F" w:rsidRDefault="00B7497F" w:rsidP="00423C6D">
      <w:pPr>
        <w:pStyle w:val="a2"/>
        <w:rPr>
          <w:rtl/>
        </w:rPr>
      </w:pPr>
      <w:r>
        <w:rPr>
          <w:rFonts w:hint="cs"/>
          <w:rtl/>
        </w:rPr>
        <w:t xml:space="preserve">ביומן חתונת הרבי שנכתב ע"י הרה"ח ר' אליהו חיים אלטהויז הי"ד (התפרסם בכ"מ) כותב  ומתאר שעומד בדרך לחופה ומחזיק נרות בידו יחד עם אורחים אחרים "ועשינו שתי שורות אשר </w:t>
      </w:r>
      <w:r w:rsidRPr="00C75764">
        <w:rPr>
          <w:rFonts w:hint="cs"/>
          <w:b/>
          <w:bCs/>
          <w:rtl/>
        </w:rPr>
        <w:t xml:space="preserve">דרך שם עבר </w:t>
      </w:r>
      <w:r>
        <w:rPr>
          <w:rFonts w:hint="cs"/>
          <w:rtl/>
        </w:rPr>
        <w:t>רבינו שליט"א [מוהריי"צ נ"ע] דודו הרמ"ה [ ר' משה הארענשטיין הנ"ל דוד אדמו"ר מהריי"צ נ"ע] והחתן שי' באמצע</w:t>
      </w:r>
      <w:r w:rsidRPr="00C75764">
        <w:rPr>
          <w:rFonts w:hint="cs"/>
          <w:b/>
          <w:bCs/>
          <w:rtl/>
        </w:rPr>
        <w:t>, הם השושבינין הול</w:t>
      </w:r>
      <w:r>
        <w:rPr>
          <w:rFonts w:hint="cs"/>
          <w:b/>
          <w:bCs/>
          <w:rtl/>
        </w:rPr>
        <w:t>יכו אותו בשע"ט ומוצלחת אל החופה</w:t>
      </w:r>
      <w:r w:rsidRPr="00C75764">
        <w:rPr>
          <w:rFonts w:hint="cs"/>
          <w:rtl/>
        </w:rPr>
        <w:t>..א</w:t>
      </w:r>
      <w:r>
        <w:rPr>
          <w:rFonts w:hint="cs"/>
          <w:rtl/>
        </w:rPr>
        <w:t xml:space="preserve">חרי אשר העמידו השושבינין הנ"ל את החתן תחת החופה בשע"ט חזרו אחרי הכלה להוליכה לחופה בשעה טובה, ואתה עמה </w:t>
      </w:r>
      <w:r w:rsidRPr="00B13C05">
        <w:rPr>
          <w:rFonts w:hint="cs"/>
          <w:b/>
          <w:bCs/>
          <w:rtl/>
        </w:rPr>
        <w:t xml:space="preserve">הלכו משתי צדדיה </w:t>
      </w:r>
      <w:r>
        <w:rPr>
          <w:rFonts w:hint="cs"/>
          <w:rtl/>
        </w:rPr>
        <w:t>אמה הרבנית (נחמה דינה ע"ה] אמה זקנה הרבנית הגדולה [שטערנא שרה ע"ה] ודודתו של רבינו  [הריי"צ נ"ע] מושקא, אחותו הצעירה של רבינו הגדול  [הרש"ב נ"ע]". את המשך החופה לא הצליח לראות "כי לפני עמדו אלפי אנשים".</w:t>
      </w:r>
    </w:p>
    <w:p w14:paraId="68A8F65E" w14:textId="77777777" w:rsidR="00B7497F" w:rsidRDefault="00B7497F" w:rsidP="00423C6D">
      <w:pPr>
        <w:pStyle w:val="a2"/>
        <w:rPr>
          <w:rtl/>
        </w:rPr>
      </w:pPr>
      <w:r>
        <w:rPr>
          <w:rFonts w:hint="cs"/>
          <w:rtl/>
        </w:rPr>
        <w:t xml:space="preserve">הרי מפורש שאצל החתן  השושבינים שהלכו מצדיו היו אנשים ואצל הכלה השושבינים שהלכו מצדה היו נשים. </w:t>
      </w:r>
    </w:p>
    <w:p w14:paraId="3500527C" w14:textId="77777777" w:rsidR="00B7497F" w:rsidRDefault="00B7497F" w:rsidP="00423C6D">
      <w:pPr>
        <w:pStyle w:val="a2"/>
        <w:rPr>
          <w:rtl/>
        </w:rPr>
      </w:pPr>
      <w:r>
        <w:rPr>
          <w:rFonts w:hint="cs"/>
          <w:rtl/>
        </w:rPr>
        <w:t>ברשימת הרבי מהחתונה (תורת מנחם רשימת היומן עמ' תמב ) לא כתוב אודות השושבינים, אבל ברשימה אודות חתונת הרבנית שיינא ע"ה (שם עמ' רלט) כותב הרבי "הוליכו את החתן כ"ק שליט"א [הריי"צ נ"ע] אבי החתן [הרה"ח ר' משה הארענשטיין ע"ה]..הוליכו את החתן והעמידוהו תחת החופה. חזרו למקום מושב הכלה, ויובילוה ג"כ בהבדלות ובניגון הנ"ל אל תחת החופה" . הרי לא נזכר אודות שושביני הכלה אבל אצל החתן מוזכר שהיו האבות של החתן והכלה.ובשיחה דלעיל מוסיף הרבי שכנראה גם שושביני הכלה היו האמהות של החתן והכלה.</w:t>
      </w:r>
    </w:p>
    <w:p w14:paraId="68692CD2" w14:textId="77777777" w:rsidR="00B7497F" w:rsidRDefault="00B7497F" w:rsidP="00423C6D">
      <w:pPr>
        <w:pStyle w:val="a2"/>
        <w:rPr>
          <w:rtl/>
        </w:rPr>
      </w:pPr>
      <w:r>
        <w:rPr>
          <w:rFonts w:hint="cs"/>
          <w:rtl/>
        </w:rPr>
        <w:t xml:space="preserve">והנה הרה"ח ר' שניאור זלמן גוראריה ע"ה ובתו שתחי' מעידים מה ששמעו </w:t>
      </w:r>
      <w:r>
        <w:rPr>
          <w:rFonts w:hint="cs"/>
          <w:rtl/>
        </w:rPr>
        <w:lastRenderedPageBreak/>
        <w:t>מהרבנית נ"ע אודות מנהגי בית הרב בחתונה, (ונדפס בכ"מ ובספר בכל ביתי נאמן פי"ב) " לפי מנהגי בית הרב הורי החתן הם שושביני החתן והורי הכלה שושביני הכלה", "כשדיברה על השושבינים והמנהג המיוחד שלהם בבית הרב , כאמור, אמרה לה הרבנית "איך קען נאך פילן מיין פאטער"ס האנט"-עד עצם היום הזה יכולה אני להרגיש בידו הקדושה של אבי' הרבי האוחזת בידי ברדתנו בהמדרגות הישיבה בוורשה בהוליכו אותי לחופה, כי חשש שלא אראה את המדרגות בהיותי מכוסה [בהדעק טו"ך]".</w:t>
      </w:r>
    </w:p>
    <w:p w14:paraId="058635B6" w14:textId="72C5E352" w:rsidR="00B7497F" w:rsidRDefault="00B7497F" w:rsidP="00B1191D">
      <w:pPr>
        <w:pStyle w:val="a2"/>
        <w:rPr>
          <w:rtl/>
        </w:rPr>
      </w:pPr>
      <w:r>
        <w:rPr>
          <w:rFonts w:hint="cs"/>
          <w:rtl/>
        </w:rPr>
        <w:t xml:space="preserve">ואוי"ל ,שבעת התחלת הילוכם וירידת המדרגות </w:t>
      </w:r>
      <w:r>
        <w:rPr>
          <w:rtl/>
        </w:rPr>
        <w:t>–</w:t>
      </w:r>
      <w:r>
        <w:rPr>
          <w:rFonts w:hint="cs"/>
          <w:rtl/>
        </w:rPr>
        <w:t xml:space="preserve">כנ"ל- אז תמך בה ידה אביה אדמו"ר מוהריי"צ נ"ע, ואולי הוא כעין פשרה לדעת הזהר (בראשית דף מט) "ויביאה אל האדם דבען </w:t>
      </w:r>
      <w:r w:rsidRPr="00AD799B">
        <w:rPr>
          <w:rFonts w:hint="cs"/>
          <w:b/>
          <w:bCs/>
          <w:rtl/>
        </w:rPr>
        <w:t>אבא ואמא דכלה</w:t>
      </w:r>
      <w:r>
        <w:rPr>
          <w:rFonts w:hint="cs"/>
          <w:rtl/>
        </w:rPr>
        <w:t xml:space="preserve"> לאעלה ברשותא דחתן " שהוא מקור למנהג כמה (אצל חסידים כמדומני רק מנהג קרלין)-, שההורים הם הוששבינים.אבל משך זמן ההילוך לחופה והכניסה אליו אכן השושבינים היו אבות החתן ואמהות הכלה כנ"ל בספר המנהגים.</w:t>
      </w:r>
    </w:p>
    <w:p w14:paraId="08C73F64" w14:textId="77777777" w:rsidR="00B7497F" w:rsidRDefault="00B7497F" w:rsidP="00423C6D">
      <w:pPr>
        <w:pStyle w:val="a2"/>
        <w:rPr>
          <w:rtl/>
        </w:rPr>
      </w:pPr>
      <w:r w:rsidRPr="00F60D96">
        <w:rPr>
          <w:rFonts w:hint="cs"/>
          <w:b/>
          <w:bCs/>
          <w:rtl/>
        </w:rPr>
        <w:t>קבלת קנין בתנאים</w:t>
      </w:r>
      <w:r>
        <w:rPr>
          <w:rFonts w:hint="cs"/>
          <w:rtl/>
        </w:rPr>
        <w:t>: בדרך כלל נהוג בשעת מילוי שטר התנאים מקבלים קנין מהורי החתן והכלה ומהערבים קבלנים וכן מהחתן והכלה  והוא קנין סודר על ההתחייבויות הרשומים בשטר . בספר "סדר תנאים ,אירוסין ונישואין" (לוין, פי"ז הערה 126) כותב שבשטרות התנאים של רבותינו "נזכר רק הקנין מההורים ומהערבים קבלנים, אבל לא מהחתן והכלה, ומה שמקבלים קנין מהחתן והכלה על התחייבותם להינשא זה לזו, הוא בעת הווארט, ויש בזמנינו הנוהגים להוסיף בשטר התנאים גם שקיבלו קנין מהחתן והכלה (ראה סדר קידושין ונישואין, פרקש, עמ' יא ועמ' צח) ולא נתברר מקורו וביאורו". וכן כתב בספר שם,פ"י.  וכן בספר חוסן ישועות (טברדוביץ, פ"ו הערה 62) כותב "אין החתן והכלה עושים שום קנין נוסף ביום החופה, ורק ההורים והערבים עושים קנין לפני החופה"</w:t>
      </w:r>
    </w:p>
    <w:p w14:paraId="5ED7A29D" w14:textId="77777777" w:rsidR="00B7497F" w:rsidRDefault="00B7497F" w:rsidP="00423C6D">
      <w:pPr>
        <w:pStyle w:val="a2"/>
        <w:rPr>
          <w:rtl/>
        </w:rPr>
      </w:pPr>
      <w:r>
        <w:rPr>
          <w:rFonts w:hint="cs"/>
          <w:rtl/>
        </w:rPr>
        <w:t xml:space="preserve">והנה נוסח שטר התנאים שהודפס בספר "סדר קידושין ונישואין" הוא נוסח השטר המקובל בדור האחרון אצל רבני חב"ד ובתנאים שראיתי שנערכו ע"י הגרזש"ד ע"ה בקראון הייטס  ובבד"צ שהוקם לאחרי פטירתו ,ועוד. (ואיני נכנס לשקו"ט אם צריכים לשנותו -כעת שהתגלה ופורסם ("מכתבי החתונה" קה"ת תשנ"ט) העתק התנאים של הרבי, שהוא בכמה דברים שונה, ואכמ"ל). </w:t>
      </w:r>
    </w:p>
    <w:p w14:paraId="11863F39" w14:textId="77777777" w:rsidR="00B7497F" w:rsidRDefault="00B7497F" w:rsidP="00423C6D">
      <w:pPr>
        <w:pStyle w:val="a2"/>
        <w:rPr>
          <w:rtl/>
        </w:rPr>
      </w:pPr>
      <w:r>
        <w:rPr>
          <w:rFonts w:hint="cs"/>
          <w:rtl/>
        </w:rPr>
        <w:t xml:space="preserve">1)עצם ענין קבלת קנין מהחתן והכלה על התנאים -כבר מוזכר בנחלת שבעה סימן ח אות ו "ולכן נראה לי שזה הטעם שבאשכנז שלוקחין קנין סודר </w:t>
      </w:r>
      <w:r w:rsidRPr="00F4339C">
        <w:rPr>
          <w:rFonts w:hint="cs"/>
          <w:b/>
          <w:bCs/>
          <w:rtl/>
        </w:rPr>
        <w:t xml:space="preserve">גם מן החתן ומן הכלה </w:t>
      </w:r>
      <w:r>
        <w:rPr>
          <w:rFonts w:hint="cs"/>
          <w:rtl/>
        </w:rPr>
        <w:t xml:space="preserve">שיקיימו מה שכתוב בתנאים" ,ועיי"ש שמבאר שהוא משום שבנוסף על </w:t>
      </w:r>
      <w:r w:rsidRPr="00C047A7">
        <w:rPr>
          <w:rFonts w:hint="cs"/>
          <w:b/>
          <w:bCs/>
          <w:rtl/>
        </w:rPr>
        <w:t xml:space="preserve">התקנה המקובלת </w:t>
      </w:r>
      <w:r>
        <w:rPr>
          <w:rFonts w:hint="cs"/>
          <w:rtl/>
        </w:rPr>
        <w:t xml:space="preserve">"תקנת שו"ם " שאם מת הבעל או האשה  בלי זחו"ק בשנה </w:t>
      </w:r>
      <w:r>
        <w:rPr>
          <w:rFonts w:hint="cs"/>
          <w:rtl/>
        </w:rPr>
        <w:lastRenderedPageBreak/>
        <w:t xml:space="preserve">הראשונה כל הנדן חוזר  לאב או ליורשי המת, היתה עוד תקנה -שלא התקבלה אצל כולם- והוא שאם מת הבעל או האשה בשנה השניה יחזור חצי הנדן לאביו או ליורשיו, והיות שלא רצו לקבל התקנה "על כן מתנים בפירוש ולוקחין קנין סודר מן החתן והכלה" וכו' ועיי"ש תמיהתו על שלא הוזכר, ומציע להזכירה בפירוש וליקח קנין סודר על זה כמו באשכנז.  לאידך בשו"ת תשואת חן (סי' נה) כתב שא"צ להזכירה כיון שהוא מקובל ועומד עי"ש. עכ"פ איך שיהיה הטעם ,הרי הנח"ש מזכיר הקנין וביאורו. </w:t>
      </w:r>
    </w:p>
    <w:p w14:paraId="66342D8B" w14:textId="77777777" w:rsidR="00B7497F" w:rsidRDefault="00B7497F" w:rsidP="00423C6D">
      <w:pPr>
        <w:pStyle w:val="a2"/>
        <w:rPr>
          <w:rtl/>
        </w:rPr>
      </w:pPr>
      <w:r w:rsidRPr="00C20C35">
        <w:rPr>
          <w:rFonts w:hint="cs"/>
          <w:rtl/>
        </w:rPr>
        <w:t>גם בשלחן העזר (סימן ב ס"ב סק"ו) לאחר שמביא  "</w:t>
      </w:r>
      <w:r w:rsidRPr="00C20C35">
        <w:rPr>
          <w:rFonts w:hint="cs"/>
          <w:b/>
          <w:bCs/>
          <w:rtl/>
        </w:rPr>
        <w:t>שנוהגים</w:t>
      </w:r>
      <w:r w:rsidRPr="00C20C35">
        <w:rPr>
          <w:rFonts w:hint="cs"/>
          <w:rtl/>
        </w:rPr>
        <w:t xml:space="preserve"> לקבל קנין מן החתן והכלה אצל התנאים" , מקשה "אין לו שום מקור מאחר דעפ"י הרוב אין בתנאים שום התחייבות ממון לחתן וכלה, רק שישאו זה את זה ובזה לא מהני קנין" וכו' עיי"ש.הרי שנקט שכן המנהג, אף שמדבר לכאורה אודות תנאים מה שנקרא אצלינו ווארט אבל גם למנהג זה כותבים וקוראים שם שטר תנאים</w:t>
      </w:r>
      <w:r>
        <w:rPr>
          <w:rFonts w:hint="cs"/>
          <w:rtl/>
        </w:rPr>
        <w:t>.</w:t>
      </w:r>
    </w:p>
    <w:p w14:paraId="7AC42467" w14:textId="77777777" w:rsidR="00B7497F" w:rsidRDefault="00B7497F" w:rsidP="00423C6D">
      <w:pPr>
        <w:pStyle w:val="a2"/>
        <w:rPr>
          <w:rtl/>
        </w:rPr>
      </w:pPr>
      <w:r>
        <w:rPr>
          <w:rFonts w:hint="cs"/>
          <w:rtl/>
        </w:rPr>
        <w:t xml:space="preserve">2)הוספתו בשטר התנאים- מובא בכמה ספרים ומהם:  בספר קיצור נחלת שבעה (יו"ל לראשונה באונגוואר שנת תרפ"ו אבל כנראה הפך לספר שימושי לרבנים מס"ק בפרט לאחרי המלחמה) סימן ח כותב בנוסח השטר תנאים "וקנינא מן הצדדים </w:t>
      </w:r>
      <w:r w:rsidRPr="007549D4">
        <w:rPr>
          <w:rFonts w:hint="cs"/>
          <w:b/>
          <w:bCs/>
          <w:rtl/>
        </w:rPr>
        <w:t xml:space="preserve">ומן החתן והכלה </w:t>
      </w:r>
      <w:r>
        <w:rPr>
          <w:rFonts w:hint="cs"/>
          <w:rtl/>
        </w:rPr>
        <w:t>והערבים קבלנים".וכן הביא בספר נישואים כהלכתם (ח"ב) עמ' תר"ד נוסח שטר שידוכים של קהלות אשכנזים מסוימים "וקנינא אנן סהדי מהחתן ומהכלה" וכו'. גם בנטעי גבריאל (נישואין ח"א עמ' שע"ח) מביא נוסח שטר תנאים "עפ"י גדולי הרבנים", ושם "וקנינא מן הצדדים ומן החתן והכלה".</w:t>
      </w:r>
    </w:p>
    <w:p w14:paraId="51B58DBC" w14:textId="77777777" w:rsidR="00B7497F" w:rsidRDefault="00B7497F" w:rsidP="00423C6D">
      <w:pPr>
        <w:pStyle w:val="a2"/>
        <w:rPr>
          <w:rtl/>
        </w:rPr>
      </w:pPr>
      <w:r>
        <w:rPr>
          <w:rFonts w:hint="cs"/>
          <w:rtl/>
        </w:rPr>
        <w:t xml:space="preserve">באמת  אף שלכאורה אין צורך בהקנין ואף לכאורה אינו מועיל כי אין בו שום התחייבות והוא רק "קנין דברים" ,וכמבואר בשוע"ר הלכות עדות ושטרות סעי' טז ,הרי טעם הנהוג מבואר ע"פ מה שכתב התרומת הדשן (סימן רז) " שעושים כמה פעמים שקונין זה מזה על ידי סודר דברים </w:t>
      </w:r>
      <w:r w:rsidRPr="006663EF">
        <w:rPr>
          <w:rFonts w:hint="cs"/>
          <w:b/>
          <w:bCs/>
          <w:rtl/>
        </w:rPr>
        <w:t xml:space="preserve">שאין בהקנין נתפס עליהם, </w:t>
      </w:r>
      <w:r>
        <w:rPr>
          <w:rFonts w:hint="cs"/>
          <w:rtl/>
        </w:rPr>
        <w:t>וכן נמצא במיימון סוף פ"ה דהלכות מכירה דנוהגין בהרבה מקומות לעשות קנין בסודר דברים שאין לקנין טעם בהם...אלא עושים אותה כדי להודיע שמה שאמר וקבל עליו לעשות אינו בדרך שחוק והיתול".והביאו בספר סדר תנאים הנ"ל פרק ה אודות הקנין הנהוג בשעת הווארט, ולכאורה  אותו הטעם ישמש לנו כמקור לביאור הנהגת אלו העושים קנין בשעת כתיבת התנאים, שמודיעים שגמרו לבם בזה באמת ש  "ישא למזל טוב..ואל יבריחו ואל יעלמו זה מזה וידורו ביניהם וכו'".וראה ג"כ בבית שמואל (סי' נא סק"י) שכותב "וצריך לומר הא שעושים קנין במדינות פולין מן בעלי הדברים אינו אלא לאמת הדברים" שישאו זה את זה, אף דלכאורה לא מהני קנין על זה. ואם כבר לקחו קנין רושמים את זה בשטר "וקנינא...ומן החתן והכלה הנ"ל".</w:t>
      </w:r>
    </w:p>
    <w:p w14:paraId="3D0B4B20" w14:textId="77777777" w:rsidR="00B7497F" w:rsidRDefault="00B7497F" w:rsidP="00423C6D">
      <w:pPr>
        <w:pStyle w:val="a2"/>
        <w:rPr>
          <w:rtl/>
        </w:rPr>
      </w:pPr>
      <w:r>
        <w:rPr>
          <w:rFonts w:hint="cs"/>
          <w:rtl/>
        </w:rPr>
        <w:t xml:space="preserve">לאידך בתנאים של אדמו"ר הרש"ב נ"ע  (שהוא מקור נוסח התנאים הנהוג אצל </w:t>
      </w:r>
      <w:r>
        <w:rPr>
          <w:rFonts w:hint="cs"/>
          <w:rtl/>
        </w:rPr>
        <w:lastRenderedPageBreak/>
        <w:t xml:space="preserve">אנ"ש </w:t>
      </w:r>
      <w:r>
        <w:rPr>
          <w:rtl/>
        </w:rPr>
        <w:t>–</w:t>
      </w:r>
      <w:r>
        <w:rPr>
          <w:rFonts w:hint="cs"/>
          <w:rtl/>
        </w:rPr>
        <w:t xml:space="preserve">ראה ספר מקדש ישראל עמ' 4 ובאג"ק חלק יג עמ' קלד) לא נכתב , והטעם </w:t>
      </w:r>
      <w:r>
        <w:rPr>
          <w:rtl/>
        </w:rPr>
        <w:t>–</w:t>
      </w:r>
      <w:r>
        <w:rPr>
          <w:rFonts w:hint="cs"/>
          <w:rtl/>
        </w:rPr>
        <w:t xml:space="preserve">נוסף ע"ז שבעיקרון לא צריך להיכתב-לכאורה הוא כיון שנערך ונכתב בהיות החתן והכלה קטנים ,פחות מגיל חמש ,הרי כפשוט לא עשו אתם קנין סודר, וראה שו"ע (חו"מ סי' צו ס"ד) "אין קנין קטן כלום" ובסמ"ע (ס"ק טו) "מבאר הטעם "דבעינן שיהא </w:t>
      </w:r>
      <w:r w:rsidRPr="007A3E8F">
        <w:rPr>
          <w:rFonts w:hint="cs"/>
          <w:b/>
          <w:bCs/>
          <w:rtl/>
        </w:rPr>
        <w:t>איש</w:t>
      </w:r>
      <w:r>
        <w:rPr>
          <w:rFonts w:hint="cs"/>
          <w:rtl/>
        </w:rPr>
        <w:t xml:space="preserve"> וכמ"ש שלף איש נעלו", והוא מקור קנין סודר. , וכ"ה שו"ע שם (סי' רלה ס"ה) "ואין קונין מיד הקטן כלום" ובנתיבות המשפט (ס"ק יא) " עיקר הטעם כתב הסמ"ע בסעי' [צ"ל סימן] צ"ו דכתיב שלף איש נעלו ולא קטן".והאריכו בזה אחרונים (ראה ברכת שמואל בבא מציעא ס"י  בשם הגר"ח ) דהטעם הוא דקנין חליפין בענין דעת גם לעצם מעשה הקנין ולא רק לחלות הקנין, ולעצם קנין אין לקטן דעת ואכ"מ.</w:t>
      </w:r>
    </w:p>
    <w:p w14:paraId="754DDEB1" w14:textId="77777777" w:rsidR="00B7497F" w:rsidRDefault="00B7497F" w:rsidP="00423C6D">
      <w:pPr>
        <w:pStyle w:val="a2"/>
        <w:rPr>
          <w:rtl/>
        </w:rPr>
      </w:pPr>
      <w:r>
        <w:rPr>
          <w:rFonts w:hint="cs"/>
          <w:rtl/>
        </w:rPr>
        <w:t xml:space="preserve"> עכ"פ כיון שכנ"ל לא היה קנין לכן לא נכתב, ולכן גם בתנאים של אדמו"ר הריי"צ נ"ע (נעתק בספר תנאים שם פרק טו) שנעתק מהתנאים הנ"ל של הרש"ב לא נכתב, וכן בתנאים של הרבי והרבנית נ"ע שנעתק ממנו גם לא נכתב (בנוסף ,הרבנית לא השתתפה בשעת כתיבת התנאים  , אבל גם אבי החתן לא השתתף ובכ"ז נכתב "וקנינא מן </w:t>
      </w:r>
      <w:r w:rsidRPr="00312CDF">
        <w:rPr>
          <w:rFonts w:hint="cs"/>
          <w:b/>
          <w:bCs/>
          <w:rtl/>
        </w:rPr>
        <w:t>הצדדים</w:t>
      </w:r>
      <w:r>
        <w:rPr>
          <w:rFonts w:hint="cs"/>
          <w:rtl/>
        </w:rPr>
        <w:t>" ואכ"מ), וכן הוא בתנאים של הרבנית שיינא שנעתקו מתנאים קודמים כמפורש בתורת מנחם רשימת היומן עמ' רלא , ואולי בכל התנאים הנ"ל אכן לא עשו קנין עם החתן והכלה. אבל במקום שעושים קנין וכנהוג אכן יש מקום לכותבו וכנ"ל.</w:t>
      </w:r>
    </w:p>
    <w:p w14:paraId="476524DC" w14:textId="77777777" w:rsidR="00B7497F" w:rsidRDefault="00B7497F" w:rsidP="00423C6D">
      <w:pPr>
        <w:pStyle w:val="a2"/>
        <w:rPr>
          <w:rtl/>
        </w:rPr>
      </w:pPr>
      <w:r>
        <w:rPr>
          <w:rFonts w:hint="cs"/>
          <w:rtl/>
        </w:rPr>
        <w:t>ולהוסיף  דאף שלהלכה נקטינן שקנין "אתן" אינו מועיל כי הוא רק קנין דברים , וצריך להיות התחייבות דווקא וכמבואר בשוע"ר (הל' עדות הט"ז) והעתיקו בספר הנ"ל פ"ו (ועיי"ש שלכן בשטר התנאים מעוגנת התחייבות קנס באם א' הצדדים יחזור מהנדוניא ), הרי יש דעה בפוסקים שבשביל</w:t>
      </w:r>
      <w:r w:rsidRPr="005C3516">
        <w:rPr>
          <w:rFonts w:hint="cs"/>
          <w:b/>
          <w:bCs/>
          <w:rtl/>
        </w:rPr>
        <w:t xml:space="preserve"> לישא זה לזה</w:t>
      </w:r>
      <w:r>
        <w:rPr>
          <w:rFonts w:hint="cs"/>
          <w:rtl/>
        </w:rPr>
        <w:t xml:space="preserve">  יש מקום לקנין אף בלי התחייבות וכדלקמן.</w:t>
      </w:r>
    </w:p>
    <w:p w14:paraId="6F665819" w14:textId="0E43EFCE" w:rsidR="00B7497F" w:rsidRDefault="00B7497F" w:rsidP="00423C6D">
      <w:pPr>
        <w:pStyle w:val="a2"/>
        <w:rPr>
          <w:rtl/>
        </w:rPr>
      </w:pPr>
      <w:r>
        <w:rPr>
          <w:rFonts w:hint="cs"/>
          <w:rtl/>
        </w:rPr>
        <w:t xml:space="preserve">דהנה הסמ"ע (חו"מ סי' רמג ס"ק יב) כותב "אבל קנין על חיוב שישאו זה את זה גרידא כמ"ש מור"ם כאן, לא מצינו, דהוה ליה כקנין דברים, ומשום הכי נראה דרגילין לכתוב בהתנאים ערבים בעד הקנס פלוני ופלוני, דאילו ערבים לישא זה את זה לא חל הקנין עליו" מבואר שאין צורך בקנין, אבל הט"ז שם מקשה עליו עיי"ש ,והערוך השלחן (סי' רמג ס"ח) כותב בדעת הט"ז "ויש מי שחולק בזה דנישואין אינו קנין דברים, </w:t>
      </w:r>
      <w:r w:rsidRPr="00E177BD">
        <w:rPr>
          <w:rFonts w:hint="cs"/>
          <w:b/>
          <w:bCs/>
          <w:rtl/>
        </w:rPr>
        <w:t>וכן עיקר</w:t>
      </w:r>
      <w:r>
        <w:rPr>
          <w:rFonts w:hint="cs"/>
          <w:rtl/>
        </w:rPr>
        <w:t xml:space="preserve"> דחיוב נישואין הוי שיעבוד הגוף שהוא מתחייב את עצמו במזונתיה ובלבושיה והיא משעבדת גופה למלאכה ולא גרע מקניין על שכירות הגוף וכן משמע מרבינו הרמ"א בסעי' ז עיי"ש " . איך שיהי הביאור בדעתו (ואכמ"ל בזה) עכ"פ מבואר מדברי הט"ז (וכפי שהועתקו בעה"ש)  שיש מקור לקנין השטר תנאים שהחתן ישא הכלה למזל טוב .</w:t>
      </w:r>
    </w:p>
    <w:p w14:paraId="33DEADEE" w14:textId="1341C7E6" w:rsidR="00E13ADF" w:rsidRDefault="00E13ADF" w:rsidP="00E13ADF">
      <w:pPr>
        <w:pStyle w:val="a"/>
        <w:rPr>
          <w:rtl/>
        </w:rPr>
      </w:pPr>
      <w:bookmarkStart w:id="161" w:name="_Toc531140400"/>
      <w:r>
        <w:rPr>
          <w:rFonts w:hint="cs"/>
          <w:rtl/>
        </w:rPr>
        <w:lastRenderedPageBreak/>
        <w:t>שיטת אדמו"ר הרש"ב על השימוש בגומי ופלסטיק במקוה</w:t>
      </w:r>
      <w:bookmarkEnd w:id="161"/>
    </w:p>
    <w:p w14:paraId="2552F034" w14:textId="53745639" w:rsidR="00E13ADF" w:rsidRPr="008307D7" w:rsidRDefault="000159A2" w:rsidP="00C40DBA">
      <w:pPr>
        <w:pStyle w:val="a0"/>
      </w:pPr>
      <w:bookmarkStart w:id="162" w:name="_Toc531140401"/>
      <w:r>
        <w:rPr>
          <w:rFonts w:hint="cs"/>
          <w:rtl/>
          <w:lang w:bidi="he-IL"/>
        </w:rPr>
        <w:t xml:space="preserve">הרב </w:t>
      </w:r>
      <w:r w:rsidR="00E13ADF" w:rsidRPr="008307D7">
        <w:rPr>
          <w:rFonts w:hint="cs"/>
          <w:rtl/>
          <w:lang w:bidi="he-IL"/>
        </w:rPr>
        <w:t>מנחם מענדל שטראקס</w:t>
      </w:r>
      <w:bookmarkEnd w:id="162"/>
    </w:p>
    <w:p w14:paraId="26EE76DE" w14:textId="32C8F590" w:rsidR="00E13ADF" w:rsidRPr="00E13ADF" w:rsidRDefault="00E13ADF" w:rsidP="00E13ADF">
      <w:pPr>
        <w:pStyle w:val="a1"/>
        <w:rPr>
          <w:rtl/>
        </w:rPr>
      </w:pPr>
      <w:r>
        <w:rPr>
          <w:rFonts w:hint="cs"/>
          <w:rtl/>
        </w:rPr>
        <w:t xml:space="preserve">שליח כ"ק אדמור </w:t>
      </w:r>
      <w:r>
        <w:rPr>
          <w:rtl/>
        </w:rPr>
        <w:t>–</w:t>
      </w:r>
      <w:r>
        <w:rPr>
          <w:rFonts w:hint="cs"/>
          <w:rtl/>
        </w:rPr>
        <w:t xml:space="preserve"> קלן, גרמניה</w:t>
      </w:r>
    </w:p>
    <w:p w14:paraId="480E9D0E" w14:textId="544941AE" w:rsidR="00232BC1" w:rsidRPr="001A16FD" w:rsidRDefault="00232BC1" w:rsidP="00423C6D">
      <w:pPr>
        <w:pStyle w:val="a2"/>
        <w:rPr>
          <w:rtl/>
        </w:rPr>
      </w:pPr>
      <w:r w:rsidRPr="00232BC1">
        <w:rPr>
          <w:rFonts w:hint="cs"/>
          <w:b/>
          <w:bCs/>
          <w:rtl/>
        </w:rPr>
        <w:t>א.</w:t>
      </w:r>
      <w:r>
        <w:rPr>
          <w:rFonts w:hint="cs"/>
          <w:rtl/>
        </w:rPr>
        <w:t xml:space="preserve"> </w:t>
      </w:r>
      <w:r w:rsidRPr="001A16FD">
        <w:rPr>
          <w:rtl/>
        </w:rPr>
        <w:t>ענין השימוש במקואות בפלסטיק או גומי מלאכותי, מקובל בשם אדמו"ר הרש"ב שהוא מקבל טומאה, ובספר מקוה כהלכה כותב בע' מג "שקשה לקבוע בהם הלכה ברורה, ובפרט שדרך היצור שלהם משתנה מתקופה לתקופה (הן בצורת היצור והן בחומרי היצור) וכבר דנו בזה כמה מן האחרונים לפיכך נוהגים להחמיר לנהוג בהם כדבר המקבל טומאה [טהרת מים ע' שסב בשם אדמו"ר הרש"ב אות יא]". וכן בעוד מקומות בספרו ממליץ שישתמשו בפקק של עץ [ע' קכ, קכז, קלח וקמז] וכן עמא דבר.</w:t>
      </w:r>
    </w:p>
    <w:p w14:paraId="73AC00F1" w14:textId="77777777" w:rsidR="00232BC1" w:rsidRPr="001A16FD" w:rsidRDefault="00232BC1" w:rsidP="00423C6D">
      <w:pPr>
        <w:pStyle w:val="a2"/>
        <w:rPr>
          <w:rtl/>
        </w:rPr>
      </w:pPr>
      <w:r w:rsidRPr="001A16FD">
        <w:rPr>
          <w:rtl/>
        </w:rPr>
        <w:t>אבל לדעת אדמו"ר הרש"ב [אג"ק ח"ב אגרת תקו – תורת שלום סי' סה] גומי או גומי מלאכותי עדיף מעץ. [וכן פלסטיק, שלא היה קיים בזמן הרש"ב אבל עשייתו דומה להגומי המלאכותי ששניהם עשויים מפסולת הנפט]</w:t>
      </w:r>
    </w:p>
    <w:p w14:paraId="28AD1C1B" w14:textId="77777777" w:rsidR="00232BC1" w:rsidRPr="001A16FD" w:rsidRDefault="00232BC1" w:rsidP="00423C6D">
      <w:pPr>
        <w:pStyle w:val="a2"/>
        <w:rPr>
          <w:rtl/>
        </w:rPr>
      </w:pPr>
      <w:r w:rsidRPr="001A16FD">
        <w:rPr>
          <w:rtl/>
        </w:rPr>
        <w:t>הסברת הדברים, כשבנו המקוה ברוסטוב, רצה האחראי על הבנייה הרב נטע לערנר, להחמיר שישתמשו בפקק של גומי או גומי מלאכותי בכדי לסתום הנקב שבאוצר המי גשמים, במקום פקק של עץ שהיה נהוג אז. וטעם החומרה הוא לצאת שיטת הרמב"ם שפשוטי כלי עץ מקבלים טומאה, ולכן הפקק מעץ מקבל טומאה, ובגומי אין חשש של קבלת טומאה, וע"ז ענה לו אדמו"ר הרש"ב אודות גומי וגומי מלאכותי בזה"ל "לכאורה אין בזה שום חשש קבלת טומאה". וכן בסוף התשובה "ולמעשה הנה לכאורה בסתימא של רעזינא [גומי] אין שום חשש כנ"ל".</w:t>
      </w:r>
    </w:p>
    <w:p w14:paraId="141C09B5" w14:textId="77777777" w:rsidR="00232BC1" w:rsidRPr="001A16FD" w:rsidRDefault="00232BC1" w:rsidP="00423C6D">
      <w:pPr>
        <w:pStyle w:val="a2"/>
        <w:rPr>
          <w:rtl/>
        </w:rPr>
      </w:pPr>
      <w:r w:rsidRPr="001A16FD">
        <w:rPr>
          <w:rtl/>
        </w:rPr>
        <w:t>אבל לפועל כתב הרש"ב "איני יודע אם כדאי הדבר, להשתדל בזה" [להדר למצוא פקק מגומי]. בגלל</w:t>
      </w:r>
    </w:p>
    <w:p w14:paraId="12AD2CB0" w14:textId="77777777" w:rsidR="00232BC1" w:rsidRPr="001A16FD" w:rsidRDefault="00232BC1" w:rsidP="00423C6D">
      <w:pPr>
        <w:pStyle w:val="a2"/>
        <w:rPr>
          <w:rtl/>
        </w:rPr>
      </w:pPr>
      <w:r w:rsidRPr="001A16FD">
        <w:rPr>
          <w:rtl/>
        </w:rPr>
        <w:t xml:space="preserve">א) "שזה [הגומי] דבר חדש ואין אנו יודעין בבירור מה היא מציאותה", </w:t>
      </w:r>
    </w:p>
    <w:p w14:paraId="18981DCD" w14:textId="77777777" w:rsidR="00232BC1" w:rsidRPr="001A16FD" w:rsidRDefault="00232BC1" w:rsidP="00423C6D">
      <w:pPr>
        <w:pStyle w:val="a2"/>
        <w:rPr>
          <w:rtl/>
        </w:rPr>
      </w:pPr>
      <w:r w:rsidRPr="001A16FD">
        <w:rPr>
          <w:rtl/>
        </w:rPr>
        <w:t xml:space="preserve">ב) "וכמדומה שאין להשיג מגופה גדולה כדרוש לעניננו". </w:t>
      </w:r>
    </w:p>
    <w:p w14:paraId="1EBC0E5A" w14:textId="77777777" w:rsidR="00232BC1" w:rsidRPr="001A16FD" w:rsidRDefault="00232BC1" w:rsidP="00423C6D">
      <w:pPr>
        <w:pStyle w:val="a2"/>
        <w:rPr>
          <w:rtl/>
        </w:rPr>
      </w:pPr>
      <w:r w:rsidRPr="001A16FD">
        <w:rPr>
          <w:rtl/>
        </w:rPr>
        <w:t xml:space="preserve">מדברי הרש"ב ברור שגומי וגומי מלאכותי לא מקבלים טומאה, ועדיפים מעץ שלשיטת הרמב"ם מקבל טומאה. וכל הדיון היה רק האם מותר להקל ולהשתמש בעץ, ובזה הכריע הרש"ב שלא צריכים להחמיר להשתמש דוקא בגומי. שבזמן של בניית המקוה ברוסטוב היה הגומי המלאכותי המצאה חדשה שהומצא רק לפני שמונה עשרה </w:t>
      </w:r>
      <w:r w:rsidRPr="001A16FD">
        <w:rPr>
          <w:rtl/>
        </w:rPr>
        <w:lastRenderedPageBreak/>
        <w:t>שנה, ולכן כתב הרש"ב שלא יודעים בבירור מציאותה</w:t>
      </w:r>
      <w:r w:rsidRPr="00232BC1">
        <w:rPr>
          <w:rStyle w:val="FootnoteReference"/>
          <w:rFonts w:asciiTheme="majorBidi" w:hAnsiTheme="majorBidi" w:cstheme="majorBidi"/>
          <w:rtl/>
        </w:rPr>
        <w:footnoteReference w:id="95"/>
      </w:r>
      <w:r w:rsidRPr="001A16FD">
        <w:rPr>
          <w:rtl/>
        </w:rPr>
        <w:t>.</w:t>
      </w:r>
    </w:p>
    <w:p w14:paraId="2F7F541C" w14:textId="77777777" w:rsidR="00232BC1" w:rsidRPr="001A16FD" w:rsidRDefault="00232BC1" w:rsidP="00423C6D">
      <w:pPr>
        <w:pStyle w:val="a2"/>
        <w:rPr>
          <w:rtl/>
        </w:rPr>
      </w:pPr>
      <w:r w:rsidRPr="001A16FD">
        <w:rPr>
          <w:rtl/>
        </w:rPr>
        <w:t>אבל בימינו שכבר התברר איך עושים הגומי המלאכותי והפלסטיק, שהם עשויים מנפט ולא שייך לדברים המקבלים טומאה [טהרת מים סי' נא – נב], ואפשר להשיג הפקק מגומי מלאכותי, יש לעיין בזה האם אנו צריכים להחמיר להשתמש רק בפקק של גומי ולא של עץ.</w:t>
      </w:r>
    </w:p>
    <w:p w14:paraId="42CA7F9A" w14:textId="77777777" w:rsidR="00232BC1" w:rsidRPr="001A16FD" w:rsidRDefault="00232BC1" w:rsidP="00423C6D">
      <w:pPr>
        <w:pStyle w:val="a2"/>
        <w:rPr>
          <w:rtl/>
        </w:rPr>
      </w:pPr>
      <w:r w:rsidRPr="001A16FD">
        <w:rPr>
          <w:rtl/>
        </w:rPr>
        <w:t>הנה לדינא הרי אם יש המשכה אחרי שהמים נגעו בפקק הרי זה כשר, אבל לפי מה שמהדרים שגם אם יש המשכה אח"כ, לא להשתמש בדברים המקבלים טומאה, [עיין מקוה מים ח"ג ע' קעב] יש לכאורה להקפיד להשתמש רק עם פקק של גומי ולא של עץ. וזה דלא כמ"ש בספר מקוה כהלכה עמודים קכ, קכז, קלח וקמז</w:t>
      </w:r>
      <w:r w:rsidRPr="00232BC1">
        <w:rPr>
          <w:rStyle w:val="FootnoteReference"/>
          <w:rFonts w:asciiTheme="majorBidi" w:hAnsiTheme="majorBidi" w:cstheme="majorBidi"/>
          <w:rtl/>
        </w:rPr>
        <w:footnoteReference w:id="96"/>
      </w:r>
      <w:r w:rsidRPr="00232BC1">
        <w:rPr>
          <w:rtl/>
        </w:rPr>
        <w:t>.</w:t>
      </w:r>
      <w:r w:rsidRPr="001A16FD">
        <w:rPr>
          <w:rtl/>
        </w:rPr>
        <w:t xml:space="preserve"> </w:t>
      </w:r>
    </w:p>
    <w:p w14:paraId="7E32402C" w14:textId="17FCBCA3" w:rsidR="00232BC1" w:rsidRPr="00232BC1" w:rsidRDefault="00232BC1" w:rsidP="00423C6D">
      <w:pPr>
        <w:pStyle w:val="a2"/>
        <w:rPr>
          <w:rFonts w:asciiTheme="minorHAnsi" w:hAnsiTheme="minorHAnsi"/>
          <w:rtl/>
        </w:rPr>
      </w:pPr>
      <w:r w:rsidRPr="001A16FD">
        <w:rPr>
          <w:rtl/>
        </w:rPr>
        <w:t>המקור לזה</w:t>
      </w:r>
      <w:r w:rsidRPr="00232BC1">
        <w:rPr>
          <w:rStyle w:val="FootnoteReference"/>
          <w:rFonts w:asciiTheme="majorBidi" w:hAnsiTheme="majorBidi" w:cstheme="majorBidi"/>
          <w:rtl/>
        </w:rPr>
        <w:footnoteReference w:id="97"/>
      </w:r>
      <w:r w:rsidRPr="001A16FD">
        <w:rPr>
          <w:rtl/>
        </w:rPr>
        <w:t xml:space="preserve"> שגומי מקבל טומאה הוא מרשימת הרה"ג הר"י לנדא אודות המקוה ברוסטוב</w:t>
      </w:r>
      <w:r w:rsidRPr="00232BC1">
        <w:rPr>
          <w:rStyle w:val="FootnoteReference"/>
          <w:rFonts w:asciiTheme="majorBidi" w:hAnsiTheme="majorBidi" w:cstheme="majorBidi"/>
          <w:rtl/>
        </w:rPr>
        <w:footnoteReference w:id="98"/>
      </w:r>
      <w:r w:rsidRPr="001A16FD">
        <w:rPr>
          <w:rtl/>
        </w:rPr>
        <w:t xml:space="preserve">, שכתב באות יא שלדעת הרש"ב גומי מקבל טומאה. ותמהו בזה בטהרת מים ובעוד מקומות למה חשש אדמו"ר הרש"ב שהגומי מקבל טומאה. והגר"י לנדא אמר להמחבר של הטהרת מים שיש בידו תשובת אדמו"ר הרש"ב שמצדד לומר שהגומי מקבל טומאה, ובשנת תשל"ח מסר הגר"י לנדא התשובה לדפוס בקובץ יגדיל תורה נ.י. גליון טז, והוא התשובה שהבאנו לעיל שכעת נדפס באג"ק ותורת שלום. וכבר העיר שם הרשד"ב לוין מה שכתבנו לעיל שמהתשובה ברור שדעת הרש"ב שגומי לא מקבל טומאה. </w:t>
      </w:r>
    </w:p>
    <w:p w14:paraId="45F29827" w14:textId="55DD6E43" w:rsidR="00232BC1" w:rsidRPr="00232BC1" w:rsidRDefault="00232BC1" w:rsidP="00423C6D">
      <w:pPr>
        <w:pStyle w:val="a2"/>
        <w:rPr>
          <w:rFonts w:asciiTheme="minorHAnsi" w:hAnsiTheme="minorHAnsi"/>
        </w:rPr>
      </w:pPr>
      <w:r w:rsidRPr="001A16FD">
        <w:rPr>
          <w:rtl/>
        </w:rPr>
        <w:t xml:space="preserve">וכנראה שהיות ולפועל ברוסטוב השתמשו בפקק של עץ ובזכרונו של הגר"י היה שהיה שקו"ט בין אדמו"ר הרש"ב להרב נטע לערנר האם מקבל טומאה או לא, ווזכר שבפועל לא השתמשו בגומי לכן היה נדמה לו שלא השתמשו בגלל שזה מקבל טומאה שהרי לא זכר כל פרטי השקו"ט. והרי הגר"י לנדא כתב הרשימה מזכרונו בערך שלושים שנה אחרי בניית המקוה, ולכן נפל בו אי דיוק. [גם באות יד נפל טעות </w:t>
      </w:r>
      <w:r w:rsidRPr="001A16FD">
        <w:rPr>
          <w:rtl/>
        </w:rPr>
        <w:lastRenderedPageBreak/>
        <w:t>בהרשימה ורק במהדורה השלישית של הטהרת מים תוקן הטעות</w:t>
      </w:r>
      <w:r w:rsidRPr="00232BC1">
        <w:rPr>
          <w:rStyle w:val="FootnoteReference"/>
          <w:rFonts w:asciiTheme="majorBidi" w:hAnsiTheme="majorBidi" w:cstheme="majorBidi"/>
          <w:rtl/>
        </w:rPr>
        <w:footnoteReference w:id="99"/>
      </w:r>
      <w:r w:rsidRPr="001A16FD">
        <w:rPr>
          <w:rtl/>
        </w:rPr>
        <w:t xml:space="preserve">.]   </w:t>
      </w:r>
    </w:p>
    <w:p w14:paraId="264B3103" w14:textId="2ADBF142" w:rsidR="00232BC1" w:rsidRPr="00232BC1" w:rsidRDefault="00232BC1" w:rsidP="00423C6D">
      <w:pPr>
        <w:pStyle w:val="a2"/>
        <w:rPr>
          <w:rFonts w:asciiTheme="minorHAnsi" w:hAnsiTheme="minorHAnsi"/>
        </w:rPr>
      </w:pPr>
      <w:r w:rsidRPr="001A16FD">
        <w:rPr>
          <w:rtl/>
        </w:rPr>
        <w:t>הטהרת מים שאל גם מכ"ק אדמו"ר בטעמו של דבר למה גומי מקבל טומאה, וע"ז ענה לו כ"ק אדמו"ר באג"ק ח"ז ע' קכג [שלחן מנחם ח"ד ע' קסב] "וטעם לזה בפירוש לא שמעתי מלבד הכתוב בהוראות הנ"ל,[רשימת הגר"י לנדא] מפני שהוא דבר המקבל טומאה". וכ"ק אדמו"ר רוצה לבאר דעת הרש"ב שי"ל שכיון שסותמים בהפקק את נקב יציאת המים שבתוך בור הטבילה, ולפעמים עומדים עליו זה נחשב שיוחד למדרס</w:t>
      </w:r>
      <w:r w:rsidRPr="00232BC1">
        <w:rPr>
          <w:rStyle w:val="FootnoteReference"/>
          <w:rFonts w:asciiTheme="majorBidi" w:hAnsiTheme="majorBidi" w:cstheme="majorBidi"/>
          <w:rtl/>
        </w:rPr>
        <w:footnoteReference w:id="100"/>
      </w:r>
      <w:r w:rsidRPr="001A16FD">
        <w:rPr>
          <w:rtl/>
        </w:rPr>
        <w:t>. ולפי ביאורו של כ"ק אדמו"ר כל ההקפדה שגומי מקבל טומאה הוא רק כשסותמים חור שנמצא בריצפה ששייך שיעמדו עליו</w:t>
      </w:r>
      <w:r w:rsidRPr="00232BC1">
        <w:rPr>
          <w:rStyle w:val="FootnoteReference"/>
          <w:rFonts w:asciiTheme="majorBidi" w:hAnsiTheme="majorBidi" w:cstheme="majorBidi"/>
          <w:rtl/>
        </w:rPr>
        <w:footnoteReference w:id="101"/>
      </w:r>
      <w:r w:rsidRPr="001A16FD">
        <w:rPr>
          <w:rtl/>
        </w:rPr>
        <w:t>, אבל לסתום נקב בקיר המקוה אין בו חשש קבלת טומאה. וכן בצינורות של פלסטיק שגם לא עומדים עליהם אין בהם חשש קבלת טומאה</w:t>
      </w:r>
      <w:r w:rsidRPr="00232BC1">
        <w:rPr>
          <w:rStyle w:val="FootnoteReference"/>
          <w:rFonts w:asciiTheme="majorBidi" w:hAnsiTheme="majorBidi" w:cstheme="majorBidi"/>
          <w:rtl/>
        </w:rPr>
        <w:footnoteReference w:id="102"/>
      </w:r>
      <w:r w:rsidRPr="001A16FD">
        <w:rPr>
          <w:rtl/>
        </w:rPr>
        <w:t xml:space="preserve">. </w:t>
      </w:r>
    </w:p>
    <w:p w14:paraId="06F1A5C6" w14:textId="52C3408D" w:rsidR="00232BC1" w:rsidRPr="00232BC1" w:rsidRDefault="00232BC1" w:rsidP="00423C6D">
      <w:pPr>
        <w:pStyle w:val="a2"/>
        <w:rPr>
          <w:rFonts w:asciiTheme="minorHAnsi" w:hAnsiTheme="minorHAnsi"/>
          <w:rtl/>
        </w:rPr>
      </w:pPr>
      <w:r w:rsidRPr="001A16FD">
        <w:rPr>
          <w:rtl/>
        </w:rPr>
        <w:lastRenderedPageBreak/>
        <w:t>מאגרותיו של כ"ק אדמו"ר משמע שכל הקפדתו שלא ישתמשו בגומי הוא בגלל רשימתו של הרב לנדא, וכנ"ל  שכתב "וטעם לזה בפירוש לא שמעתי מלבד הכתוב בהוראות הנ"ל,[רשימת הגרי"ל]" וכן באג"ק חלק ג ע' רג שואל כ"ק אדמו"ר מהגר"י לנדא "אם יש איזה ענינים אשר אנ"ש מקפידים או מהדרים עליהם" וכתשובה לשאלת כ"ק אדמו"ר שלח הגר"י את הרשימה שלו</w:t>
      </w:r>
      <w:r w:rsidRPr="00232BC1">
        <w:rPr>
          <w:rStyle w:val="FootnoteReference"/>
          <w:rFonts w:asciiTheme="majorBidi" w:hAnsiTheme="majorBidi" w:cstheme="majorBidi"/>
          <w:rtl/>
        </w:rPr>
        <w:footnoteReference w:id="103"/>
      </w:r>
      <w:r w:rsidRPr="001A16FD">
        <w:rPr>
          <w:rtl/>
        </w:rPr>
        <w:t>, [ואז נודע לכ"ק אדמו"ר, שהרש"ב עשה בור על גבי בור</w:t>
      </w:r>
      <w:r w:rsidRPr="00232BC1">
        <w:rPr>
          <w:rStyle w:val="FootnoteReference"/>
          <w:rFonts w:asciiTheme="majorBidi" w:hAnsiTheme="majorBidi" w:cstheme="majorBidi"/>
          <w:rtl/>
        </w:rPr>
        <w:footnoteReference w:id="104"/>
      </w:r>
      <w:r w:rsidRPr="001A16FD">
        <w:rPr>
          <w:rtl/>
        </w:rPr>
        <w:t>, ושאר ההוראות שברשימה]. ובאג"ק חכ"ב כתב "כי לי אין ידוע בזה לבד הרשימה [של הגר"י לנדא] שניתנה לפרסום (בספר טהרת מים)". ובאגרות כ"ק אדמו"ר</w:t>
      </w:r>
      <w:r w:rsidRPr="00232BC1">
        <w:rPr>
          <w:rStyle w:val="FootnoteReference"/>
          <w:rFonts w:asciiTheme="majorBidi" w:hAnsiTheme="majorBidi" w:cstheme="majorBidi"/>
          <w:rtl/>
        </w:rPr>
        <w:footnoteReference w:id="105"/>
      </w:r>
      <w:r w:rsidRPr="001A16FD">
        <w:rPr>
          <w:rtl/>
        </w:rPr>
        <w:t xml:space="preserve"> כשמזכיר שלא ישתמשו בגומי הוא מוסיף שזה ע"פ הוראת אדמו"ר הרש"ב. היינו שהקפדת כ"ק אדמו"ר היה רק בגלל "כיון דנפיק מפומא דרב כהנא".</w:t>
      </w:r>
    </w:p>
    <w:p w14:paraId="7F71453D" w14:textId="77777777" w:rsidR="00232BC1" w:rsidRPr="001A16FD" w:rsidRDefault="00232BC1" w:rsidP="00423C6D">
      <w:pPr>
        <w:pStyle w:val="a2"/>
        <w:rPr>
          <w:rtl/>
        </w:rPr>
      </w:pPr>
      <w:r w:rsidRPr="001A16FD">
        <w:rPr>
          <w:rtl/>
        </w:rPr>
        <w:t xml:space="preserve">ולכאורה מאחר שכעת שנתגלה שדעת הרש"ב היה שגומי עדיף מעץ ודלא כמ"ש ברשימת הגר"י לנדא, גם כ"ק אדמו"ר יסכים שעדיף להשתמש בגומי, שהרי כל הקפדתו של כ"ק אדמו"ר היה </w:t>
      </w:r>
      <w:r w:rsidRPr="001A16FD">
        <w:rPr>
          <w:rtl/>
          <w:lang w:val="en-US"/>
        </w:rPr>
        <w:t xml:space="preserve">רק </w:t>
      </w:r>
      <w:r w:rsidRPr="001A16FD">
        <w:rPr>
          <w:rtl/>
        </w:rPr>
        <w:t xml:space="preserve">בגלל חומרת אדמו"ר הרש"ב. </w:t>
      </w:r>
    </w:p>
    <w:p w14:paraId="377A2AB9" w14:textId="77777777" w:rsidR="00232BC1" w:rsidRPr="001A16FD" w:rsidRDefault="00232BC1" w:rsidP="00423C6D">
      <w:pPr>
        <w:pStyle w:val="a2"/>
      </w:pPr>
      <w:r w:rsidRPr="001A16FD">
        <w:rPr>
          <w:rtl/>
        </w:rPr>
        <w:t xml:space="preserve">ויש להוסיף, שכל הטעם שכ"ק אדמו"ר הרש"ב התיר להשתמש בפקק של עץ בהמקוה ברוסטוב הוא רק בגלל שזה היה בכדי לסתום החור שבאוצר [המאגר] של המי גשמים, והפקק רק מונע מהמים לצאת מהאוצר, לכן היה הרש"ב סבור שלא צריכים להחמיר להשתמש רק בגומי. לאידך להשתמש בפקק של עץ בכדי לעזור שהמי גשמים יגיעו למקוה בזה לא התיר אדמו"ר הרש"ב. </w:t>
      </w:r>
    </w:p>
    <w:p w14:paraId="64C5D4E5" w14:textId="77777777" w:rsidR="00232BC1" w:rsidRPr="001A16FD" w:rsidRDefault="00232BC1" w:rsidP="00423C6D">
      <w:pPr>
        <w:pStyle w:val="a2"/>
      </w:pPr>
      <w:r w:rsidRPr="001A16FD">
        <w:rPr>
          <w:rtl/>
        </w:rPr>
        <w:t xml:space="preserve">וכגון כשעושים תעלת המשכה שבו עובר המי גשמים לכל הבורות והמקוה, וליד כל בור יש חור בתעלת ההמשכה שבו מי הגשמים מגיעים דרכו להבור, ובשעה שממלאים בור אחד סותמים החורים של שאר הבורות בכדי שהמים ילכו רק להבור שרוצים למלאות ולא לשום מקום אחר. ובזה הפקק עוזר להמי גשמים להגיע להמקום בו הוא אמור להגיע, ובלי הפקק המים לא יגיעו להמקוה או הבור, בזה הדין שונה </w:t>
      </w:r>
      <w:r w:rsidRPr="001A16FD">
        <w:rPr>
          <w:rtl/>
        </w:rPr>
        <w:lastRenderedPageBreak/>
        <w:t>מהפקק שרק מונע יציאת המים, שדין הוייתו בטהרה לדעת הרא"ש (הובא להלכה בשו"ע סי' רא סעי' לה ונ) הוא רק בהבאת המים ולא במניעת יציאת המים שמותר גם במקבל טומאה.</w:t>
      </w:r>
    </w:p>
    <w:p w14:paraId="56D9DB83" w14:textId="27903751" w:rsidR="00232BC1" w:rsidRPr="00232BC1" w:rsidRDefault="00232BC1" w:rsidP="00423C6D">
      <w:pPr>
        <w:pStyle w:val="a2"/>
        <w:rPr>
          <w:rFonts w:asciiTheme="minorHAnsi" w:hAnsiTheme="minorHAnsi"/>
          <w:rtl/>
        </w:rPr>
      </w:pPr>
      <w:r w:rsidRPr="001A16FD">
        <w:rPr>
          <w:rtl/>
        </w:rPr>
        <w:t>וכ"ק אדמו"ר הרש"ב תלה סיבת ההיתר להשתמש בעץ בהמקוה ברוסטוב, בגלל שזה היה רק למנוע יציאת המים מהאוצר, ולדעת הרא"ש מותר להשתמש בדבר המקבל טומאה.</w:t>
      </w:r>
    </w:p>
    <w:p w14:paraId="7EC7246D" w14:textId="77777777" w:rsidR="00232BC1" w:rsidRPr="001A16FD" w:rsidRDefault="00232BC1" w:rsidP="00423C6D">
      <w:pPr>
        <w:pStyle w:val="a2"/>
      </w:pPr>
      <w:r w:rsidRPr="001A16FD">
        <w:rPr>
          <w:rtl/>
        </w:rPr>
        <w:t>וכפי שמבאר אדמו"ר הרש"ב:</w:t>
      </w:r>
    </w:p>
    <w:p w14:paraId="38CD62C2" w14:textId="77777777" w:rsidR="00232BC1" w:rsidRPr="001A16FD" w:rsidRDefault="00232BC1" w:rsidP="00423C6D">
      <w:pPr>
        <w:pStyle w:val="a2"/>
        <w:rPr>
          <w:rtl/>
        </w:rPr>
      </w:pPr>
      <w:r w:rsidRPr="001A16FD">
        <w:rPr>
          <w:rtl/>
        </w:rPr>
        <w:t>ונראה דפשוטי כלי עץ המקבל טומאה לדעת הרמב"ם הוא גם כשלא תקין ושייפו...אך כל זה לדעת הרמב"ם, ולדידי' הרי במקוה אין צריך הוי' בטהרה, ולהרא"ש שצריכים הוי' בטהרה, הרי סובר שזהו רק בהבאת המים לא במניעת יציאת המים.</w:t>
      </w:r>
    </w:p>
    <w:p w14:paraId="3A527B60" w14:textId="77777777" w:rsidR="00232BC1" w:rsidRPr="001A16FD" w:rsidRDefault="00232BC1" w:rsidP="00423C6D">
      <w:pPr>
        <w:pStyle w:val="a2"/>
        <w:rPr>
          <w:rtl/>
        </w:rPr>
      </w:pPr>
      <w:r w:rsidRPr="001A16FD">
        <w:rPr>
          <w:rtl/>
        </w:rPr>
        <w:t>אבל במקום שהעץ עוזר בהבאת המים כגון בתעלת ההמשכה הנ"ל, הרי לדעת הרא"ש אסור להשתמש במקבל טומאה, ופשוטי כלי עץ הרי מקבל טומאה לדעת הרמב"ם, הרי בזה לא התיר אדמו"ר הרש"ב להשתמש בפקק של עץ. ולפי מה שמהדרים שגם אם יש המשכה אח"כ, לא להשתמש בדברים המקבלים טומאה, יש להחמיר להשתמש דוקא בפקק של גומי במילוי המקוה ולא בפקק של עץ.</w:t>
      </w:r>
    </w:p>
    <w:p w14:paraId="6C15AA63" w14:textId="453415CA" w:rsidR="00232BC1" w:rsidRPr="00232BC1" w:rsidRDefault="00232BC1" w:rsidP="00423C6D">
      <w:pPr>
        <w:pStyle w:val="a2"/>
        <w:rPr>
          <w:rtl/>
        </w:rPr>
      </w:pPr>
      <w:r w:rsidRPr="001A16FD">
        <w:rPr>
          <w:b/>
          <w:bCs/>
          <w:rtl/>
        </w:rPr>
        <w:t>קיצור</w:t>
      </w:r>
      <w:r w:rsidRPr="001A16FD">
        <w:rPr>
          <w:rtl/>
        </w:rPr>
        <w:t>. לדעת אדמו"ר הרש"ב גומי [או פלסטיק] לא מקבלים טומאה. לסתום נקב של האוצר [מאגר] שהפקק רק מונע יציאת המים, הרי אם יש בנמצא פקק של גומי עדיף להשתמש בו ואם אינו בנמצא מותר להשתמש בפקק של עץ. בתעלת ההמשכה שבו מגיע המים למקוה צריכים להשתמש בפקק גומי ולא בפקק של עץ.</w:t>
      </w:r>
    </w:p>
    <w:p w14:paraId="6B298256" w14:textId="77777777" w:rsidR="008307D7" w:rsidRDefault="008307D7" w:rsidP="008307D7">
      <w:pPr>
        <w:pStyle w:val="a4"/>
        <w:spacing w:after="0"/>
        <w:rPr>
          <w:rtl/>
        </w:rPr>
      </w:pPr>
      <w:r w:rsidRPr="00347933">
        <w:t>g</w:t>
      </w:r>
    </w:p>
    <w:p w14:paraId="2CAEAC2A" w14:textId="77777777" w:rsidR="00B1191D" w:rsidRDefault="00B1191D" w:rsidP="008307D7">
      <w:pPr>
        <w:pStyle w:val="a4"/>
        <w:spacing w:after="0"/>
        <w:rPr>
          <w:rtl/>
        </w:rPr>
      </w:pPr>
    </w:p>
    <w:p w14:paraId="2A087FB0" w14:textId="77777777" w:rsidR="00B1191D" w:rsidRDefault="00B1191D" w:rsidP="008307D7">
      <w:pPr>
        <w:pStyle w:val="a4"/>
        <w:spacing w:after="0"/>
        <w:rPr>
          <w:rtl/>
        </w:rPr>
      </w:pPr>
    </w:p>
    <w:p w14:paraId="2B44954B" w14:textId="77777777" w:rsidR="00B1191D" w:rsidRDefault="00B1191D" w:rsidP="008307D7">
      <w:pPr>
        <w:pStyle w:val="a4"/>
        <w:spacing w:after="0"/>
        <w:sectPr w:rsidR="00B1191D" w:rsidSect="00E65DD5">
          <w:footnotePr>
            <w:numRestart w:val="eachSect"/>
          </w:footnotePr>
          <w:type w:val="continuous"/>
          <w:pgSz w:w="7920" w:h="12240"/>
          <w:pgMar w:top="-810" w:right="864" w:bottom="720" w:left="864" w:header="270" w:footer="0" w:gutter="0"/>
          <w:cols w:space="720"/>
          <w:docGrid w:linePitch="360"/>
        </w:sectPr>
      </w:pPr>
    </w:p>
    <w:p w14:paraId="336EC1B0" w14:textId="5513C51F" w:rsidR="008307D7" w:rsidRPr="008307D7" w:rsidRDefault="008307D7" w:rsidP="008307D7">
      <w:pPr>
        <w:pStyle w:val="a"/>
        <w:rPr>
          <w:rtl/>
        </w:rPr>
      </w:pPr>
      <w:bookmarkStart w:id="163" w:name="_Toc531140402"/>
      <w:r>
        <w:rPr>
          <w:rtl/>
        </w:rPr>
        <w:lastRenderedPageBreak/>
        <w:t>ראה באמצע התפילה טלפון על גבי ספר אם יכול לעקור ממקומו ולהסירו מעליו</w:t>
      </w:r>
      <w:bookmarkEnd w:id="163"/>
    </w:p>
    <w:p w14:paraId="238732AD" w14:textId="77777777" w:rsidR="008307D7" w:rsidRPr="008307D7" w:rsidRDefault="008307D7" w:rsidP="00C40DBA">
      <w:pPr>
        <w:pStyle w:val="a0"/>
      </w:pPr>
      <w:bookmarkStart w:id="164" w:name="_Toc531140403"/>
      <w:r w:rsidRPr="008307D7">
        <w:rPr>
          <w:rtl/>
          <w:lang w:bidi="he-IL"/>
        </w:rPr>
        <w:t>הרה</w:t>
      </w:r>
      <w:r w:rsidRPr="008307D7">
        <w:rPr>
          <w:rtl/>
        </w:rPr>
        <w:t>"</w:t>
      </w:r>
      <w:r w:rsidRPr="008307D7">
        <w:rPr>
          <w:rtl/>
          <w:lang w:bidi="he-IL"/>
        </w:rPr>
        <w:t>ג רבי גמליאל הכהן רבינוביץ שליט</w:t>
      </w:r>
      <w:r w:rsidRPr="008307D7">
        <w:rPr>
          <w:rtl/>
        </w:rPr>
        <w:t>"</w:t>
      </w:r>
      <w:r w:rsidRPr="008307D7">
        <w:rPr>
          <w:rtl/>
          <w:lang w:bidi="he-IL"/>
        </w:rPr>
        <w:t>א</w:t>
      </w:r>
      <w:bookmarkEnd w:id="164"/>
    </w:p>
    <w:p w14:paraId="14AFEE11" w14:textId="77777777" w:rsidR="008307D7" w:rsidRDefault="008307D7" w:rsidP="008307D7">
      <w:pPr>
        <w:pStyle w:val="a1"/>
        <w:spacing w:after="0"/>
        <w:rPr>
          <w:rtl/>
        </w:rPr>
      </w:pPr>
      <w:r>
        <w:rPr>
          <w:rtl/>
        </w:rPr>
        <w:t xml:space="preserve">מח"ס "גם אני אודך" </w:t>
      </w:r>
    </w:p>
    <w:p w14:paraId="5F4777F0" w14:textId="380BB014" w:rsidR="008307D7" w:rsidRDefault="008307D7" w:rsidP="008307D7">
      <w:pPr>
        <w:pStyle w:val="a1"/>
        <w:spacing w:after="0"/>
        <w:rPr>
          <w:rtl/>
        </w:rPr>
      </w:pPr>
      <w:r>
        <w:rPr>
          <w:rtl/>
        </w:rPr>
        <w:t xml:space="preserve">ו"פרדס יוסף החדש על המועדים" </w:t>
      </w:r>
    </w:p>
    <w:p w14:paraId="1AA3E238" w14:textId="77777777" w:rsidR="008307D7" w:rsidRDefault="008307D7" w:rsidP="00423C6D">
      <w:pPr>
        <w:pStyle w:val="a2"/>
        <w:rPr>
          <w:rtl/>
        </w:rPr>
      </w:pPr>
      <w:r>
        <w:rPr>
          <w:rtl/>
        </w:rPr>
        <w:t>יש לעיין בשאלה מצוייה, אחד שמתפלל שמונה עשרה והמתפלל מלפניו הניח טלפון או משקפיים על גבי חומש לידו, וזה מפריע את המתפלל מאחוריו ששם לב לזה באמצע התפילה שלו, האם מותר לו לצאת ממקומו כדי להסיר את בזיון כתבי הקודש שקורה מלפניו?</w:t>
      </w:r>
    </w:p>
    <w:p w14:paraId="1C2A4408" w14:textId="77777777" w:rsidR="008307D7" w:rsidRDefault="008307D7" w:rsidP="00423C6D">
      <w:pPr>
        <w:pStyle w:val="a2"/>
        <w:rPr>
          <w:rtl/>
        </w:rPr>
      </w:pPr>
      <w:r>
        <w:rPr>
          <w:rtl/>
        </w:rPr>
        <w:t>והגאון רבי יעקב אהרן סקוצילס שליט"א בעל "אוהל יעקב", כתב לי וז"ל: הנה יש לדון בכה"ג האם ומתי מותר לעקור ממקומו באמצע תפילת שמונה עשרה, ואם יש דבר שמפריע כוונת התפילה האם מותר ללכת מקומו משום כך אפילו באמצע שמונה עשרה או לא.</w:t>
      </w:r>
    </w:p>
    <w:p w14:paraId="1C80978A" w14:textId="77777777" w:rsidR="008307D7" w:rsidRDefault="008307D7" w:rsidP="00423C6D">
      <w:pPr>
        <w:pStyle w:val="11"/>
        <w:bidi/>
        <w:rPr>
          <w:rtl/>
        </w:rPr>
      </w:pPr>
      <w:r>
        <w:rPr>
          <w:rtl/>
        </w:rPr>
        <w:t>מקור הדין לעקור ממקומו באמצע שמונה עשרה</w:t>
      </w:r>
    </w:p>
    <w:p w14:paraId="0C423831" w14:textId="77777777" w:rsidR="008307D7" w:rsidRDefault="008307D7" w:rsidP="00423C6D">
      <w:pPr>
        <w:pStyle w:val="a2"/>
        <w:rPr>
          <w:rtl/>
        </w:rPr>
      </w:pPr>
      <w:r>
        <w:rPr>
          <w:rtl/>
        </w:rPr>
        <w:t>בגמ' בברכות (דף לא.) איתא אמר רב יהודה כך היה מנהגו של ר' עקיבא כשהיה מתפלל בינו לבין עצמו, אדם היה מניחו בזוית זו והיה מוצאו בזוית אחרת מרוב כריעות והשתחויות. רבינו יונה דף כב: ד"ה מפני והו"ד בפרישה (סימן ק"ד ס"ק ב') כתב שסתם השתויות הוא פישוט ידים ורגלים וכשהאדם משתחוה בזה הענין ועוקר רגליו בשעה שעומד, נמצא מרחיק עצמו ממקום שהיה עומד תחילה. הרי חזינן דר' עקיבא עקר ממקומו אלא שלא מבואר מדברי הגמ' אם הוא עקר ממקומו באמצע תפילת שמונה עשרה או אח"כ.</w:t>
      </w:r>
    </w:p>
    <w:p w14:paraId="637265F9" w14:textId="77777777" w:rsidR="008307D7" w:rsidRDefault="008307D7" w:rsidP="00423C6D">
      <w:pPr>
        <w:pStyle w:val="a2"/>
        <w:rPr>
          <w:rtl/>
        </w:rPr>
      </w:pPr>
      <w:r>
        <w:rPr>
          <w:rtl/>
        </w:rPr>
        <w:t>והנה נחלקו הראשונים בכוונת הגמרא האם הוא עבר ממקומו באמצע שמונה עשרה או אח"כ. בטור (סימן ק"ד סעיף ב') הביא את דברי הגמ' שם וסיים כדעת הרבינו יונה שם והרא"ש (סימן ג' בריש פרק אין עומדין) שלאחר התפילה היה, והרא"ש הוסיף שהיה אחר אמירת תחנונים שלאחר תפילה, שהרי אסור לצאת ממקומו עד שיגמור את תפילתו. אמנם תוס' שם (ד"ה ומוצאו) כתב שר' עקיבא היה באמצע התפילה של שמונה עשרה כשעקר ממקומו. הא נחלקו הראשונים אם מותר לצאת ממקומו באמצע התפילה, ולענין דינא הביא הבית יוסף שם דעת הרא"ש ורבינו יונה להלכה אע"פ שתוס' לא פירש כן.</w:t>
      </w:r>
    </w:p>
    <w:p w14:paraId="36BEE7CF" w14:textId="77777777" w:rsidR="008307D7" w:rsidRDefault="008307D7" w:rsidP="00423C6D">
      <w:pPr>
        <w:pStyle w:val="a2"/>
        <w:rPr>
          <w:rtl/>
        </w:rPr>
      </w:pPr>
      <w:r>
        <w:rPr>
          <w:rtl/>
        </w:rPr>
        <w:lastRenderedPageBreak/>
        <w:t xml:space="preserve">עוד גמרא במסכת ברכות לג. דקאי על דברי המשנה בריש הפרק שאפילו אם נחש כרוך על עקבו באמצע התפילה מ"מ אסור להפסיק. והגמ' כתב הטעם משום דנחש כרוך על עקבו לא הוי סכנה, כיון שאין נחש נושך ברוב הפעמים אבל בעקרב פוסק כיון שהוא סכנה, ומותר לו לומר באמצע שמונה עשרה לחבירו שיסירנה. </w:t>
      </w:r>
    </w:p>
    <w:p w14:paraId="54CFCEAF" w14:textId="77777777" w:rsidR="008307D7" w:rsidRDefault="008307D7" w:rsidP="00423C6D">
      <w:pPr>
        <w:pStyle w:val="a2"/>
        <w:rPr>
          <w:rtl/>
        </w:rPr>
      </w:pPr>
      <w:r>
        <w:rPr>
          <w:rtl/>
        </w:rPr>
        <w:t xml:space="preserve">הטור (סימן ק"ד סעיף ג') הביא את הגמ' הנ"ל להלכה למעשה וכתב לחלק בין נחש לעקרב והוסיף שאם הוא רואה שהנחש כעוס ומוכן להזיק פוסק. וכתב בבית יוסף שרבינו יונה ביאר דאע"פ שאין לו להפסיק ולדבר באמצע תפילת שמונה עשרה, מ"מ בכה"ג יכול ללכת כדי שישליך את הנחש מעליו כי לא מצינו בשום מקום שהליכה נקראת הפסק. ויש לעיין בדברי רבינו יונה מדוע כתב שלא מצינו בשום מקום דהליכה הוי הפסק הלא לעיל בסוגיא של השתחויות של ר' עקיבא פסק להחמיר כדעת הרא"ש שאין עוקרים ממקומו עד אחרי התפילה, ואילו הכא לגבי הנחש נראה דאולי סותר את דבריו. </w:t>
      </w:r>
    </w:p>
    <w:p w14:paraId="4338EB49" w14:textId="77777777" w:rsidR="008307D7" w:rsidRDefault="008307D7" w:rsidP="00423C6D">
      <w:pPr>
        <w:pStyle w:val="a2"/>
        <w:rPr>
          <w:rtl/>
        </w:rPr>
      </w:pPr>
      <w:r>
        <w:rPr>
          <w:rtl/>
        </w:rPr>
        <w:t>באמת ראיתי שבט"ז (סימן ק"ד ס"ק א') העיר על זה וז"ל: כב"י בשם הרר"י שלא מצינו הליכה שנקראת הפסק בשום מקום עכ"ל. וקשה ממ"ש הטור והש"ע אבל בענין אחר אין לו לצאת ממקומו עד שיגמור תפלתו וההיא דר"ע כשהי' מתפלל בינו לבין עצמו אדם היה מניחו בזוית זו והי' מוצאו בזוית אחרת מרוב כריעו' והשתחויות בתחנוני' שלאחר התפלה היו עכ"ל וכ"כ הרא"ש משמע מזה דהליכה הוי הפסק וע"כ דהרר"י פליג ע"ז וא"כ להטור אין לו ללכת להשליך את הנחש כיון שאין סכנה והאיך הביא רמ"א זה לפסק הלכה. ואין להוכיח דגם הר"י ס"ל כהטור בזה מדפי' גם הוא דר"ע מיירי בתחנונים שלאחר התפלה כמ"ש ב"י זה אינו דהא דפי' הר"י כן משום קושיא אחרת דהיינו שהיה קשה לו דאין משתחוים באמצע הברכות אבל לא משום הוכחה דאין לצאת מן התפלה וכן התו' הביאו תי' זה על קושי' זאת ודחוהו משום דמשמונה עשר' קאמר ותי' בע"א דהיינו באמצע הברכה מותר לשחות כו' מ"מ משמע גם מדבריהם דמותר לצאת מן התפלה של י"ח בשביל ההשתחוי' והנה ריב"ש סי' של"ב תופס כדברי הטור והרא"ש ואוסר לש"ץ לעקור בי"כ מן התפלה במה שכורעים בסדר עבודה ורמ"א מביאו לקמן והתימה עליו שכאן פסק כהרר"י שהליכה לא הוה הפסק בתפלה וצ"ע ועמ"ש סי' ח' סי"ג, עכ"ל. הרי הט"ז כתב בהדיא שאין כאן סתירה בדברי רבינו יונה, אלא מה שכתב כדעת הרא"ש שם היינו מכח הכרח אחר הנ"ל, ולא מטעם של הרא"ש.</w:t>
      </w:r>
    </w:p>
    <w:p w14:paraId="79A735F1" w14:textId="77777777" w:rsidR="008307D7" w:rsidRDefault="008307D7" w:rsidP="00423C6D">
      <w:pPr>
        <w:pStyle w:val="a2"/>
        <w:rPr>
          <w:rtl/>
        </w:rPr>
      </w:pPr>
      <w:r>
        <w:rPr>
          <w:rtl/>
        </w:rPr>
        <w:t xml:space="preserve">ולענין דינא מצאנו שכתב בשו"ע שם (סעיף ב' וג') שפסק כדעת הרא"ש שאין לצאת ממקומו עד שגומר את התפילה, אא"כ הוא בתחנונים של התפילה. ולגבי נחש כרוך על עקבו לא יפסיק והרמ"א הוסיף את דברי ר"י שיכול לילך למקום אחר כדי שיפול הנחש מרגלו. וכתב המגן אברהם (ס"ק ג') הטעם של ר"י משום שלא מצינו </w:t>
      </w:r>
      <w:r>
        <w:rPr>
          <w:rtl/>
        </w:rPr>
        <w:lastRenderedPageBreak/>
        <w:t>הליכה שנקרא הפסקה בשום מקום, והוסיף דמ"מ שלא לצורך אסור וכמ"ש בסעיף ב'. ומה שכתב דהתירו לעקור ממקומו דוקא לצורך, כתב הפמ"ג שם שדברי המגן אברהם באו לתרץ קושיות הט"ז מדברי הרמ"א סעיף ג' לדברי שו"ע סעיף ב', שבדין אחד מותר לצאת ממקומו, ודין השני אסור. ונראה שכוונת הפמ"ג לתרץ לדברי הט"ז היינו שגם דעת הרמ"א לפסוק כדברי השו"ע סעיף ב', אלא שיש לחלק אם הוא הליכה לצורך או לא, דלגבי הדין של הנחש הרי הוא הולך לצורך להסיר אותו מעליו, ולכן מותר, ויש לומר שאף השו"ע מודה לזה וממילא אין כאן סתירה, אלא יש לדון בכל מקרה אם הוא לצורך או לא. ויש לעיין מדוע הט"ז לא חילק כך בפשיטות, וראיתי בשו"ת שפתי נבונים (חלק א' סימן ע' הערה ד') שכתב דהט"ז אי אפשר לתרץ כן, דא"כ כריעות והשתחויות הוי גם כן צורך דהוי צורך וחלק של התפילה, ומדאסר המחבר כריעות והשתחויות ע"כ דדעת המחבר דאפילו בכה"ג אסור. משא"כ המגן אברהם לומד דאין השתחויות צורך כ"כ כמו נחש הכרוך על עקבו. וביאור טעמו יש לומר או שלומד דטעם ההיתר של נחש הוא דיש גם בנחש סכנה קצת, וכמו שלומד הערוך השלחן, ולכן דעתו דוקא במקום סכנה התירו, או שהוא שלומד כמו שכתב הכף החיים (סימן ק"ד ס"ק י"ג) שטעם ההיתר בנחש הוא משום כוונת התפילה שקשה לו לכוון בשעה שנחש כרוך על עקבו, אלא שדעת המגן אברהם שצורך כוונת התפילה הוי צורך יותר מכריעות והשתחויות ועי' בביאור הלכה מה שכתב בשם הגר"א.</w:t>
      </w:r>
    </w:p>
    <w:p w14:paraId="1ECD6A5F" w14:textId="77777777" w:rsidR="008307D7" w:rsidRDefault="008307D7" w:rsidP="00423C6D">
      <w:pPr>
        <w:pStyle w:val="a2"/>
        <w:rPr>
          <w:rtl/>
        </w:rPr>
      </w:pPr>
      <w:r>
        <w:rPr>
          <w:rtl/>
        </w:rPr>
        <w:t>הרי חזינן מכל הנ"ל שנחלקו האחרונים אם מותר לעקור ממקומו באמצע שמונה עשרה כשיש צורך, דעת הט"ז בשיטת המחבר שיש איסור הליכה אפילו לצורך, ואינו מותר אלא במקום סכנה. ואילו דעת המגן אברהם היא שלצורך מותר לעקור אפילו לדעת השו"ע. ולענין הלכה כתב במשנה ברורה (ס"ק ט') וז"ל: דאז מותר אם העקירה לצורך מצוה קצת כגון מה שאנו נוהגין בש"ץ שתיכף אחר חזרת התפלה עוקר רגליו ויושב לתחנון במקומות שנוהגין לומר תחנון בישיבה וכן עולה לבימה לקריאת התורה אף שלא הגיע עדיין להקדיש שעם תתקבל שפוסע בו הג' פסיעות או כגון מה דאמרינן בגמרא בר"ע שהיה אדם מניחו בזוית זו ומוצאו בזוית אחרת מרוב כריעות והשתחויות והיינו בתחנונים שלאחר התפלה אבל שלא לצורך אסור להאדם לזוז ממקומו עד שיפסע הג' פסיעות [מ"א]. וכן דעת השו"ע הרב ערוך השלחן והכף החיים. שכל שהוא לצורך מותר לעקור ממקומו ואפילו צורך שאין בו סכנה, כמו ר' עקיבא וכדברי המגן אברהם ומ"ב פוסקים להלכה. אולם נשאר לנו לברר מהו הגדר של צורך והאם נידון דידן שמפריע כוונתו בתפילה בזה שרואה דברי חולין על גבי ספרים קדושים נחשב כצורך שיכול לעקור ממקומו או לא.</w:t>
      </w:r>
    </w:p>
    <w:p w14:paraId="49766FE4" w14:textId="77777777" w:rsidR="008307D7" w:rsidRDefault="008307D7" w:rsidP="00423C6D">
      <w:pPr>
        <w:pStyle w:val="11"/>
        <w:bidi/>
        <w:rPr>
          <w:rtl/>
        </w:rPr>
      </w:pPr>
      <w:r>
        <w:rPr>
          <w:rtl/>
        </w:rPr>
        <w:t>גדר "צורך" כדי להתיר עקירה באמצע שמונה עשרה</w:t>
      </w:r>
    </w:p>
    <w:p w14:paraId="5FAF4C34" w14:textId="77777777" w:rsidR="008307D7" w:rsidRDefault="008307D7" w:rsidP="00423C6D">
      <w:pPr>
        <w:pStyle w:val="a2"/>
        <w:rPr>
          <w:rtl/>
        </w:rPr>
      </w:pPr>
      <w:r>
        <w:rPr>
          <w:rtl/>
        </w:rPr>
        <w:t xml:space="preserve">והנה נראה שגדר צורך כדי להתיר עקירה באמצע שמונה עשרה הוא אפילו אם </w:t>
      </w:r>
      <w:r>
        <w:rPr>
          <w:rtl/>
        </w:rPr>
        <w:lastRenderedPageBreak/>
        <w:t xml:space="preserve">הצורך היא לכוון יותר טוב או בכלל באמצע התפילה, וכן רואים מהגמ' של כריכת נחש שמבלבל כוונה בתפילה, ועל זה התירו לעקור כדי להסיר את ההפרעה ממנו כדי לכוין יותר טוב והוי צורך. וכן מצאנו כמה וכמה דוגמאות מדברי האחרונים והפוסקים בדברים שמפריעים את הכוונה בתפילה, והתירו לעקור ממקומו ונביא מקצת מהם כאן לתועלת הענין. לענין ילד שבוכה בבית הכנסת ואביו מנסה לרמוז לו להיות בשקט ואינו מועיל, כבר כתב בשערי תשובה (סימן ק"ד) ובכף החיים שמותר להתרחק מהם. ואם גם זה לא יועיל פסק הגרשז"א ז"ל הובא בספר תפילה כהלכתה (פרק י"ב סעיף פ"ז) שמותר לגשת אליו להשתיק אותם. וזהו הכל כדי שיכול לכוין באמצע התפילה. ובשו"ת שפתי נבונים שם הביא פסק ידוע מהחזון איש שאם בנו מפצירו באמצע התפילה שצריך ללכת לבית הכסא, ואינו רוצה ללכת לבד ומפריע לו להתפלל, מותר לאביו להוציאו באמצע שמונה עשרה ולקחתו לבית הכסא, כיון שמפריע לו להתפלל. </w:t>
      </w:r>
    </w:p>
    <w:p w14:paraId="630B4094" w14:textId="77777777" w:rsidR="008307D7" w:rsidRDefault="008307D7" w:rsidP="00423C6D">
      <w:pPr>
        <w:pStyle w:val="11"/>
        <w:bidi/>
        <w:rPr>
          <w:rtl/>
        </w:rPr>
      </w:pPr>
      <w:r>
        <w:rPr>
          <w:rtl/>
        </w:rPr>
        <w:t>טלפון מצלצל באמצע שמונה עשרה</w:t>
      </w:r>
    </w:p>
    <w:p w14:paraId="41B957DD" w14:textId="77777777" w:rsidR="008307D7" w:rsidRDefault="008307D7" w:rsidP="00423C6D">
      <w:pPr>
        <w:pStyle w:val="a2"/>
        <w:rPr>
          <w:rtl/>
        </w:rPr>
      </w:pPr>
      <w:r>
        <w:rPr>
          <w:rtl/>
        </w:rPr>
        <w:t>ועוד דוגמא מצויה אם אחד מתפלל וכגון שמצוי אצל נשים שתפללים בבית והטלפון תמיד מצלצל או שאחד דופק להרבה זמן ומפריע את כוונת התפילה, מותר לנתק את הטלפון או לפתוח את הדלת כדי שתוכל לכוון בתפילה וזה נחשב עקירה לצורך כוונה בתפילה, כך פסק הגרי"ש אלישיב זצ"ל הו"ד בספר תפילה כהלכתה שם.</w:t>
      </w:r>
    </w:p>
    <w:p w14:paraId="7E6C9AEA" w14:textId="77777777" w:rsidR="008307D7" w:rsidRDefault="008307D7" w:rsidP="00423C6D">
      <w:pPr>
        <w:pStyle w:val="11"/>
        <w:bidi/>
        <w:rPr>
          <w:rtl/>
        </w:rPr>
      </w:pPr>
      <w:r>
        <w:rPr>
          <w:rtl/>
        </w:rPr>
        <w:t>שכח דין באמצע שמונה עשרה ורוצה לקחת ספר מהארון</w:t>
      </w:r>
    </w:p>
    <w:p w14:paraId="277FF6D9" w14:textId="77777777" w:rsidR="008307D7" w:rsidRDefault="008307D7" w:rsidP="00423C6D">
      <w:pPr>
        <w:pStyle w:val="a2"/>
        <w:rPr>
          <w:rtl/>
        </w:rPr>
      </w:pPr>
      <w:r>
        <w:rPr>
          <w:rtl/>
        </w:rPr>
        <w:t>כתב במשנה ברורה (סימן ק"ד ס"ק ב') וז"ל: כתב הח"א [כלל כ"ה ס"ט] העומד בתפלה ונסתפק באיזה דין איך יתפלל כגון ששכח איזה דבר בתפלה מותר לילך ממקומו למקום מיוחד ולעיין שם בספר ואם מותר לשאול הדין צ"ע ונ"ל דמותר. וראה עוד בספרי הפוסקים אם מותר לעיין בספר אפילו בדבר שאינו מעכב בתפילה. הרי ראינו כמה וכמה דוגמאות וכן מצאנו עוד הרבה דינים שפסקו האחרונים וגדולי הפוסקים שכמעט כל דבר שמפריע לו לכוון בתפילה יש מקום להקל ללכת לפי הצורך כדי שתוכל לקבל את יישוב הדעת וכוונה שצריך כדי להמשיך להתפלל בכוונה.</w:t>
      </w:r>
    </w:p>
    <w:p w14:paraId="3BA3700E" w14:textId="16F45248" w:rsidR="008307D7" w:rsidRDefault="008307D7" w:rsidP="00423C6D">
      <w:pPr>
        <w:pStyle w:val="a2"/>
        <w:rPr>
          <w:rtl/>
        </w:rPr>
      </w:pPr>
      <w:r>
        <w:rPr>
          <w:rtl/>
        </w:rPr>
        <w:t xml:space="preserve">ונחזור לנידון דידן שאחד שרואה בזיון כתבי הקודש באמצע שמונה עשרה כגון אחד הניח פלאפון או משקפיים או ארנק על גבי ספר קדוש [דרך אגב ראה בספרינו אהל יעקב הל' כבוד ספרים שהארכנו בנושא זה שיש לעורר לאנשים להפסיק להניח חצפים של חולין על גבי ספרים קדושים] והוא באמצע שמונה עשרה ומפריע לו במידה שאינו יכול לכוון בהמשך התפילה, נלענ"ד שמותר לו ללכת ולהסיר את החפץ מעל הספר וכדומה. ובאמת שדין הזה מובא בהדיא במשנה ברורה (סימן צ"ו ס"ק ז') וז"ל: נפל ספר על הארץ ואינו יכול לכוין מותר להגביהו כשיסיים הברכה שהוא עומד </w:t>
      </w:r>
      <w:r>
        <w:rPr>
          <w:rtl/>
        </w:rPr>
        <w:lastRenderedPageBreak/>
        <w:t>בה ואי לא"ה לא יפסיק וכ"ש שאין לקרוץ באצבע וכיוצא בשעת תפילה. אם התחיל להתפלל ש"ע ונתבלבל מותר לילך למקום הידוע לו ליקח משם סידור [ח"א]. ואף שבספר חסידים שהביא המ"ב כתב שאין ללכת עד שמסיים הברכה, מ"מ כבר כתב בשו"ת אור לציון (חלק ב' פרק מ"ה סעיף כ"ז) דהיום רשאי להפסיק אף באמצע הברכה, כיון הרי בהדיא כתב שאם יש חשש בזיון לספרי קודש וזה מפריע לשמונה עשרה מותר לעקור ממקומו כדי למנוע הבזיון וה"ה בנידון דידן.</w:t>
      </w:r>
    </w:p>
    <w:p w14:paraId="080E9E22" w14:textId="77777777" w:rsidR="008307D7" w:rsidRDefault="008307D7" w:rsidP="00423C6D">
      <w:pPr>
        <w:pStyle w:val="a2"/>
        <w:rPr>
          <w:rtl/>
        </w:rPr>
      </w:pPr>
      <w:r>
        <w:rPr>
          <w:rtl/>
        </w:rPr>
        <w:t>ושאלתי כמה מורי הוראה שליט"א וכתב לי במח"ס שבט הקהתי הגרש"ק גרוס שליט"א שאם כשסוגר את עיניו זה עדיין מפריע לו, מותר לעקור ממקומו כדי להסיר את הבזיון. וכתב לי הגר"י שוב שליט"א וז"ל: מהגאון רבי עזריאל אויערבאך שליט"א שמעתי דאם זה מפריע לו להתפלל מותר לו ללכת להסיר את זה מהספרים. ומהגאון רבי שריה דבליצקי זצ"ל שמעתי דישתדל להסיח דעת מזה ולא יפסיק ללכת באמצע התפילה.</w:t>
      </w:r>
    </w:p>
    <w:p w14:paraId="327A0D90" w14:textId="33D5380C" w:rsidR="008307D7" w:rsidRDefault="008307D7" w:rsidP="00423C6D">
      <w:pPr>
        <w:pStyle w:val="a2"/>
        <w:rPr>
          <w:rtl/>
        </w:rPr>
      </w:pPr>
      <w:r>
        <w:rPr>
          <w:rtl/>
        </w:rPr>
        <w:t>העולה לדינא: אחד שמתפלל שמונה עשרה והמתפלל מלפניו הניח טלפון או משקפיים שלו על גבי חומש לידו וזה מפריע את המתפלל מאחוריו ששם לב לזה באמצע התפילה שלו, מותר לו לצאת ממקומו כדי להסיר את בזיון כתבי הקודש שקורה מלפניו.</w:t>
      </w:r>
    </w:p>
    <w:p w14:paraId="471D8FE5" w14:textId="77777777" w:rsidR="00186078" w:rsidRDefault="00186078" w:rsidP="00D25B6F">
      <w:pPr>
        <w:pStyle w:val="a4"/>
        <w:spacing w:after="0"/>
        <w:sectPr w:rsidR="00186078"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6763651" w14:textId="785A7E45" w:rsidR="00186078" w:rsidRPr="005E07EC" w:rsidRDefault="00186078" w:rsidP="00186078">
      <w:pPr>
        <w:pStyle w:val="a"/>
        <w:bidi w:val="0"/>
        <w:rPr>
          <w:sz w:val="28"/>
          <w:szCs w:val="28"/>
          <w:rtl/>
        </w:rPr>
      </w:pPr>
      <w:bookmarkStart w:id="165" w:name="_Toc531140404"/>
      <w:r w:rsidRPr="00124202">
        <w:rPr>
          <w:rtl/>
        </w:rPr>
        <w:t xml:space="preserve">השותה כזית חמץ שנתערב במשקה אחר ויש בזה התערובת יותר מכדי </w:t>
      </w:r>
      <w:r w:rsidRPr="00186078">
        <w:rPr>
          <w:b/>
          <w:u w:val="single"/>
          <w:rtl/>
        </w:rPr>
        <w:t>שתיית רביעית</w:t>
      </w:r>
      <w:bookmarkEnd w:id="165"/>
    </w:p>
    <w:p w14:paraId="200E8B02" w14:textId="5CFEBEEC" w:rsidR="00186078" w:rsidRPr="005E07EC" w:rsidRDefault="00186078" w:rsidP="00756517">
      <w:pPr>
        <w:pStyle w:val="a5"/>
        <w:jc w:val="right"/>
        <w:rPr>
          <w:rtl/>
        </w:rPr>
      </w:pPr>
      <w:bookmarkStart w:id="166" w:name="_Toc531140405"/>
      <w:r w:rsidRPr="008307D7">
        <w:rPr>
          <w:rStyle w:val="Char0"/>
          <w:rFonts w:hint="cs"/>
          <w:rtl/>
        </w:rPr>
        <w:t>הר</w:t>
      </w:r>
      <w:r w:rsidR="00756517">
        <w:rPr>
          <w:rStyle w:val="Char0"/>
          <w:rFonts w:hint="cs"/>
          <w:rtl/>
        </w:rPr>
        <w:t>ב</w:t>
      </w:r>
      <w:bookmarkStart w:id="167" w:name="_GoBack"/>
      <w:bookmarkEnd w:id="167"/>
      <w:r w:rsidRPr="008307D7">
        <w:rPr>
          <w:rStyle w:val="Char0"/>
          <w:rFonts w:hint="cs"/>
          <w:rtl/>
        </w:rPr>
        <w:t xml:space="preserve"> שבתי אשר טיאר</w:t>
      </w:r>
      <w:bookmarkEnd w:id="166"/>
      <w:r w:rsidRPr="003E3DE0">
        <w:rPr>
          <w:rtl/>
        </w:rPr>
        <w:br/>
      </w:r>
      <w:r w:rsidRPr="00186078">
        <w:rPr>
          <w:rStyle w:val="Char1"/>
          <w:rFonts w:hint="cs"/>
          <w:b w:val="0"/>
          <w:bCs w:val="0"/>
          <w:rtl/>
        </w:rPr>
        <w:t>מח"ס 'קונטרס רבית ועיסקא דרך קצרה'</w:t>
      </w:r>
    </w:p>
    <w:p w14:paraId="68F78D70" w14:textId="77777777" w:rsidR="00186078" w:rsidRPr="005E07EC" w:rsidRDefault="00186078" w:rsidP="00423C6D">
      <w:pPr>
        <w:pStyle w:val="a2"/>
      </w:pPr>
      <w:r w:rsidRPr="005E07EC">
        <w:rPr>
          <w:rtl/>
        </w:rPr>
        <w:t xml:space="preserve">כתב אדה״ז בשו״ע שלו ברסי׳ תמב שכזית חמץ דגן גמור שנתערב במין מאכל אחר </w:t>
      </w:r>
      <w:r w:rsidRPr="005E07EC">
        <w:rPr>
          <w:rFonts w:hint="cs"/>
          <w:rtl/>
        </w:rPr>
        <w:t>ו</w:t>
      </w:r>
      <w:r w:rsidRPr="005E07EC">
        <w:rPr>
          <w:rFonts w:hint="eastAsia"/>
          <w:rtl/>
        </w:rPr>
        <w:t>יש</w:t>
      </w:r>
      <w:r w:rsidRPr="005E07EC">
        <w:rPr>
          <w:rtl/>
        </w:rPr>
        <w:t xml:space="preserve"> </w:t>
      </w:r>
      <w:r w:rsidRPr="005E07EC">
        <w:rPr>
          <w:rFonts w:hint="eastAsia"/>
          <w:rtl/>
        </w:rPr>
        <w:t>בזה</w:t>
      </w:r>
      <w:r w:rsidRPr="005E07EC">
        <w:rPr>
          <w:rtl/>
        </w:rPr>
        <w:t xml:space="preserve"> </w:t>
      </w:r>
      <w:r w:rsidRPr="005E07EC">
        <w:rPr>
          <w:rFonts w:hint="eastAsia"/>
          <w:rtl/>
        </w:rPr>
        <w:t>התערובת</w:t>
      </w:r>
      <w:r w:rsidRPr="005E07EC">
        <w:rPr>
          <w:rtl/>
        </w:rPr>
        <w:t xml:space="preserve"> </w:t>
      </w:r>
      <w:r w:rsidRPr="005E07EC">
        <w:rPr>
          <w:rFonts w:hint="eastAsia"/>
          <w:rtl/>
        </w:rPr>
        <w:t>יותר</w:t>
      </w:r>
      <w:r w:rsidRPr="005E07EC">
        <w:rPr>
          <w:rtl/>
        </w:rPr>
        <w:t xml:space="preserve"> </w:t>
      </w:r>
      <w:r w:rsidRPr="005E07EC">
        <w:rPr>
          <w:rFonts w:hint="eastAsia"/>
          <w:rtl/>
        </w:rPr>
        <w:t>מכדי</w:t>
      </w:r>
      <w:r w:rsidRPr="005E07EC">
        <w:rPr>
          <w:rtl/>
        </w:rPr>
        <w:t xml:space="preserve"> </w:t>
      </w:r>
      <w:r w:rsidRPr="005E07EC">
        <w:rPr>
          <w:rFonts w:hint="eastAsia"/>
          <w:rtl/>
        </w:rPr>
        <w:t>אכילת</w:t>
      </w:r>
      <w:r w:rsidRPr="005E07EC">
        <w:rPr>
          <w:rtl/>
        </w:rPr>
        <w:t xml:space="preserve"> </w:t>
      </w:r>
      <w:r w:rsidRPr="005E07EC">
        <w:rPr>
          <w:rFonts w:hint="eastAsia"/>
          <w:rtl/>
        </w:rPr>
        <w:t>פרס</w:t>
      </w:r>
      <w:r w:rsidRPr="005E07EC">
        <w:rPr>
          <w:rFonts w:hint="cs"/>
          <w:rtl/>
        </w:rPr>
        <w:t xml:space="preserve">, </w:t>
      </w:r>
      <w:r w:rsidRPr="005E07EC">
        <w:rPr>
          <w:rtl/>
        </w:rPr>
        <w:t>ואכל כל התערובת בפסח</w:t>
      </w:r>
      <w:r w:rsidRPr="005E07EC">
        <w:rPr>
          <w:rFonts w:hint="cs"/>
          <w:rtl/>
        </w:rPr>
        <w:t>, אע״פ ש</w:t>
      </w:r>
      <w:r w:rsidRPr="005E07EC">
        <w:rPr>
          <w:rtl/>
        </w:rPr>
        <w:t>יש בתערובת הזה טעם חמץ אינו לוקה מן התורה לפי שכזית החמץ הוא מעורב בכל התערובת ונמצא ששהה באכילת כזית חמץ כדי שהיית אכילת כל התערובת שיש בו יותר מפרס והלכה למשה מסיני הוא שכל ששהה באכילת כזית יותר משהיית אכילת פרס בצמצום אינו חייב באכילה זו.</w:t>
      </w:r>
    </w:p>
    <w:p w14:paraId="7BF9E6FD" w14:textId="77777777" w:rsidR="00186078" w:rsidRPr="005E07EC" w:rsidRDefault="00186078" w:rsidP="00423C6D">
      <w:pPr>
        <w:pStyle w:val="a2"/>
        <w:rPr>
          <w:rtl/>
        </w:rPr>
      </w:pPr>
      <w:r w:rsidRPr="005E07EC">
        <w:rPr>
          <w:rtl/>
        </w:rPr>
        <w:t xml:space="preserve">ולא נתפרש כאן </w:t>
      </w:r>
      <w:r w:rsidRPr="005E07EC">
        <w:rPr>
          <w:rFonts w:hint="cs"/>
          <w:rtl/>
        </w:rPr>
        <w:t>השיעור ב</w:t>
      </w:r>
      <w:r w:rsidRPr="005E07EC">
        <w:rPr>
          <w:rtl/>
        </w:rPr>
        <w:t xml:space="preserve">שתי׳. והדבר יובן בהקדם פסק הרמב״ם בהלכות </w:t>
      </w:r>
      <w:r w:rsidRPr="005E07EC">
        <w:rPr>
          <w:rtl/>
        </w:rPr>
        <w:lastRenderedPageBreak/>
        <w:t>שביתת עשור פ״ב ה״ד ששיעור צירוף לשתיה הוא בכדי שתיית רביעית. ועד״ז כתב בהלכות תרומות פ״י ה״ג. ועד״ז בהלכות מאכלות אסורות פרק יד ה״ט.</w:t>
      </w:r>
    </w:p>
    <w:p w14:paraId="3D1F67EE" w14:textId="77777777" w:rsidR="00186078" w:rsidRPr="005E07EC" w:rsidRDefault="00186078" w:rsidP="00423C6D">
      <w:pPr>
        <w:pStyle w:val="a2"/>
        <w:rPr>
          <w:rtl/>
        </w:rPr>
      </w:pPr>
      <w:r w:rsidRPr="005E07EC">
        <w:rPr>
          <w:rtl/>
        </w:rPr>
        <w:t>ובהלכות ברכות פ״ג הי״ב לא כתב מזה כלום אבל במג״א רסי׳ רי כתב שלדעת הרמב״ם בהלכות שביתת עשור פ״ב ה״ד השיעור בזה הוא בכדי שתיית רביעית</w:t>
      </w:r>
      <w:r w:rsidRPr="005E07EC">
        <w:rPr>
          <w:rFonts w:hint="cs"/>
          <w:rtl/>
        </w:rPr>
        <w:t>, ולדעת הראב״ד השיעור הוא בכדי אכילת פרס</w:t>
      </w:r>
      <w:r w:rsidRPr="005E07EC">
        <w:rPr>
          <w:rtl/>
        </w:rPr>
        <w:t>. ולכן בשתיית הקאוו״י וטיי״א חמין ששותהו מעט מעט אין לברך אחריו</w:t>
      </w:r>
      <w:r w:rsidRPr="005E07EC">
        <w:rPr>
          <w:rFonts w:hint="cs"/>
          <w:rtl/>
        </w:rPr>
        <w:t xml:space="preserve"> שהרי ספק ברכות להקל</w:t>
      </w:r>
      <w:r w:rsidRPr="005E07EC">
        <w:rPr>
          <w:rtl/>
        </w:rPr>
        <w:t xml:space="preserve">. וכן הבין במשנה למלך שם שהביא מאן דאמר שיש לברך אחריו אע״פ שיש מתחלת השתי׳ עד סוף השתי׳ יותר מכדי שתיית רביעית, ״מפני שדרך שתייתו כך היא״, וכתב עליו שחילוק זה ליתי׳ ואין לברך. </w:t>
      </w:r>
      <w:r w:rsidRPr="005E07EC">
        <w:rPr>
          <w:rFonts w:hint="cs"/>
          <w:rtl/>
        </w:rPr>
        <w:t xml:space="preserve">ועפ״ז פסק אדה״ז בלוח ברכת הנהנין שלו פ״ב ה״ז שאין לברך </w:t>
      </w:r>
      <w:r w:rsidRPr="005E07EC">
        <w:rPr>
          <w:rtl/>
        </w:rPr>
        <w:t>אחריו</w:t>
      </w:r>
      <w:r w:rsidRPr="005E07EC">
        <w:rPr>
          <w:rFonts w:hint="cs"/>
          <w:rtl/>
        </w:rPr>
        <w:t xml:space="preserve"> שהרי ספק ברכות להקל.</w:t>
      </w:r>
    </w:p>
    <w:p w14:paraId="78E2DE37" w14:textId="77777777" w:rsidR="00186078" w:rsidRPr="005E07EC" w:rsidRDefault="00186078" w:rsidP="00423C6D">
      <w:pPr>
        <w:pStyle w:val="a2"/>
        <w:rPr>
          <w:rtl/>
        </w:rPr>
      </w:pPr>
      <w:r w:rsidRPr="005E07EC">
        <w:rPr>
          <w:rFonts w:hint="cs"/>
          <w:rtl/>
        </w:rPr>
        <w:t xml:space="preserve">אבל </w:t>
      </w:r>
      <w:r w:rsidRPr="005E07EC">
        <w:rPr>
          <w:rtl/>
        </w:rPr>
        <w:t>בסדר ברכת הנהנין שלו פ״ח ה״ו</w:t>
      </w:r>
      <w:r w:rsidRPr="005E07EC">
        <w:rPr>
          <w:rFonts w:hint="cs"/>
          <w:rtl/>
        </w:rPr>
        <w:t xml:space="preserve"> חזר בו אדה״ז ו</w:t>
      </w:r>
      <w:r w:rsidRPr="005E07EC">
        <w:rPr>
          <w:rtl/>
        </w:rPr>
        <w:t xml:space="preserve">פסק שיש לברך אחר שתיית הקאוו״י וטיי״א חמין ששותהו מעט מעט, ושיעור צירוף שתיה לענין זה הוא בכדי אכילת פרס [משא״כ ביוה״כ פסק שהעיקר הוא כהרמב״ם  שהשיעור הוא בכדי שתיית רביעית כמ״ש בסי׳ תריב סט״ו], הגם דקיי״ל שספק ברכות להקל. </w:t>
      </w:r>
    </w:p>
    <w:p w14:paraId="3273CC22" w14:textId="77777777" w:rsidR="00186078" w:rsidRPr="005E07EC" w:rsidRDefault="00186078" w:rsidP="00423C6D">
      <w:pPr>
        <w:pStyle w:val="a2"/>
        <w:rPr>
          <w:rtl/>
        </w:rPr>
      </w:pPr>
      <w:r w:rsidRPr="005E07EC">
        <w:rPr>
          <w:rtl/>
        </w:rPr>
        <w:t>וטעמו ונימוקו עמו שהרי בפ״ה דנזיר ה״</w:t>
      </w:r>
      <w:r w:rsidRPr="005E07EC">
        <w:rPr>
          <w:rFonts w:hint="cs"/>
          <w:rtl/>
        </w:rPr>
        <w:t xml:space="preserve">ד </w:t>
      </w:r>
      <w:r w:rsidRPr="005E07EC">
        <w:rPr>
          <w:rtl/>
        </w:rPr>
        <w:t xml:space="preserve">כתב הרמב״ם דשיעור צירוף הוא בכדי אכילת פרס. ועד״ז כתב בהלכות שאר אבות הטומאות פ״ח הל׳ יא (ע״פ כריתות יג ע״א). ואין כאן סתירה, דבשתיה ששיעורה </w:t>
      </w:r>
      <w:r w:rsidRPr="005E07EC">
        <w:rPr>
          <w:b/>
          <w:bCs/>
          <w:rtl/>
        </w:rPr>
        <w:t>בפחות</w:t>
      </w:r>
      <w:r w:rsidRPr="005E07EC">
        <w:rPr>
          <w:rtl/>
        </w:rPr>
        <w:t xml:space="preserve"> מרביעית (ולדוגמא, ביוה״כ – שיעורה מלא לוגמיו. בכל איסורים – איסור השתיה (כאיסור האכילה) בכזית [ודלא כמ״ש הכ״מ בספ״ג מהלכות ברכות בפשיטות, דכל איסורי משקין ברביעית, בלי שום ראיה. וכדמוכח בפ״ו מהלכות מאכלות אסורות ה״א גבי האוכל דם בכזית וסתם דרך אכילת דם היינו שתייה. ועד״ז בפ״י מהלכות תרומות ה״ב</w:t>
      </w:r>
      <w:r w:rsidRPr="005E07EC">
        <w:rPr>
          <w:rFonts w:hint="cs"/>
          <w:rtl/>
        </w:rPr>
        <w:t xml:space="preserve">. </w:t>
      </w:r>
      <w:r w:rsidRPr="005E07EC">
        <w:rPr>
          <w:rtl/>
        </w:rPr>
        <w:t xml:space="preserve">ורק בסתם יינם </w:t>
      </w:r>
      <w:r w:rsidRPr="005E07EC">
        <w:rPr>
          <w:rFonts w:hint="cs"/>
          <w:rtl/>
        </w:rPr>
        <w:t xml:space="preserve">(כדיוק לשון הרמב״ם בפרק יד מהל׳ מאכלות אסורות ה״ט) </w:t>
      </w:r>
      <w:r w:rsidRPr="005E07EC">
        <w:rPr>
          <w:rtl/>
        </w:rPr>
        <w:t>פסק שהשיעור הוא רביעית</w:t>
      </w:r>
      <w:r w:rsidRPr="005E07EC">
        <w:rPr>
          <w:rFonts w:hint="cs"/>
          <w:rtl/>
        </w:rPr>
        <w:t xml:space="preserve"> [ו</w:t>
      </w:r>
      <w:r w:rsidRPr="005E07EC">
        <w:rPr>
          <w:rtl/>
        </w:rPr>
        <w:t>אעפ״כ שיעור צירוף הוא בכדי שתיית רביעית</w:t>
      </w:r>
      <w:r w:rsidRPr="005E07EC">
        <w:rPr>
          <w:rFonts w:hint="cs"/>
          <w:rtl/>
        </w:rPr>
        <w:t>, דלא רצו רבנן לחלק בשיעור צירוף באיסורים (נ״ל)]</w:t>
      </w:r>
      <w:r w:rsidRPr="005E07EC">
        <w:rPr>
          <w:rtl/>
        </w:rPr>
        <w:t xml:space="preserve"> ואין ללמוד לשארי ענינים</w:t>
      </w:r>
      <w:r w:rsidRPr="005E07EC">
        <w:rPr>
          <w:rFonts w:hint="cs"/>
          <w:rtl/>
        </w:rPr>
        <w:t xml:space="preserve"> </w:t>
      </w:r>
      <w:r w:rsidRPr="005E07EC">
        <w:rPr>
          <w:rtl/>
        </w:rPr>
        <w:t>(שארית יהודה סימן טו</w:t>
      </w:r>
      <w:r w:rsidRPr="005E07EC">
        <w:rPr>
          <w:rFonts w:hint="cs"/>
          <w:rtl/>
        </w:rPr>
        <w:t xml:space="preserve"> בשם אדה״ז</w:t>
      </w:r>
      <w:r w:rsidRPr="005E07EC">
        <w:rPr>
          <w:rtl/>
        </w:rPr>
        <w:t>)]</w:t>
      </w:r>
      <w:r w:rsidRPr="005E07EC">
        <w:rPr>
          <w:rFonts w:hint="cs"/>
          <w:rtl/>
        </w:rPr>
        <w:t>)</w:t>
      </w:r>
      <w:r w:rsidRPr="005E07EC">
        <w:rPr>
          <w:rtl/>
        </w:rPr>
        <w:t xml:space="preserve"> שיעור צירוף הוא בכדי שתיית </w:t>
      </w:r>
      <w:r w:rsidRPr="005E07EC">
        <w:rPr>
          <w:b/>
          <w:bCs/>
          <w:rtl/>
        </w:rPr>
        <w:t>רביעית</w:t>
      </w:r>
      <w:r w:rsidRPr="005E07EC">
        <w:rPr>
          <w:rtl/>
        </w:rPr>
        <w:t xml:space="preserve">. ובשתיה ששיעורה </w:t>
      </w:r>
      <w:r w:rsidRPr="005E07EC">
        <w:rPr>
          <w:b/>
          <w:bCs/>
          <w:rtl/>
        </w:rPr>
        <w:t>רביעית</w:t>
      </w:r>
      <w:r w:rsidRPr="005E07EC">
        <w:rPr>
          <w:rtl/>
        </w:rPr>
        <w:t xml:space="preserve"> </w:t>
      </w:r>
      <w:r w:rsidRPr="005E07EC">
        <w:rPr>
          <w:rFonts w:hint="cs"/>
          <w:rtl/>
        </w:rPr>
        <w:t>[</w:t>
      </w:r>
      <w:r w:rsidRPr="005E07EC">
        <w:rPr>
          <w:rtl/>
        </w:rPr>
        <w:t>ולדוגמא, ברכה אחרונה</w:t>
      </w:r>
      <w:r w:rsidRPr="005E07EC">
        <w:rPr>
          <w:rFonts w:hint="cs"/>
          <w:rtl/>
        </w:rPr>
        <w:t xml:space="preserve"> (כמ״ש </w:t>
      </w:r>
      <w:r w:rsidRPr="005E07EC">
        <w:rPr>
          <w:rtl/>
        </w:rPr>
        <w:t>בהלכות ברכות פ״ג הי״ב</w:t>
      </w:r>
      <w:r w:rsidRPr="005E07EC">
        <w:rPr>
          <w:rFonts w:hint="cs"/>
          <w:rtl/>
        </w:rPr>
        <w:t>)</w:t>
      </w:r>
      <w:r w:rsidRPr="005E07EC">
        <w:rPr>
          <w:rtl/>
        </w:rPr>
        <w:t>, שתיית יין דנזיר (כמ״ש בהלכות נזירות פ״ה ה״ב), לטמא את הגוף (כמ״ש בהלכות תרומות פ״י ה״ג)</w:t>
      </w:r>
      <w:r w:rsidRPr="005E07EC">
        <w:rPr>
          <w:rFonts w:hint="cs"/>
          <w:rtl/>
        </w:rPr>
        <w:t>]</w:t>
      </w:r>
      <w:r w:rsidRPr="005E07EC">
        <w:rPr>
          <w:rtl/>
        </w:rPr>
        <w:t xml:space="preserve"> שיעור צירוף הוא </w:t>
      </w:r>
      <w:r w:rsidRPr="005E07EC">
        <w:rPr>
          <w:b/>
          <w:bCs/>
          <w:rtl/>
        </w:rPr>
        <w:t>בכדי אכילת פרס</w:t>
      </w:r>
      <w:r w:rsidRPr="005E07EC">
        <w:rPr>
          <w:rtl/>
        </w:rPr>
        <w:t>, שהרי אין סברא כ״כ לשער שתיית רביעית שבמהרה בכדי שתיית רביעית בשתייה בינונית (שארית יהודה שם</w:t>
      </w:r>
      <w:r w:rsidRPr="005E07EC">
        <w:rPr>
          <w:rFonts w:hint="cs"/>
          <w:rtl/>
        </w:rPr>
        <w:t xml:space="preserve"> בשם אדה״ז</w:t>
      </w:r>
      <w:r w:rsidRPr="005E07EC">
        <w:rPr>
          <w:rtl/>
        </w:rPr>
        <w:t xml:space="preserve">. וראה </w:t>
      </w:r>
      <w:r w:rsidRPr="005E07EC">
        <w:rPr>
          <w:b/>
          <w:bCs/>
          <w:rtl/>
        </w:rPr>
        <w:t>עד״ז</w:t>
      </w:r>
      <w:r w:rsidRPr="005E07EC">
        <w:rPr>
          <w:rtl/>
        </w:rPr>
        <w:t xml:space="preserve"> ברבינו מנוח בהלכות שביתת עשור שם).</w:t>
      </w:r>
    </w:p>
    <w:p w14:paraId="1F6AFA69" w14:textId="77777777" w:rsidR="00186078" w:rsidRPr="005E07EC" w:rsidRDefault="00186078" w:rsidP="00423C6D">
      <w:pPr>
        <w:pStyle w:val="a2"/>
        <w:rPr>
          <w:rtl/>
        </w:rPr>
      </w:pPr>
      <w:r w:rsidRPr="005E07EC">
        <w:rPr>
          <w:rFonts w:hint="cs"/>
          <w:rtl/>
        </w:rPr>
        <w:t xml:space="preserve">ונמצא לפי״ז שגם לדעת הרמב״ם </w:t>
      </w:r>
      <w:r w:rsidRPr="005E07EC">
        <w:rPr>
          <w:rtl/>
        </w:rPr>
        <w:t>יש לברך אחר שתיית הקאוו״י וטיי״א חמין ששותהו מעט מעט, ושיעור צירוף שתיה לענין זה הוא בכדי אכילת פרס</w:t>
      </w:r>
      <w:r w:rsidRPr="005E07EC">
        <w:rPr>
          <w:rFonts w:hint="cs"/>
          <w:rtl/>
        </w:rPr>
        <w:t xml:space="preserve"> לכו״ע.</w:t>
      </w:r>
    </w:p>
    <w:p w14:paraId="6615619D" w14:textId="77777777" w:rsidR="00186078" w:rsidRPr="005E07EC" w:rsidRDefault="00186078" w:rsidP="00423C6D">
      <w:pPr>
        <w:pStyle w:val="a2"/>
        <w:rPr>
          <w:rtl/>
        </w:rPr>
      </w:pPr>
      <w:r w:rsidRPr="005E07EC">
        <w:rPr>
          <w:rFonts w:hint="cs"/>
          <w:rtl/>
        </w:rPr>
        <w:lastRenderedPageBreak/>
        <w:t xml:space="preserve">ואעפ״כ השותה </w:t>
      </w:r>
      <w:r w:rsidRPr="005E07EC">
        <w:rPr>
          <w:rtl/>
        </w:rPr>
        <w:t>כזית חמץ שנתערב ב</w:t>
      </w:r>
      <w:r w:rsidRPr="005E07EC">
        <w:rPr>
          <w:rFonts w:hint="cs"/>
          <w:rtl/>
        </w:rPr>
        <w:t xml:space="preserve">משקה </w:t>
      </w:r>
      <w:r w:rsidRPr="005E07EC">
        <w:rPr>
          <w:rtl/>
        </w:rPr>
        <w:t xml:space="preserve">אחר </w:t>
      </w:r>
      <w:r w:rsidRPr="005E07EC">
        <w:rPr>
          <w:rFonts w:hint="cs"/>
          <w:rtl/>
        </w:rPr>
        <w:t>ו</w:t>
      </w:r>
      <w:r w:rsidRPr="005E07EC">
        <w:rPr>
          <w:rFonts w:hint="eastAsia"/>
          <w:rtl/>
        </w:rPr>
        <w:t>יש</w:t>
      </w:r>
      <w:r w:rsidRPr="005E07EC">
        <w:rPr>
          <w:rtl/>
        </w:rPr>
        <w:t xml:space="preserve"> </w:t>
      </w:r>
      <w:r w:rsidRPr="005E07EC">
        <w:rPr>
          <w:rFonts w:hint="eastAsia"/>
          <w:rtl/>
        </w:rPr>
        <w:t>בזה</w:t>
      </w:r>
      <w:r w:rsidRPr="005E07EC">
        <w:rPr>
          <w:rtl/>
        </w:rPr>
        <w:t xml:space="preserve"> </w:t>
      </w:r>
      <w:r w:rsidRPr="005E07EC">
        <w:rPr>
          <w:rFonts w:hint="eastAsia"/>
          <w:rtl/>
        </w:rPr>
        <w:t>התערובת</w:t>
      </w:r>
      <w:r w:rsidRPr="005E07EC">
        <w:rPr>
          <w:rtl/>
        </w:rPr>
        <w:t xml:space="preserve"> </w:t>
      </w:r>
      <w:r w:rsidRPr="005E07EC">
        <w:rPr>
          <w:rFonts w:hint="eastAsia"/>
          <w:rtl/>
        </w:rPr>
        <w:t>יותר</w:t>
      </w:r>
      <w:r w:rsidRPr="005E07EC">
        <w:rPr>
          <w:rtl/>
        </w:rPr>
        <w:t xml:space="preserve"> </w:t>
      </w:r>
      <w:r w:rsidRPr="005E07EC">
        <w:rPr>
          <w:rFonts w:hint="eastAsia"/>
          <w:rtl/>
        </w:rPr>
        <w:t>מכדי</w:t>
      </w:r>
      <w:r w:rsidRPr="005E07EC">
        <w:rPr>
          <w:b/>
          <w:bCs/>
          <w:rtl/>
        </w:rPr>
        <w:t xml:space="preserve"> </w:t>
      </w:r>
      <w:r w:rsidRPr="005E07EC">
        <w:rPr>
          <w:rFonts w:hint="cs"/>
          <w:b/>
          <w:bCs/>
          <w:rtl/>
        </w:rPr>
        <w:t>שתיית רביעית</w:t>
      </w:r>
      <w:r w:rsidRPr="005E07EC">
        <w:rPr>
          <w:rFonts w:hint="cs"/>
          <w:rtl/>
        </w:rPr>
        <w:t xml:space="preserve">, </w:t>
      </w:r>
      <w:r w:rsidRPr="005E07EC">
        <w:rPr>
          <w:rtl/>
        </w:rPr>
        <w:t>ו</w:t>
      </w:r>
      <w:r w:rsidRPr="005E07EC">
        <w:rPr>
          <w:rFonts w:hint="cs"/>
          <w:rtl/>
        </w:rPr>
        <w:t>שתה</w:t>
      </w:r>
      <w:r w:rsidRPr="005E07EC">
        <w:rPr>
          <w:rtl/>
        </w:rPr>
        <w:t xml:space="preserve"> כל התערובת בפסח</w:t>
      </w:r>
      <w:r w:rsidRPr="005E07EC">
        <w:rPr>
          <w:rFonts w:hint="cs"/>
          <w:rtl/>
        </w:rPr>
        <w:t>, אע״פ ש</w:t>
      </w:r>
      <w:r w:rsidRPr="005E07EC">
        <w:rPr>
          <w:rtl/>
        </w:rPr>
        <w:t>יש בתערובת הזה טעם חמץ</w:t>
      </w:r>
      <w:r w:rsidRPr="005E07EC">
        <w:rPr>
          <w:rFonts w:hint="cs"/>
          <w:rtl/>
        </w:rPr>
        <w:t xml:space="preserve"> הנה לדעת הרמב״ם</w:t>
      </w:r>
      <w:r w:rsidRPr="005E07EC">
        <w:rPr>
          <w:rtl/>
        </w:rPr>
        <w:t xml:space="preserve"> אינו לוקה מן התורה לפי שכזית החמץ הוא מעורב בכל התערובת ונמצא ששהה ב</w:t>
      </w:r>
      <w:r w:rsidRPr="005E07EC">
        <w:rPr>
          <w:rFonts w:hint="cs"/>
          <w:rtl/>
        </w:rPr>
        <w:t>שתיי</w:t>
      </w:r>
      <w:r w:rsidRPr="005E07EC">
        <w:rPr>
          <w:rtl/>
        </w:rPr>
        <w:t xml:space="preserve">ת </w:t>
      </w:r>
      <w:r w:rsidRPr="005E07EC">
        <w:rPr>
          <w:rFonts w:hint="cs"/>
          <w:rtl/>
        </w:rPr>
        <w:t>ה</w:t>
      </w:r>
      <w:r w:rsidRPr="005E07EC">
        <w:rPr>
          <w:rtl/>
        </w:rPr>
        <w:t xml:space="preserve">כזית חמץ כדי שהיית </w:t>
      </w:r>
      <w:r w:rsidRPr="005E07EC">
        <w:rPr>
          <w:rFonts w:hint="cs"/>
          <w:rtl/>
        </w:rPr>
        <w:t>שתיית</w:t>
      </w:r>
      <w:r w:rsidRPr="005E07EC">
        <w:rPr>
          <w:rtl/>
        </w:rPr>
        <w:t xml:space="preserve"> כל התערובת שיש בו יותר </w:t>
      </w:r>
      <w:r w:rsidRPr="005E07EC">
        <w:rPr>
          <w:rFonts w:hint="cs"/>
          <w:rtl/>
        </w:rPr>
        <w:t>מכדי שתיית רביעית.</w:t>
      </w:r>
      <w:r w:rsidRPr="00186078">
        <w:rPr>
          <w:rStyle w:val="FootnoteReference"/>
          <w:rtl/>
        </w:rPr>
        <w:footnoteReference w:id="106"/>
      </w:r>
    </w:p>
    <w:p w14:paraId="5D4EAB36" w14:textId="77777777" w:rsidR="00186078" w:rsidRPr="005E07EC" w:rsidRDefault="00186078" w:rsidP="00423C6D">
      <w:pPr>
        <w:pStyle w:val="a2"/>
        <w:rPr>
          <w:rtl/>
        </w:rPr>
      </w:pPr>
      <w:r w:rsidRPr="005E07EC">
        <w:rPr>
          <w:rFonts w:hint="cs"/>
          <w:rtl/>
        </w:rPr>
        <w:t>ואע״פ שיש בו יותר מכזית חמץ בכדי שתיית פרס, ובסעיף ט כתב אדה״ז ש</w:t>
      </w:r>
      <w:r w:rsidRPr="005E07EC">
        <w:rPr>
          <w:rFonts w:hint="eastAsia"/>
          <w:rtl/>
        </w:rPr>
        <w:t>הלכה</w:t>
      </w:r>
      <w:r w:rsidRPr="005E07EC">
        <w:rPr>
          <w:rtl/>
        </w:rPr>
        <w:t xml:space="preserve"> </w:t>
      </w:r>
      <w:r w:rsidRPr="005E07EC">
        <w:rPr>
          <w:rFonts w:hint="eastAsia"/>
          <w:rtl/>
        </w:rPr>
        <w:t>למשה</w:t>
      </w:r>
      <w:r w:rsidRPr="005E07EC">
        <w:rPr>
          <w:rtl/>
        </w:rPr>
        <w:t xml:space="preserve"> </w:t>
      </w:r>
      <w:r w:rsidRPr="005E07EC">
        <w:rPr>
          <w:rFonts w:hint="eastAsia"/>
          <w:rtl/>
        </w:rPr>
        <w:t>מסיני</w:t>
      </w:r>
      <w:r w:rsidRPr="005E07EC">
        <w:rPr>
          <w:rtl/>
        </w:rPr>
        <w:t xml:space="preserve"> </w:t>
      </w:r>
      <w:r w:rsidRPr="005E07EC">
        <w:rPr>
          <w:rFonts w:hint="eastAsia"/>
          <w:rtl/>
        </w:rPr>
        <w:t>הוא</w:t>
      </w:r>
      <w:r w:rsidRPr="005E07EC">
        <w:rPr>
          <w:rtl/>
        </w:rPr>
        <w:t xml:space="preserve"> </w:t>
      </w:r>
      <w:r w:rsidRPr="005E07EC">
        <w:rPr>
          <w:rFonts w:hint="eastAsia"/>
          <w:rtl/>
        </w:rPr>
        <w:t>בכל</w:t>
      </w:r>
      <w:r w:rsidRPr="005E07EC">
        <w:rPr>
          <w:rtl/>
        </w:rPr>
        <w:t xml:space="preserve"> </w:t>
      </w:r>
      <w:r w:rsidRPr="005E07EC">
        <w:rPr>
          <w:rFonts w:hint="eastAsia"/>
          <w:rtl/>
        </w:rPr>
        <w:t>איסורין</w:t>
      </w:r>
      <w:r w:rsidRPr="005E07EC">
        <w:rPr>
          <w:rtl/>
        </w:rPr>
        <w:t xml:space="preserve"> </w:t>
      </w:r>
      <w:r w:rsidRPr="005E07EC">
        <w:rPr>
          <w:rFonts w:hint="eastAsia"/>
          <w:rtl/>
        </w:rPr>
        <w:t>שבתורה</w:t>
      </w:r>
      <w:r w:rsidRPr="005E07EC">
        <w:rPr>
          <w:rtl/>
        </w:rPr>
        <w:t xml:space="preserve"> </w:t>
      </w:r>
      <w:r w:rsidRPr="005E07EC">
        <w:rPr>
          <w:rFonts w:hint="eastAsia"/>
          <w:rtl/>
        </w:rPr>
        <w:t>שכל</w:t>
      </w:r>
      <w:r w:rsidRPr="005E07EC">
        <w:rPr>
          <w:rtl/>
        </w:rPr>
        <w:t xml:space="preserve"> </w:t>
      </w:r>
      <w:r w:rsidRPr="005E07EC">
        <w:rPr>
          <w:rFonts w:hint="eastAsia"/>
          <w:rtl/>
        </w:rPr>
        <w:t>כזית</w:t>
      </w:r>
      <w:r w:rsidRPr="005E07EC">
        <w:rPr>
          <w:rtl/>
        </w:rPr>
        <w:t xml:space="preserve"> </w:t>
      </w:r>
      <w:r w:rsidRPr="005E07EC">
        <w:rPr>
          <w:rFonts w:hint="eastAsia"/>
          <w:rtl/>
        </w:rPr>
        <w:t>איסור</w:t>
      </w:r>
      <w:r w:rsidRPr="005E07EC">
        <w:rPr>
          <w:rtl/>
        </w:rPr>
        <w:t xml:space="preserve"> </w:t>
      </w:r>
      <w:r w:rsidRPr="005E07EC">
        <w:rPr>
          <w:rFonts w:hint="eastAsia"/>
          <w:rtl/>
        </w:rPr>
        <w:t>שנתערב</w:t>
      </w:r>
      <w:r w:rsidRPr="005E07EC">
        <w:rPr>
          <w:rtl/>
        </w:rPr>
        <w:t xml:space="preserve"> </w:t>
      </w:r>
      <w:r w:rsidRPr="005E07EC">
        <w:rPr>
          <w:rFonts w:hint="eastAsia"/>
          <w:rtl/>
        </w:rPr>
        <w:t>באכילת</w:t>
      </w:r>
      <w:r w:rsidRPr="005E07EC">
        <w:rPr>
          <w:rtl/>
        </w:rPr>
        <w:t xml:space="preserve"> </w:t>
      </w:r>
      <w:r w:rsidRPr="005E07EC">
        <w:rPr>
          <w:rFonts w:hint="cs"/>
          <w:rtl/>
        </w:rPr>
        <w:t xml:space="preserve">או בשתיית </w:t>
      </w:r>
      <w:r w:rsidRPr="005E07EC">
        <w:rPr>
          <w:rFonts w:hint="eastAsia"/>
          <w:rtl/>
        </w:rPr>
        <w:t>פרס</w:t>
      </w:r>
      <w:r w:rsidRPr="005E07EC">
        <w:rPr>
          <w:rtl/>
        </w:rPr>
        <w:t xml:space="preserve"> </w:t>
      </w:r>
      <w:r w:rsidRPr="005E07EC">
        <w:rPr>
          <w:rFonts w:hint="eastAsia"/>
          <w:rtl/>
        </w:rPr>
        <w:t>מהיתר</w:t>
      </w:r>
      <w:r w:rsidRPr="005E07EC">
        <w:rPr>
          <w:rtl/>
        </w:rPr>
        <w:t xml:space="preserve"> </w:t>
      </w:r>
      <w:r w:rsidRPr="005E07EC">
        <w:rPr>
          <w:rFonts w:hint="eastAsia"/>
          <w:rtl/>
        </w:rPr>
        <w:t>הרי</w:t>
      </w:r>
      <w:r w:rsidRPr="005E07EC">
        <w:rPr>
          <w:rtl/>
        </w:rPr>
        <w:t xml:space="preserve"> </w:t>
      </w:r>
      <w:r w:rsidRPr="005E07EC">
        <w:rPr>
          <w:rFonts w:hint="eastAsia"/>
          <w:rtl/>
        </w:rPr>
        <w:t>כל</w:t>
      </w:r>
      <w:r w:rsidRPr="005E07EC">
        <w:rPr>
          <w:rtl/>
        </w:rPr>
        <w:t xml:space="preserve"> </w:t>
      </w:r>
      <w:r w:rsidRPr="005E07EC">
        <w:rPr>
          <w:rFonts w:hint="eastAsia"/>
          <w:rtl/>
        </w:rPr>
        <w:t>הפרס</w:t>
      </w:r>
      <w:r w:rsidRPr="005E07EC">
        <w:rPr>
          <w:rtl/>
        </w:rPr>
        <w:t xml:space="preserve"> </w:t>
      </w:r>
      <w:r w:rsidRPr="005E07EC">
        <w:rPr>
          <w:rFonts w:hint="eastAsia"/>
          <w:rtl/>
        </w:rPr>
        <w:t>של</w:t>
      </w:r>
      <w:r w:rsidRPr="005E07EC">
        <w:rPr>
          <w:rtl/>
        </w:rPr>
        <w:t xml:space="preserve"> </w:t>
      </w:r>
      <w:r w:rsidRPr="005E07EC">
        <w:rPr>
          <w:rFonts w:hint="eastAsia"/>
          <w:rtl/>
        </w:rPr>
        <w:t>היתר</w:t>
      </w:r>
      <w:r w:rsidRPr="005E07EC">
        <w:rPr>
          <w:rtl/>
        </w:rPr>
        <w:t xml:space="preserve"> </w:t>
      </w:r>
      <w:r w:rsidRPr="005E07EC">
        <w:rPr>
          <w:rFonts w:hint="eastAsia"/>
          <w:rtl/>
        </w:rPr>
        <w:t>נתהפך</w:t>
      </w:r>
      <w:r w:rsidRPr="005E07EC">
        <w:rPr>
          <w:rtl/>
        </w:rPr>
        <w:t xml:space="preserve"> </w:t>
      </w:r>
      <w:r w:rsidRPr="005E07EC">
        <w:rPr>
          <w:rFonts w:hint="eastAsia"/>
          <w:rtl/>
        </w:rPr>
        <w:t>להיות</w:t>
      </w:r>
      <w:r w:rsidRPr="005E07EC">
        <w:rPr>
          <w:rtl/>
        </w:rPr>
        <w:t xml:space="preserve"> </w:t>
      </w:r>
      <w:r w:rsidRPr="005E07EC">
        <w:rPr>
          <w:rFonts w:hint="eastAsia"/>
          <w:rtl/>
        </w:rPr>
        <w:t>כגופו</w:t>
      </w:r>
      <w:r w:rsidRPr="005E07EC">
        <w:rPr>
          <w:rtl/>
        </w:rPr>
        <w:t xml:space="preserve"> </w:t>
      </w:r>
      <w:r w:rsidRPr="005E07EC">
        <w:rPr>
          <w:rFonts w:hint="eastAsia"/>
          <w:rtl/>
        </w:rPr>
        <w:t>של</w:t>
      </w:r>
      <w:r w:rsidRPr="005E07EC">
        <w:rPr>
          <w:rtl/>
        </w:rPr>
        <w:t xml:space="preserve"> </w:t>
      </w:r>
      <w:r w:rsidRPr="005E07EC">
        <w:rPr>
          <w:rFonts w:hint="eastAsia"/>
          <w:rtl/>
        </w:rPr>
        <w:t>איסור</w:t>
      </w:r>
      <w:r w:rsidRPr="005E07EC">
        <w:rPr>
          <w:rtl/>
        </w:rPr>
        <w:t xml:space="preserve"> </w:t>
      </w:r>
      <w:r w:rsidRPr="005E07EC">
        <w:rPr>
          <w:rFonts w:hint="eastAsia"/>
          <w:rtl/>
        </w:rPr>
        <w:t>עצמו</w:t>
      </w:r>
      <w:r w:rsidRPr="005E07EC">
        <w:rPr>
          <w:rtl/>
        </w:rPr>
        <w:t xml:space="preserve"> </w:t>
      </w:r>
      <w:r w:rsidRPr="005E07EC">
        <w:rPr>
          <w:rFonts w:hint="eastAsia"/>
          <w:rtl/>
        </w:rPr>
        <w:t>וכל</w:t>
      </w:r>
      <w:r w:rsidRPr="005E07EC">
        <w:rPr>
          <w:rtl/>
        </w:rPr>
        <w:t xml:space="preserve"> </w:t>
      </w:r>
      <w:r w:rsidRPr="005E07EC">
        <w:rPr>
          <w:rFonts w:hint="eastAsia"/>
          <w:rtl/>
        </w:rPr>
        <w:t>האוכל</w:t>
      </w:r>
      <w:r w:rsidRPr="005E07EC">
        <w:rPr>
          <w:rtl/>
        </w:rPr>
        <w:t xml:space="preserve"> </w:t>
      </w:r>
      <w:r w:rsidRPr="005E07EC">
        <w:rPr>
          <w:rFonts w:hint="eastAsia"/>
          <w:rtl/>
        </w:rPr>
        <w:t>כזית</w:t>
      </w:r>
      <w:r w:rsidRPr="005E07EC">
        <w:rPr>
          <w:rtl/>
        </w:rPr>
        <w:t xml:space="preserve"> </w:t>
      </w:r>
      <w:r w:rsidRPr="005E07EC">
        <w:rPr>
          <w:rFonts w:hint="eastAsia"/>
          <w:rtl/>
        </w:rPr>
        <w:t>מפרס</w:t>
      </w:r>
      <w:r w:rsidRPr="005E07EC">
        <w:rPr>
          <w:rtl/>
        </w:rPr>
        <w:t xml:space="preserve"> </w:t>
      </w:r>
      <w:r w:rsidRPr="005E07EC">
        <w:rPr>
          <w:rFonts w:hint="eastAsia"/>
          <w:rtl/>
        </w:rPr>
        <w:t>הזה</w:t>
      </w:r>
      <w:r w:rsidRPr="005E07EC">
        <w:rPr>
          <w:rtl/>
        </w:rPr>
        <w:t xml:space="preserve"> </w:t>
      </w:r>
      <w:r w:rsidRPr="005E07EC">
        <w:rPr>
          <w:rFonts w:hint="eastAsia"/>
          <w:rtl/>
        </w:rPr>
        <w:t>אע</w:t>
      </w:r>
      <w:r w:rsidRPr="005E07EC">
        <w:rPr>
          <w:rtl/>
        </w:rPr>
        <w:t>"</w:t>
      </w:r>
      <w:r w:rsidRPr="005E07EC">
        <w:rPr>
          <w:rFonts w:hint="eastAsia"/>
          <w:rtl/>
        </w:rPr>
        <w:t>פ</w:t>
      </w:r>
      <w:r w:rsidRPr="005E07EC">
        <w:rPr>
          <w:rtl/>
        </w:rPr>
        <w:t xml:space="preserve"> </w:t>
      </w:r>
      <w:r w:rsidRPr="005E07EC">
        <w:rPr>
          <w:rFonts w:hint="eastAsia"/>
          <w:rtl/>
        </w:rPr>
        <w:t>שבכזית</w:t>
      </w:r>
      <w:r w:rsidRPr="005E07EC">
        <w:rPr>
          <w:rtl/>
        </w:rPr>
        <w:t xml:space="preserve"> </w:t>
      </w:r>
      <w:r w:rsidRPr="005E07EC">
        <w:rPr>
          <w:rFonts w:hint="eastAsia"/>
          <w:rtl/>
        </w:rPr>
        <w:t>הזה</w:t>
      </w:r>
      <w:r w:rsidRPr="005E07EC">
        <w:rPr>
          <w:rtl/>
        </w:rPr>
        <w:t xml:space="preserve"> </w:t>
      </w:r>
      <w:r w:rsidRPr="005E07EC">
        <w:rPr>
          <w:rFonts w:hint="eastAsia"/>
          <w:rtl/>
        </w:rPr>
        <w:t>אין</w:t>
      </w:r>
      <w:r w:rsidRPr="005E07EC">
        <w:rPr>
          <w:rtl/>
        </w:rPr>
        <w:t xml:space="preserve"> </w:t>
      </w:r>
      <w:r w:rsidRPr="005E07EC">
        <w:rPr>
          <w:rFonts w:hint="eastAsia"/>
          <w:rtl/>
        </w:rPr>
        <w:t>בו</w:t>
      </w:r>
      <w:r w:rsidRPr="005E07EC">
        <w:rPr>
          <w:rtl/>
        </w:rPr>
        <w:t xml:space="preserve"> </w:t>
      </w:r>
      <w:r w:rsidRPr="005E07EC">
        <w:rPr>
          <w:rFonts w:hint="eastAsia"/>
          <w:rtl/>
        </w:rPr>
        <w:t>כזית</w:t>
      </w:r>
      <w:r w:rsidRPr="005E07EC">
        <w:rPr>
          <w:rtl/>
        </w:rPr>
        <w:t xml:space="preserve"> </w:t>
      </w:r>
      <w:r w:rsidRPr="005E07EC">
        <w:rPr>
          <w:rFonts w:hint="eastAsia"/>
          <w:rtl/>
        </w:rPr>
        <w:t>שלם</w:t>
      </w:r>
      <w:r w:rsidRPr="005E07EC">
        <w:rPr>
          <w:rtl/>
        </w:rPr>
        <w:t xml:space="preserve"> </w:t>
      </w:r>
      <w:r w:rsidRPr="005E07EC">
        <w:rPr>
          <w:rFonts w:hint="eastAsia"/>
          <w:rtl/>
        </w:rPr>
        <w:t>של</w:t>
      </w:r>
      <w:r w:rsidRPr="005E07EC">
        <w:rPr>
          <w:rtl/>
        </w:rPr>
        <w:t xml:space="preserve"> </w:t>
      </w:r>
      <w:r w:rsidRPr="005E07EC">
        <w:rPr>
          <w:rFonts w:hint="eastAsia"/>
          <w:rtl/>
        </w:rPr>
        <w:t>איסור</w:t>
      </w:r>
      <w:r w:rsidRPr="005E07EC">
        <w:rPr>
          <w:rtl/>
        </w:rPr>
        <w:t xml:space="preserve"> </w:t>
      </w:r>
      <w:r w:rsidRPr="005E07EC">
        <w:rPr>
          <w:rFonts w:hint="eastAsia"/>
          <w:rtl/>
        </w:rPr>
        <w:t>הרי</w:t>
      </w:r>
      <w:r w:rsidRPr="005E07EC">
        <w:rPr>
          <w:rtl/>
        </w:rPr>
        <w:t xml:space="preserve"> </w:t>
      </w:r>
      <w:r w:rsidRPr="005E07EC">
        <w:rPr>
          <w:rFonts w:hint="eastAsia"/>
          <w:rtl/>
        </w:rPr>
        <w:t>הוא</w:t>
      </w:r>
      <w:r w:rsidRPr="005E07EC">
        <w:rPr>
          <w:rtl/>
        </w:rPr>
        <w:t xml:space="preserve"> </w:t>
      </w:r>
      <w:r w:rsidRPr="005E07EC">
        <w:rPr>
          <w:rFonts w:hint="eastAsia"/>
          <w:rtl/>
        </w:rPr>
        <w:lastRenderedPageBreak/>
        <w:t>חייב</w:t>
      </w:r>
      <w:r w:rsidRPr="005E07EC">
        <w:rPr>
          <w:rtl/>
        </w:rPr>
        <w:t xml:space="preserve"> </w:t>
      </w:r>
      <w:r w:rsidRPr="005E07EC">
        <w:rPr>
          <w:rFonts w:hint="eastAsia"/>
          <w:rtl/>
        </w:rPr>
        <w:t>כאלו</w:t>
      </w:r>
      <w:r w:rsidRPr="005E07EC">
        <w:rPr>
          <w:rtl/>
        </w:rPr>
        <w:t xml:space="preserve"> </w:t>
      </w:r>
      <w:r w:rsidRPr="005E07EC">
        <w:rPr>
          <w:rFonts w:hint="eastAsia"/>
          <w:rtl/>
        </w:rPr>
        <w:t>אכל</w:t>
      </w:r>
      <w:r w:rsidRPr="005E07EC">
        <w:rPr>
          <w:rtl/>
        </w:rPr>
        <w:t xml:space="preserve"> </w:t>
      </w:r>
      <w:r w:rsidRPr="005E07EC">
        <w:rPr>
          <w:rFonts w:hint="eastAsia"/>
          <w:rtl/>
        </w:rPr>
        <w:t>כזית</w:t>
      </w:r>
      <w:r w:rsidRPr="005E07EC">
        <w:rPr>
          <w:rtl/>
        </w:rPr>
        <w:t xml:space="preserve"> </w:t>
      </w:r>
      <w:r w:rsidRPr="005E07EC">
        <w:rPr>
          <w:rFonts w:hint="eastAsia"/>
          <w:rtl/>
        </w:rPr>
        <w:t>שלם</w:t>
      </w:r>
      <w:r w:rsidRPr="005E07EC">
        <w:rPr>
          <w:rtl/>
        </w:rPr>
        <w:t xml:space="preserve"> </w:t>
      </w:r>
      <w:r w:rsidRPr="005E07EC">
        <w:rPr>
          <w:rFonts w:hint="eastAsia"/>
          <w:rtl/>
        </w:rPr>
        <w:t>של</w:t>
      </w:r>
      <w:r w:rsidRPr="005E07EC">
        <w:rPr>
          <w:rtl/>
        </w:rPr>
        <w:t xml:space="preserve"> </w:t>
      </w:r>
      <w:r w:rsidRPr="005E07EC">
        <w:rPr>
          <w:rFonts w:hint="eastAsia"/>
          <w:rtl/>
        </w:rPr>
        <w:t>איסור</w:t>
      </w:r>
      <w:r w:rsidRPr="005E07EC">
        <w:rPr>
          <w:rtl/>
        </w:rPr>
        <w:t xml:space="preserve"> </w:t>
      </w:r>
      <w:r w:rsidRPr="005E07EC">
        <w:rPr>
          <w:rFonts w:hint="eastAsia"/>
          <w:rtl/>
        </w:rPr>
        <w:t>כיון</w:t>
      </w:r>
      <w:r w:rsidRPr="005E07EC">
        <w:rPr>
          <w:rtl/>
        </w:rPr>
        <w:t xml:space="preserve"> </w:t>
      </w:r>
      <w:r w:rsidRPr="005E07EC">
        <w:rPr>
          <w:rFonts w:hint="eastAsia"/>
          <w:rtl/>
        </w:rPr>
        <w:t>שגוף</w:t>
      </w:r>
      <w:r w:rsidRPr="005E07EC">
        <w:rPr>
          <w:rtl/>
        </w:rPr>
        <w:t xml:space="preserve"> </w:t>
      </w:r>
      <w:r w:rsidRPr="005E07EC">
        <w:rPr>
          <w:rFonts w:hint="eastAsia"/>
          <w:rtl/>
        </w:rPr>
        <w:t>ההיתר</w:t>
      </w:r>
      <w:r w:rsidRPr="005E07EC">
        <w:rPr>
          <w:rtl/>
        </w:rPr>
        <w:t xml:space="preserve"> </w:t>
      </w:r>
      <w:r w:rsidRPr="005E07EC">
        <w:rPr>
          <w:rFonts w:hint="eastAsia"/>
          <w:rtl/>
        </w:rPr>
        <w:t>נעשה</w:t>
      </w:r>
      <w:r w:rsidRPr="005E07EC">
        <w:rPr>
          <w:rtl/>
        </w:rPr>
        <w:t xml:space="preserve"> </w:t>
      </w:r>
      <w:r w:rsidRPr="005E07EC">
        <w:rPr>
          <w:rFonts w:hint="eastAsia"/>
          <w:rtl/>
        </w:rPr>
        <w:t>איסור</w:t>
      </w:r>
      <w:r w:rsidRPr="005E07EC">
        <w:rPr>
          <w:rFonts w:hint="cs"/>
          <w:rtl/>
        </w:rPr>
        <w:t xml:space="preserve">, היינו דוקא לשיטת רבינו חיים. אבל הראב״ד ורשב״א חולקין על זה כמבואר בקו״א סק״ח. וכ״פ הרמב״ם בהלכות מאכלות אסורות פרק טו ה״ג (שכתב ש"אם אכל מן הגריסין האלו </w:t>
      </w:r>
      <w:r w:rsidRPr="005E07EC">
        <w:rPr>
          <w:rFonts w:hint="cs"/>
          <w:b/>
          <w:bCs/>
          <w:rtl/>
        </w:rPr>
        <w:t>כשלש ביצים</w:t>
      </w:r>
      <w:r w:rsidRPr="005E07EC">
        <w:rPr>
          <w:rFonts w:hint="cs"/>
          <w:rtl/>
        </w:rPr>
        <w:t>...לוקה") וכן משמע בהל׳ חמץ ומצה פ״א ה״ו (שכתב "שאכל כזית חמץ בתוך התערובת" ולא כתב בקיצור "שאכל כזית מהתערובת") שכל שלא אכל כל הפרס אינו לוקה, וכ״ש לדעת רש״י (חולין צח ע"ב ד"ה טעם כעיקר) שפסק ד</w:t>
      </w:r>
      <w:r w:rsidRPr="005E07EC">
        <w:rPr>
          <w:rFonts w:hint="eastAsia"/>
          <w:rtl/>
        </w:rPr>
        <w:t>מדאורייתא</w:t>
      </w:r>
      <w:r w:rsidRPr="005E07EC">
        <w:rPr>
          <w:rtl/>
        </w:rPr>
        <w:t xml:space="preserve"> </w:t>
      </w:r>
      <w:r w:rsidRPr="005E07EC">
        <w:rPr>
          <w:rFonts w:hint="eastAsia"/>
          <w:rtl/>
        </w:rPr>
        <w:t>ברובא</w:t>
      </w:r>
      <w:r w:rsidRPr="005E07EC">
        <w:rPr>
          <w:rtl/>
        </w:rPr>
        <w:t xml:space="preserve"> </w:t>
      </w:r>
      <w:r w:rsidRPr="005E07EC">
        <w:rPr>
          <w:rFonts w:hint="eastAsia"/>
          <w:rtl/>
        </w:rPr>
        <w:t>בטיל</w:t>
      </w:r>
      <w:r w:rsidRPr="005E07EC">
        <w:rPr>
          <w:rFonts w:hint="cs"/>
          <w:rtl/>
        </w:rPr>
        <w:t>.</w:t>
      </w:r>
    </w:p>
    <w:p w14:paraId="41E18D41" w14:textId="2E0B1507" w:rsidR="00186078" w:rsidRDefault="00186078" w:rsidP="00423C6D">
      <w:pPr>
        <w:pStyle w:val="a2"/>
        <w:rPr>
          <w:rtl/>
        </w:rPr>
      </w:pPr>
      <w:r w:rsidRPr="005E07EC">
        <w:rPr>
          <w:rFonts w:hint="cs"/>
          <w:rtl/>
        </w:rPr>
        <w:t>וא״כ כיון שדבר זה במחלוקת שנוי׳, העושה כן אינו לוקה שהרי ספק עונשים להקל.</w:t>
      </w:r>
    </w:p>
    <w:p w14:paraId="394E362B" w14:textId="77777777" w:rsidR="004D70DE" w:rsidRPr="00347933" w:rsidRDefault="004D70DE" w:rsidP="00D25B6F">
      <w:pPr>
        <w:pStyle w:val="a4"/>
        <w:spacing w:after="0"/>
        <w:sectPr w:rsidR="004D70DE"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A5FF90D" w14:textId="421245E4" w:rsidR="004D70DE" w:rsidRDefault="004D70DE" w:rsidP="004D70DE">
      <w:pPr>
        <w:pStyle w:val="a"/>
      </w:pPr>
      <w:bookmarkStart w:id="168" w:name="_Toc531140406"/>
      <w:r>
        <w:rPr>
          <w:rFonts w:hint="cs"/>
          <w:rtl/>
        </w:rPr>
        <w:t>אמירת קדיש אחר קריאת התורה</w:t>
      </w:r>
      <w:bookmarkEnd w:id="168"/>
    </w:p>
    <w:p w14:paraId="2EE25F9C" w14:textId="32C0BE39" w:rsidR="004D70DE" w:rsidRPr="008307D7" w:rsidRDefault="004D70DE" w:rsidP="00C40DBA">
      <w:pPr>
        <w:pStyle w:val="a0"/>
        <w:rPr>
          <w:rtl/>
        </w:rPr>
      </w:pPr>
      <w:bookmarkStart w:id="169" w:name="_Toc529472631"/>
      <w:bookmarkStart w:id="170" w:name="_Toc531140407"/>
      <w:r w:rsidRPr="008307D7">
        <w:rPr>
          <w:rFonts w:hint="cs"/>
          <w:rtl/>
          <w:lang w:bidi="he-IL"/>
        </w:rPr>
        <w:t xml:space="preserve">הרב צבי </w:t>
      </w:r>
      <w:bookmarkEnd w:id="169"/>
      <w:r w:rsidRPr="008307D7">
        <w:rPr>
          <w:rFonts w:hint="cs"/>
          <w:rtl/>
          <w:lang w:bidi="he-IL"/>
        </w:rPr>
        <w:t>רימלער</w:t>
      </w:r>
      <w:bookmarkEnd w:id="170"/>
    </w:p>
    <w:p w14:paraId="3D7AAF20" w14:textId="77777777" w:rsidR="004D70DE" w:rsidRDefault="004D70DE" w:rsidP="004D70DE">
      <w:pPr>
        <w:pStyle w:val="a1"/>
        <w:rPr>
          <w:rtl/>
          <w:lang w:val="en-GB"/>
        </w:rPr>
      </w:pPr>
      <w:r>
        <w:rPr>
          <w:rFonts w:hint="cs"/>
          <w:rtl/>
          <w:lang w:val="en-GB"/>
        </w:rPr>
        <w:t>תושב השכונה</w:t>
      </w:r>
    </w:p>
    <w:p w14:paraId="269D3518" w14:textId="77777777" w:rsidR="004D70DE" w:rsidRDefault="004D70DE" w:rsidP="00423C6D">
      <w:pPr>
        <w:pStyle w:val="a2"/>
        <w:rPr>
          <w:rtl/>
        </w:rPr>
      </w:pPr>
      <w:r>
        <w:rPr>
          <w:rFonts w:hint="cs"/>
          <w:rtl/>
        </w:rPr>
        <w:t>בסדר רב עמרם</w:t>
      </w:r>
      <w:r>
        <w:rPr>
          <w:rStyle w:val="FootnoteReference"/>
          <w:rFonts w:ascii="Calibri" w:hAnsi="Calibri"/>
          <w:rtl/>
        </w:rPr>
        <w:footnoteReference w:id="107"/>
      </w:r>
      <w:r>
        <w:rPr>
          <w:rFonts w:hint="cs"/>
          <w:rtl/>
        </w:rPr>
        <w:t xml:space="preserve"> הביא ב' מנהגים בענין אמירת הקדיש אחר קריאת התורה: </w:t>
      </w:r>
    </w:p>
    <w:p w14:paraId="780AA4B8" w14:textId="77777777" w:rsidR="004D70DE" w:rsidRDefault="004D70DE" w:rsidP="00423C6D">
      <w:pPr>
        <w:pStyle w:val="a2"/>
        <w:rPr>
          <w:rtl/>
        </w:rPr>
      </w:pPr>
      <w:r>
        <w:rPr>
          <w:rFonts w:hint="cs"/>
          <w:rtl/>
        </w:rPr>
        <w:t xml:space="preserve">א) תיכף אחר הקריאה (כמנהגנו); </w:t>
      </w:r>
    </w:p>
    <w:p w14:paraId="4B5E203A" w14:textId="77777777" w:rsidR="004D70DE" w:rsidRDefault="004D70DE" w:rsidP="00423C6D">
      <w:pPr>
        <w:pStyle w:val="a2"/>
        <w:rPr>
          <w:rtl/>
        </w:rPr>
      </w:pPr>
      <w:r>
        <w:rPr>
          <w:rFonts w:hint="cs"/>
          <w:rtl/>
        </w:rPr>
        <w:t xml:space="preserve"> ב)לאחר שמחזירין ספר תורה להיכל;</w:t>
      </w:r>
    </w:p>
    <w:p w14:paraId="750734CC" w14:textId="77777777" w:rsidR="004D70DE" w:rsidRDefault="004D70DE" w:rsidP="00423C6D">
      <w:pPr>
        <w:pStyle w:val="a2"/>
        <w:rPr>
          <w:rtl/>
        </w:rPr>
      </w:pPr>
      <w:r>
        <w:rPr>
          <w:rFonts w:hint="cs"/>
          <w:rtl/>
        </w:rPr>
        <w:t xml:space="preserve"> ומכריע רב עמרם דמסתבר כמנהג לאומרו מיד לאחר קריאת ס"ת, ומטעם שיתבאר לקמן. </w:t>
      </w:r>
    </w:p>
    <w:p w14:paraId="30816D3F" w14:textId="77777777" w:rsidR="004D70DE" w:rsidRDefault="004D70DE" w:rsidP="00423C6D">
      <w:pPr>
        <w:pStyle w:val="a2"/>
        <w:rPr>
          <w:rtl/>
        </w:rPr>
      </w:pPr>
      <w:r>
        <w:rPr>
          <w:rFonts w:hint="cs"/>
          <w:rtl/>
        </w:rPr>
        <w:t>והנה המנהג לאומרו לאחר שמחזירין אותו איתא במס' סופרים פכ"א ה"ו, וכן כתב הרמב"ם</w:t>
      </w:r>
      <w:r>
        <w:rPr>
          <w:rStyle w:val="FootnoteReference"/>
          <w:rFonts w:ascii="Calibri" w:hAnsi="Calibri"/>
          <w:rtl/>
        </w:rPr>
        <w:footnoteReference w:id="108"/>
      </w:r>
      <w:r>
        <w:rPr>
          <w:rFonts w:hint="cs"/>
          <w:rtl/>
        </w:rPr>
        <w:t xml:space="preserve">: "מחזיר ס"ת למקומה ואומר קדיש"; </w:t>
      </w:r>
    </w:p>
    <w:p w14:paraId="7048DC88" w14:textId="77777777" w:rsidR="004D70DE" w:rsidRDefault="004D70DE" w:rsidP="00423C6D">
      <w:pPr>
        <w:pStyle w:val="a2"/>
        <w:rPr>
          <w:rtl/>
        </w:rPr>
      </w:pPr>
      <w:r>
        <w:rPr>
          <w:rFonts w:hint="cs"/>
          <w:rtl/>
        </w:rPr>
        <w:t>אך הטור</w:t>
      </w:r>
      <w:r>
        <w:rPr>
          <w:rStyle w:val="FootnoteReference"/>
          <w:rFonts w:ascii="Calibri" w:hAnsi="Calibri"/>
          <w:rtl/>
        </w:rPr>
        <w:footnoteReference w:id="109"/>
      </w:r>
      <w:r>
        <w:rPr>
          <w:rFonts w:hint="cs"/>
          <w:rtl/>
        </w:rPr>
        <w:t xml:space="preserve"> כתב כמנהג שהכריע רב עמרם: לאחר שגמר קריאת הספר אומר ש"ץ קדיש, ומחזיר הספר למקומו.</w:t>
      </w:r>
    </w:p>
    <w:p w14:paraId="364134A9" w14:textId="77777777" w:rsidR="004D70DE" w:rsidRDefault="004D70DE" w:rsidP="00423C6D">
      <w:pPr>
        <w:pStyle w:val="a2"/>
        <w:rPr>
          <w:rtl/>
        </w:rPr>
      </w:pPr>
      <w:r>
        <w:rPr>
          <w:rFonts w:hint="cs"/>
          <w:rtl/>
        </w:rPr>
        <w:lastRenderedPageBreak/>
        <w:t>והנה הטעם שהכריע רב עמרם דמסתבר לומר קדיש אחר קריאת התורה לאלתר כתב: כי מה טעם לקדש (אחר החזרה להיכל) ואח"כ לפתוח באשרי?</w:t>
      </w:r>
    </w:p>
    <w:p w14:paraId="7E8DF68E" w14:textId="77777777" w:rsidR="004D70DE" w:rsidRDefault="004D70DE" w:rsidP="00423C6D">
      <w:pPr>
        <w:pStyle w:val="a2"/>
        <w:rPr>
          <w:rtl/>
        </w:rPr>
      </w:pPr>
      <w:r>
        <w:rPr>
          <w:rFonts w:hint="cs"/>
          <w:rtl/>
        </w:rPr>
        <w:t xml:space="preserve"> (כלומר, מה שייכות הקדיש לאשרי דוקא-שידחה מעל הקריאה עד אז?)</w:t>
      </w:r>
    </w:p>
    <w:p w14:paraId="2738AA83" w14:textId="77777777" w:rsidR="004D70DE" w:rsidRDefault="004D70DE" w:rsidP="00423C6D">
      <w:pPr>
        <w:pStyle w:val="a2"/>
        <w:rPr>
          <w:rtl/>
        </w:rPr>
      </w:pPr>
      <w:r>
        <w:rPr>
          <w:rFonts w:hint="cs"/>
          <w:rtl/>
        </w:rPr>
        <w:t>לאידך, במס' סופרים (שם) איתא הטעם: שאין אומרים קדיש עד שמחזירים ס"ת למקומו בשעה שהעם עומדים, והן עונין אמן יהא שמיה רבה בכוונה בעמידה;</w:t>
      </w:r>
    </w:p>
    <w:p w14:paraId="43F2200F" w14:textId="77777777" w:rsidR="004D70DE" w:rsidRDefault="004D70DE" w:rsidP="00423C6D">
      <w:pPr>
        <w:pStyle w:val="a2"/>
        <w:rPr>
          <w:rtl/>
        </w:rPr>
      </w:pPr>
      <w:r>
        <w:rPr>
          <w:rFonts w:hint="cs"/>
          <w:rtl/>
        </w:rPr>
        <w:t>(כלומר, דכדי שיענו איש"ר בכוונה בעמידה, תיקנו לומר הקדיש בשעה שעומדים בלאו הכי,(משום החזרת הס"ת למקומו)).</w:t>
      </w:r>
    </w:p>
    <w:p w14:paraId="3AC4A954" w14:textId="77777777" w:rsidR="004D70DE" w:rsidRDefault="004D70DE" w:rsidP="00423C6D">
      <w:pPr>
        <w:pStyle w:val="a2"/>
        <w:rPr>
          <w:rtl/>
        </w:rPr>
      </w:pPr>
      <w:r>
        <w:rPr>
          <w:rFonts w:hint="cs"/>
          <w:rtl/>
        </w:rPr>
        <w:t>והמנהג הפשוט כיום הוא כמ"ש הטור וכפי שהכריע רב עמרם.</w:t>
      </w:r>
    </w:p>
    <w:p w14:paraId="25A0D91A" w14:textId="77777777" w:rsidR="004D70DE" w:rsidRDefault="004D70DE" w:rsidP="00423C6D">
      <w:pPr>
        <w:pStyle w:val="a2"/>
        <w:rPr>
          <w:rtl/>
        </w:rPr>
      </w:pPr>
      <w:r>
        <w:rPr>
          <w:rFonts w:hint="cs"/>
          <w:rtl/>
        </w:rPr>
        <w:t xml:space="preserve"> ואף גם לפי המנהג שאומרו לאחר שמחזירו, הנה בשבת ויו"ט - (בלשון הרמב"ם (שם ה"כ): "ימים שיש בהם מפטיר ומוסף") - אף הם נהגו לאומרו קודם שיעלה המפטיר;</w:t>
      </w:r>
    </w:p>
    <w:p w14:paraId="26B58F44" w14:textId="77777777" w:rsidR="004D70DE" w:rsidRDefault="004D70DE" w:rsidP="00423C6D">
      <w:pPr>
        <w:pStyle w:val="a2"/>
        <w:rPr>
          <w:rtl/>
        </w:rPr>
      </w:pPr>
      <w:r>
        <w:rPr>
          <w:rFonts w:hint="cs"/>
        </w:rPr>
        <w:t xml:space="preserve"> </w:t>
      </w:r>
      <w:r>
        <w:rPr>
          <w:rFonts w:hint="cs"/>
          <w:rtl/>
        </w:rPr>
        <w:t>והטעם, כי היות שקריאת המפטיר בתורה אינו אלא מפני כבוד התורה - כדי שלא ישוה כבודו לכבוד הנביא אם יקרא בנביא לבד, כמו שקראו הראשונים בתורה לבד - לכן יש סברא שאין המפטיר עולה מן המנין. ואע"פ שלהלכה המפטיר עולה מן המנין, אך בשבת ויו"ט שמותר להוסיף על המנין, נהגו שיעלה המפטיר אחר שנשלם המנין לצאת לד"ה.</w:t>
      </w:r>
    </w:p>
    <w:p w14:paraId="1E45EEDC" w14:textId="77777777" w:rsidR="004D70DE" w:rsidRDefault="004D70DE" w:rsidP="00423C6D">
      <w:pPr>
        <w:pStyle w:val="a2"/>
        <w:rPr>
          <w:rtl/>
        </w:rPr>
      </w:pPr>
      <w:r>
        <w:rPr>
          <w:rFonts w:hint="cs"/>
          <w:rtl/>
        </w:rPr>
        <w:t>ולפיכך ראו להפסיק באמירת הקדיש בין קריאת המנין של חובת היום לקריאת המפטיר, להודיע שאין המפטיר מן המנין.</w:t>
      </w:r>
      <w:r>
        <w:rPr>
          <w:rStyle w:val="FootnoteReference"/>
          <w:rFonts w:ascii="Calibri" w:hAnsi="Calibri"/>
          <w:rtl/>
        </w:rPr>
        <w:footnoteReference w:id="110"/>
      </w:r>
      <w:r>
        <w:rPr>
          <w:rFonts w:hint="cs"/>
          <w:rtl/>
        </w:rPr>
        <w:t xml:space="preserve"> </w:t>
      </w:r>
    </w:p>
    <w:p w14:paraId="7BE92883" w14:textId="77777777" w:rsidR="004D70DE" w:rsidRDefault="004D70DE" w:rsidP="00423C6D">
      <w:pPr>
        <w:pStyle w:val="a2"/>
        <w:rPr>
          <w:rtl/>
        </w:rPr>
      </w:pPr>
      <w:r>
        <w:rPr>
          <w:rFonts w:hint="cs"/>
          <w:rtl/>
        </w:rPr>
        <w:t>אך כל זה אינו אלא בשבת ויו"כ ויו"ט (שחרית) שמותר להוסיף על המנין, ואפשר למפטיר לעלות בנוסף להמנין; אבל שאר פעמים שיש מפטיר דהיינו תשעה באב ומנחת יו"כ ות"צ, שאסור להוסיף על המנין, השלישי הוא מפטיר, ואז לא שייך להפסיק בקדיש קודם המפטיר שהוא שלישי, וטרם נשלם המנין והקריאה.</w:t>
      </w:r>
      <w:r>
        <w:rPr>
          <w:rStyle w:val="FootnoteReference"/>
          <w:rFonts w:ascii="Calibri" w:hAnsi="Calibri"/>
          <w:rtl/>
        </w:rPr>
        <w:footnoteReference w:id="111"/>
      </w:r>
      <w:r>
        <w:rPr>
          <w:rFonts w:hint="cs"/>
          <w:rtl/>
        </w:rPr>
        <w:t xml:space="preserve"> </w:t>
      </w:r>
    </w:p>
    <w:p w14:paraId="3AC42B71" w14:textId="77777777" w:rsidR="004D70DE" w:rsidRDefault="004D70DE" w:rsidP="00423C6D">
      <w:pPr>
        <w:pStyle w:val="a2"/>
        <w:rPr>
          <w:rtl/>
        </w:rPr>
      </w:pPr>
      <w:r>
        <w:rPr>
          <w:rFonts w:hint="cs"/>
          <w:rtl/>
        </w:rPr>
        <w:t>לאידך, אף גם למנהגנו, הנה בקריאת התורה דמנחה (שבת, ויוה"כ ות"צ) אין אומרים קדיש עד החזרת הס"ת, והטעם כדי להסמיך הקדיש לשמו"ע.</w:t>
      </w:r>
      <w:r>
        <w:rPr>
          <w:rStyle w:val="FootnoteReference"/>
          <w:rFonts w:ascii="Calibri" w:hAnsi="Calibri"/>
          <w:rtl/>
        </w:rPr>
        <w:footnoteReference w:id="112"/>
      </w:r>
      <w:r>
        <w:rPr>
          <w:rFonts w:hint="cs"/>
          <w:rtl/>
        </w:rPr>
        <w:t xml:space="preserve"> </w:t>
      </w:r>
    </w:p>
    <w:p w14:paraId="12C35FA7" w14:textId="77777777" w:rsidR="004D70DE" w:rsidRDefault="004D70DE" w:rsidP="00423C6D">
      <w:pPr>
        <w:pStyle w:val="a2"/>
        <w:rPr>
          <w:rtl/>
        </w:rPr>
      </w:pPr>
      <w:r>
        <w:rPr>
          <w:rFonts w:hint="cs"/>
          <w:rtl/>
        </w:rPr>
        <w:lastRenderedPageBreak/>
        <w:t>נמצא ג' חילוקים בדבר:</w:t>
      </w:r>
    </w:p>
    <w:p w14:paraId="6C3935B9" w14:textId="77777777" w:rsidR="004D70DE" w:rsidRDefault="004D70DE" w:rsidP="00423C6D">
      <w:pPr>
        <w:pStyle w:val="a2"/>
        <w:rPr>
          <w:rtl/>
        </w:rPr>
      </w:pPr>
      <w:r>
        <w:rPr>
          <w:rFonts w:hint="cs"/>
          <w:rtl/>
        </w:rPr>
        <w:t>א) קריה"ת דשבת, יו"כ ויו"ט שחרית - הקדיש קודם למפטיר;</w:t>
      </w:r>
    </w:p>
    <w:p w14:paraId="69CEF2EA" w14:textId="77777777" w:rsidR="004D70DE" w:rsidRDefault="004D70DE" w:rsidP="00423C6D">
      <w:pPr>
        <w:pStyle w:val="a2"/>
        <w:rPr>
          <w:rtl/>
        </w:rPr>
      </w:pPr>
      <w:r>
        <w:rPr>
          <w:rFonts w:hint="cs"/>
          <w:rtl/>
        </w:rPr>
        <w:t>ב) קריה''ת דשבת, יו'כ ות"צ מנחה - אין אומרים הקדיש עד שמחזירו;</w:t>
      </w:r>
    </w:p>
    <w:p w14:paraId="4349ECD3" w14:textId="77777777" w:rsidR="004D70DE" w:rsidRDefault="004D70DE" w:rsidP="00423C6D">
      <w:pPr>
        <w:pStyle w:val="a2"/>
        <w:rPr>
          <w:rtl/>
        </w:rPr>
      </w:pPr>
      <w:r>
        <w:rPr>
          <w:rFonts w:hint="cs"/>
          <w:rtl/>
        </w:rPr>
        <w:t>ג) שאר קריאות דימות החול שחרית - תלוי בחילוקי מנהג הנ"ל; (מיד לאחר הקריאה או לאחר שמחזירין הס"ת).</w:t>
      </w:r>
    </w:p>
    <w:p w14:paraId="060F3120" w14:textId="77777777" w:rsidR="004D70DE" w:rsidRDefault="004D70DE" w:rsidP="00423C6D">
      <w:pPr>
        <w:pStyle w:val="a2"/>
        <w:rPr>
          <w:rtl/>
        </w:rPr>
      </w:pPr>
      <w:r>
        <w:rPr>
          <w:rFonts w:hint="cs"/>
          <w:rtl/>
        </w:rPr>
        <w:t>והנה בהלכות שבת</w:t>
      </w:r>
      <w:r>
        <w:rPr>
          <w:rStyle w:val="FootnoteReference"/>
          <w:rFonts w:ascii="Calibri" w:hAnsi="Calibri"/>
          <w:rtl/>
        </w:rPr>
        <w:footnoteReference w:id="113"/>
      </w:r>
      <w:r>
        <w:rPr>
          <w:rFonts w:hint="cs"/>
          <w:rtl/>
        </w:rPr>
        <w:t xml:space="preserve"> מבואר, דבמקרה שלא נמצא מי שיודע להפטיר אלא מאותם שכבר עלו, אזי אם עדיין לא אמרו קדיש יפטיר השביעי בנביא תיכף, ולא יקרא בתורה פעם ב' בתור מפטיר מאחר שכבר קרא בשביעי, והקדיש יאמרו אחר ההפטורה וברכותיה;</w:t>
      </w:r>
    </w:p>
    <w:p w14:paraId="0FDC3D45" w14:textId="77777777" w:rsidR="004D70DE" w:rsidRDefault="004D70DE" w:rsidP="00423C6D">
      <w:pPr>
        <w:pStyle w:val="a2"/>
        <w:rPr>
          <w:rtl/>
        </w:rPr>
      </w:pPr>
      <w:r>
        <w:rPr>
          <w:rFonts w:hint="cs"/>
          <w:rtl/>
        </w:rPr>
        <w:t>אך אם כבר אמרו קדיש, אזי שוב צריך לקרות בתורה אחר הקדיש טרם שיפטיר בנביא מפני כבוד התורה (כנ"ל) ולא די במה שקרא בשביעי מאחר שהפסיקו בקדיש. ע"כ.</w:t>
      </w:r>
    </w:p>
    <w:p w14:paraId="0F272CBA" w14:textId="77777777" w:rsidR="004D70DE" w:rsidRDefault="004D70DE" w:rsidP="00423C6D">
      <w:pPr>
        <w:pStyle w:val="a2"/>
        <w:rPr>
          <w:rtl/>
        </w:rPr>
      </w:pPr>
      <w:r>
        <w:rPr>
          <w:rFonts w:hint="cs"/>
          <w:rtl/>
        </w:rPr>
        <w:t>ומהנ"ל לכאורה ניתן להסיק דכן הדין בכל מקום שהפסיקו בקדיש בין קריאת המפטיר בתורה להפטרתו בנביא -דשוב לא מהני מה שקרא מקודם, והיה צריך לחזור ולקרות בתורה אחר הקדיש טרם שיפטיר בנביא;</w:t>
      </w:r>
    </w:p>
    <w:p w14:paraId="6CEB98EF" w14:textId="77777777" w:rsidR="004D70DE" w:rsidRDefault="004D70DE" w:rsidP="00423C6D">
      <w:pPr>
        <w:pStyle w:val="a2"/>
        <w:rPr>
          <w:rtl/>
        </w:rPr>
      </w:pPr>
      <w:r>
        <w:rPr>
          <w:rFonts w:hint="cs"/>
          <w:rtl/>
        </w:rPr>
        <w:t xml:space="preserve"> - כן סברת רעק"א</w:t>
      </w:r>
      <w:r>
        <w:rPr>
          <w:rStyle w:val="FootnoteReference"/>
          <w:rFonts w:ascii="Calibri" w:hAnsi="Calibri"/>
          <w:rtl/>
        </w:rPr>
        <w:footnoteReference w:id="114"/>
      </w:r>
      <w:r>
        <w:rPr>
          <w:rFonts w:hint="cs"/>
          <w:rtl/>
        </w:rPr>
        <w:t xml:space="preserve"> - ומסתמך על תשובת הר"י מיגש</w:t>
      </w:r>
      <w:r>
        <w:rPr>
          <w:rStyle w:val="FootnoteReference"/>
          <w:rFonts w:ascii="Calibri" w:hAnsi="Calibri"/>
          <w:rtl/>
        </w:rPr>
        <w:footnoteReference w:id="115"/>
      </w:r>
      <w:r>
        <w:rPr>
          <w:rFonts w:hint="cs"/>
          <w:rtl/>
        </w:rPr>
        <w:t xml:space="preserve"> (שו"ת סימן פט) לשואל מדוע אין אומרים קדיש אחר הקריאה (כאידך מנהג דלעיל) כ"א בשבת ויו"ט?</w:t>
      </w:r>
    </w:p>
    <w:p w14:paraId="2556FFF6" w14:textId="77777777" w:rsidR="004D70DE" w:rsidRDefault="004D70DE" w:rsidP="00423C6D">
      <w:pPr>
        <w:pStyle w:val="a2"/>
        <w:rPr>
          <w:rtl/>
        </w:rPr>
      </w:pPr>
      <w:r>
        <w:rPr>
          <w:rFonts w:hint="cs"/>
          <w:rtl/>
        </w:rPr>
        <w:t xml:space="preserve">והשיב דאז היה צריך המפטיר לחזור ולקרות בתורה פעם ב' אחר הקדיש, ולבד משבת ויו"ט דאסור להוסיף על המנין, אין המפטיר עולה נוסף לשלישי רק השלישי הוא מפטיר, ע"כ א"א להפסיק בקדיש. ע"כ.       </w:t>
      </w:r>
    </w:p>
    <w:p w14:paraId="15A65304" w14:textId="77777777" w:rsidR="004D70DE" w:rsidRDefault="004D70DE" w:rsidP="00423C6D">
      <w:pPr>
        <w:pStyle w:val="a2"/>
        <w:rPr>
          <w:rtl/>
        </w:rPr>
      </w:pPr>
      <w:r>
        <w:rPr>
          <w:rFonts w:hint="cs"/>
          <w:rtl/>
        </w:rPr>
        <w:t xml:space="preserve">אך כאמור, מנהגנו הוא כפי חלוקה הג' שהזכרנו, דבשחרית דחול תמיד אומרים קדיש תיכף אחר הקריאה, ואפילו שחרית ת"ב שיש מפטיר - בכ"ז אחר קריאת </w:t>
      </w:r>
      <w:r>
        <w:rPr>
          <w:rFonts w:hint="cs"/>
          <w:rtl/>
        </w:rPr>
        <w:lastRenderedPageBreak/>
        <w:t>השלישי (שהוא המפטיר) אומרים קדיש</w:t>
      </w:r>
      <w:r>
        <w:rPr>
          <w:rStyle w:val="FootnoteReference"/>
          <w:rFonts w:ascii="Calibri" w:hAnsi="Calibri"/>
          <w:rtl/>
        </w:rPr>
        <w:footnoteReference w:id="116"/>
      </w:r>
      <w:r>
        <w:rPr>
          <w:rFonts w:hint="cs"/>
          <w:rtl/>
        </w:rPr>
        <w:t xml:space="preserve">  ומפסיקים בקדיש בין קריאת המפטיר בתורה להפטרתו בנביא.</w:t>
      </w:r>
    </w:p>
    <w:p w14:paraId="28CB8158" w14:textId="77777777" w:rsidR="004D70DE" w:rsidRDefault="004D70DE" w:rsidP="00423C6D">
      <w:pPr>
        <w:pStyle w:val="a2"/>
        <w:rPr>
          <w:rtl/>
        </w:rPr>
      </w:pPr>
      <w:r>
        <w:rPr>
          <w:rFonts w:hint="cs"/>
          <w:rtl/>
        </w:rPr>
        <w:t>ובמה יתיישב קושיא הנ"ל?</w:t>
      </w:r>
    </w:p>
    <w:p w14:paraId="222DCBFC" w14:textId="77777777" w:rsidR="004D70DE" w:rsidRDefault="004D70DE" w:rsidP="00423C6D">
      <w:pPr>
        <w:pStyle w:val="a2"/>
        <w:rPr>
          <w:rtl/>
        </w:rPr>
      </w:pPr>
      <w:r>
        <w:rPr>
          <w:rFonts w:hint="cs"/>
          <w:rtl/>
        </w:rPr>
        <w:t xml:space="preserve">אך ביאור הענין על פי המבואר (שוע"ר שם סעי' יא-יב) דדוקא בשבת ויו"ט שאפשר להוסיף על המנין, ואין כל הכרח (ואפילו מנהג) שהמפטיר יהי' מהמנין, התם הוא שאם הפסיקו בקדיש שוב אין שייכות למה שקרא קודם ויצטרך לקרות פעם ב', שהרי זה הי' </w:t>
      </w:r>
      <w:r>
        <w:rPr>
          <w:rFonts w:hint="cs"/>
          <w:b/>
          <w:bCs/>
          <w:rtl/>
        </w:rPr>
        <w:t xml:space="preserve">כל ענין </w:t>
      </w:r>
      <w:r>
        <w:rPr>
          <w:rFonts w:hint="cs"/>
          <w:rtl/>
        </w:rPr>
        <w:t xml:space="preserve">תקנת הקדיש התם - </w:t>
      </w:r>
      <w:r>
        <w:rPr>
          <w:rFonts w:hint="cs"/>
          <w:b/>
          <w:bCs/>
          <w:rtl/>
        </w:rPr>
        <w:t>להפסיק</w:t>
      </w:r>
      <w:r>
        <w:rPr>
          <w:rFonts w:hint="cs"/>
          <w:rtl/>
        </w:rPr>
        <w:t xml:space="preserve"> קריאת המפטיר מקריאה הקודמת, להודיע </w:t>
      </w:r>
      <w:r>
        <w:rPr>
          <w:rFonts w:hint="cs"/>
          <w:b/>
          <w:bCs/>
          <w:rtl/>
        </w:rPr>
        <w:t xml:space="preserve">שאין המפטיר </w:t>
      </w:r>
      <w:r>
        <w:rPr>
          <w:rFonts w:hint="cs"/>
          <w:rtl/>
        </w:rPr>
        <w:t xml:space="preserve">מן המנין. ורק אם עדיין לא הפסיקו בקדיש שייכת קריאתו בשביעי להפטרתו בנביא כי לא הפסיק בינתיים.   </w:t>
      </w:r>
    </w:p>
    <w:p w14:paraId="51F7532B" w14:textId="77777777" w:rsidR="004D70DE" w:rsidRDefault="004D70DE" w:rsidP="00423C6D">
      <w:pPr>
        <w:pStyle w:val="a2"/>
        <w:rPr>
          <w:rtl/>
        </w:rPr>
      </w:pPr>
      <w:r>
        <w:rPr>
          <w:rFonts w:hint="cs"/>
          <w:rtl/>
        </w:rPr>
        <w:t>משא"כ בחול שאסור להוסיף על המנין, וקריאת המפטיר בשלישי (מן המנין) הוא</w:t>
      </w:r>
      <w:r>
        <w:rPr>
          <w:rFonts w:hint="cs"/>
          <w:b/>
          <w:bCs/>
          <w:rtl/>
        </w:rPr>
        <w:t xml:space="preserve"> מן ההכרח</w:t>
      </w:r>
      <w:r>
        <w:rPr>
          <w:rFonts w:hint="cs"/>
          <w:rtl/>
        </w:rPr>
        <w:t xml:space="preserve">, </w:t>
      </w:r>
      <w:r>
        <w:rPr>
          <w:rFonts w:hint="cs"/>
          <w:b/>
          <w:bCs/>
          <w:rtl/>
        </w:rPr>
        <w:t>ולעולם</w:t>
      </w:r>
      <w:r>
        <w:rPr>
          <w:rFonts w:hint="cs"/>
          <w:rtl/>
        </w:rPr>
        <w:t xml:space="preserve"> אין מפסיקים בקדיש קודם קריאתו שהרי הוא </w:t>
      </w:r>
      <w:r>
        <w:rPr>
          <w:rFonts w:hint="cs"/>
          <w:b/>
          <w:bCs/>
          <w:rtl/>
        </w:rPr>
        <w:t>שלישי</w:t>
      </w:r>
      <w:r>
        <w:rPr>
          <w:rFonts w:hint="cs"/>
          <w:rtl/>
        </w:rPr>
        <w:t xml:space="preserve"> - וטרם נשלם המנין והקריאה - אין הקדיש שאחר הקריאה משום הפסק למפטיר כלל, ואין ענינו אלא כשאר פעמים שמקדישים אחר הקריאה ומטעם שיתבאר.</w:t>
      </w:r>
    </w:p>
    <w:p w14:paraId="183E838C" w14:textId="77777777" w:rsidR="004D70DE" w:rsidRDefault="004D70DE" w:rsidP="00423C6D">
      <w:pPr>
        <w:pStyle w:val="a2"/>
        <w:rPr>
          <w:rtl/>
        </w:rPr>
      </w:pPr>
      <w:r>
        <w:rPr>
          <w:rFonts w:hint="cs"/>
          <w:rtl/>
        </w:rPr>
        <w:t>וגם הטעם (ב"י שם ד"ה כתב הריב"ש; ט"ז ס"ק ה, מ"א סקט"ו) שלא די במה שקרא המפטיר לפני הקדיש משום הנכנסים מקדיש ואילך שלא ידעו שכבר קרא המפטיר בשביעי, ג"כ לא שייך בעניננו, לחוש שהנכנסים לא ידעו שקרא המפטיר בשלישי, דדוקא התם שאין דרך המפטיר כלל לקרות קודם הקדיש, שייך הך חששא, דמנין להם לדעת שקרא המפטיר בשביעי - דלא כרגיל ?</w:t>
      </w:r>
    </w:p>
    <w:p w14:paraId="31494D0E" w14:textId="77777777" w:rsidR="004D70DE" w:rsidRDefault="004D70DE" w:rsidP="00423C6D">
      <w:pPr>
        <w:pStyle w:val="a2"/>
        <w:rPr>
          <w:rtl/>
        </w:rPr>
      </w:pPr>
      <w:r>
        <w:rPr>
          <w:rFonts w:hint="cs"/>
          <w:rtl/>
        </w:rPr>
        <w:t xml:space="preserve">משא"כ הכא דתמיד אין המפטיר </w:t>
      </w:r>
      <w:r>
        <w:rPr>
          <w:rFonts w:hint="cs"/>
          <w:b/>
          <w:bCs/>
          <w:rtl/>
        </w:rPr>
        <w:t>אלא שלישי</w:t>
      </w:r>
      <w:r>
        <w:rPr>
          <w:rFonts w:hint="cs"/>
          <w:rtl/>
        </w:rPr>
        <w:t>, הרי שפיר ידעו גם הנכנסים אחר קדיש שכבר קרא המפטיר, בדיוק כמו שידעו שקראו כהן ולוי - שהרי המפטיר הוא שלישי!</w:t>
      </w:r>
    </w:p>
    <w:p w14:paraId="641DD897" w14:textId="77777777" w:rsidR="004D70DE" w:rsidRDefault="004D70DE" w:rsidP="00423C6D">
      <w:pPr>
        <w:pStyle w:val="a2"/>
        <w:rPr>
          <w:rtl/>
        </w:rPr>
      </w:pPr>
      <w:r>
        <w:rPr>
          <w:rFonts w:hint="cs"/>
          <w:rtl/>
        </w:rPr>
        <w:t>הראת לדעת החילוק בין הך דסימן רפב לנדו"ד.</w:t>
      </w:r>
    </w:p>
    <w:p w14:paraId="680B1622" w14:textId="77777777" w:rsidR="004D70DE" w:rsidRDefault="004D70DE" w:rsidP="00423C6D">
      <w:pPr>
        <w:pStyle w:val="a2"/>
        <w:rPr>
          <w:rtl/>
        </w:rPr>
      </w:pPr>
      <w:r>
        <w:rPr>
          <w:rFonts w:hint="cs"/>
          <w:rtl/>
        </w:rPr>
        <w:t xml:space="preserve">רק שסברת הר"י מיגש - שלא חילק בכהנ"ל - לשיטתו הוא בטעם תקנת הקדיש קודם המפטיר, שכתב (שם)שהוא "כדי להפסיק בו בין הקריאה בתורה ובין הקריאה בנביא" ולכך כל "שהפסיק בקדיש, קריאתו הראשונה כבר נגמרה ושב להיות כשאר העם" ואע"פ שקרא קודם הקדיש "היה מחוייב לחזור ולקרות בתורה קודם שיפטיר בנביא"; אבל שיטת שאר ראשונים בטעם הקדיש קודם מפטיר - (תוס' מגילה כג. ד"ה </w:t>
      </w:r>
      <w:r>
        <w:rPr>
          <w:rFonts w:hint="cs"/>
          <w:rtl/>
        </w:rPr>
        <w:lastRenderedPageBreak/>
        <w:t>כיון, רא"ש שם פ"ג סי' ה, מרדכי רמז תתט - כפיהם כתב רבינו בשו"ע שם) - הוא "להפסיק בין קריאת המנין דחובת היום לקריאת המפטיר, להודיע שאין המפטיר מן המנין";</w:t>
      </w:r>
    </w:p>
    <w:p w14:paraId="0C5D0B2B" w14:textId="77777777" w:rsidR="004D70DE" w:rsidRDefault="004D70DE" w:rsidP="00423C6D">
      <w:pPr>
        <w:pStyle w:val="a2"/>
        <w:rPr>
          <w:rtl/>
        </w:rPr>
      </w:pPr>
      <w:r>
        <w:rPr>
          <w:rFonts w:hint="cs"/>
          <w:rtl/>
        </w:rPr>
        <w:t>וטעם זה לא שייך אלא כשאין המפטיר מן המנין כבשבת וכיו"ב, משא"כ בחול שהוא מן המנין לא שייך טעם זה, ואין טעם הקדיש אז אלא כשאר פעמים שמקדישים אחר הקריאה, שהוא כמ"ש הרוקח (סי' שיא, ד"ה וכשבאין): "שאין לך כל דבור ודבור שבתורה שאין בו שם המפורש שאין אנו יודעין, לפיכך צריך להקדיש על אותו השם";</w:t>
      </w:r>
    </w:p>
    <w:p w14:paraId="0880D921" w14:textId="5F9B1D79" w:rsidR="004D70DE" w:rsidRDefault="004D70DE" w:rsidP="00423C6D">
      <w:pPr>
        <w:pStyle w:val="a2"/>
        <w:rPr>
          <w:rtl/>
        </w:rPr>
      </w:pPr>
      <w:r>
        <w:rPr>
          <w:rFonts w:hint="cs"/>
          <w:rtl/>
        </w:rPr>
        <w:t>ומטעם זה יחייב מנהגנו לומר קדיש אחר הקריאה תמיד תיכף, בלא חילוק אם יש אחריו נביא אם לא, ולעולם לא ידחה הקדיש מעל אחר הקריאה אם לא מסיבת ההכרח כמו במנחה - (כדי להסמיכו לשמו"ע כנ"ל); או כהך דסי' רפב - (שלא יצטרך השביעי לקרות פעם ב' בברכות, כדי למנוע ברכה שאינה צריכה - ואז יאמרוה אחר ההפטורה וברכותיה).</w:t>
      </w:r>
    </w:p>
    <w:p w14:paraId="4FFD61BE" w14:textId="77777777" w:rsidR="0075010A" w:rsidRPr="00347933" w:rsidRDefault="0075010A" w:rsidP="00D25B6F">
      <w:pPr>
        <w:pStyle w:val="a4"/>
        <w:spacing w:after="0"/>
        <w:sectPr w:rsidR="0075010A"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16C17D5" w14:textId="30CD9827" w:rsidR="0075010A" w:rsidRPr="0075010A" w:rsidRDefault="0075010A" w:rsidP="0075010A">
      <w:pPr>
        <w:pStyle w:val="a"/>
        <w:bidi w:val="0"/>
        <w:rPr>
          <w:rtl/>
        </w:rPr>
      </w:pPr>
      <w:bookmarkStart w:id="171" w:name="_Toc531140408"/>
      <w:r>
        <w:rPr>
          <w:rFonts w:hint="cs"/>
          <w:rtl/>
        </w:rPr>
        <w:t>רשות הרבים בזמן הזה (גליון)</w:t>
      </w:r>
      <w:bookmarkEnd w:id="171"/>
    </w:p>
    <w:p w14:paraId="5F527D9C" w14:textId="2FD8D1F4" w:rsidR="0075010A" w:rsidRPr="008307D7" w:rsidRDefault="004D70DE" w:rsidP="0083553B">
      <w:pPr>
        <w:pStyle w:val="a0"/>
        <w:rPr>
          <w:rtl/>
        </w:rPr>
      </w:pPr>
      <w:r w:rsidRPr="008307D7">
        <w:rPr>
          <w:rFonts w:hint="cs"/>
          <w:rtl/>
          <w:lang w:bidi="he-IL"/>
        </w:rPr>
        <w:t xml:space="preserve"> </w:t>
      </w:r>
      <w:bookmarkStart w:id="172" w:name="_Toc531140409"/>
      <w:r w:rsidR="0083553B">
        <w:rPr>
          <w:rFonts w:hint="cs"/>
          <w:rtl/>
          <w:lang w:bidi="he-IL"/>
        </w:rPr>
        <w:t>ר'</w:t>
      </w:r>
      <w:r w:rsidRPr="008307D7">
        <w:rPr>
          <w:rFonts w:hint="cs"/>
          <w:rtl/>
          <w:lang w:bidi="he-IL"/>
        </w:rPr>
        <w:t xml:space="preserve"> </w:t>
      </w:r>
      <w:r w:rsidR="0075010A" w:rsidRPr="008307D7">
        <w:rPr>
          <w:rFonts w:hint="cs"/>
          <w:rtl/>
          <w:lang w:bidi="he-IL"/>
        </w:rPr>
        <w:t>משה מרקוביץ</w:t>
      </w:r>
      <w:bookmarkEnd w:id="172"/>
    </w:p>
    <w:p w14:paraId="44F00D06" w14:textId="7D02B3C7" w:rsidR="0075010A" w:rsidRPr="0075010A" w:rsidRDefault="0075010A" w:rsidP="0075010A">
      <w:pPr>
        <w:pStyle w:val="a1"/>
        <w:rPr>
          <w:rtl/>
        </w:rPr>
      </w:pPr>
      <w:r w:rsidRPr="00C60FEE">
        <w:rPr>
          <w:rFonts w:hint="cs"/>
          <w:rtl/>
        </w:rPr>
        <w:t>ברוקלין, ניו יורק</w:t>
      </w:r>
    </w:p>
    <w:p w14:paraId="59B62177" w14:textId="46A353F4" w:rsidR="0075010A" w:rsidRDefault="0083553B" w:rsidP="00423C6D">
      <w:pPr>
        <w:pStyle w:val="a2"/>
        <w:rPr>
          <w:rtl/>
        </w:rPr>
      </w:pPr>
      <w:r>
        <w:rPr>
          <w:rFonts w:hint="cs"/>
          <w:rtl/>
        </w:rPr>
        <w:t>בגליו</w:t>
      </w:r>
      <w:r w:rsidR="0075010A">
        <w:rPr>
          <w:rFonts w:hint="cs"/>
          <w:rtl/>
        </w:rPr>
        <w:t>ן הקודם העיר הרב א.ה. בענין אם יש רשות הרבים בזמן הזה והביא משוע"ר כמה תנאים לרשות הרבים, ובין דבריו כתב בזה"ל:</w:t>
      </w:r>
    </w:p>
    <w:p w14:paraId="3B2EC672" w14:textId="645B6F54" w:rsidR="0075010A" w:rsidRDefault="0075010A" w:rsidP="00423C6D">
      <w:pPr>
        <w:pStyle w:val="a2"/>
      </w:pPr>
      <w:r>
        <w:rPr>
          <w:rFonts w:hint="cs"/>
          <w:rtl/>
        </w:rPr>
        <w:t>"</w:t>
      </w:r>
      <w:r>
        <w:rPr>
          <w:rtl/>
        </w:rPr>
        <w:t>והנה אחד התנאים שכתב הוא שהרחובות ושווקים "הם מפולשים משער לשער", ופירש שכשכתוב מפולש אין הכוונה רק שהשערים אינם סגורים (ואין הדלתות בראשי הרחוב ננעלות בלילה), אלא "דהיינו שהשערים מכוונים זה כנגד זה". נמצא, ששום רחוב אינו יכול להיות רשות הרבים אם אינו דרך ישר בין שני הפתחים בקצווי הרחוב.</w:t>
      </w:r>
    </w:p>
    <w:p w14:paraId="0C7FD2B1" w14:textId="77777777" w:rsidR="0075010A" w:rsidRDefault="0075010A" w:rsidP="00423C6D">
      <w:pPr>
        <w:pStyle w:val="a2"/>
        <w:rPr>
          <w:rtl/>
        </w:rPr>
      </w:pPr>
      <w:r>
        <w:rPr>
          <w:rtl/>
        </w:rPr>
        <w:t>ותמיהני שלא הזכיר תנאי זה, שהרי בעיירות שלנו רוב הרחובות אינם ישרים אלא עקומים, ואם כן אינם נקראים מפולשים</w:t>
      </w:r>
      <w:r>
        <w:rPr>
          <w:rFonts w:hint="cs"/>
          <w:rtl/>
        </w:rPr>
        <w:t>". עכ"ל.</w:t>
      </w:r>
    </w:p>
    <w:p w14:paraId="2848EF54" w14:textId="03B225A9" w:rsidR="0075010A" w:rsidRDefault="0075010A" w:rsidP="00423C6D">
      <w:pPr>
        <w:pStyle w:val="a2"/>
        <w:rPr>
          <w:rtl/>
        </w:rPr>
      </w:pPr>
      <w:r>
        <w:rPr>
          <w:rFonts w:hint="cs"/>
          <w:rtl/>
        </w:rPr>
        <w:t xml:space="preserve">ולענ"ד דברים אלה צ"ע אם נכונים המה, כי התנאי שיהיה הרחוב מכוונים ממש וישר כסרגל הוא דוקא בעיר המוקפת חומה, כלשון אדמו"ר בשו"ע שהעתיק שם לפני </w:t>
      </w:r>
      <w:r>
        <w:rPr>
          <w:rFonts w:hint="cs"/>
          <w:rtl/>
        </w:rPr>
        <w:lastRenderedPageBreak/>
        <w:t>זה:</w:t>
      </w:r>
    </w:p>
    <w:p w14:paraId="11122948" w14:textId="77777777" w:rsidR="0075010A" w:rsidRDefault="0075010A" w:rsidP="00423C6D">
      <w:pPr>
        <w:pStyle w:val="a2"/>
        <w:rPr>
          <w:rtl/>
        </w:rPr>
      </w:pPr>
      <w:r>
        <w:rPr>
          <w:rFonts w:hint="cs"/>
          <w:rtl/>
        </w:rPr>
        <w:t>"</w:t>
      </w:r>
      <w:r w:rsidRPr="00757705">
        <w:rPr>
          <w:rtl/>
        </w:rPr>
        <w:t xml:space="preserve"> </w:t>
      </w:r>
      <w:r>
        <w:rPr>
          <w:rFonts w:hint="cs"/>
          <w:rtl/>
        </w:rPr>
        <w:t>אי</w:t>
      </w:r>
      <w:r>
        <w:rPr>
          <w:rtl/>
        </w:rPr>
        <w:t>זו היא רשות הרבים רחובות ושווקים הרחבים ט"ז אמה על ט"ז אמה</w:t>
      </w:r>
      <w:r>
        <w:rPr>
          <w:rFonts w:hint="cs"/>
          <w:rtl/>
        </w:rPr>
        <w:t xml:space="preserve">, </w:t>
      </w:r>
      <w:r>
        <w:rPr>
          <w:rtl/>
        </w:rPr>
        <w:t>שכן היה רוחב הדרך במחנה לוים שבמדבר.והוא שאינם מקורים ואין להם חומה סביב</w:t>
      </w:r>
      <w:r>
        <w:rPr>
          <w:rFonts w:hint="cs"/>
          <w:rtl/>
        </w:rPr>
        <w:t xml:space="preserve">, </w:t>
      </w:r>
      <w:r>
        <w:rPr>
          <w:rtl/>
        </w:rPr>
        <w:t xml:space="preserve"> ואפילו יש להם חומה אלא שהם מפולשים משער לשער דהיינו שהשערים מכוונים זה כנגד זה</w:t>
      </w:r>
      <w:r>
        <w:rPr>
          <w:rFonts w:hint="cs"/>
          <w:rtl/>
        </w:rPr>
        <w:t>".</w:t>
      </w:r>
    </w:p>
    <w:p w14:paraId="00C678BD" w14:textId="77777777" w:rsidR="0075010A" w:rsidRDefault="0075010A" w:rsidP="00423C6D">
      <w:pPr>
        <w:pStyle w:val="a2"/>
        <w:rPr>
          <w:rtl/>
        </w:rPr>
      </w:pPr>
      <w:r>
        <w:rPr>
          <w:rFonts w:hint="cs"/>
          <w:rtl/>
        </w:rPr>
        <w:t>כלומר, התנאים דשערים מכוונים זה לזה קאי במקום שיש להם חומה.</w:t>
      </w:r>
    </w:p>
    <w:p w14:paraId="5912AC5F" w14:textId="77777777" w:rsidR="0075010A" w:rsidRDefault="0075010A" w:rsidP="00423C6D">
      <w:pPr>
        <w:pStyle w:val="a2"/>
        <w:rPr>
          <w:rtl/>
        </w:rPr>
      </w:pPr>
      <w:r>
        <w:rPr>
          <w:rFonts w:hint="cs"/>
          <w:rtl/>
        </w:rPr>
        <w:t>ומקורו של אדמו"ר הזקן הוא בלשון המחבר שמקורו ברש"י עירובין "רשות הרבים: משמע רחב שש עשרה אמה ועיר שמצויין בה ששים ריבוא ואין בה חומה, או שהי' רשות הרבים שלה מכוון משער לשער".</w:t>
      </w:r>
    </w:p>
    <w:p w14:paraId="3C6B9DD1" w14:textId="77777777" w:rsidR="0075010A" w:rsidRDefault="0075010A" w:rsidP="00423C6D">
      <w:pPr>
        <w:pStyle w:val="a2"/>
        <w:rPr>
          <w:rtl/>
        </w:rPr>
      </w:pPr>
      <w:r>
        <w:rPr>
          <w:rFonts w:hint="cs"/>
          <w:rtl/>
        </w:rPr>
        <w:t>ואף שבגירסא שלפנינו תיבת "או" מוקפת סוגריים, הרי פשוט שהמחבר ואדה"ז נקטו הגירסא כך, שהרי כותבים "ואפילו יש להם חומה אלא שהם מפולשים וכו'".</w:t>
      </w:r>
    </w:p>
    <w:p w14:paraId="0792300C" w14:textId="77777777" w:rsidR="0075010A" w:rsidRDefault="0075010A" w:rsidP="00423C6D">
      <w:pPr>
        <w:pStyle w:val="a2"/>
        <w:rPr>
          <w:rtl/>
        </w:rPr>
      </w:pPr>
      <w:r>
        <w:rPr>
          <w:rFonts w:hint="cs"/>
          <w:rtl/>
        </w:rPr>
        <w:t>[ואף שבהמשך כתוב ברש"י שם "שיהא מפולש דומה לדגלי מדבר", ובמדבר לא היתה חומה, לכאורה זהו הפירוש הפשוט בלשון אדמו"ר הזקן ובלשון המחבר].</w:t>
      </w:r>
    </w:p>
    <w:p w14:paraId="0E49FD07" w14:textId="77777777" w:rsidR="0075010A" w:rsidRDefault="0075010A" w:rsidP="00423C6D">
      <w:pPr>
        <w:pStyle w:val="a2"/>
        <w:rPr>
          <w:rtl/>
        </w:rPr>
      </w:pPr>
      <w:r>
        <w:rPr>
          <w:rFonts w:hint="cs"/>
          <w:rtl/>
        </w:rPr>
        <w:t>וכן בלבוש ובערוך השולחן נעתק לשון המחבר כמות שהוא שבכלל רשות הרבים אינו מוקף חומה "ואפילו יש להם חומה אם הם מפולשים משער לשער הוי רשות הרבים".</w:t>
      </w:r>
    </w:p>
    <w:p w14:paraId="477C9FA7" w14:textId="77777777" w:rsidR="0075010A" w:rsidRDefault="0075010A" w:rsidP="00423C6D">
      <w:pPr>
        <w:pStyle w:val="a2"/>
        <w:rPr>
          <w:rtl/>
        </w:rPr>
      </w:pPr>
      <w:r>
        <w:rPr>
          <w:rFonts w:hint="cs"/>
          <w:rtl/>
        </w:rPr>
        <w:t>ולכאורה הסברא בזה, דכשיש חומה יש כאן משהו שמאחד את כל שבתוך החומה כרשות אחת, וכדי לבטל זה אינו מספיק שיהיה רחוב שהרבים בוקעים בו אלא צריך שיהיה מכוון משער לשער.</w:t>
      </w:r>
    </w:p>
    <w:p w14:paraId="629F4528" w14:textId="5AD73E77" w:rsidR="0075010A" w:rsidRPr="0075010A" w:rsidRDefault="0075010A" w:rsidP="00423C6D">
      <w:pPr>
        <w:pStyle w:val="a2"/>
        <w:rPr>
          <w:rtl/>
        </w:rPr>
      </w:pPr>
      <w:r>
        <w:rPr>
          <w:rFonts w:hint="cs"/>
          <w:rtl/>
        </w:rPr>
        <w:t>כללו של דבר: התנאי הזה שהרחוב צריך להיות ישר כסרגל ואם לאו אינו רשות הרבים, לכאורה אינו שייך בערים שלנו שאינן מוקפות חומה.</w:t>
      </w:r>
      <w:r w:rsidRPr="001B50AA">
        <w:rPr>
          <w:rFonts w:hint="cs"/>
          <w:rtl/>
        </w:rPr>
        <w:t xml:space="preserve"> </w:t>
      </w:r>
      <w:r>
        <w:rPr>
          <w:rFonts w:hint="cs"/>
          <w:rtl/>
        </w:rPr>
        <w:t>ועצ"ע.</w:t>
      </w:r>
    </w:p>
    <w:p w14:paraId="0AD68F17" w14:textId="77777777" w:rsidR="0075010A" w:rsidRDefault="0075010A" w:rsidP="00D25B6F">
      <w:pPr>
        <w:pStyle w:val="a4"/>
        <w:spacing w:after="0"/>
        <w:rPr>
          <w:rtl/>
        </w:rPr>
      </w:pPr>
      <w:r w:rsidRPr="00347933">
        <w:t>g</w:t>
      </w:r>
    </w:p>
    <w:p w14:paraId="2CB2F594" w14:textId="77777777" w:rsidR="00B1191D" w:rsidRDefault="00B1191D" w:rsidP="00D25B6F">
      <w:pPr>
        <w:pStyle w:val="a4"/>
        <w:spacing w:after="0"/>
        <w:rPr>
          <w:rtl/>
        </w:rPr>
      </w:pPr>
    </w:p>
    <w:p w14:paraId="35DA8C5C" w14:textId="77777777" w:rsidR="00B1191D" w:rsidRPr="00347933" w:rsidRDefault="00B1191D" w:rsidP="00D25B6F">
      <w:pPr>
        <w:pStyle w:val="a4"/>
        <w:spacing w:after="0"/>
        <w:sectPr w:rsidR="00B1191D" w:rsidRPr="00347933" w:rsidSect="00E65DD5">
          <w:footnotePr>
            <w:numRestart w:val="eachSect"/>
          </w:footnotePr>
          <w:type w:val="continuous"/>
          <w:pgSz w:w="7920" w:h="12240"/>
          <w:pgMar w:top="-810" w:right="864" w:bottom="720" w:left="864" w:header="270" w:footer="0" w:gutter="0"/>
          <w:cols w:space="720"/>
          <w:docGrid w:linePitch="360"/>
        </w:sectPr>
      </w:pPr>
    </w:p>
    <w:p w14:paraId="42E4F5A5" w14:textId="6CF32B2A" w:rsidR="0090571E" w:rsidRDefault="0090571E" w:rsidP="0090571E">
      <w:pPr>
        <w:pStyle w:val="a"/>
        <w:rPr>
          <w:rtl/>
        </w:rPr>
      </w:pPr>
      <w:bookmarkStart w:id="173" w:name="_Toc531140410"/>
      <w:r w:rsidRPr="00566841">
        <w:rPr>
          <w:rFonts w:hint="cs"/>
          <w:rtl/>
        </w:rPr>
        <w:lastRenderedPageBreak/>
        <w:t>'</w:t>
      </w:r>
      <w:r w:rsidRPr="007B3745">
        <w:rPr>
          <w:rFonts w:hint="cs"/>
          <w:rtl/>
        </w:rPr>
        <w:t>הוא</w:t>
      </w:r>
      <w:r>
        <w:rPr>
          <w:rFonts w:hint="cs"/>
          <w:rtl/>
        </w:rPr>
        <w:t>יל ואתעביד ביה חדא מצוה׳ (</w:t>
      </w:r>
      <w:r w:rsidRPr="00BA6315">
        <w:rPr>
          <w:rFonts w:hint="eastAsia"/>
          <w:rtl/>
        </w:rPr>
        <w:t>ג</w:t>
      </w:r>
      <w:r w:rsidRPr="00BA6315">
        <w:rPr>
          <w:rtl/>
        </w:rPr>
        <w:t>'</w:t>
      </w:r>
      <w:r w:rsidRPr="007B3745">
        <w:rPr>
          <w:rFonts w:hint="cs"/>
          <w:rtl/>
        </w:rPr>
        <w:t>)</w:t>
      </w:r>
      <w:bookmarkEnd w:id="173"/>
    </w:p>
    <w:p w14:paraId="64B09A2C" w14:textId="77777777" w:rsidR="0090571E" w:rsidRDefault="0090571E" w:rsidP="0090571E">
      <w:pPr>
        <w:pStyle w:val="a"/>
        <w:rPr>
          <w:rtl/>
        </w:rPr>
      </w:pPr>
      <w:bookmarkStart w:id="174" w:name="_Toc531140411"/>
      <w:r>
        <w:rPr>
          <w:rFonts w:hint="cs"/>
          <w:rtl/>
        </w:rPr>
        <w:t>בענין ׳יש בעלי הנפש׳ בשו״ע רבינו הזקן</w:t>
      </w:r>
      <w:bookmarkEnd w:id="174"/>
    </w:p>
    <w:p w14:paraId="66178504" w14:textId="77777777" w:rsidR="0090571E" w:rsidRPr="00566841" w:rsidRDefault="0090571E" w:rsidP="0090571E">
      <w:pPr>
        <w:pStyle w:val="a8"/>
        <w:spacing w:after="0"/>
        <w:rPr>
          <w:sz w:val="20"/>
          <w:szCs w:val="20"/>
          <w:rtl/>
        </w:rPr>
      </w:pPr>
    </w:p>
    <w:p w14:paraId="2F56CE09" w14:textId="77777777" w:rsidR="0090571E" w:rsidRPr="008307D7" w:rsidRDefault="0090571E" w:rsidP="00C40DBA">
      <w:pPr>
        <w:pStyle w:val="a0"/>
        <w:rPr>
          <w:rtl/>
        </w:rPr>
      </w:pPr>
      <w:bookmarkStart w:id="175" w:name="_Toc531140412"/>
      <w:r w:rsidRPr="008307D7">
        <w:rPr>
          <w:rFonts w:hint="cs"/>
          <w:rtl/>
          <w:lang w:bidi="he-IL"/>
        </w:rPr>
        <w:t>הרב ישראל אליעזר רובין</w:t>
      </w:r>
      <w:bookmarkEnd w:id="175"/>
    </w:p>
    <w:p w14:paraId="7A96D08B" w14:textId="401AF5F1" w:rsidR="0090571E" w:rsidRPr="0090571E" w:rsidRDefault="0090571E" w:rsidP="0090571E">
      <w:pPr>
        <w:pStyle w:val="a1"/>
        <w:rPr>
          <w:rFonts w:eastAsia="Times New Roman"/>
          <w:rtl/>
        </w:rPr>
      </w:pPr>
      <w:r>
        <w:rPr>
          <w:rFonts w:hint="cs"/>
          <w:rtl/>
        </w:rPr>
        <w:t xml:space="preserve">שליח כ״ק אדמו״ר </w:t>
      </w:r>
      <w:r>
        <w:rPr>
          <w:rtl/>
        </w:rPr>
        <w:t>–</w:t>
      </w:r>
      <w:r>
        <w:rPr>
          <w:rFonts w:cs="Times New Roman" w:hint="cs"/>
          <w:rtl/>
        </w:rPr>
        <w:t xml:space="preserve"> </w:t>
      </w:r>
      <w:r>
        <w:rPr>
          <w:rFonts w:hint="cs"/>
          <w:rtl/>
        </w:rPr>
        <w:t>אלבאני נ.י.</w:t>
      </w:r>
    </w:p>
    <w:p w14:paraId="43B21B0C" w14:textId="69A0FEA2" w:rsidR="0090571E" w:rsidRDefault="0090571E" w:rsidP="00423C6D">
      <w:pPr>
        <w:pStyle w:val="a2"/>
        <w:rPr>
          <w:u w:color="000000"/>
          <w:rtl/>
        </w:rPr>
      </w:pPr>
      <w:r>
        <w:rPr>
          <w:rFonts w:hint="cs"/>
          <w:u w:color="000000"/>
          <w:rtl/>
        </w:rPr>
        <w:t xml:space="preserve">כבר עסקנו פעמיים בענין ׳הואיל ואתעביד׳ בהערות וביאורים (גליון </w:t>
      </w:r>
      <w:r w:rsidRPr="00566841">
        <w:rPr>
          <w:rFonts w:hint="cs"/>
          <w:u w:color="000000"/>
          <w:rtl/>
        </w:rPr>
        <w:t>א'קמט פ</w:t>
      </w:r>
      <w:r>
        <w:rPr>
          <w:rFonts w:hint="cs"/>
          <w:u w:color="000000"/>
          <w:rtl/>
        </w:rPr>
        <w:t>׳</w:t>
      </w:r>
      <w:r w:rsidRPr="00566841">
        <w:rPr>
          <w:rFonts w:hint="cs"/>
          <w:u w:color="000000"/>
          <w:rtl/>
        </w:rPr>
        <w:t xml:space="preserve"> ראה, וגליון א'קנא סוכות),</w:t>
      </w:r>
      <w:r>
        <w:rPr>
          <w:u w:color="000000"/>
        </w:rPr>
        <w:t xml:space="preserve"> </w:t>
      </w:r>
      <w:r w:rsidRPr="00566841">
        <w:rPr>
          <w:rFonts w:hint="cs"/>
          <w:u w:color="000000"/>
          <w:rtl/>
        </w:rPr>
        <w:t xml:space="preserve"> ו</w:t>
      </w:r>
      <w:r>
        <w:rPr>
          <w:rFonts w:hint="cs"/>
          <w:u w:color="000000"/>
          <w:rtl/>
        </w:rPr>
        <w:t xml:space="preserve">לעת כזאת </w:t>
      </w:r>
      <w:r w:rsidRPr="00566841">
        <w:rPr>
          <w:rFonts w:hint="cs"/>
          <w:u w:color="000000"/>
          <w:rtl/>
        </w:rPr>
        <w:t xml:space="preserve">שימי החנוכה ממשמשים ובאים, ושרש ענין </w:t>
      </w:r>
      <w:r>
        <w:rPr>
          <w:rFonts w:hint="cs"/>
          <w:u w:color="000000"/>
          <w:rtl/>
        </w:rPr>
        <w:t xml:space="preserve">זה הלא היא </w:t>
      </w:r>
      <w:r w:rsidRPr="00566841">
        <w:rPr>
          <w:rFonts w:hint="cs"/>
          <w:u w:color="000000"/>
          <w:rtl/>
        </w:rPr>
        <w:t>בסוגיית חנוכה</w:t>
      </w:r>
      <w:r>
        <w:rPr>
          <w:rFonts w:hint="cs"/>
          <w:u w:color="000000"/>
          <w:rtl/>
        </w:rPr>
        <w:t>:</w:t>
      </w:r>
      <w:r w:rsidRPr="00566841">
        <w:rPr>
          <w:rFonts w:hint="cs"/>
          <w:u w:color="000000"/>
          <w:rtl/>
        </w:rPr>
        <w:t xml:space="preserve"> ׳</w:t>
      </w:r>
      <w:r>
        <w:rPr>
          <w:rFonts w:hint="cs"/>
          <w:u w:color="000000"/>
          <w:rtl/>
        </w:rPr>
        <w:t>אסור להרצות מעות נגד נר חנוכה׳ (שבת כב),  ראוי לנו עכשיו לעיין בענינא דיומא, ואבקש מקוראי ה׳הערות׳ לברר ענינה של ׳ויש בעלי הנפש׳ שמביא רבינו הזק</w:t>
      </w:r>
      <w:r w:rsidRPr="00330BCC">
        <w:rPr>
          <w:rFonts w:hint="cs"/>
          <w:u w:color="000000"/>
          <w:rtl/>
        </w:rPr>
        <w:t>ן</w:t>
      </w:r>
      <w:r>
        <w:rPr>
          <w:rFonts w:hint="cs"/>
          <w:u w:color="000000"/>
          <w:rtl/>
        </w:rPr>
        <w:t xml:space="preserve"> </w:t>
      </w:r>
      <w:r w:rsidRPr="00330BCC">
        <w:rPr>
          <w:rFonts w:hint="eastAsia"/>
          <w:u w:color="000000"/>
          <w:rtl/>
        </w:rPr>
        <w:t>בשו</w:t>
      </w:r>
      <w:r>
        <w:rPr>
          <w:rFonts w:hint="cs"/>
          <w:u w:color="000000"/>
          <w:rtl/>
        </w:rPr>
        <w:t>לחנו</w:t>
      </w:r>
      <w:r w:rsidRPr="00330BCC">
        <w:rPr>
          <w:u w:color="000000"/>
          <w:rtl/>
        </w:rPr>
        <w:t xml:space="preserve"> </w:t>
      </w:r>
      <w:r w:rsidRPr="00330BCC">
        <w:rPr>
          <w:rFonts w:hint="eastAsia"/>
          <w:u w:color="000000"/>
          <w:rtl/>
        </w:rPr>
        <w:t>הל׳</w:t>
      </w:r>
      <w:r w:rsidRPr="00330BCC">
        <w:rPr>
          <w:u w:color="000000"/>
          <w:rtl/>
        </w:rPr>
        <w:t xml:space="preserve"> </w:t>
      </w:r>
      <w:r w:rsidRPr="00330BCC">
        <w:rPr>
          <w:rFonts w:hint="eastAsia"/>
          <w:u w:color="000000"/>
          <w:rtl/>
        </w:rPr>
        <w:t>ציצית</w:t>
      </w:r>
      <w:r w:rsidRPr="00330BCC">
        <w:rPr>
          <w:u w:color="000000"/>
          <w:rtl/>
        </w:rPr>
        <w:t>.</w:t>
      </w:r>
    </w:p>
    <w:p w14:paraId="66D68B6E" w14:textId="60558A5B" w:rsidR="0090571E" w:rsidRDefault="0090571E" w:rsidP="00423C6D">
      <w:pPr>
        <w:pStyle w:val="a2"/>
        <w:rPr>
          <w:u w:color="000000"/>
          <w:rtl/>
        </w:rPr>
      </w:pPr>
      <w:r>
        <w:rPr>
          <w:rFonts w:hint="cs"/>
          <w:u w:color="000000"/>
          <w:rtl/>
        </w:rPr>
        <w:t>דהנה אף שהכלל ׳הואיל ואתעביד ביה מצוה חדא נעביד ביה מצוה אחריתי׳ מצוי הוא בשו״ע ובספרי מנהגים, אבל לא נזכר בגמרא רק אודות רב אמי ורב אסי</w:t>
      </w:r>
      <w:r>
        <w:rPr>
          <w:u w:color="000000"/>
        </w:rPr>
        <w:t xml:space="preserve"> </w:t>
      </w:r>
      <w:r>
        <w:rPr>
          <w:rFonts w:hint="cs"/>
          <w:u w:color="000000"/>
          <w:rtl/>
        </w:rPr>
        <w:t xml:space="preserve"> שעשו לחם משנה בסעודת שבת בריפתא דעירובא.</w:t>
      </w:r>
    </w:p>
    <w:p w14:paraId="28BCE00D" w14:textId="4CA9A86A" w:rsidR="0090571E" w:rsidRDefault="0090571E" w:rsidP="00423C6D">
      <w:pPr>
        <w:pStyle w:val="a2"/>
        <w:rPr>
          <w:u w:color="000000"/>
          <w:rtl/>
        </w:rPr>
      </w:pPr>
      <w:r>
        <w:rPr>
          <w:rFonts w:hint="cs"/>
          <w:u w:color="000000"/>
          <w:rtl/>
        </w:rPr>
        <w:t>וראשית ויסוד סוגיית ׳הואיל ואתעביד׳ בשו״ע זהו בהלכות ציצית סי׳ כ"א, שהטור מביא מהשאילתות</w:t>
      </w:r>
      <w:r>
        <w:rPr>
          <w:rFonts w:hint="cs"/>
          <w:rtl/>
        </w:rPr>
        <w:t xml:space="preserve"> </w:t>
      </w:r>
      <w:r>
        <w:rPr>
          <w:rFonts w:hint="cs"/>
          <w:u w:color="000000"/>
          <w:rtl/>
        </w:rPr>
        <w:t>שאסור ליהנות מחוטי ציצית, הושענות, לולב, הדס וערבה והסוכה דקא מבזי מצוה.</w:t>
      </w:r>
    </w:p>
    <w:p w14:paraId="2B51B1B5" w14:textId="23AEBECE" w:rsidR="0090571E" w:rsidRDefault="0090571E" w:rsidP="00423C6D">
      <w:pPr>
        <w:pStyle w:val="a2"/>
        <w:rPr>
          <w:u w:color="000000"/>
          <w:rtl/>
        </w:rPr>
      </w:pPr>
      <w:r>
        <w:rPr>
          <w:rFonts w:hint="cs"/>
          <w:u w:color="000000"/>
          <w:rtl/>
        </w:rPr>
        <w:t xml:space="preserve">והבית יוסף מביא את הגמרא שאסור להרצות מעות כנגד נר חנוכה שלא יהו מצוות בזויות עליו. והברייתא שם אוסרת להסתפק מנויי סוכה כל שבעה, ורב יוסף מסיק ׳אבוהון דכולהו דם׳, שלומדים </w:t>
      </w:r>
      <w:r>
        <w:rPr>
          <w:rFonts w:hint="cs"/>
          <w:spacing w:val="-2"/>
          <w:u w:color="000000"/>
          <w:rtl/>
        </w:rPr>
        <w:t xml:space="preserve">מכיסוי הדם דכתיב </w:t>
      </w:r>
      <w:r>
        <w:rPr>
          <w:rFonts w:ascii="Narkisim" w:hAnsi="Narkisim" w:hint="cs"/>
          <w:spacing w:val="-2"/>
          <w:rtl/>
        </w:rPr>
        <w:t>'ושפך את דמו</w:t>
      </w:r>
      <w:r>
        <w:rPr>
          <w:rFonts w:ascii="Narkisim" w:hAnsi="Narkisim" w:hint="cs"/>
          <w:rtl/>
        </w:rPr>
        <w:t xml:space="preserve"> וכסהו', ודרשינן </w:t>
      </w:r>
      <w:r>
        <w:rPr>
          <w:rFonts w:hint="cs"/>
          <w:u w:color="000000"/>
          <w:rtl/>
        </w:rPr>
        <w:t>׳ושפך וכסה, במה ששפך יכסה, שלא יכסנו ברגל, שלא יהו מצוות בזויות עליו'.</w:t>
      </w:r>
    </w:p>
    <w:p w14:paraId="474DDF76" w14:textId="01DAA594" w:rsidR="0090571E" w:rsidRDefault="0090571E" w:rsidP="00423C6D">
      <w:pPr>
        <w:pStyle w:val="a2"/>
        <w:rPr>
          <w:u w:color="000000"/>
          <w:rtl/>
        </w:rPr>
      </w:pPr>
      <w:r>
        <w:rPr>
          <w:rFonts w:hint="cs"/>
          <w:u w:color="000000"/>
          <w:rtl/>
        </w:rPr>
        <w:t xml:space="preserve">והנה להשאילתות, בעודן במצותן אסור להשתמש בהם. אבל הטור מחלק 'שאינו דומה לדם, דשאני התם כשמכסה ברגל עושה המצוה דרך בזיון, מה שאין כן כאן'. </w:t>
      </w:r>
    </w:p>
    <w:p w14:paraId="5A80D60B" w14:textId="61BA389E" w:rsidR="0090571E" w:rsidRDefault="0090571E" w:rsidP="00423C6D">
      <w:pPr>
        <w:pStyle w:val="a2"/>
        <w:rPr>
          <w:u w:color="000000"/>
          <w:rtl/>
        </w:rPr>
      </w:pPr>
      <w:r>
        <w:rPr>
          <w:rFonts w:hint="cs"/>
          <w:u w:color="000000"/>
          <w:rtl/>
        </w:rPr>
        <w:t>אך לסוף, גם הטור מסיק '</w:t>
      </w:r>
      <w:r>
        <w:rPr>
          <w:rFonts w:hint="cs"/>
          <w:b/>
          <w:bCs/>
          <w:u w:color="000000"/>
          <w:rtl/>
        </w:rPr>
        <w:t>טוב להחמיר</w:t>
      </w:r>
      <w:r>
        <w:rPr>
          <w:rFonts w:hint="cs"/>
          <w:u w:color="000000"/>
          <w:rtl/>
        </w:rPr>
        <w:t>', וכן כתב הרמ״א בדרכי משה ובהג״ה שהמחמיר תבוא עליו ברכה.</w:t>
      </w:r>
    </w:p>
    <w:p w14:paraId="3E938F1E" w14:textId="77777777" w:rsidR="00B1191D" w:rsidRDefault="00B1191D" w:rsidP="00423C6D">
      <w:pPr>
        <w:pStyle w:val="11"/>
        <w:bidi/>
        <w:rPr>
          <w:rtl/>
        </w:rPr>
      </w:pPr>
    </w:p>
    <w:p w14:paraId="1BA040AF" w14:textId="77777777" w:rsidR="0090571E" w:rsidRDefault="0090571E" w:rsidP="00B1191D">
      <w:pPr>
        <w:pStyle w:val="11"/>
        <w:bidi/>
        <w:rPr>
          <w:rtl/>
        </w:rPr>
      </w:pPr>
      <w:r>
        <w:rPr>
          <w:rFonts w:hint="cs"/>
          <w:rtl/>
        </w:rPr>
        <w:lastRenderedPageBreak/>
        <w:t>׳ויש בעלי הנפש׳</w:t>
      </w:r>
    </w:p>
    <w:p w14:paraId="0369CFBF" w14:textId="3DC477BF" w:rsidR="0090571E" w:rsidRPr="0090571E" w:rsidRDefault="0090571E" w:rsidP="00423C6D">
      <w:pPr>
        <w:pStyle w:val="a2"/>
        <w:rPr>
          <w:rFonts w:asciiTheme="minorHAnsi" w:hAnsiTheme="minorHAnsi"/>
          <w:u w:color="000000"/>
          <w:rtl/>
        </w:rPr>
      </w:pPr>
      <w:r w:rsidRPr="000B6EE8">
        <w:rPr>
          <w:rFonts w:hint="cs"/>
          <w:rtl/>
        </w:rPr>
        <w:t>והנה בשו"ע רבינו, אחר שכתב ש'</w:t>
      </w:r>
      <w:r w:rsidRPr="000B6EE8">
        <w:rPr>
          <w:rFonts w:hint="eastAsia"/>
          <w:rtl/>
        </w:rPr>
        <w:t>ציצית</w:t>
      </w:r>
      <w:r w:rsidRPr="000B6EE8">
        <w:rPr>
          <w:rtl/>
        </w:rPr>
        <w:t xml:space="preserve"> </w:t>
      </w:r>
      <w:r w:rsidRPr="000B6EE8">
        <w:rPr>
          <w:rFonts w:hint="eastAsia"/>
          <w:rtl/>
        </w:rPr>
        <w:t>תשמישי</w:t>
      </w:r>
      <w:r w:rsidRPr="000B6EE8">
        <w:rPr>
          <w:rtl/>
        </w:rPr>
        <w:t xml:space="preserve"> </w:t>
      </w:r>
      <w:r w:rsidRPr="000B6EE8">
        <w:rPr>
          <w:rFonts w:hint="eastAsia"/>
          <w:rtl/>
        </w:rPr>
        <w:t>מצוה</w:t>
      </w:r>
      <w:r w:rsidRPr="000B6EE8">
        <w:rPr>
          <w:rtl/>
        </w:rPr>
        <w:t xml:space="preserve"> </w:t>
      </w:r>
      <w:r w:rsidRPr="000B6EE8">
        <w:rPr>
          <w:rFonts w:hint="eastAsia"/>
          <w:rtl/>
        </w:rPr>
        <w:t>הן</w:t>
      </w:r>
      <w:r w:rsidRPr="000B6EE8">
        <w:rPr>
          <w:rFonts w:hint="cs"/>
          <w:rtl/>
        </w:rPr>
        <w:t>,</w:t>
      </w:r>
      <w:r w:rsidRPr="000B6EE8">
        <w:rPr>
          <w:rtl/>
        </w:rPr>
        <w:t xml:space="preserve"> </w:t>
      </w:r>
      <w:r w:rsidRPr="000B6EE8">
        <w:rPr>
          <w:rFonts w:hint="eastAsia"/>
          <w:rtl/>
        </w:rPr>
        <w:t>כלומר</w:t>
      </w:r>
      <w:r w:rsidRPr="000B6EE8">
        <w:rPr>
          <w:rtl/>
        </w:rPr>
        <w:t xml:space="preserve"> </w:t>
      </w:r>
      <w:r w:rsidRPr="000B6EE8">
        <w:rPr>
          <w:rFonts w:hint="eastAsia"/>
          <w:b/>
          <w:bCs/>
          <w:rtl/>
        </w:rPr>
        <w:t>שאין</w:t>
      </w:r>
      <w:r w:rsidRPr="000B6EE8">
        <w:rPr>
          <w:b/>
          <w:bCs/>
          <w:rtl/>
        </w:rPr>
        <w:t xml:space="preserve"> </w:t>
      </w:r>
      <w:r w:rsidRPr="000B6EE8">
        <w:rPr>
          <w:rFonts w:hint="eastAsia"/>
          <w:b/>
          <w:bCs/>
          <w:rtl/>
        </w:rPr>
        <w:t>בעצמן</w:t>
      </w:r>
      <w:r w:rsidRPr="000B6EE8">
        <w:rPr>
          <w:b/>
          <w:bCs/>
          <w:rtl/>
        </w:rPr>
        <w:t xml:space="preserve"> </w:t>
      </w:r>
      <w:r w:rsidRPr="000B6EE8">
        <w:rPr>
          <w:rFonts w:hint="eastAsia"/>
          <w:b/>
          <w:bCs/>
          <w:rtl/>
        </w:rPr>
        <w:t>שום</w:t>
      </w:r>
      <w:r w:rsidRPr="000B6EE8">
        <w:rPr>
          <w:b/>
          <w:bCs/>
          <w:rtl/>
        </w:rPr>
        <w:t xml:space="preserve"> </w:t>
      </w:r>
      <w:r w:rsidRPr="000B6EE8">
        <w:rPr>
          <w:rFonts w:hint="eastAsia"/>
          <w:b/>
          <w:bCs/>
          <w:rtl/>
        </w:rPr>
        <w:t>קדושה</w:t>
      </w:r>
      <w:r w:rsidRPr="000B6EE8">
        <w:rPr>
          <w:rtl/>
        </w:rPr>
        <w:t xml:space="preserve"> </w:t>
      </w:r>
      <w:r w:rsidRPr="000B6EE8">
        <w:rPr>
          <w:rFonts w:hint="eastAsia"/>
          <w:rtl/>
        </w:rPr>
        <w:t>רק</w:t>
      </w:r>
      <w:r w:rsidRPr="000B6EE8">
        <w:rPr>
          <w:rtl/>
        </w:rPr>
        <w:t xml:space="preserve"> </w:t>
      </w:r>
      <w:r w:rsidRPr="000B6EE8">
        <w:rPr>
          <w:rFonts w:hint="eastAsia"/>
          <w:rtl/>
        </w:rPr>
        <w:t>שמשתמשין</w:t>
      </w:r>
      <w:r w:rsidRPr="000B6EE8">
        <w:rPr>
          <w:rtl/>
        </w:rPr>
        <w:t xml:space="preserve"> </w:t>
      </w:r>
      <w:r w:rsidRPr="000B6EE8">
        <w:rPr>
          <w:rFonts w:hint="eastAsia"/>
          <w:rtl/>
        </w:rPr>
        <w:t>בהן</w:t>
      </w:r>
      <w:r w:rsidRPr="000B6EE8">
        <w:rPr>
          <w:rtl/>
        </w:rPr>
        <w:t xml:space="preserve"> </w:t>
      </w:r>
      <w:r w:rsidRPr="000B6EE8">
        <w:rPr>
          <w:rFonts w:hint="eastAsia"/>
          <w:rtl/>
        </w:rPr>
        <w:t>לשם</w:t>
      </w:r>
      <w:r w:rsidRPr="000B6EE8">
        <w:rPr>
          <w:rtl/>
        </w:rPr>
        <w:t xml:space="preserve"> </w:t>
      </w:r>
      <w:r w:rsidRPr="000B6EE8">
        <w:rPr>
          <w:rFonts w:hint="eastAsia"/>
          <w:rtl/>
        </w:rPr>
        <w:t>מצוה</w:t>
      </w:r>
      <w:r w:rsidRPr="000B6EE8">
        <w:rPr>
          <w:rtl/>
        </w:rPr>
        <w:t xml:space="preserve">', </w:t>
      </w:r>
      <w:r w:rsidRPr="000B6EE8">
        <w:rPr>
          <w:rFonts w:hint="eastAsia"/>
          <w:rtl/>
        </w:rPr>
        <w:t>ו</w:t>
      </w:r>
      <w:r w:rsidRPr="000B6EE8">
        <w:rPr>
          <w:rtl/>
        </w:rPr>
        <w:t xml:space="preserve">'לפיכך </w:t>
      </w:r>
      <w:r w:rsidRPr="000B6EE8">
        <w:rPr>
          <w:rFonts w:hint="eastAsia"/>
          <w:rtl/>
        </w:rPr>
        <w:t>אחר</w:t>
      </w:r>
      <w:r w:rsidRPr="000B6EE8">
        <w:rPr>
          <w:rtl/>
        </w:rPr>
        <w:t xml:space="preserve"> </w:t>
      </w:r>
      <w:r w:rsidRPr="000B6EE8">
        <w:rPr>
          <w:rFonts w:hint="eastAsia"/>
          <w:rtl/>
        </w:rPr>
        <w:t>שנפסקו</w:t>
      </w:r>
      <w:r w:rsidRPr="000B6EE8">
        <w:rPr>
          <w:rtl/>
        </w:rPr>
        <w:t xml:space="preserve"> </w:t>
      </w:r>
      <w:r w:rsidRPr="000B6EE8">
        <w:rPr>
          <w:rFonts w:hint="eastAsia"/>
          <w:rtl/>
        </w:rPr>
        <w:t>מן</w:t>
      </w:r>
      <w:r w:rsidRPr="000B6EE8">
        <w:rPr>
          <w:rtl/>
        </w:rPr>
        <w:t xml:space="preserve"> </w:t>
      </w:r>
      <w:r w:rsidRPr="000B6EE8">
        <w:rPr>
          <w:rFonts w:hint="eastAsia"/>
          <w:rtl/>
        </w:rPr>
        <w:t>הטלית</w:t>
      </w:r>
      <w:r w:rsidRPr="000B6EE8">
        <w:rPr>
          <w:rtl/>
        </w:rPr>
        <w:t xml:space="preserve"> </w:t>
      </w:r>
      <w:r w:rsidRPr="000B6EE8">
        <w:rPr>
          <w:rFonts w:hint="eastAsia"/>
          <w:rtl/>
        </w:rPr>
        <w:t>יכול</w:t>
      </w:r>
      <w:r w:rsidRPr="000B6EE8">
        <w:rPr>
          <w:rtl/>
        </w:rPr>
        <w:t xml:space="preserve"> </w:t>
      </w:r>
      <w:r w:rsidRPr="000B6EE8">
        <w:rPr>
          <w:rFonts w:hint="eastAsia"/>
          <w:rtl/>
        </w:rPr>
        <w:t>לזורקן</w:t>
      </w:r>
      <w:r w:rsidRPr="000B6EE8">
        <w:rPr>
          <w:rtl/>
        </w:rPr>
        <w:t xml:space="preserve"> </w:t>
      </w:r>
      <w:r w:rsidRPr="000B6EE8">
        <w:rPr>
          <w:rFonts w:hint="eastAsia"/>
          <w:rtl/>
        </w:rPr>
        <w:t>אפילו</w:t>
      </w:r>
      <w:r w:rsidRPr="000B6EE8">
        <w:rPr>
          <w:rtl/>
        </w:rPr>
        <w:t xml:space="preserve"> </w:t>
      </w:r>
      <w:r w:rsidRPr="000B6EE8">
        <w:rPr>
          <w:rFonts w:hint="eastAsia"/>
          <w:rtl/>
        </w:rPr>
        <w:t>לאשפה</w:t>
      </w:r>
      <w:r w:rsidRPr="000B6EE8">
        <w:rPr>
          <w:rtl/>
        </w:rPr>
        <w:t>'</w:t>
      </w:r>
      <w:r w:rsidRPr="000B6EE8">
        <w:rPr>
          <w:rFonts w:hint="cs"/>
          <w:rtl/>
        </w:rPr>
        <w:t xml:space="preserve"> כדעת המחבר</w:t>
      </w:r>
      <w:r w:rsidRPr="000B6EE8">
        <w:rPr>
          <w:rtl/>
        </w:rPr>
        <w:t>)</w:t>
      </w:r>
      <w:r w:rsidRPr="000B6EE8">
        <w:rPr>
          <w:rFonts w:hint="cs"/>
          <w:rtl/>
        </w:rPr>
        <w:t>,</w:t>
      </w:r>
      <w:r w:rsidRPr="00543457">
        <w:rPr>
          <w:rFonts w:hint="cs"/>
          <w:u w:color="000000"/>
          <w:rtl/>
        </w:rPr>
        <w:t xml:space="preserve"> מביא (דעת הרמ״</w:t>
      </w:r>
      <w:r>
        <w:rPr>
          <w:rFonts w:hint="cs"/>
          <w:u w:color="000000"/>
          <w:rtl/>
        </w:rPr>
        <w:t>א</w:t>
      </w:r>
      <w:r w:rsidRPr="00543457">
        <w:rPr>
          <w:rFonts w:hint="cs"/>
          <w:u w:color="000000"/>
          <w:rtl/>
        </w:rPr>
        <w:t xml:space="preserve">) 'דאף לאחר שנפסקו </w:t>
      </w:r>
      <w:r w:rsidRPr="00543457">
        <w:rPr>
          <w:rFonts w:hint="cs"/>
          <w:b/>
          <w:bCs/>
          <w:u w:color="000000"/>
          <w:rtl/>
        </w:rPr>
        <w:t>אין לנהוג בהם מנהג בזיון</w:t>
      </w:r>
      <w:r w:rsidRPr="00543457">
        <w:rPr>
          <w:rFonts w:hint="cs"/>
          <w:u w:color="000000"/>
          <w:rtl/>
        </w:rPr>
        <w:t xml:space="preserve"> לזרקן באשפה או לכל מקום מגונה . . </w:t>
      </w:r>
    </w:p>
    <w:p w14:paraId="58AABC4D" w14:textId="3532BDAB" w:rsidR="0090571E" w:rsidRDefault="0090571E" w:rsidP="00423C6D">
      <w:pPr>
        <w:pStyle w:val="a2"/>
        <w:rPr>
          <w:u w:color="000000"/>
          <w:rtl/>
        </w:rPr>
      </w:pPr>
      <w:r w:rsidRPr="00543457">
        <w:rPr>
          <w:rFonts w:hint="cs"/>
          <w:u w:color="000000"/>
          <w:rtl/>
        </w:rPr>
        <w:t>ומוסיף</w:t>
      </w:r>
      <w:r>
        <w:rPr>
          <w:u w:color="000000"/>
        </w:rPr>
        <w:t xml:space="preserve"> </w:t>
      </w:r>
      <w:r>
        <w:rPr>
          <w:rFonts w:hint="cs"/>
          <w:u w:color="000000"/>
          <w:rtl/>
        </w:rPr>
        <w:t>רבינו</w:t>
      </w:r>
      <w:r w:rsidRPr="00543457">
        <w:rPr>
          <w:rFonts w:hint="cs"/>
          <w:u w:color="000000"/>
          <w:rtl/>
        </w:rPr>
        <w:t xml:space="preserve">: ׳ואע״פ שהלכה כסברא הראשונה, מ״מ </w:t>
      </w:r>
      <w:r w:rsidRPr="00BA6315">
        <w:rPr>
          <w:rFonts w:hint="eastAsia"/>
          <w:b/>
          <w:bCs/>
          <w:u w:color="000000"/>
          <w:rtl/>
        </w:rPr>
        <w:t>המחמיר</w:t>
      </w:r>
      <w:r w:rsidRPr="00BA6315">
        <w:rPr>
          <w:b/>
          <w:bCs/>
          <w:u w:color="000000"/>
          <w:rtl/>
        </w:rPr>
        <w:t xml:space="preserve"> </w:t>
      </w:r>
      <w:r w:rsidRPr="00BA6315">
        <w:rPr>
          <w:rFonts w:hint="eastAsia"/>
          <w:b/>
          <w:bCs/>
          <w:u w:color="000000"/>
          <w:rtl/>
        </w:rPr>
        <w:t>תבוא</w:t>
      </w:r>
      <w:r w:rsidRPr="00BA6315">
        <w:rPr>
          <w:b/>
          <w:bCs/>
          <w:u w:color="000000"/>
          <w:rtl/>
        </w:rPr>
        <w:t xml:space="preserve"> </w:t>
      </w:r>
      <w:r w:rsidRPr="00BA6315">
        <w:rPr>
          <w:rFonts w:hint="eastAsia"/>
          <w:b/>
          <w:bCs/>
          <w:u w:color="000000"/>
          <w:rtl/>
        </w:rPr>
        <w:t>עליו</w:t>
      </w:r>
      <w:r w:rsidRPr="00BA6315">
        <w:rPr>
          <w:b/>
          <w:bCs/>
          <w:u w:color="000000"/>
          <w:rtl/>
        </w:rPr>
        <w:t xml:space="preserve"> </w:t>
      </w:r>
      <w:r w:rsidRPr="00BA6315">
        <w:rPr>
          <w:rFonts w:hint="eastAsia"/>
          <w:b/>
          <w:bCs/>
          <w:u w:color="000000"/>
          <w:rtl/>
        </w:rPr>
        <w:t>ברכה</w:t>
      </w:r>
      <w:r w:rsidRPr="00BA6315">
        <w:rPr>
          <w:rFonts w:hint="eastAsia"/>
          <w:u w:color="000000"/>
          <w:rtl/>
        </w:rPr>
        <w:t>׳</w:t>
      </w:r>
      <w:r w:rsidRPr="00BA6315">
        <w:rPr>
          <w:u w:color="000000"/>
          <w:rtl/>
        </w:rPr>
        <w:t>.</w:t>
      </w:r>
    </w:p>
    <w:p w14:paraId="0145C838" w14:textId="76A31672" w:rsidR="0090571E" w:rsidRDefault="0090571E" w:rsidP="00423C6D">
      <w:pPr>
        <w:pStyle w:val="a2"/>
        <w:rPr>
          <w:u w:color="000000"/>
          <w:rtl/>
        </w:rPr>
      </w:pPr>
      <w:r>
        <w:rPr>
          <w:rFonts w:hint="cs"/>
          <w:u w:color="000000"/>
          <w:rtl/>
        </w:rPr>
        <w:t>ואח"כ מוסיף רבינו עוד:</w:t>
      </w:r>
      <w:r w:rsidRPr="0090571E">
        <w:rPr>
          <w:rStyle w:val="FootnoteReference"/>
          <w:rFonts w:ascii="Narkisim" w:hAnsi="Narkisim"/>
          <w:position w:val="6"/>
          <w:rtl/>
        </w:rPr>
        <w:footnoteReference w:id="117"/>
      </w:r>
      <w:r>
        <w:rPr>
          <w:rFonts w:hint="cs"/>
          <w:u w:color="000000"/>
          <w:rtl/>
        </w:rPr>
        <w:t xml:space="preserve"> ׳ויש בעלי הנפש שמחמירין לגונזן או להניחן תוך ספר אחד לסימן, הואיל ונעשה בהם מצוה אחת יעשו בהן מצוה אחרת׳.</w:t>
      </w:r>
    </w:p>
    <w:p w14:paraId="6D1ECC68" w14:textId="77777777" w:rsidR="0090571E" w:rsidRDefault="0090571E" w:rsidP="00423C6D">
      <w:pPr>
        <w:pStyle w:val="a2"/>
        <w:rPr>
          <w:color w:val="FF0000"/>
          <w:u w:color="000000"/>
        </w:rPr>
      </w:pPr>
      <w:r>
        <w:rPr>
          <w:rFonts w:hint="cs"/>
          <w:u w:color="000000"/>
          <w:rtl/>
        </w:rPr>
        <w:t>ואולי י״ל הכוונה בהוספה זו,</w:t>
      </w:r>
      <w:r w:rsidRPr="0090571E">
        <w:rPr>
          <w:rStyle w:val="FootnoteReference"/>
          <w:rFonts w:ascii="Narkisim" w:hAnsi="Narkisim"/>
          <w:position w:val="6"/>
          <w:rtl/>
        </w:rPr>
        <w:footnoteReference w:id="118"/>
      </w:r>
      <w:r>
        <w:rPr>
          <w:rFonts w:hint="cs"/>
          <w:u w:color="000000"/>
          <w:rtl/>
        </w:rPr>
        <w:t xml:space="preserve"> שאין זה רק גדר של חומרא שכל הרוצה יכול </w:t>
      </w:r>
      <w:r>
        <w:rPr>
          <w:rFonts w:hint="cs"/>
          <w:u w:color="000000"/>
          <w:rtl/>
        </w:rPr>
        <w:lastRenderedPageBreak/>
        <w:t xml:space="preserve">להחמיר לעצמו לצאת מידי ספק, ויתברך בברכה ('המחמיר תבוא עליו ברכה'), </w:t>
      </w:r>
    </w:p>
    <w:p w14:paraId="5194973C" w14:textId="77777777" w:rsidR="0090571E" w:rsidRPr="00452674" w:rsidRDefault="0090571E" w:rsidP="00423C6D">
      <w:pPr>
        <w:pStyle w:val="a2"/>
        <w:rPr>
          <w:u w:color="000000"/>
          <w:rtl/>
        </w:rPr>
      </w:pPr>
      <w:r w:rsidRPr="00452674">
        <w:rPr>
          <w:rFonts w:hint="cs"/>
          <w:u w:color="000000"/>
          <w:rtl/>
        </w:rPr>
        <w:t>ולענ״ד</w:t>
      </w:r>
      <w:r w:rsidRPr="00452674">
        <w:rPr>
          <w:u w:color="000000"/>
          <w:rtl/>
        </w:rPr>
        <w:t xml:space="preserve">, בא רבינו לחדש כאן מעלה יתירה </w:t>
      </w:r>
      <w:r w:rsidRPr="00452674">
        <w:rPr>
          <w:rFonts w:hint="cs"/>
          <w:u w:color="000000"/>
          <w:rtl/>
        </w:rPr>
        <w:t>ודרגא</w:t>
      </w:r>
      <w:r w:rsidRPr="00452674">
        <w:rPr>
          <w:u w:color="000000"/>
          <w:rtl/>
        </w:rPr>
        <w:t xml:space="preserve"> </w:t>
      </w:r>
      <w:r w:rsidRPr="00452674">
        <w:rPr>
          <w:rFonts w:hint="cs"/>
          <w:u w:color="000000"/>
          <w:rtl/>
        </w:rPr>
        <w:t>של</w:t>
      </w:r>
      <w:r w:rsidRPr="00452674">
        <w:rPr>
          <w:u w:color="000000"/>
          <w:rtl/>
        </w:rPr>
        <w:t xml:space="preserve"> '</w:t>
      </w:r>
      <w:r w:rsidRPr="00452674">
        <w:rPr>
          <w:rFonts w:hint="cs"/>
          <w:b/>
          <w:bCs/>
          <w:u w:color="000000"/>
          <w:rtl/>
        </w:rPr>
        <w:t>בעלי</w:t>
      </w:r>
      <w:r w:rsidRPr="00452674">
        <w:rPr>
          <w:b/>
          <w:bCs/>
          <w:u w:color="000000"/>
          <w:rtl/>
        </w:rPr>
        <w:t xml:space="preserve"> </w:t>
      </w:r>
      <w:r w:rsidRPr="00452674">
        <w:rPr>
          <w:rFonts w:hint="cs"/>
          <w:b/>
          <w:bCs/>
          <w:u w:color="000000"/>
          <w:rtl/>
        </w:rPr>
        <w:t>נפש</w:t>
      </w:r>
      <w:r w:rsidRPr="00452674">
        <w:rPr>
          <w:b/>
          <w:bCs/>
          <w:u w:color="000000"/>
          <w:rtl/>
        </w:rPr>
        <w:t>,</w:t>
      </w:r>
      <w:r w:rsidRPr="00452674">
        <w:rPr>
          <w:u w:color="000000"/>
          <w:rtl/>
        </w:rPr>
        <w:t>'</w:t>
      </w:r>
      <w:r w:rsidRPr="0090571E">
        <w:rPr>
          <w:rStyle w:val="FootnoteReference"/>
          <w:rFonts w:ascii="Narkisim" w:hAnsi="Narkisim"/>
          <w:color w:val="0D0D0D" w:themeColor="text1" w:themeTint="F2"/>
          <w:position w:val="6"/>
          <w:rtl/>
        </w:rPr>
        <w:footnoteReference w:id="119"/>
      </w:r>
      <w:r w:rsidRPr="00452674">
        <w:rPr>
          <w:u w:color="000000"/>
          <w:rtl/>
        </w:rPr>
        <w:t xml:space="preserve"> </w:t>
      </w:r>
      <w:r w:rsidRPr="00452674">
        <w:rPr>
          <w:rFonts w:hint="cs"/>
          <w:u w:color="000000"/>
          <w:rtl/>
        </w:rPr>
        <w:t>היינו</w:t>
      </w:r>
      <w:r w:rsidRPr="00452674">
        <w:rPr>
          <w:u w:color="000000"/>
          <w:rtl/>
        </w:rPr>
        <w:t xml:space="preserve"> </w:t>
      </w:r>
      <w:r w:rsidRPr="00452674">
        <w:rPr>
          <w:rFonts w:hint="cs"/>
          <w:u w:color="000000"/>
          <w:rtl/>
        </w:rPr>
        <w:t>אלו</w:t>
      </w:r>
      <w:r w:rsidRPr="00452674">
        <w:rPr>
          <w:u w:color="000000"/>
          <w:rtl/>
        </w:rPr>
        <w:t xml:space="preserve"> </w:t>
      </w:r>
      <w:r w:rsidRPr="00452674">
        <w:rPr>
          <w:rFonts w:hint="cs"/>
          <w:u w:color="000000"/>
          <w:rtl/>
        </w:rPr>
        <w:t>שיש</w:t>
      </w:r>
      <w:r w:rsidRPr="00452674">
        <w:rPr>
          <w:u w:color="000000"/>
          <w:rtl/>
        </w:rPr>
        <w:t xml:space="preserve"> </w:t>
      </w:r>
      <w:r w:rsidRPr="00452674">
        <w:rPr>
          <w:rFonts w:hint="cs"/>
          <w:u w:color="000000"/>
          <w:rtl/>
        </w:rPr>
        <w:t>להם</w:t>
      </w:r>
      <w:r w:rsidRPr="00452674">
        <w:rPr>
          <w:u w:color="000000"/>
          <w:rtl/>
        </w:rPr>
        <w:t xml:space="preserve"> </w:t>
      </w:r>
      <w:r w:rsidRPr="00452674">
        <w:rPr>
          <w:rFonts w:hint="cs"/>
          <w:u w:color="000000"/>
          <w:rtl/>
        </w:rPr>
        <w:t>חוש</w:t>
      </w:r>
      <w:r w:rsidRPr="00452674">
        <w:rPr>
          <w:u w:color="000000"/>
          <w:rtl/>
        </w:rPr>
        <w:t xml:space="preserve"> </w:t>
      </w:r>
      <w:r w:rsidRPr="00452674">
        <w:rPr>
          <w:rFonts w:hint="cs"/>
          <w:u w:color="000000"/>
          <w:rtl/>
        </w:rPr>
        <w:t>והרגש</w:t>
      </w:r>
      <w:r w:rsidRPr="00452674">
        <w:rPr>
          <w:u w:color="000000"/>
          <w:rtl/>
        </w:rPr>
        <w:t xml:space="preserve"> </w:t>
      </w:r>
      <w:r w:rsidRPr="00452674">
        <w:rPr>
          <w:rFonts w:hint="cs"/>
          <w:u w:color="000000"/>
          <w:rtl/>
        </w:rPr>
        <w:t>בסגולת</w:t>
      </w:r>
      <w:r w:rsidRPr="00452674">
        <w:rPr>
          <w:u w:color="000000"/>
          <w:rtl/>
        </w:rPr>
        <w:t xml:space="preserve"> </w:t>
      </w:r>
      <w:r w:rsidRPr="00452674">
        <w:rPr>
          <w:rFonts w:hint="cs"/>
          <w:u w:color="000000"/>
          <w:rtl/>
        </w:rPr>
        <w:t>חפצא</w:t>
      </w:r>
      <w:r w:rsidRPr="00452674">
        <w:rPr>
          <w:u w:color="000000"/>
          <w:rtl/>
        </w:rPr>
        <w:t xml:space="preserve"> </w:t>
      </w:r>
      <w:r w:rsidRPr="00452674">
        <w:rPr>
          <w:rFonts w:hint="cs"/>
          <w:u w:color="000000"/>
          <w:rtl/>
        </w:rPr>
        <w:t>דמצוה</w:t>
      </w:r>
      <w:r w:rsidRPr="00452674">
        <w:rPr>
          <w:u w:color="000000"/>
          <w:rtl/>
        </w:rPr>
        <w:t xml:space="preserve">, </w:t>
      </w:r>
      <w:r w:rsidRPr="00452674">
        <w:rPr>
          <w:rFonts w:hint="cs"/>
          <w:u w:color="000000"/>
          <w:rtl/>
        </w:rPr>
        <w:t>שאינו</w:t>
      </w:r>
      <w:r w:rsidRPr="00452674">
        <w:rPr>
          <w:u w:color="000000"/>
          <w:rtl/>
        </w:rPr>
        <w:t xml:space="preserve"> ענין שלילי רק לגונזן, אלא </w:t>
      </w:r>
      <w:r w:rsidRPr="00452674">
        <w:rPr>
          <w:rFonts w:hint="cs"/>
          <w:b/>
          <w:bCs/>
          <w:u w:color="000000"/>
          <w:rtl/>
        </w:rPr>
        <w:t>גם</w:t>
      </w:r>
      <w:r w:rsidRPr="00452674">
        <w:rPr>
          <w:b/>
          <w:bCs/>
          <w:u w:color="000000"/>
          <w:rtl/>
        </w:rPr>
        <w:t xml:space="preserve"> </w:t>
      </w:r>
      <w:r w:rsidRPr="00452674">
        <w:rPr>
          <w:rFonts w:hint="cs"/>
          <w:b/>
          <w:bCs/>
          <w:u w:color="000000"/>
          <w:rtl/>
        </w:rPr>
        <w:t>ענין</w:t>
      </w:r>
      <w:r w:rsidRPr="00452674">
        <w:rPr>
          <w:b/>
          <w:bCs/>
          <w:u w:color="000000"/>
          <w:rtl/>
        </w:rPr>
        <w:t xml:space="preserve"> </w:t>
      </w:r>
      <w:r w:rsidRPr="00452674">
        <w:rPr>
          <w:rFonts w:hint="cs"/>
          <w:b/>
          <w:bCs/>
          <w:u w:color="000000"/>
          <w:rtl/>
        </w:rPr>
        <w:t>חיובי</w:t>
      </w:r>
      <w:r w:rsidRPr="00452674">
        <w:rPr>
          <w:u w:color="000000"/>
          <w:rtl/>
        </w:rPr>
        <w:t xml:space="preserve">, </w:t>
      </w:r>
      <w:r w:rsidRPr="00452674">
        <w:rPr>
          <w:rFonts w:hint="cs"/>
          <w:u w:color="000000"/>
          <w:rtl/>
        </w:rPr>
        <w:t>שראוי</w:t>
      </w:r>
      <w:r w:rsidRPr="00452674">
        <w:rPr>
          <w:u w:color="000000"/>
          <w:rtl/>
        </w:rPr>
        <w:t xml:space="preserve"> שימשיכו </w:t>
      </w:r>
      <w:r w:rsidRPr="00452674">
        <w:rPr>
          <w:rFonts w:hint="cs"/>
          <w:u w:color="000000"/>
          <w:rtl/>
        </w:rPr>
        <w:t>משיורי</w:t>
      </w:r>
      <w:r w:rsidRPr="00452674">
        <w:rPr>
          <w:u w:color="000000"/>
          <w:rtl/>
        </w:rPr>
        <w:t xml:space="preserve"> </w:t>
      </w:r>
      <w:r w:rsidRPr="00452674">
        <w:rPr>
          <w:rFonts w:hint="cs"/>
          <w:u w:color="000000"/>
          <w:rtl/>
        </w:rPr>
        <w:t>המצוה</w:t>
      </w:r>
      <w:r w:rsidRPr="00452674">
        <w:rPr>
          <w:u w:color="000000"/>
          <w:rtl/>
        </w:rPr>
        <w:t xml:space="preserve"> </w:t>
      </w:r>
      <w:r w:rsidRPr="00452674">
        <w:rPr>
          <w:rFonts w:hint="cs"/>
          <w:u w:color="000000"/>
          <w:rtl/>
        </w:rPr>
        <w:t>שעברה</w:t>
      </w:r>
      <w:r w:rsidRPr="00452674">
        <w:rPr>
          <w:u w:color="000000"/>
          <w:rtl/>
        </w:rPr>
        <w:t xml:space="preserve"> </w:t>
      </w:r>
      <w:r w:rsidRPr="00452674">
        <w:rPr>
          <w:rFonts w:hint="cs"/>
          <w:u w:color="000000"/>
          <w:rtl/>
        </w:rPr>
        <w:t>לתועלת</w:t>
      </w:r>
      <w:r w:rsidRPr="00452674">
        <w:rPr>
          <w:u w:color="000000"/>
          <w:rtl/>
        </w:rPr>
        <w:t xml:space="preserve"> </w:t>
      </w:r>
      <w:r w:rsidRPr="00452674">
        <w:rPr>
          <w:rFonts w:hint="cs"/>
          <w:u w:color="000000"/>
          <w:rtl/>
        </w:rPr>
        <w:t>מצוה</w:t>
      </w:r>
      <w:r w:rsidRPr="00452674">
        <w:rPr>
          <w:u w:color="000000"/>
          <w:rtl/>
        </w:rPr>
        <w:t xml:space="preserve"> </w:t>
      </w:r>
      <w:r w:rsidRPr="00452674">
        <w:rPr>
          <w:rFonts w:hint="cs"/>
          <w:u w:color="000000"/>
          <w:rtl/>
        </w:rPr>
        <w:t>אחרת</w:t>
      </w:r>
      <w:r w:rsidRPr="00452674">
        <w:rPr>
          <w:u w:color="000000"/>
          <w:rtl/>
        </w:rPr>
        <w:t>.</w:t>
      </w:r>
    </w:p>
    <w:p w14:paraId="4C7ABBED" w14:textId="77777777" w:rsidR="0090571E" w:rsidRPr="00452674" w:rsidRDefault="0090571E" w:rsidP="00423C6D">
      <w:pPr>
        <w:pStyle w:val="a2"/>
        <w:rPr>
          <w:rtl/>
        </w:rPr>
      </w:pPr>
      <w:r w:rsidRPr="00452674">
        <w:rPr>
          <w:rFonts w:ascii="Narkisim" w:hAnsi="Narkisim"/>
          <w:rtl/>
        </w:rPr>
        <w:t xml:space="preserve">    שוב ראיתי שהאריך בזה </w:t>
      </w:r>
      <w:r w:rsidRPr="00452674">
        <w:rPr>
          <w:rFonts w:hint="eastAsia"/>
          <w:rtl/>
        </w:rPr>
        <w:t>הרמא״צ</w:t>
      </w:r>
      <w:r w:rsidRPr="00452674">
        <w:rPr>
          <w:rtl/>
        </w:rPr>
        <w:t xml:space="preserve"> וייס שי׳ (הערות וביאורים אה״ת גל׳ 975 כ"ב שבט משפטים תשס"ט) על </w:t>
      </w:r>
      <w:r w:rsidRPr="00452674">
        <w:rPr>
          <w:rFonts w:hint="eastAsia"/>
          <w:rtl/>
        </w:rPr>
        <w:t>הפסוק</w:t>
      </w:r>
      <w:r w:rsidRPr="00452674">
        <w:rPr>
          <w:rtl/>
        </w:rPr>
        <w:t xml:space="preserve"> ׳משארותם צרורות בשמלותם על שכמם׳ (שמות יב, לד) </w:t>
      </w:r>
      <w:r w:rsidRPr="00452674">
        <w:rPr>
          <w:rFonts w:hint="eastAsia"/>
          <w:rtl/>
        </w:rPr>
        <w:t>שפרש״י</w:t>
      </w:r>
      <w:r w:rsidRPr="00452674">
        <w:rPr>
          <w:rtl/>
        </w:rPr>
        <w:t xml:space="preserve"> </w:t>
      </w:r>
      <w:r w:rsidRPr="00452674">
        <w:rPr>
          <w:rFonts w:hint="eastAsia"/>
          <w:rtl/>
        </w:rPr>
        <w:t>׳שיורי</w:t>
      </w:r>
      <w:r w:rsidRPr="00452674">
        <w:rPr>
          <w:rtl/>
        </w:rPr>
        <w:t xml:space="preserve"> מצה ומרור נשאו על שכמם ולא על הבהמות, שהיו </w:t>
      </w:r>
      <w:r w:rsidRPr="00452674">
        <w:rPr>
          <w:rtl/>
        </w:rPr>
        <w:lastRenderedPageBreak/>
        <w:t xml:space="preserve">מחבבין את המצוות׳. והט״ז מציין למ״ש (או״ח סי׳ קסז) לא ליתן פרוסת המוציא לגוי. </w:t>
      </w:r>
    </w:p>
    <w:p w14:paraId="1B8858DA" w14:textId="77777777" w:rsidR="0090571E" w:rsidRPr="00452674" w:rsidRDefault="0090571E" w:rsidP="00423C6D">
      <w:pPr>
        <w:pStyle w:val="a2"/>
        <w:rPr>
          <w:rtl/>
        </w:rPr>
      </w:pPr>
      <w:r w:rsidRPr="00452674">
        <w:rPr>
          <w:rtl/>
        </w:rPr>
        <w:t xml:space="preserve">   גם מציין שם להרמ״א (סי׳ רצו סעיף יא) לרחוץ עיניו בשיורי כוס הבדלה משום חיבוב מצוה. ולפי זה, אולי י״ל שזהו גם ענין סגולת כוס של ברכה ש׳משגר לאנשי ביתו׳ (ברכות נא:) שרבינו נשיא דורינו הרבה מאד לעסוק בזה שעות רבות ל</w:t>
      </w:r>
      <w:r w:rsidRPr="00452674">
        <w:rPr>
          <w:rFonts w:hint="eastAsia"/>
          <w:rtl/>
        </w:rPr>
        <w:t>זכות</w:t>
      </w:r>
      <w:r w:rsidRPr="00452674">
        <w:rPr>
          <w:rtl/>
        </w:rPr>
        <w:t xml:space="preserve"> בזה </w:t>
      </w:r>
      <w:r w:rsidRPr="00452674">
        <w:rPr>
          <w:rFonts w:hint="eastAsia"/>
          <w:rtl/>
        </w:rPr>
        <w:t>אלפי</w:t>
      </w:r>
      <w:r w:rsidRPr="00452674">
        <w:rPr>
          <w:rtl/>
        </w:rPr>
        <w:t xml:space="preserve"> </w:t>
      </w:r>
      <w:r w:rsidRPr="00452674">
        <w:rPr>
          <w:rFonts w:hint="eastAsia"/>
          <w:rtl/>
        </w:rPr>
        <w:t>אנשים</w:t>
      </w:r>
      <w:r w:rsidRPr="00452674">
        <w:rPr>
          <w:rtl/>
        </w:rPr>
        <w:t xml:space="preserve"> </w:t>
      </w:r>
      <w:r w:rsidRPr="00452674">
        <w:rPr>
          <w:rFonts w:hint="eastAsia"/>
          <w:rtl/>
        </w:rPr>
        <w:t>במוצאי</w:t>
      </w:r>
      <w:r w:rsidRPr="00452674">
        <w:rPr>
          <w:rtl/>
        </w:rPr>
        <w:t xml:space="preserve"> </w:t>
      </w:r>
      <w:r w:rsidRPr="00452674">
        <w:rPr>
          <w:rFonts w:hint="eastAsia"/>
          <w:rtl/>
        </w:rPr>
        <w:t>ימים</w:t>
      </w:r>
      <w:r w:rsidRPr="00452674">
        <w:rPr>
          <w:rtl/>
        </w:rPr>
        <w:t xml:space="preserve"> </w:t>
      </w:r>
      <w:r w:rsidRPr="00452674">
        <w:rPr>
          <w:rFonts w:hint="eastAsia"/>
          <w:rtl/>
        </w:rPr>
        <w:t>טובים</w:t>
      </w:r>
      <w:r w:rsidRPr="00452674">
        <w:rPr>
          <w:rtl/>
        </w:rPr>
        <w:t xml:space="preserve">. </w:t>
      </w:r>
    </w:p>
    <w:p w14:paraId="58C5704C" w14:textId="77777777" w:rsidR="0090571E" w:rsidRPr="00452674" w:rsidRDefault="0090571E" w:rsidP="00423C6D">
      <w:pPr>
        <w:pStyle w:val="a2"/>
        <w:rPr>
          <w:rtl/>
        </w:rPr>
      </w:pPr>
      <w:r w:rsidRPr="00452674">
        <w:rPr>
          <w:rFonts w:hint="eastAsia"/>
          <w:rtl/>
        </w:rPr>
        <w:t>הנחת</w:t>
      </w:r>
      <w:r w:rsidRPr="00452674">
        <w:rPr>
          <w:rtl/>
        </w:rPr>
        <w:t xml:space="preserve"> </w:t>
      </w:r>
      <w:r w:rsidRPr="00452674">
        <w:rPr>
          <w:rFonts w:hint="eastAsia"/>
          <w:rtl/>
        </w:rPr>
        <w:t>ההושענות</w:t>
      </w:r>
      <w:r w:rsidRPr="00452674">
        <w:rPr>
          <w:rtl/>
        </w:rPr>
        <w:t xml:space="preserve"> </w:t>
      </w:r>
      <w:r w:rsidRPr="00452674">
        <w:rPr>
          <w:rFonts w:hint="eastAsia"/>
          <w:rtl/>
        </w:rPr>
        <w:t>על</w:t>
      </w:r>
      <w:r w:rsidRPr="00452674">
        <w:rPr>
          <w:rtl/>
        </w:rPr>
        <w:t xml:space="preserve"> </w:t>
      </w:r>
      <w:r w:rsidRPr="00452674">
        <w:rPr>
          <w:rFonts w:hint="eastAsia"/>
          <w:rtl/>
        </w:rPr>
        <w:t>גבי</w:t>
      </w:r>
      <w:r w:rsidRPr="00452674">
        <w:rPr>
          <w:rtl/>
        </w:rPr>
        <w:t xml:space="preserve"> </w:t>
      </w:r>
      <w:r w:rsidRPr="00452674">
        <w:rPr>
          <w:rFonts w:hint="eastAsia"/>
          <w:rtl/>
        </w:rPr>
        <w:t>הארון</w:t>
      </w:r>
      <w:r w:rsidRPr="00452674">
        <w:rPr>
          <w:rtl/>
        </w:rPr>
        <w:t xml:space="preserve"> </w:t>
      </w:r>
      <w:r w:rsidRPr="00452674">
        <w:rPr>
          <w:rFonts w:hint="eastAsia"/>
          <w:rtl/>
        </w:rPr>
        <w:t>קודש</w:t>
      </w:r>
    </w:p>
    <w:p w14:paraId="2971E9EE" w14:textId="77777777" w:rsidR="0090571E" w:rsidRPr="00452674" w:rsidRDefault="0090571E" w:rsidP="00423C6D">
      <w:pPr>
        <w:pStyle w:val="a2"/>
        <w:rPr>
          <w:rtl/>
        </w:rPr>
      </w:pPr>
      <w:r w:rsidRPr="00452674">
        <w:rPr>
          <w:rtl/>
        </w:rPr>
        <w:t xml:space="preserve">     ואולי </w:t>
      </w:r>
      <w:r w:rsidRPr="00452674">
        <w:rPr>
          <w:rFonts w:hint="eastAsia"/>
          <w:rtl/>
        </w:rPr>
        <w:t>י״ל</w:t>
      </w:r>
      <w:r w:rsidRPr="00452674">
        <w:rPr>
          <w:rtl/>
        </w:rPr>
        <w:t xml:space="preserve"> שזהו מקור </w:t>
      </w:r>
      <w:r w:rsidRPr="00452674">
        <w:rPr>
          <w:rFonts w:hint="eastAsia"/>
          <w:rtl/>
        </w:rPr>
        <w:t>מנהג</w:t>
      </w:r>
      <w:r w:rsidRPr="00452674">
        <w:rPr>
          <w:rtl/>
        </w:rPr>
        <w:t xml:space="preserve"> ישראל תורה בהרבה בתי כנסיות </w:t>
      </w:r>
      <w:r w:rsidRPr="00452674">
        <w:rPr>
          <w:rFonts w:hint="eastAsia"/>
          <w:rtl/>
        </w:rPr>
        <w:t>שמניחים</w:t>
      </w:r>
      <w:r w:rsidRPr="00452674">
        <w:rPr>
          <w:rtl/>
        </w:rPr>
        <w:t xml:space="preserve"> </w:t>
      </w:r>
      <w:r w:rsidRPr="00452674">
        <w:rPr>
          <w:rFonts w:hint="eastAsia"/>
          <w:rtl/>
        </w:rPr>
        <w:t>את</w:t>
      </w:r>
      <w:r w:rsidRPr="00452674">
        <w:rPr>
          <w:rtl/>
        </w:rPr>
        <w:t xml:space="preserve"> </w:t>
      </w:r>
      <w:r w:rsidRPr="00452674">
        <w:rPr>
          <w:rFonts w:hint="eastAsia"/>
          <w:rtl/>
        </w:rPr>
        <w:t>שיורי</w:t>
      </w:r>
      <w:r w:rsidRPr="00452674">
        <w:rPr>
          <w:rtl/>
        </w:rPr>
        <w:t xml:space="preserve"> </w:t>
      </w:r>
      <w:r w:rsidRPr="00452674">
        <w:rPr>
          <w:rFonts w:hint="eastAsia"/>
          <w:rtl/>
        </w:rPr>
        <w:t>הלולב</w:t>
      </w:r>
      <w:r w:rsidRPr="00452674">
        <w:rPr>
          <w:rtl/>
        </w:rPr>
        <w:t xml:space="preserve"> </w:t>
      </w:r>
      <w:r w:rsidRPr="00452674">
        <w:rPr>
          <w:rFonts w:hint="eastAsia"/>
          <w:rtl/>
        </w:rPr>
        <w:t>וההושענות</w:t>
      </w:r>
      <w:r w:rsidRPr="00452674">
        <w:rPr>
          <w:rtl/>
        </w:rPr>
        <w:t xml:space="preserve"> </w:t>
      </w:r>
      <w:r w:rsidRPr="00452674">
        <w:rPr>
          <w:rFonts w:hint="eastAsia"/>
          <w:rtl/>
        </w:rPr>
        <w:t>כו׳</w:t>
      </w:r>
      <w:r w:rsidRPr="00452674">
        <w:rPr>
          <w:rtl/>
        </w:rPr>
        <w:t xml:space="preserve"> </w:t>
      </w:r>
      <w:r w:rsidRPr="00452674">
        <w:rPr>
          <w:rFonts w:hint="eastAsia"/>
          <w:rtl/>
        </w:rPr>
        <w:t>על</w:t>
      </w:r>
      <w:r w:rsidRPr="00452674">
        <w:rPr>
          <w:rtl/>
        </w:rPr>
        <w:t xml:space="preserve"> </w:t>
      </w:r>
      <w:r w:rsidRPr="00452674">
        <w:rPr>
          <w:rFonts w:hint="eastAsia"/>
          <w:rtl/>
        </w:rPr>
        <w:t>גבי</w:t>
      </w:r>
      <w:r w:rsidRPr="00452674">
        <w:rPr>
          <w:rtl/>
        </w:rPr>
        <w:t xml:space="preserve"> </w:t>
      </w:r>
      <w:r w:rsidRPr="00452674">
        <w:rPr>
          <w:rFonts w:hint="eastAsia"/>
          <w:rtl/>
        </w:rPr>
        <w:t>ארון</w:t>
      </w:r>
      <w:r w:rsidRPr="00452674">
        <w:rPr>
          <w:rtl/>
        </w:rPr>
        <w:t xml:space="preserve"> </w:t>
      </w:r>
      <w:r w:rsidRPr="00452674">
        <w:rPr>
          <w:rFonts w:hint="eastAsia"/>
          <w:rtl/>
        </w:rPr>
        <w:t>הקודש</w:t>
      </w:r>
      <w:r w:rsidRPr="00452674">
        <w:rPr>
          <w:rtl/>
        </w:rPr>
        <w:t xml:space="preserve">, </w:t>
      </w:r>
    </w:p>
    <w:p w14:paraId="12280C88" w14:textId="77777777" w:rsidR="0090571E" w:rsidRPr="00452674" w:rsidRDefault="0090571E" w:rsidP="00423C6D">
      <w:pPr>
        <w:pStyle w:val="a2"/>
        <w:rPr>
          <w:rtl/>
        </w:rPr>
      </w:pPr>
      <w:r w:rsidRPr="00452674">
        <w:rPr>
          <w:rtl/>
        </w:rPr>
        <w:t>-</w:t>
      </w:r>
      <w:r w:rsidRPr="00452674">
        <w:rPr>
          <w:rFonts w:hint="eastAsia"/>
          <w:rtl/>
        </w:rPr>
        <w:t>שאם</w:t>
      </w:r>
      <w:r w:rsidRPr="00452674">
        <w:rPr>
          <w:rtl/>
        </w:rPr>
        <w:t xml:space="preserve"> </w:t>
      </w:r>
      <w:r w:rsidRPr="00452674">
        <w:rPr>
          <w:rFonts w:hint="eastAsia"/>
          <w:rtl/>
        </w:rPr>
        <w:t>גונזם</w:t>
      </w:r>
      <w:r w:rsidRPr="00452674">
        <w:rPr>
          <w:rtl/>
        </w:rPr>
        <w:t xml:space="preserve"> </w:t>
      </w:r>
      <w:r w:rsidRPr="00452674">
        <w:rPr>
          <w:rFonts w:hint="eastAsia"/>
          <w:rtl/>
        </w:rPr>
        <w:t>שם</w:t>
      </w:r>
      <w:r w:rsidRPr="00452674">
        <w:rPr>
          <w:rtl/>
        </w:rPr>
        <w:t xml:space="preserve"> </w:t>
      </w:r>
      <w:r w:rsidRPr="00452674">
        <w:rPr>
          <w:rFonts w:hint="eastAsia"/>
          <w:rtl/>
        </w:rPr>
        <w:t>רק</w:t>
      </w:r>
      <w:r w:rsidRPr="00452674">
        <w:rPr>
          <w:rtl/>
        </w:rPr>
        <w:t xml:space="preserve"> </w:t>
      </w:r>
      <w:r w:rsidRPr="00452674">
        <w:rPr>
          <w:rFonts w:hint="eastAsia"/>
          <w:rtl/>
        </w:rPr>
        <w:t>מפני</w:t>
      </w:r>
      <w:r w:rsidRPr="00452674">
        <w:rPr>
          <w:rtl/>
        </w:rPr>
        <w:t xml:space="preserve"> </w:t>
      </w:r>
      <w:r w:rsidRPr="00452674">
        <w:rPr>
          <w:rFonts w:hint="eastAsia"/>
          <w:rtl/>
        </w:rPr>
        <w:t>היראה</w:t>
      </w:r>
      <w:r w:rsidRPr="00452674">
        <w:rPr>
          <w:rtl/>
        </w:rPr>
        <w:t xml:space="preserve">, </w:t>
      </w:r>
      <w:r w:rsidRPr="00452674">
        <w:rPr>
          <w:rFonts w:hint="eastAsia"/>
          <w:rtl/>
        </w:rPr>
        <w:t>שמחמיר</w:t>
      </w:r>
      <w:r w:rsidRPr="00452674">
        <w:rPr>
          <w:rtl/>
        </w:rPr>
        <w:t xml:space="preserve"> </w:t>
      </w:r>
      <w:r w:rsidRPr="00452674">
        <w:rPr>
          <w:rFonts w:hint="eastAsia"/>
          <w:rtl/>
        </w:rPr>
        <w:t>על</w:t>
      </w:r>
      <w:r w:rsidRPr="00452674">
        <w:rPr>
          <w:rtl/>
        </w:rPr>
        <w:t xml:space="preserve"> עצמו </w:t>
      </w:r>
      <w:r w:rsidRPr="00452674">
        <w:rPr>
          <w:rFonts w:hint="eastAsia"/>
          <w:rtl/>
        </w:rPr>
        <w:t>מצד</w:t>
      </w:r>
      <w:r w:rsidRPr="00452674">
        <w:rPr>
          <w:rtl/>
        </w:rPr>
        <w:t xml:space="preserve"> </w:t>
      </w:r>
      <w:r w:rsidRPr="00452674">
        <w:rPr>
          <w:rFonts w:hint="eastAsia"/>
          <w:rtl/>
        </w:rPr>
        <w:t>הספק</w:t>
      </w:r>
      <w:r w:rsidRPr="00452674">
        <w:rPr>
          <w:rtl/>
        </w:rPr>
        <w:t xml:space="preserve">, י״ל דהוי חומרא דאתי לידי קולא, </w:t>
      </w:r>
      <w:r w:rsidRPr="00452674">
        <w:rPr>
          <w:rFonts w:hint="eastAsia"/>
          <w:rtl/>
        </w:rPr>
        <w:t>כמו</w:t>
      </w:r>
      <w:r w:rsidRPr="00452674">
        <w:rPr>
          <w:rtl/>
        </w:rPr>
        <w:t xml:space="preserve"> </w:t>
      </w:r>
      <w:r w:rsidRPr="00452674">
        <w:rPr>
          <w:rFonts w:hint="eastAsia"/>
          <w:rtl/>
        </w:rPr>
        <w:t>שהקפיד</w:t>
      </w:r>
      <w:r w:rsidRPr="00452674">
        <w:rPr>
          <w:rtl/>
        </w:rPr>
        <w:t xml:space="preserve"> מאד </w:t>
      </w:r>
      <w:r w:rsidRPr="00452674">
        <w:rPr>
          <w:rFonts w:hint="eastAsia"/>
          <w:rtl/>
        </w:rPr>
        <w:t>ע״ז</w:t>
      </w:r>
      <w:r w:rsidRPr="00452674">
        <w:rPr>
          <w:rtl/>
        </w:rPr>
        <w:t xml:space="preserve"> בס׳ דרכי חיים ושלום סוף אות תשצ״ב, </w:t>
      </w:r>
      <w:r w:rsidRPr="00452674">
        <w:rPr>
          <w:rFonts w:hint="eastAsia"/>
          <w:rtl/>
        </w:rPr>
        <w:t>ובשו״ת</w:t>
      </w:r>
      <w:r w:rsidRPr="00452674">
        <w:rPr>
          <w:rtl/>
        </w:rPr>
        <w:t xml:space="preserve"> </w:t>
      </w:r>
      <w:r w:rsidRPr="00452674">
        <w:rPr>
          <w:rFonts w:hint="eastAsia"/>
          <w:rtl/>
        </w:rPr>
        <w:t>מהרש״ם</w:t>
      </w:r>
      <w:r w:rsidRPr="00452674">
        <w:rPr>
          <w:rtl/>
        </w:rPr>
        <w:t xml:space="preserve"> </w:t>
      </w:r>
      <w:r w:rsidRPr="00452674">
        <w:rPr>
          <w:rFonts w:hint="eastAsia"/>
          <w:rtl/>
        </w:rPr>
        <w:t>ח״ד</w:t>
      </w:r>
      <w:r w:rsidRPr="00452674">
        <w:rPr>
          <w:rtl/>
        </w:rPr>
        <w:t xml:space="preserve"> </w:t>
      </w:r>
      <w:r w:rsidRPr="00452674">
        <w:rPr>
          <w:rFonts w:hint="eastAsia"/>
          <w:rtl/>
        </w:rPr>
        <w:t>סי</w:t>
      </w:r>
      <w:r w:rsidRPr="00452674">
        <w:rPr>
          <w:rtl/>
        </w:rPr>
        <w:t xml:space="preserve"> </w:t>
      </w:r>
      <w:r w:rsidRPr="00452674">
        <w:rPr>
          <w:rFonts w:hint="eastAsia"/>
          <w:rtl/>
        </w:rPr>
        <w:t>נג</w:t>
      </w:r>
      <w:r w:rsidRPr="00452674">
        <w:rPr>
          <w:rtl/>
        </w:rPr>
        <w:t xml:space="preserve">, </w:t>
      </w:r>
      <w:r w:rsidRPr="00452674">
        <w:rPr>
          <w:rFonts w:hint="eastAsia"/>
          <w:rtl/>
        </w:rPr>
        <w:t>שו״ת</w:t>
      </w:r>
      <w:r w:rsidRPr="00452674">
        <w:rPr>
          <w:rtl/>
        </w:rPr>
        <w:t xml:space="preserve"> </w:t>
      </w:r>
      <w:r w:rsidRPr="00452674">
        <w:rPr>
          <w:rFonts w:hint="eastAsia"/>
          <w:rtl/>
        </w:rPr>
        <w:t>רבבות</w:t>
      </w:r>
      <w:r w:rsidRPr="00452674">
        <w:rPr>
          <w:rtl/>
        </w:rPr>
        <w:t xml:space="preserve"> </w:t>
      </w:r>
      <w:r w:rsidRPr="00452674">
        <w:rPr>
          <w:rFonts w:hint="eastAsia"/>
          <w:rtl/>
        </w:rPr>
        <w:t>אפרים</w:t>
      </w:r>
      <w:r w:rsidRPr="00452674">
        <w:rPr>
          <w:rtl/>
        </w:rPr>
        <w:t xml:space="preserve"> </w:t>
      </w:r>
      <w:r w:rsidRPr="00452674">
        <w:rPr>
          <w:rFonts w:hint="eastAsia"/>
          <w:rtl/>
        </w:rPr>
        <w:t>ח״ח</w:t>
      </w:r>
      <w:r w:rsidRPr="00452674">
        <w:rPr>
          <w:rtl/>
        </w:rPr>
        <w:t xml:space="preserve"> דף קסה,ֿ מועדים לשמחה (פריינד) ע׳ תמז- ועוד </w:t>
      </w:r>
      <w:r w:rsidRPr="00452674">
        <w:rPr>
          <w:rFonts w:hint="eastAsia"/>
          <w:rtl/>
        </w:rPr>
        <w:t>מהאחרונים</w:t>
      </w:r>
      <w:r w:rsidRPr="00452674">
        <w:rPr>
          <w:rtl/>
        </w:rPr>
        <w:t xml:space="preserve">, </w:t>
      </w:r>
      <w:r w:rsidRPr="00452674">
        <w:rPr>
          <w:rFonts w:hint="eastAsia"/>
          <w:rtl/>
        </w:rPr>
        <w:t>שכולם</w:t>
      </w:r>
      <w:r w:rsidRPr="00452674">
        <w:rPr>
          <w:rtl/>
        </w:rPr>
        <w:t xml:space="preserve"> </w:t>
      </w:r>
      <w:r w:rsidRPr="00452674">
        <w:rPr>
          <w:rFonts w:hint="eastAsia"/>
          <w:rtl/>
        </w:rPr>
        <w:t>ראו</w:t>
      </w:r>
      <w:r w:rsidRPr="00452674">
        <w:rPr>
          <w:rtl/>
        </w:rPr>
        <w:t xml:space="preserve">, כן תמהו, </w:t>
      </w:r>
      <w:r w:rsidRPr="00452674">
        <w:rPr>
          <w:rFonts w:hint="eastAsia"/>
          <w:rtl/>
        </w:rPr>
        <w:t>ושואלים</w:t>
      </w:r>
      <w:r w:rsidRPr="00452674">
        <w:rPr>
          <w:rtl/>
        </w:rPr>
        <w:t xml:space="preserve">: </w:t>
      </w:r>
      <w:r w:rsidRPr="00452674">
        <w:rPr>
          <w:rFonts w:hint="eastAsia"/>
          <w:rtl/>
        </w:rPr>
        <w:t>׳מהו</w:t>
      </w:r>
      <w:r w:rsidRPr="00452674">
        <w:rPr>
          <w:rtl/>
        </w:rPr>
        <w:t xml:space="preserve"> </w:t>
      </w:r>
      <w:r w:rsidRPr="00452674">
        <w:rPr>
          <w:rFonts w:hint="eastAsia"/>
          <w:rtl/>
        </w:rPr>
        <w:t>טעם</w:t>
      </w:r>
      <w:r w:rsidRPr="00452674">
        <w:rPr>
          <w:rtl/>
        </w:rPr>
        <w:t xml:space="preserve"> </w:t>
      </w:r>
      <w:r w:rsidRPr="00452674">
        <w:rPr>
          <w:rFonts w:hint="eastAsia"/>
          <w:rtl/>
        </w:rPr>
        <w:t>המנהג</w:t>
      </w:r>
      <w:r w:rsidRPr="00452674">
        <w:rPr>
          <w:rtl/>
        </w:rPr>
        <w:t xml:space="preserve"> </w:t>
      </w:r>
      <w:r w:rsidRPr="00452674">
        <w:rPr>
          <w:rFonts w:hint="eastAsia"/>
          <w:rtl/>
        </w:rPr>
        <w:t>המוזר</w:t>
      </w:r>
      <w:r w:rsidRPr="00452674">
        <w:rPr>
          <w:rtl/>
        </w:rPr>
        <w:t xml:space="preserve"> </w:t>
      </w:r>
      <w:r w:rsidRPr="00452674">
        <w:rPr>
          <w:rFonts w:hint="eastAsia"/>
          <w:rtl/>
        </w:rPr>
        <w:t>הזה</w:t>
      </w:r>
      <w:r w:rsidRPr="00452674">
        <w:rPr>
          <w:rtl/>
        </w:rPr>
        <w:t>?</w:t>
      </w:r>
      <w:r w:rsidRPr="00452674">
        <w:rPr>
          <w:rFonts w:hint="eastAsia"/>
          <w:rtl/>
        </w:rPr>
        <w:t>׳</w:t>
      </w:r>
      <w:r w:rsidRPr="00452674">
        <w:rPr>
          <w:rtl/>
        </w:rPr>
        <w:t xml:space="preserve">- </w:t>
      </w:r>
    </w:p>
    <w:p w14:paraId="4538E43E" w14:textId="7B04DBFF" w:rsidR="0090571E" w:rsidRPr="0090571E" w:rsidRDefault="0090571E" w:rsidP="00423C6D">
      <w:pPr>
        <w:pStyle w:val="a2"/>
        <w:rPr>
          <w:u w:color="000000"/>
          <w:rtl/>
        </w:rPr>
      </w:pPr>
      <w:r w:rsidRPr="00452674">
        <w:rPr>
          <w:rFonts w:hint="eastAsia"/>
          <w:rtl/>
        </w:rPr>
        <w:t>ולענ״ד</w:t>
      </w:r>
      <w:r w:rsidRPr="00452674">
        <w:rPr>
          <w:rtl/>
        </w:rPr>
        <w:t xml:space="preserve"> </w:t>
      </w:r>
      <w:r w:rsidRPr="00452674">
        <w:rPr>
          <w:rFonts w:hint="eastAsia"/>
          <w:rtl/>
        </w:rPr>
        <w:t>י״ל</w:t>
      </w:r>
      <w:r w:rsidRPr="00452674">
        <w:rPr>
          <w:rtl/>
        </w:rPr>
        <w:t xml:space="preserve"> שמנהג ישראל זהו </w:t>
      </w:r>
      <w:r w:rsidRPr="00452674">
        <w:rPr>
          <w:rFonts w:hint="eastAsia"/>
          <w:rtl/>
        </w:rPr>
        <w:t>כנ״ל</w:t>
      </w:r>
      <w:r w:rsidRPr="00452674">
        <w:rPr>
          <w:rtl/>
        </w:rPr>
        <w:t xml:space="preserve"> </w:t>
      </w:r>
      <w:r w:rsidRPr="00452674">
        <w:rPr>
          <w:rFonts w:hint="eastAsia"/>
          <w:rtl/>
        </w:rPr>
        <w:t>להדגיש</w:t>
      </w:r>
      <w:r w:rsidRPr="00452674">
        <w:rPr>
          <w:rtl/>
        </w:rPr>
        <w:t xml:space="preserve"> ולפרסם </w:t>
      </w:r>
      <w:r w:rsidRPr="00452674">
        <w:rPr>
          <w:rFonts w:hint="eastAsia"/>
          <w:rtl/>
        </w:rPr>
        <w:t>בריש</w:t>
      </w:r>
      <w:r w:rsidRPr="00452674">
        <w:rPr>
          <w:rtl/>
        </w:rPr>
        <w:t xml:space="preserve"> גלי </w:t>
      </w:r>
      <w:r w:rsidRPr="00452674">
        <w:rPr>
          <w:rFonts w:hint="eastAsia"/>
          <w:rtl/>
        </w:rPr>
        <w:t>בפני</w:t>
      </w:r>
      <w:r w:rsidRPr="00452674">
        <w:rPr>
          <w:rtl/>
        </w:rPr>
        <w:t xml:space="preserve"> כל עם ועדה </w:t>
      </w:r>
      <w:r w:rsidRPr="00452674">
        <w:rPr>
          <w:rFonts w:hint="eastAsia"/>
          <w:rtl/>
        </w:rPr>
        <w:t>את</w:t>
      </w:r>
      <w:r w:rsidRPr="00452674">
        <w:rPr>
          <w:rtl/>
        </w:rPr>
        <w:t xml:space="preserve"> </w:t>
      </w:r>
      <w:r w:rsidRPr="00452674">
        <w:rPr>
          <w:rFonts w:hint="eastAsia"/>
          <w:rtl/>
        </w:rPr>
        <w:t>גודל</w:t>
      </w:r>
      <w:r w:rsidRPr="00452674">
        <w:rPr>
          <w:rtl/>
        </w:rPr>
        <w:t xml:space="preserve"> </w:t>
      </w:r>
      <w:r w:rsidRPr="00452674">
        <w:rPr>
          <w:rFonts w:hint="eastAsia"/>
          <w:rtl/>
        </w:rPr>
        <w:t>ענין</w:t>
      </w:r>
      <w:r w:rsidRPr="00452674">
        <w:rPr>
          <w:rtl/>
        </w:rPr>
        <w:t xml:space="preserve"> </w:t>
      </w:r>
      <w:r w:rsidRPr="00452674">
        <w:rPr>
          <w:rFonts w:hint="eastAsia"/>
          <w:rtl/>
        </w:rPr>
        <w:t>מנהג</w:t>
      </w:r>
      <w:r w:rsidRPr="00452674">
        <w:rPr>
          <w:rtl/>
        </w:rPr>
        <w:t xml:space="preserve"> </w:t>
      </w:r>
      <w:r w:rsidRPr="00452674">
        <w:rPr>
          <w:rFonts w:hint="eastAsia"/>
          <w:rtl/>
        </w:rPr>
        <w:t>הנביאים</w:t>
      </w:r>
      <w:r w:rsidRPr="00452674">
        <w:rPr>
          <w:rtl/>
        </w:rPr>
        <w:t xml:space="preserve"> דערבה, (שכל קביעות השנה מיוסד עליו) </w:t>
      </w:r>
      <w:r w:rsidRPr="00452674">
        <w:rPr>
          <w:rFonts w:hint="eastAsia"/>
          <w:rtl/>
        </w:rPr>
        <w:t>להמשיכו</w:t>
      </w:r>
      <w:r w:rsidRPr="00452674">
        <w:rPr>
          <w:rtl/>
        </w:rPr>
        <w:t xml:space="preserve"> הלאה במשך כמה חדשים עד ערב פסח </w:t>
      </w:r>
      <w:r w:rsidRPr="00452674">
        <w:rPr>
          <w:rFonts w:hint="eastAsia"/>
          <w:rtl/>
        </w:rPr>
        <w:t>דליתעביד</w:t>
      </w:r>
      <w:r w:rsidRPr="00452674">
        <w:rPr>
          <w:rtl/>
        </w:rPr>
        <w:t xml:space="preserve"> בהו מצוה </w:t>
      </w:r>
      <w:r w:rsidRPr="00452674">
        <w:rPr>
          <w:rFonts w:hint="eastAsia"/>
          <w:rtl/>
        </w:rPr>
        <w:t>אחריתי</w:t>
      </w:r>
      <w:r w:rsidRPr="00452674">
        <w:rPr>
          <w:rtl/>
        </w:rPr>
        <w:t xml:space="preserve"> </w:t>
      </w:r>
      <w:r w:rsidRPr="00452674">
        <w:rPr>
          <w:rFonts w:hint="eastAsia"/>
          <w:rtl/>
        </w:rPr>
        <w:t>מצד</w:t>
      </w:r>
      <w:r w:rsidRPr="00452674">
        <w:rPr>
          <w:rtl/>
        </w:rPr>
        <w:t xml:space="preserve"> </w:t>
      </w:r>
      <w:r w:rsidRPr="00452674">
        <w:rPr>
          <w:rFonts w:hint="eastAsia"/>
          <w:rtl/>
        </w:rPr>
        <w:t>בעל</w:t>
      </w:r>
      <w:r w:rsidRPr="00452674">
        <w:rPr>
          <w:rtl/>
        </w:rPr>
        <w:t xml:space="preserve"> </w:t>
      </w:r>
      <w:r w:rsidRPr="00452674">
        <w:rPr>
          <w:rFonts w:hint="eastAsia"/>
          <w:rtl/>
        </w:rPr>
        <w:t>נפש</w:t>
      </w:r>
      <w:r w:rsidRPr="00452674">
        <w:rPr>
          <w:rtl/>
        </w:rPr>
        <w:t>.</w:t>
      </w:r>
    </w:p>
    <w:p w14:paraId="3298F3DE" w14:textId="77777777" w:rsidR="0090571E" w:rsidRPr="007B3745" w:rsidRDefault="0090571E" w:rsidP="00423C6D">
      <w:pPr>
        <w:pStyle w:val="11"/>
        <w:bidi/>
        <w:rPr>
          <w:u w:color="000000"/>
          <w:rtl/>
        </w:rPr>
      </w:pPr>
      <w:r w:rsidRPr="007B3745">
        <w:rPr>
          <w:rFonts w:hint="cs"/>
          <w:u w:color="000000"/>
          <w:rtl/>
        </w:rPr>
        <w:t xml:space="preserve">בלאי בגדי כהנים </w:t>
      </w:r>
      <w:r>
        <w:rPr>
          <w:rFonts w:hint="cs"/>
          <w:u w:color="000000"/>
          <w:rtl/>
        </w:rPr>
        <w:t>שבמקדש</w:t>
      </w:r>
    </w:p>
    <w:p w14:paraId="452E6574" w14:textId="7C8ABFB7" w:rsidR="0090571E" w:rsidRDefault="0090571E" w:rsidP="00423C6D">
      <w:pPr>
        <w:pStyle w:val="a2"/>
        <w:rPr>
          <w:u w:color="000000"/>
          <w:rtl/>
        </w:rPr>
      </w:pPr>
      <w:r>
        <w:rPr>
          <w:rFonts w:hint="cs"/>
          <w:u w:color="000000"/>
          <w:rtl/>
        </w:rPr>
        <w:t>ונחזור לענינינו שעסקנו בה, דאתי שפיר מה שכתבנו שבמקדש נזהרו במעלה יתירה זו של בעלי הנפש לשרוף את בגדי כהונה שבלו במדורות שמחת בית השואבה ובמנורה שבמקדש.</w:t>
      </w:r>
    </w:p>
    <w:p w14:paraId="5F92037B" w14:textId="71E9D214" w:rsidR="0090571E" w:rsidRPr="0090571E" w:rsidRDefault="0090571E" w:rsidP="00423C6D">
      <w:pPr>
        <w:pStyle w:val="a2"/>
        <w:rPr>
          <w:spacing w:val="-2"/>
          <w:sz w:val="20"/>
          <w:szCs w:val="20"/>
          <w:u w:color="000000"/>
          <w:rtl/>
        </w:rPr>
      </w:pPr>
      <w:r>
        <w:rPr>
          <w:rFonts w:hint="cs"/>
          <w:u w:color="000000"/>
          <w:rtl/>
        </w:rPr>
        <w:t xml:space="preserve">ולפי ביאורינו במ״ש הגרלוי״צ שניאורסאן לבאר המשנה במס׳ מידות לשכת הפרוה ששם מולחין עורות קדשים, שהגדילו עוד יותר, לעשות מעורות </w:t>
      </w:r>
      <w:r>
        <w:rPr>
          <w:rFonts w:hint="cs"/>
          <w:spacing w:val="-2"/>
          <w:u w:color="000000"/>
          <w:rtl/>
        </w:rPr>
        <w:t>הקדשים תשמיש קדושה בתפילין של ראש לכהנים.</w:t>
      </w:r>
      <w:r w:rsidRPr="0090571E">
        <w:rPr>
          <w:rStyle w:val="FootnoteReference"/>
          <w:rFonts w:ascii="Narkisim" w:hAnsi="Narkisim"/>
          <w:spacing w:val="-2"/>
          <w:position w:val="6"/>
          <w:rtl/>
        </w:rPr>
        <w:footnoteReference w:id="120"/>
      </w:r>
      <w:r w:rsidRPr="0090571E">
        <w:rPr>
          <w:rFonts w:hint="cs"/>
          <w:spacing w:val="-2"/>
          <w:sz w:val="32"/>
          <w:szCs w:val="32"/>
          <w:u w:color="000000"/>
          <w:rtl/>
        </w:rPr>
        <w:t xml:space="preserve"> </w:t>
      </w:r>
    </w:p>
    <w:p w14:paraId="59C8B2D4" w14:textId="58CAF0F5" w:rsidR="0075010A" w:rsidRDefault="0090571E" w:rsidP="00423C6D">
      <w:pPr>
        <w:pStyle w:val="a2"/>
        <w:rPr>
          <w:rtl/>
        </w:rPr>
      </w:pPr>
      <w:r>
        <w:rPr>
          <w:rFonts w:hint="cs"/>
          <w:rtl/>
        </w:rPr>
        <w:lastRenderedPageBreak/>
        <w:t>גם אתי שפיר בזה למה רק רב אמי ורב אסי</w:t>
      </w:r>
      <w:r>
        <w:rPr>
          <w:rtl/>
        </w:rPr>
        <w:t xml:space="preserve"> </w:t>
      </w:r>
      <w:r>
        <w:rPr>
          <w:rFonts w:hint="cs"/>
          <w:rtl/>
        </w:rPr>
        <w:t>נהגו ב'</w:t>
      </w:r>
      <w:r>
        <w:rPr>
          <w:rtl/>
        </w:rPr>
        <w:t>ריפתא דעירובא</w:t>
      </w:r>
      <w:r>
        <w:rPr>
          <w:rFonts w:hint="cs"/>
          <w:rtl/>
        </w:rPr>
        <w:t xml:space="preserve">', שהם היו </w:t>
      </w:r>
      <w:r>
        <w:rPr>
          <w:rFonts w:hint="cs"/>
          <w:b/>
          <w:bCs/>
          <w:rtl/>
        </w:rPr>
        <w:t>בעלי נפש</w:t>
      </w:r>
      <w:r>
        <w:rPr>
          <w:rFonts w:hint="cs"/>
          <w:rtl/>
        </w:rPr>
        <w:t>, וגם מדובר</w:t>
      </w:r>
      <w:r>
        <w:rPr>
          <w:rtl/>
        </w:rPr>
        <w:t xml:space="preserve"> </w:t>
      </w:r>
      <w:r>
        <w:rPr>
          <w:rFonts w:hint="cs"/>
          <w:rtl/>
        </w:rPr>
        <w:t xml:space="preserve">שם </w:t>
      </w:r>
      <w:r>
        <w:rPr>
          <w:rtl/>
        </w:rPr>
        <w:t xml:space="preserve">בלחם </w:t>
      </w:r>
      <w:r>
        <w:rPr>
          <w:b/>
          <w:bCs/>
          <w:rtl/>
        </w:rPr>
        <w:t>טרי</w:t>
      </w:r>
      <w:r>
        <w:rPr>
          <w:rtl/>
        </w:rPr>
        <w:t xml:space="preserve"> של </w:t>
      </w:r>
      <w:r>
        <w:rPr>
          <w:rFonts w:hint="cs"/>
          <w:rtl/>
        </w:rPr>
        <w:t>ה</w:t>
      </w:r>
      <w:r>
        <w:rPr>
          <w:rtl/>
        </w:rPr>
        <w:t>עירוב</w:t>
      </w:r>
      <w:r>
        <w:rPr>
          <w:rFonts w:hint="cs"/>
          <w:rtl/>
        </w:rPr>
        <w:t xml:space="preserve"> (לא לחם שנתייבש כו'),</w:t>
      </w:r>
      <w:r>
        <w:rPr>
          <w:rFonts w:ascii="Calibri" w:hAnsi="Calibri" w:hint="cs"/>
          <w:rtl/>
        </w:rPr>
        <w:t xml:space="preserve"> ואם כן אינו מוכרח כ״כ ׳הואיל ואתעביד' כו׳ כמו במצב של בזיון הנ״ל, ורק רב אמי ורב אסי שהיו בעלי נפש נזהרו גם באופן זה.</w:t>
      </w:r>
    </w:p>
    <w:p w14:paraId="57FB4B6E" w14:textId="277B7CB0" w:rsidR="000B6EE8" w:rsidRDefault="0090571E" w:rsidP="000B6EE8">
      <w:pPr>
        <w:pStyle w:val="a4"/>
        <w:spacing w:after="0"/>
      </w:pPr>
      <w:r w:rsidRPr="00347933">
        <w:t>g</w:t>
      </w:r>
    </w:p>
    <w:p w14:paraId="6054C02D" w14:textId="77777777" w:rsidR="0090571E" w:rsidRPr="000B6EE8" w:rsidRDefault="0090571E" w:rsidP="000B6EE8">
      <w:pPr>
        <w:sectPr w:rsidR="0090571E" w:rsidRPr="000B6EE8" w:rsidSect="00E65DD5">
          <w:footnotePr>
            <w:numRestart w:val="eachSect"/>
          </w:footnotePr>
          <w:type w:val="continuous"/>
          <w:pgSz w:w="7920" w:h="12240"/>
          <w:pgMar w:top="-810" w:right="864" w:bottom="720" w:left="864" w:header="270" w:footer="0" w:gutter="0"/>
          <w:cols w:space="720"/>
          <w:docGrid w:linePitch="360"/>
        </w:sectPr>
      </w:pPr>
    </w:p>
    <w:p w14:paraId="55463B59" w14:textId="77777777" w:rsidR="0090571E" w:rsidRDefault="0090571E" w:rsidP="0090571E">
      <w:pPr>
        <w:pStyle w:val="a"/>
        <w:rPr>
          <w:rFonts w:eastAsia="SBL Hebrew"/>
          <w:rtl/>
          <w:lang w:bidi="he"/>
        </w:rPr>
      </w:pPr>
      <w:bookmarkStart w:id="176" w:name="_Toc531140413"/>
      <w:r w:rsidRPr="4835E9A0">
        <w:rPr>
          <w:rFonts w:eastAsia="SBL Hebrew"/>
          <w:rtl/>
          <w:lang w:bidi="he"/>
        </w:rPr>
        <w:t>כללי היתר לאמירה לנכרי בשבת</w:t>
      </w:r>
      <w:bookmarkEnd w:id="176"/>
    </w:p>
    <w:p w14:paraId="480BCF92" w14:textId="0826F1B4" w:rsidR="0090571E" w:rsidRPr="008307D7" w:rsidRDefault="0090571E" w:rsidP="00C40DBA">
      <w:pPr>
        <w:pStyle w:val="a0"/>
        <w:rPr>
          <w:rtl/>
        </w:rPr>
      </w:pPr>
      <w:bookmarkStart w:id="177" w:name="_Toc531140414"/>
      <w:r w:rsidRPr="008307D7">
        <w:rPr>
          <w:rFonts w:hint="cs"/>
          <w:rtl/>
          <w:lang w:bidi="he-IL"/>
        </w:rPr>
        <w:t>הרב מאיר צירקינד</w:t>
      </w:r>
      <w:bookmarkEnd w:id="177"/>
    </w:p>
    <w:p w14:paraId="2D6EA356" w14:textId="3C64BE89" w:rsidR="0090571E" w:rsidRPr="0090571E" w:rsidRDefault="0090571E" w:rsidP="0090571E">
      <w:pPr>
        <w:pStyle w:val="a1"/>
        <w:rPr>
          <w:rFonts w:eastAsia="Times New Roman"/>
          <w:rtl/>
        </w:rPr>
      </w:pPr>
      <w:r w:rsidRPr="00FF5281">
        <w:rPr>
          <w:rFonts w:hint="cs"/>
          <w:rtl/>
        </w:rPr>
        <w:t>מיאמי</w:t>
      </w:r>
      <w:r w:rsidRPr="00FF5281">
        <w:rPr>
          <w:rtl/>
        </w:rPr>
        <w:t xml:space="preserve">, </w:t>
      </w:r>
      <w:r w:rsidRPr="00FF5281">
        <w:rPr>
          <w:rFonts w:hint="cs"/>
          <w:rtl/>
        </w:rPr>
        <w:t>פלארידא</w:t>
      </w:r>
    </w:p>
    <w:p w14:paraId="025FA252" w14:textId="77777777" w:rsidR="0090571E" w:rsidRPr="0046116E" w:rsidRDefault="0090571E" w:rsidP="00423C6D">
      <w:pPr>
        <w:pStyle w:val="a2"/>
        <w:rPr>
          <w:rtl/>
        </w:rPr>
      </w:pPr>
      <w:r w:rsidRPr="4835E9A0">
        <w:rPr>
          <w:rtl/>
        </w:rPr>
        <w:t>בגליון א' קנג כתב הרב לו"י ראסקין שליט"א בנוגע דיני אמירה לנכרי בשבת:</w:t>
      </w:r>
    </w:p>
    <w:p w14:paraId="29E2E73A" w14:textId="77777777" w:rsidR="0090571E" w:rsidRPr="0046116E" w:rsidRDefault="0090571E" w:rsidP="00423C6D">
      <w:pPr>
        <w:pStyle w:val="a2"/>
        <w:rPr>
          <w:rtl/>
        </w:rPr>
      </w:pPr>
      <w:r w:rsidRPr="4835E9A0">
        <w:rPr>
          <w:rtl/>
        </w:rPr>
        <w:t>א) הנושא מרה"י לרה"ר אדם שהוא יכול ללכת בעצמו – עובר הוא על איסור דרבנן. לצורך מצוה, כגון להביאו להתפלל בבית הכנסת, מותר לנו לפקוד לנכרי להובילו בכסא-גלגלים. הכסא-גלגלים עצמו בטל הוא אל הרוכב בו. עכ"ל</w:t>
      </w:r>
      <w:r w:rsidRPr="4835E9A0">
        <w:t>.</w:t>
      </w:r>
    </w:p>
    <w:p w14:paraId="00CD61D6" w14:textId="77777777" w:rsidR="0090571E" w:rsidRPr="0046116E" w:rsidRDefault="0090571E" w:rsidP="00423C6D">
      <w:pPr>
        <w:pStyle w:val="a2"/>
        <w:rPr>
          <w:rtl/>
        </w:rPr>
      </w:pPr>
      <w:r w:rsidRPr="4835E9A0">
        <w:rPr>
          <w:rtl/>
        </w:rPr>
        <w:t xml:space="preserve">יש להעיר מסימן שלא,ח: "יש אוסרין להוציא התינוק מביתו לבית הכנסת </w:t>
      </w:r>
      <w:r w:rsidRPr="4835E9A0">
        <w:rPr>
          <w:b/>
          <w:bCs/>
          <w:rtl/>
        </w:rPr>
        <w:t>דרך כרמלית או חצר שאינה מעורבת</w:t>
      </w:r>
      <w:r w:rsidRPr="4835E9A0">
        <w:rPr>
          <w:rtl/>
        </w:rPr>
        <w:t xml:space="preserve"> (= דהיינו מדרבנן מ.צ.) אפילו ע"י נכרי שאין בהוצאה זו צורך מצוה שהרי אפשר למולו בביתו ויש מתירין בזה משום ברב עם הדרת מלך ויש לנהוג כן במקומות שנוהגים להביא התינוק לבית הכנסת ע"י שאחד נותנו לחבירו וחבירו לחבירו בפחות מד' אמות שיוציאוהו מרשות היחיד ע"י נכרי ויכניסוהו ע"י נכרי או יעשו כמו שיתבאר בסי' שמ"ז אבל לא יוציאוהו ויכניסוהו ע"י שנים שזה עוקר וזה מניח אע"פ שהוא פטור מכל מקום הרי הוא אסור מדברי סופרים.</w:t>
      </w:r>
      <w:r w:rsidRPr="4835E9A0">
        <w:t>"</w:t>
      </w:r>
    </w:p>
    <w:p w14:paraId="622EF6FA" w14:textId="77777777" w:rsidR="0090571E" w:rsidRPr="0046116E" w:rsidRDefault="0090571E" w:rsidP="00423C6D">
      <w:pPr>
        <w:pStyle w:val="a2"/>
        <w:rPr>
          <w:rtl/>
        </w:rPr>
      </w:pPr>
      <w:r w:rsidRPr="4835E9A0">
        <w:t xml:space="preserve"> </w:t>
      </w:r>
      <w:r w:rsidRPr="4835E9A0">
        <w:rPr>
          <w:rtl/>
        </w:rPr>
        <w:t>ולמה לא יוציאנו הנכרי מעצמו מהבית אל בית הכנסת</w:t>
      </w:r>
      <w:r w:rsidRPr="4835E9A0">
        <w:t>?</w:t>
      </w:r>
    </w:p>
    <w:p w14:paraId="3EC5C36B" w14:textId="77777777" w:rsidR="0090571E" w:rsidRPr="0046116E" w:rsidRDefault="0090571E" w:rsidP="00423C6D">
      <w:pPr>
        <w:pStyle w:val="a2"/>
        <w:rPr>
          <w:rtl/>
        </w:rPr>
      </w:pPr>
      <w:r w:rsidRPr="4835E9A0">
        <w:rPr>
          <w:rtl/>
        </w:rPr>
        <w:t>ועוד יש להעיר, לשיטת כ"ק אדה"ז, אם להתפלל בבית הכנסת עם הצבור הוא מצוה או הידור מצוה דהא המחבר (סימן צ,ט) כתב:</w:t>
      </w:r>
      <w:r w:rsidRPr="4835E9A0">
        <w:rPr>
          <w:sz w:val="22"/>
          <w:szCs w:val="22"/>
          <w:bdr w:val="none" w:sz="0" w:space="0" w:color="auto"/>
          <w:rtl/>
          <w:lang w:val="en-US"/>
        </w:rPr>
        <w:t xml:space="preserve"> "</w:t>
      </w:r>
      <w:r w:rsidRPr="4835E9A0">
        <w:rPr>
          <w:b/>
          <w:bCs/>
          <w:rtl/>
        </w:rPr>
        <w:t>ישתדל</w:t>
      </w:r>
      <w:r w:rsidRPr="4835E9A0">
        <w:rPr>
          <w:rtl/>
        </w:rPr>
        <w:t xml:space="preserve"> אדם להתפלל בבית הכנסת עם הציבור" (וכן הוא בשוע"ר ס"י). והפמ"ג (בסק"ט) כתב "</w:t>
      </w:r>
      <w:r w:rsidRPr="4835E9A0">
        <w:rPr>
          <w:b/>
          <w:bCs/>
          <w:rtl/>
        </w:rPr>
        <w:t>מצוה</w:t>
      </w:r>
      <w:r w:rsidRPr="4835E9A0">
        <w:rPr>
          <w:rtl/>
        </w:rPr>
        <w:t xml:space="preserve"> להתפלל בבית הכנסת". אבל כ"ק (בסעיף ו) כתב "</w:t>
      </w:r>
      <w:r w:rsidRPr="4835E9A0">
        <w:rPr>
          <w:b/>
          <w:bCs/>
          <w:rtl/>
        </w:rPr>
        <w:t>מצוה מן המובחר</w:t>
      </w:r>
      <w:r w:rsidRPr="4835E9A0">
        <w:rPr>
          <w:rtl/>
        </w:rPr>
        <w:t xml:space="preserve"> להתפלל בבית הכנסת עם הצבור</w:t>
      </w:r>
      <w:r w:rsidRPr="4835E9A0">
        <w:t>".</w:t>
      </w:r>
    </w:p>
    <w:p w14:paraId="43E6A2B5" w14:textId="77777777" w:rsidR="0090571E" w:rsidRPr="0046116E" w:rsidRDefault="0090571E" w:rsidP="00423C6D">
      <w:pPr>
        <w:pStyle w:val="a2"/>
        <w:rPr>
          <w:rtl/>
        </w:rPr>
      </w:pPr>
      <w:r w:rsidRPr="4835E9A0">
        <w:rPr>
          <w:rtl/>
        </w:rPr>
        <w:t>וראה בטור יורה דעה סימן שצג (ומבואר בב"ח אות ה) שיש פלוגתא בזה בין הרי"ץ גיאת</w:t>
      </w:r>
      <w:r w:rsidRPr="4835E9A0">
        <w:rPr>
          <w:sz w:val="22"/>
          <w:szCs w:val="22"/>
          <w:bdr w:val="none" w:sz="0" w:space="0" w:color="auto"/>
          <w:rtl/>
          <w:lang w:val="en-US"/>
        </w:rPr>
        <w:t xml:space="preserve"> </w:t>
      </w:r>
      <w:r w:rsidRPr="4835E9A0">
        <w:rPr>
          <w:rtl/>
        </w:rPr>
        <w:t xml:space="preserve">והראב"ד בזה, דהרי"ץ גיאת סובר מצוה היא להתפלל בבית הכנסת </w:t>
      </w:r>
      <w:r w:rsidRPr="4835E9A0">
        <w:rPr>
          <w:rtl/>
        </w:rPr>
        <w:lastRenderedPageBreak/>
        <w:t>והראב"ד סובר כיון דיכול להתפלל בעשרה בביתו אינו חייב להתפלל בבית הכנסת</w:t>
      </w:r>
      <w:r w:rsidRPr="4835E9A0">
        <w:t>.</w:t>
      </w:r>
    </w:p>
    <w:p w14:paraId="01FCD47F" w14:textId="77777777" w:rsidR="0090571E" w:rsidRPr="0046116E" w:rsidRDefault="0090571E" w:rsidP="00423C6D">
      <w:pPr>
        <w:pStyle w:val="a2"/>
      </w:pPr>
      <w:r w:rsidRPr="4835E9A0">
        <w:rPr>
          <w:rtl/>
        </w:rPr>
        <w:t>ב) ההולך ברה"ר ונזכר שהארנק שלו מונח בכיסו – רשאי לתתו לנכרי שיקחנו וישמרנו עד אחר השבת. עכ"ל</w:t>
      </w:r>
      <w:r w:rsidRPr="4835E9A0">
        <w:t>.</w:t>
      </w:r>
    </w:p>
    <w:p w14:paraId="5B70BE56" w14:textId="59BCD78C" w:rsidR="0090571E" w:rsidRPr="0046116E" w:rsidRDefault="0090571E" w:rsidP="00423C6D">
      <w:pPr>
        <w:pStyle w:val="a2"/>
        <w:rPr>
          <w:rtl/>
        </w:rPr>
      </w:pPr>
      <w:r w:rsidRPr="4835E9A0">
        <w:rPr>
          <w:rtl/>
        </w:rPr>
        <w:t>לכאורה (עכ"פ אם אפשר) יש להניח שהגוי יקח הארנק מכיסו שלא לטלטל מוקצה בעצמו בשבת (על דרך מש"כ בשוע"ר בסימן רסו,א (בסופו) "ומכל מקום לכתחלה יש לו ליתנו לו מבעוד יום ולא לטלטל מוקצה בשבת</w:t>
      </w:r>
      <w:r w:rsidR="006107B5">
        <w:rPr>
          <w:rFonts w:hint="cs"/>
          <w:rtl/>
        </w:rPr>
        <w:t>").</w:t>
      </w:r>
    </w:p>
    <w:p w14:paraId="0F42DDE9" w14:textId="77777777" w:rsidR="0090571E" w:rsidRPr="0046116E" w:rsidRDefault="0090571E" w:rsidP="00423C6D">
      <w:pPr>
        <w:pStyle w:val="a2"/>
        <w:rPr>
          <w:rtl/>
        </w:rPr>
      </w:pPr>
      <w:r w:rsidRPr="4835E9A0">
        <w:rPr>
          <w:rtl/>
        </w:rPr>
        <w:t>ג) חולה המאושפז בבית רפואה רשאי לבקש מהמטפל נכרי להכין לו כוס תה או להחם הארוחה הכשירה שלו. עכ"ל</w:t>
      </w:r>
      <w:r w:rsidRPr="4835E9A0">
        <w:t>.</w:t>
      </w:r>
    </w:p>
    <w:p w14:paraId="1347F702" w14:textId="77777777" w:rsidR="0090571E" w:rsidRDefault="0090571E" w:rsidP="00423C6D">
      <w:pPr>
        <w:pStyle w:val="a2"/>
        <w:rPr>
          <w:rtl/>
        </w:rPr>
      </w:pPr>
      <w:r w:rsidRPr="4835E9A0">
        <w:t xml:space="preserve"> </w:t>
      </w:r>
      <w:r w:rsidRPr="4835E9A0">
        <w:rPr>
          <w:rtl/>
        </w:rPr>
        <w:t>להעיר: 1) שיש גדר באיזה חולה מדברים 2) שזה רק אם החולה צריך לכך 3) וזה רק בקטן הצריך לכך</w:t>
      </w:r>
      <w:r w:rsidRPr="4835E9A0">
        <w:t xml:space="preserve"> </w:t>
      </w:r>
    </w:p>
    <w:p w14:paraId="4ADBC684" w14:textId="77777777" w:rsidR="0090571E" w:rsidRPr="0046116E" w:rsidRDefault="0090571E" w:rsidP="00423C6D">
      <w:pPr>
        <w:pStyle w:val="a2"/>
        <w:rPr>
          <w:lang w:val="en-US"/>
        </w:rPr>
      </w:pPr>
      <w:r w:rsidRPr="4835E9A0">
        <w:rPr>
          <w:rtl/>
        </w:rPr>
        <w:t xml:space="preserve">בסימן שכח,יט </w:t>
      </w:r>
      <w:r w:rsidRPr="4835E9A0">
        <w:rPr>
          <w:rtl/>
          <w:lang w:val="en-US"/>
        </w:rPr>
        <w:t>“</w:t>
      </w:r>
      <w:r w:rsidRPr="4835E9A0">
        <w:rPr>
          <w:rtl/>
        </w:rPr>
        <w:t xml:space="preserve">חולה </w:t>
      </w:r>
      <w:r w:rsidRPr="4835E9A0">
        <w:rPr>
          <w:b/>
          <w:bCs/>
          <w:rtl/>
        </w:rPr>
        <w:t>שנפל מחמת חוליו למשכב</w:t>
      </w:r>
      <w:r w:rsidRPr="4835E9A0">
        <w:rPr>
          <w:rtl/>
        </w:rPr>
        <w:t xml:space="preserve"> ואין בו סכנה או </w:t>
      </w:r>
      <w:r w:rsidRPr="4835E9A0">
        <w:rPr>
          <w:b/>
          <w:bCs/>
          <w:rtl/>
        </w:rPr>
        <w:t>שיש לו מיחוש שמצטער כל כך עד שנחלש ממנו כל גופו</w:t>
      </w:r>
      <w:r w:rsidRPr="4835E9A0">
        <w:rPr>
          <w:rtl/>
        </w:rPr>
        <w:t xml:space="preserve"> שאז אע"פ שהולך כנפל למשכב הוא דומה הרי צרכיו נעשין ע"י נכרי אפילו במלאכות גמורות של תורה כגון לאפות לו או לבשל לו </w:t>
      </w:r>
      <w:r w:rsidRPr="4835E9A0">
        <w:rPr>
          <w:b/>
          <w:bCs/>
          <w:rtl/>
        </w:rPr>
        <w:t>אם צריך לכך</w:t>
      </w:r>
      <w:r w:rsidRPr="4835E9A0">
        <w:t>...</w:t>
      </w:r>
      <w:r w:rsidRPr="4835E9A0">
        <w:rPr>
          <w:lang w:val="en-US"/>
        </w:rPr>
        <w:t>”</w:t>
      </w:r>
    </w:p>
    <w:p w14:paraId="6C5B9808" w14:textId="77777777" w:rsidR="0090571E" w:rsidRPr="0046116E" w:rsidRDefault="0090571E" w:rsidP="00423C6D">
      <w:pPr>
        <w:pStyle w:val="a2"/>
        <w:rPr>
          <w:lang w:val="en-US" w:bidi="ar-SA"/>
        </w:rPr>
      </w:pPr>
      <w:r w:rsidRPr="4835E9A0">
        <w:rPr>
          <w:rtl/>
        </w:rPr>
        <w:t xml:space="preserve">וכן לגבי קטן </w:t>
      </w:r>
      <w:r w:rsidRPr="4835E9A0">
        <w:rPr>
          <w:rtl/>
          <w:lang w:bidi="ar-SA"/>
        </w:rPr>
        <w:t>(</w:t>
      </w:r>
      <w:r w:rsidRPr="4835E9A0">
        <w:rPr>
          <w:rtl/>
        </w:rPr>
        <w:t>שמג</w:t>
      </w:r>
      <w:r w:rsidRPr="4835E9A0">
        <w:rPr>
          <w:rtl/>
          <w:lang w:bidi="ar-SA"/>
        </w:rPr>
        <w:t>,</w:t>
      </w:r>
      <w:r w:rsidRPr="4835E9A0">
        <w:rPr>
          <w:rtl/>
        </w:rPr>
        <w:t>ה</w:t>
      </w:r>
      <w:r w:rsidRPr="4835E9A0">
        <w:rPr>
          <w:rtl/>
          <w:lang w:bidi="ar-SA"/>
        </w:rPr>
        <w:t xml:space="preserve">)  </w:t>
      </w:r>
      <w:r w:rsidRPr="4835E9A0">
        <w:rPr>
          <w:rtl/>
          <w:lang w:val="en-US" w:bidi="ar-SA"/>
        </w:rPr>
        <w:t>“</w:t>
      </w:r>
      <w:r w:rsidRPr="4835E9A0">
        <w:rPr>
          <w:rtl/>
          <w:lang w:bidi="ar-SA"/>
        </w:rPr>
        <w:t>...</w:t>
      </w:r>
      <w:r w:rsidRPr="4835E9A0">
        <w:rPr>
          <w:b/>
          <w:bCs/>
          <w:rtl/>
        </w:rPr>
        <w:t>ואם התינוק צריך לכך כגון שהוא קצת חולה מותר לומר לנכרי להאכילו שצרכי קטן דינם כחולה שאין בו סכנה</w:t>
      </w:r>
      <w:r w:rsidRPr="4835E9A0">
        <w:rPr>
          <w:rtl/>
        </w:rPr>
        <w:t xml:space="preserve"> שהתירו בו אמירה לנכרי אפילו באיסורי תורה וכן </w:t>
      </w:r>
      <w:r w:rsidRPr="4835E9A0">
        <w:rPr>
          <w:b/>
          <w:bCs/>
          <w:rtl/>
        </w:rPr>
        <w:t>אם צריך</w:t>
      </w:r>
      <w:r w:rsidRPr="4835E9A0">
        <w:rPr>
          <w:rtl/>
        </w:rPr>
        <w:t xml:space="preserve"> לשתיית יין ואין שם יין ישראל אלא סתם יינם של נכרים ואין היין חזק כל כך שיכשירנו ע</w:t>
      </w:r>
      <w:r w:rsidRPr="4835E9A0">
        <w:rPr>
          <w:rtl/>
          <w:lang w:bidi="ar-SA"/>
        </w:rPr>
        <w:t>"</w:t>
      </w:r>
      <w:r w:rsidRPr="4835E9A0">
        <w:rPr>
          <w:rtl/>
        </w:rPr>
        <w:t>י מזיגת ששה חלקים מים ואחד יין מותר לומר לנכרי להשקותו ל</w:t>
      </w:r>
      <w:r w:rsidRPr="4835E9A0">
        <w:rPr>
          <w:rtl/>
          <w:lang w:val="en-US" w:bidi="ar-SA"/>
        </w:rPr>
        <w:t>”</w:t>
      </w:r>
      <w:r w:rsidRPr="4835E9A0">
        <w:rPr>
          <w:rtl/>
        </w:rPr>
        <w:t>ו</w:t>
      </w:r>
      <w:r w:rsidRPr="4835E9A0">
        <w:rPr>
          <w:lang w:val="en-US" w:bidi="ar-SA"/>
        </w:rPr>
        <w:t>.</w:t>
      </w:r>
    </w:p>
    <w:p w14:paraId="10E46232" w14:textId="77777777" w:rsidR="0090571E" w:rsidRDefault="0090571E" w:rsidP="00423C6D">
      <w:pPr>
        <w:pStyle w:val="a2"/>
      </w:pPr>
      <w:r w:rsidRPr="4835E9A0">
        <w:rPr>
          <w:rtl/>
        </w:rPr>
        <w:t xml:space="preserve">וכן כתב (בסוף סימן רנט בהלכות שהייה והטמנה בקצרה) "אבל תבשיל צונן... אבל לאחר שהוסק אסור אפילו ע"י נכרי כי אם לצורך חולה או קטן </w:t>
      </w:r>
      <w:r w:rsidRPr="4835E9A0">
        <w:rPr>
          <w:b/>
          <w:bCs/>
          <w:rtl/>
        </w:rPr>
        <w:t>שאין לו מה לאכול</w:t>
      </w:r>
      <w:r w:rsidRPr="4835E9A0">
        <w:t xml:space="preserve">" </w:t>
      </w:r>
    </w:p>
    <w:p w14:paraId="2497D23C" w14:textId="77777777" w:rsidR="0090571E" w:rsidRDefault="0090571E" w:rsidP="00423C6D">
      <w:pPr>
        <w:pStyle w:val="a2"/>
        <w:rPr>
          <w:rtl/>
        </w:rPr>
      </w:pPr>
      <w:r w:rsidRPr="4835E9A0">
        <w:rPr>
          <w:rtl/>
        </w:rPr>
        <w:t xml:space="preserve">וכן בסימן רעו,טו (דלקמן מיד) "קטנים </w:t>
      </w:r>
      <w:r w:rsidRPr="4835E9A0">
        <w:rPr>
          <w:b/>
          <w:bCs/>
          <w:rtl/>
        </w:rPr>
        <w:t>שמצטערים הרבה</w:t>
      </w:r>
      <w:r w:rsidRPr="4835E9A0">
        <w:t xml:space="preserve">" </w:t>
      </w:r>
    </w:p>
    <w:p w14:paraId="6F6918DE" w14:textId="77777777" w:rsidR="0090571E" w:rsidRPr="0046116E" w:rsidRDefault="0090571E" w:rsidP="00423C6D">
      <w:pPr>
        <w:pStyle w:val="a2"/>
        <w:rPr>
          <w:rtl/>
        </w:rPr>
      </w:pPr>
      <w:r w:rsidRPr="4835E9A0">
        <w:rPr>
          <w:rtl/>
          <w:lang w:val="en-US"/>
        </w:rPr>
        <w:t xml:space="preserve">ד) </w:t>
      </w:r>
      <w:r w:rsidRPr="4835E9A0">
        <w:rPr>
          <w:rtl/>
        </w:rPr>
        <w:t>בעת הקור, מותר לומר לנכרי להדליק האש, לפי ש"הכל חולים אצל קור וחום". עכ"ל</w:t>
      </w:r>
      <w:r w:rsidRPr="4835E9A0">
        <w:t>.</w:t>
      </w:r>
    </w:p>
    <w:p w14:paraId="2DEBEB05" w14:textId="77777777" w:rsidR="0090571E" w:rsidRPr="0046116E" w:rsidRDefault="0090571E" w:rsidP="00423C6D">
      <w:pPr>
        <w:pStyle w:val="a2"/>
        <w:rPr>
          <w:b/>
          <w:bCs/>
          <w:lang w:val="en-US"/>
        </w:rPr>
      </w:pPr>
      <w:r w:rsidRPr="4835E9A0">
        <w:rPr>
          <w:rtl/>
        </w:rPr>
        <w:t xml:space="preserve">יש להעיר מסימן רעו,טו שזה רק אם הקור גדול או שיש לו קטנים שמצטערים הרבה "אבל ביום שאין הקור גדול כל כך אם אין לו קטנים שמצטערים הרבה אסור </w:t>
      </w:r>
      <w:r w:rsidRPr="4835E9A0">
        <w:rPr>
          <w:rtl/>
        </w:rPr>
        <w:lastRenderedPageBreak/>
        <w:t>לומר לנכרי לעשות מדורה או לחמם בית החורף</w:t>
      </w:r>
      <w:r w:rsidRPr="4835E9A0">
        <w:t>"</w:t>
      </w:r>
    </w:p>
    <w:p w14:paraId="4EA3E7B9" w14:textId="77777777" w:rsidR="0090571E" w:rsidRPr="0046116E" w:rsidRDefault="0090571E" w:rsidP="00423C6D">
      <w:pPr>
        <w:pStyle w:val="a2"/>
        <w:rPr>
          <w:rtl/>
        </w:rPr>
      </w:pPr>
      <w:r w:rsidRPr="4835E9A0">
        <w:rPr>
          <w:rtl/>
          <w:lang w:val="en-US"/>
        </w:rPr>
        <w:t xml:space="preserve">ובסעיף </w:t>
      </w:r>
      <w:r w:rsidRPr="4835E9A0">
        <w:rPr>
          <w:rtl/>
        </w:rPr>
        <w:t>יז הגביל עוד "ואף ביום שהקור גדול אין לחמם בית החורף שני פעמים ביום השבת כי די במה שהסיק התנור פעם ראשון בבקר ומכל מקום הכל לפי הקור ולפי בית החורף אם ממשיך החום זמן מרובה והחכם עיניו בראשו</w:t>
      </w:r>
      <w:r w:rsidRPr="4835E9A0">
        <w:t>".</w:t>
      </w:r>
    </w:p>
    <w:p w14:paraId="00FD73EF" w14:textId="77777777" w:rsidR="0090571E" w:rsidRPr="0046116E" w:rsidRDefault="0090571E" w:rsidP="00423C6D">
      <w:pPr>
        <w:pStyle w:val="a2"/>
        <w:rPr>
          <w:rtl/>
        </w:rPr>
      </w:pPr>
      <w:r w:rsidRPr="4835E9A0">
        <w:rPr>
          <w:rtl/>
        </w:rPr>
        <w:t>ה) ביקש מהנכרי לעשות מעשה היתר, והנכרי עושה איסור להקל על עצמו. עכ"ל</w:t>
      </w:r>
      <w:r w:rsidRPr="4835E9A0">
        <w:t xml:space="preserve">. </w:t>
      </w:r>
    </w:p>
    <w:p w14:paraId="1655557E" w14:textId="77777777" w:rsidR="0090571E" w:rsidRPr="00C527FE" w:rsidRDefault="0090571E" w:rsidP="00423C6D">
      <w:pPr>
        <w:pStyle w:val="a2"/>
        <w:rPr>
          <w:rtl/>
        </w:rPr>
      </w:pPr>
      <w:r w:rsidRPr="4835E9A0">
        <w:rPr>
          <w:rtl/>
        </w:rPr>
        <w:t>יש לחלק דהא התם (רעו,יב)</w:t>
      </w:r>
      <w:r w:rsidRPr="4835E9A0">
        <w:rPr>
          <w:rtl/>
          <w:lang w:bidi="ar-SA"/>
        </w:rPr>
        <w:t xml:space="preserve"> </w:t>
      </w:r>
      <w:r w:rsidRPr="4835E9A0">
        <w:rPr>
          <w:rtl/>
        </w:rPr>
        <w:t>מעשה ההיתר הוא הדחת הכלים ומעשה האיסור הוא הדלקת הנר אבל כאן האיסור וההיתר הוא באותו דבר עצמו</w:t>
      </w:r>
      <w:r w:rsidRPr="4835E9A0">
        <w:t>?</w:t>
      </w:r>
    </w:p>
    <w:p w14:paraId="62BD890E" w14:textId="77777777" w:rsidR="0090571E" w:rsidRPr="00C527FE" w:rsidRDefault="0090571E" w:rsidP="00423C6D">
      <w:pPr>
        <w:pStyle w:val="a2"/>
      </w:pPr>
      <w:r w:rsidRPr="4835E9A0">
        <w:rPr>
          <w:rtl/>
        </w:rPr>
        <w:t>וזלה"ק: "אבל נר שמדלקת השפחה להדיח כלי אכילה לאורו אע"פ שהדחה זו היא לצורך הישראל אין הדלקה זו נקרא בשביל ישראל הואיל ואין גוף הישראל נהנה (מנר זה) (מהדחה זו) אלא שכלים שלו מודחים והיא חייבת להדיחם לצרכה היא מדלקת וא"צ למחות בה ומותר להשתמש לאור נר זה.</w:t>
      </w:r>
      <w:r w:rsidRPr="4835E9A0">
        <w:t>"</w:t>
      </w:r>
    </w:p>
    <w:p w14:paraId="1C3FD1F7" w14:textId="77777777" w:rsidR="0090571E" w:rsidRPr="0046116E" w:rsidRDefault="0090571E" w:rsidP="00423C6D">
      <w:pPr>
        <w:pStyle w:val="a2"/>
        <w:rPr>
          <w:rtl/>
        </w:rPr>
      </w:pPr>
      <w:r w:rsidRPr="4835E9A0">
        <w:rPr>
          <w:rtl/>
        </w:rPr>
        <w:t>ו) נכרי העושה מלאכה להנאת עצמו, מותר ליהנות ממנה. היתר זה נאמר רק כאשר אין חשש שירבה הנכרי בשבילו. לכן, נכרי שחימם מים לעצמו, לא ישתה ישראל אחריו. עכ"ל</w:t>
      </w:r>
      <w:r w:rsidRPr="4835E9A0">
        <w:t>.</w:t>
      </w:r>
    </w:p>
    <w:p w14:paraId="5766B3DD" w14:textId="77777777" w:rsidR="0090571E" w:rsidRPr="0046116E" w:rsidRDefault="0090571E" w:rsidP="00423C6D">
      <w:pPr>
        <w:pStyle w:val="a2"/>
        <w:rPr>
          <w:b/>
          <w:bCs/>
          <w:rtl/>
        </w:rPr>
      </w:pPr>
      <w:r w:rsidRPr="4835E9A0">
        <w:rPr>
          <w:rtl/>
        </w:rPr>
        <w:t>במקור הדברים (רעו,ו) כתוב "אם הדליק בשביל עצמו</w:t>
      </w:r>
      <w:r w:rsidRPr="4835E9A0">
        <w:rPr>
          <w:b/>
          <w:bCs/>
          <w:rtl/>
        </w:rPr>
        <w:t xml:space="preserve"> או בשביל נכרי אחר</w:t>
      </w:r>
      <w:r w:rsidRPr="4835E9A0">
        <w:rPr>
          <w:b/>
          <w:bCs/>
        </w:rPr>
        <w:t>".</w:t>
      </w:r>
    </w:p>
    <w:p w14:paraId="1A0F1BE6" w14:textId="77777777" w:rsidR="0090571E" w:rsidRPr="0046116E" w:rsidRDefault="0090571E" w:rsidP="00423C6D">
      <w:pPr>
        <w:pStyle w:val="a2"/>
        <w:rPr>
          <w:rtl/>
        </w:rPr>
      </w:pPr>
      <w:r w:rsidRPr="4835E9A0">
        <w:rPr>
          <w:rtl/>
        </w:rPr>
        <w:t>עוד יש להעיר שיש כמה הגבלות בהיתר זה בסימן שכה</w:t>
      </w:r>
      <w:r w:rsidRPr="4835E9A0">
        <w:rPr>
          <w:rtl/>
          <w:lang w:bidi="ar-SA"/>
        </w:rPr>
        <w:t>,</w:t>
      </w:r>
      <w:r w:rsidRPr="4835E9A0">
        <w:rPr>
          <w:rtl/>
        </w:rPr>
        <w:t>ח  "חוץ מסחיטת פירות שאם סחטן נכרי אפילו לעצמו אסורים המשקים לישראל עד לערב אם הוא בענין שהיו אסורים אם היו זבים מאליהן...</w:t>
      </w:r>
      <w:r w:rsidRPr="4835E9A0">
        <w:rPr>
          <w:rtl/>
          <w:lang w:bidi="ar-SA"/>
        </w:rPr>
        <w:t xml:space="preserve"> </w:t>
      </w:r>
      <w:r w:rsidRPr="4835E9A0">
        <w:rPr>
          <w:rtl/>
        </w:rPr>
        <w:t>וכן נכרי שליקט פירות מהמחובר לעצמו אפילו הוא בענין שאין בהם משום מוקצה...  ולא פירות בלבד אלא אפילו כל מחובר שנתלש מאליו או ע"י נכרי אע"פ שאינו מאכל אדם הוא בכלל גזרה זו... וכן נכרי שצד דגים או חיה או עוף לעצמו אסורים לישראל ביום טוב</w:t>
      </w:r>
      <w:r w:rsidRPr="4835E9A0">
        <w:t>".</w:t>
      </w:r>
    </w:p>
    <w:p w14:paraId="50AE0EA3" w14:textId="77777777" w:rsidR="0090571E" w:rsidRPr="0046116E" w:rsidRDefault="0090571E" w:rsidP="00423C6D">
      <w:pPr>
        <w:pStyle w:val="a2"/>
        <w:rPr>
          <w:rtl/>
        </w:rPr>
      </w:pPr>
      <w:r w:rsidRPr="4835E9A0">
        <w:rPr>
          <w:rtl/>
        </w:rPr>
        <w:t>ז) על מש"כ "ביקש מהנכרי לעשות מעשה היתר</w:t>
      </w:r>
      <w:r w:rsidRPr="4835E9A0">
        <w:rPr>
          <w:rtl/>
          <w:lang w:bidi="ar-SA"/>
        </w:rPr>
        <w:t xml:space="preserve">, </w:t>
      </w:r>
      <w:r w:rsidRPr="4835E9A0">
        <w:rPr>
          <w:rtl/>
        </w:rPr>
        <w:t>והנכרי עושה איסור להקל על עצמו." כתב בגליון "עוד שם (בסימן רעו,ט) מתיר לפקוד על הנכרי לעשות דבר שהישראל היה יכול לעשותו בדרך היתר, אך הגוי יעשנו בדרך איסור. "ואין להורות היתר זה אלא לבני תורה, אבל לעמי הארץ אין להתיר, שלא יתרגלו באמירה לנכרי וידמו דבר לדבר ויקלו יותר". עכ"ל</w:t>
      </w:r>
      <w:r w:rsidRPr="4835E9A0">
        <w:t>.</w:t>
      </w:r>
    </w:p>
    <w:p w14:paraId="40745304" w14:textId="77777777" w:rsidR="0090571E" w:rsidRPr="00CF1D47" w:rsidRDefault="0090571E" w:rsidP="00423C6D">
      <w:pPr>
        <w:pStyle w:val="a2"/>
        <w:rPr>
          <w:rtl/>
        </w:rPr>
      </w:pPr>
      <w:r w:rsidRPr="4835E9A0">
        <w:rPr>
          <w:rtl/>
        </w:rPr>
        <w:t xml:space="preserve">נראה שזה רק בדיני מוקצה שיש היתר לישראל מן הצד אבל בשבות גמור </w:t>
      </w:r>
      <w:r w:rsidRPr="4835E9A0">
        <w:rPr>
          <w:rtl/>
        </w:rPr>
        <w:lastRenderedPageBreak/>
        <w:t>(ועאכו</w:t>
      </w:r>
      <w:r w:rsidRPr="4835E9A0">
        <w:rPr>
          <w:rtl/>
          <w:lang w:bidi="ar-SA"/>
        </w:rPr>
        <w:t>"</w:t>
      </w:r>
      <w:r w:rsidRPr="4835E9A0">
        <w:rPr>
          <w:rtl/>
        </w:rPr>
        <w:t>כ באיסור דאורייתא)</w:t>
      </w:r>
      <w:r w:rsidRPr="4835E9A0">
        <w:rPr>
          <w:rtl/>
          <w:lang w:bidi="ar-SA"/>
        </w:rPr>
        <w:t xml:space="preserve"> </w:t>
      </w:r>
      <w:r w:rsidRPr="4835E9A0">
        <w:rPr>
          <w:rtl/>
        </w:rPr>
        <w:t xml:space="preserve">אסור. דהא לך דברי המחבר והרמ"א ז"ל בשו"ע (שכה,י): "אינו יהודי שמילא מים לבהמתו מבור שהוא רה"י לרה"ר מותר לישראל להשקות מהם בהמתו והוא שאין הא"י מכירו דליכא למיחש שמא ירבה בשבילו ואם מילא לצורך בהמת ישראל אסור בכל מיני תשמיש אפילו ישראל אחר ואם מילא מבור רה"י לכרמלית מותר לאחר שלא מילא בשבילו: (הגה) </w:t>
      </w:r>
      <w:r w:rsidRPr="4835E9A0">
        <w:rPr>
          <w:b/>
          <w:bCs/>
          <w:rtl/>
        </w:rPr>
        <w:t xml:space="preserve">ויש מקילין ואומרים דאף אם הובא דרך רה"ר לצורך ישראל מותר לאדם לשתות מהם </w:t>
      </w:r>
      <w:r w:rsidRPr="4835E9A0">
        <w:rPr>
          <w:b/>
          <w:bCs/>
          <w:u w:val="single"/>
          <w:rtl/>
        </w:rPr>
        <w:t>הואיל ואפשר לילך שם ולשתות</w:t>
      </w:r>
      <w:r w:rsidRPr="4835E9A0">
        <w:rPr>
          <w:rtl/>
        </w:rPr>
        <w:t xml:space="preserve"> (טור בשם ר"ת)  ויש מתירין אף לכתחלה (כל בו) וכן נהגו היתר לומר אף לכתחלה לאינו יהודי להביא שכר או שאר דברים דרך כרמלית או בלא עירוב ואע"פ שיש להחמיר בדבר מ"מ אין למחות ביד המקילין לצורך שבת ובשעת הדחק דהא יש להקל באמירה לאינו יהודי לצורך כמו שנתבאר סי' ש"ז וכ"ש בכהאי גונא". עכ"ל</w:t>
      </w:r>
      <w:r w:rsidRPr="4835E9A0">
        <w:t>.</w:t>
      </w:r>
    </w:p>
    <w:p w14:paraId="49A18516" w14:textId="3BBB3920" w:rsidR="0090571E" w:rsidRPr="00CF1D47" w:rsidRDefault="0090571E" w:rsidP="00423C6D">
      <w:pPr>
        <w:pStyle w:val="a2"/>
        <w:rPr>
          <w:rtl/>
        </w:rPr>
      </w:pPr>
      <w:r w:rsidRPr="4835E9A0">
        <w:rPr>
          <w:rtl/>
        </w:rPr>
        <w:t xml:space="preserve">אבל כ"ק אדה"ז לא כתב כלל (בסעיף טז) דעת ה"יש מקילין" המתירים </w:t>
      </w:r>
      <w:r w:rsidRPr="4835E9A0">
        <w:rPr>
          <w:b/>
          <w:bCs/>
          <w:rtl/>
        </w:rPr>
        <w:t>בדיעבד</w:t>
      </w:r>
      <w:r w:rsidRPr="4835E9A0">
        <w:rPr>
          <w:rtl/>
        </w:rPr>
        <w:t xml:space="preserve"> באיסור דאורייתא עאכו"כ שס"ל שלכתחילה אסור. ואפילו בדעת ה"ויש מתירין אף לכתחלה" דהיינו המתירים לכתחילה באיסור דרבנן (כך פירש המג"א וכן מוכיחים דברי כ"ק) בתחילה כתב "מותר </w:t>
      </w:r>
      <w:r w:rsidRPr="4835E9A0">
        <w:rPr>
          <w:b/>
          <w:bCs/>
          <w:rtl/>
        </w:rPr>
        <w:t>לאחר שלא הובא בשבילו</w:t>
      </w:r>
      <w:r w:rsidRPr="4835E9A0">
        <w:rPr>
          <w:rtl/>
        </w:rPr>
        <w:t xml:space="preserve"> שאיסור הכרמלית אינו אלא מדברי סופרים" (דהיינו כדברי הרמ"א ”ואע"פ שיש להחמיר בדבר"), אלא משום שהמנהג להקל (כמ"ש הרמ"א) מגביל וכתב "(ומכל מקום אין להקל אלא בשכר וכיוצא בו מהדברים הצריכים בשבת צורך גמור שאי אפשר להיות בלעדם אלא בדוחק קצת אבל דברים שאין צריך כל כך כגון פירות ומיני תבשילים יתירים וכיוצא בהם אינן נקראים דבר מצוה כמו שנתבאר בסי'  רס"א</w:t>
      </w:r>
      <w:r w:rsidR="00D4385E">
        <w:rPr>
          <w:rFonts w:hint="cs"/>
          <w:rtl/>
        </w:rPr>
        <w:t>").</w:t>
      </w:r>
    </w:p>
    <w:p w14:paraId="547B8584" w14:textId="77777777" w:rsidR="0090571E" w:rsidRPr="0046116E" w:rsidRDefault="0090571E" w:rsidP="00423C6D">
      <w:pPr>
        <w:pStyle w:val="a2"/>
        <w:rPr>
          <w:rtl/>
        </w:rPr>
      </w:pPr>
      <w:r w:rsidRPr="4835E9A0">
        <w:rPr>
          <w:rtl/>
        </w:rPr>
        <w:t xml:space="preserve">והא לך דברי קדשו: נכרי שמילא מים לבהמתו מבור שהוא עמוק י'  טפחים ורחב ד'  טפחים העומד ברשות הרבים ונמצא שהוציא מרשות היחיד לרשות הרבים מותר לישראל להשקות מהם בהמתו כיון שהנכרי לא נתכוין כלל בשבילו והוא שאין הנכרי מכירו אבל אם הוא מכירו אסור גזרה שמא ירבה הנכרי לדלות גם בשבילו אם ישקה גם הוא מהם ואפילו אינו מכירו אם מילא לצורך בהמת ישראל אסור אפילו לאחרים להשתמש במים אלו אפילו תשמיש אחר כגון רחיצה והדחת כלים שכל שנעשה באיסור של תורה ע"י נכרי לצורך ישראל לא חלקו חכמים בין מי שנעשה בשבילו לאחרים אבל אם מילא מבור העומד בכרמלית או שהביא מים לרשות הרבים מן הנהר שהוא כרמלית מותר לאחר שלא הובא בשבילו שאיסור הכרמלית אינו אלא מדברי סופרים ועכשיו נהגו העולם היתר אפילו לכתחלה לומר לנכרי להביא שכר או שאר דברים שהם צורך השבת דרך כרמלית ויש שלמדו עליהם זכות לומר שצרכי שבת חשובים הם כדבר מצוה שהתירו בו שבות דשבות כמו שנתבאר בסי'  ש"ז וצריכים הם להזהר שלא ליתן הכלי ליד הנכרי וגם שלא ליקח מידו כמ"ש שם וגם שלא ליתן מעות לנכרי כמ"ש בסי'  תקי"ז (ומכל מקום אין להקל אלא בשכר וכיוצא בו מהדברים הצריכים בשבת צורך גמור שאי אפשר להיות בלעדם אלא בדוחק קצת </w:t>
      </w:r>
      <w:r w:rsidRPr="4835E9A0">
        <w:rPr>
          <w:rtl/>
        </w:rPr>
        <w:lastRenderedPageBreak/>
        <w:t>אבל דברים שאין צריך כל כך כגון פירות ומיני תבשילים יתירים וכיוצא בהם אינן נקראים דבר מצוה כמו שנתבאר בסי'  רס"א). עכלה"ק</w:t>
      </w:r>
      <w:r w:rsidRPr="4835E9A0">
        <w:t>.</w:t>
      </w:r>
    </w:p>
    <w:p w14:paraId="21BE01B4" w14:textId="77777777" w:rsidR="0090571E" w:rsidRPr="0046116E" w:rsidRDefault="0090571E" w:rsidP="00423C6D">
      <w:pPr>
        <w:pStyle w:val="a2"/>
        <w:rPr>
          <w:rtl/>
        </w:rPr>
      </w:pPr>
      <w:r w:rsidRPr="4835E9A0">
        <w:rPr>
          <w:rtl/>
        </w:rPr>
        <w:t>ח) החדר חשוך. מותר להזמין נכרי לבוא לתוך החדר – כביכול בכדי לתת לו משהו לשתות, והנכרי יראה שהחדר חשוך, וידליק האור להנאת עצמו. (אחרי שכבר הדליק האור, מותר לומר לו שלא יכבה האור כשהוא יוצא לדרכו). עכ"ל</w:t>
      </w:r>
      <w:r w:rsidRPr="4835E9A0">
        <w:t>.</w:t>
      </w:r>
    </w:p>
    <w:p w14:paraId="11542DAF" w14:textId="77777777" w:rsidR="0090571E" w:rsidRPr="0046116E" w:rsidRDefault="0090571E" w:rsidP="00423C6D">
      <w:pPr>
        <w:pStyle w:val="a2"/>
        <w:rPr>
          <w:rtl/>
        </w:rPr>
      </w:pPr>
      <w:r w:rsidRPr="4835E9A0">
        <w:rPr>
          <w:rtl/>
        </w:rPr>
        <w:t>ולי צריך עיון, דמאי שנא זה ממ</w:t>
      </w:r>
      <w:r w:rsidRPr="4835E9A0">
        <w:rPr>
          <w:rtl/>
          <w:lang w:bidi="ar-SA"/>
        </w:rPr>
        <w:t>"</w:t>
      </w:r>
      <w:r w:rsidRPr="4835E9A0">
        <w:rPr>
          <w:rtl/>
        </w:rPr>
        <w:t>ש רבינו בסימן רעו</w:t>
      </w:r>
      <w:r w:rsidRPr="4835E9A0">
        <w:rPr>
          <w:rtl/>
          <w:lang w:bidi="ar-SA"/>
        </w:rPr>
        <w:t>,</w:t>
      </w:r>
      <w:r w:rsidRPr="4835E9A0">
        <w:rPr>
          <w:rtl/>
        </w:rPr>
        <w:t xml:space="preserve">יא "אם אומר אדם לעבדו ולשפחתו לילך עמו לחוץ בלילה ומדליקים הנר מעצמן </w:t>
      </w:r>
      <w:r w:rsidRPr="4835E9A0">
        <w:rPr>
          <w:b/>
          <w:bCs/>
          <w:rtl/>
        </w:rPr>
        <w:t>אף על פי שגם הם צריכין לנר זה ומתכוונים לצורך עצמן בלבד</w:t>
      </w:r>
      <w:r w:rsidRPr="4835E9A0">
        <w:rPr>
          <w:rtl/>
        </w:rPr>
        <w:t xml:space="preserve"> אין זה נקרא לצורך נכרי </w:t>
      </w:r>
      <w:r w:rsidRPr="4835E9A0">
        <w:rPr>
          <w:b/>
          <w:bCs/>
          <w:rtl/>
        </w:rPr>
        <w:t>כיון שעיקר ההליכה היא לצורך ישראל ובשבילו</w:t>
      </w:r>
      <w:r w:rsidRPr="4835E9A0">
        <w:rPr>
          <w:rtl/>
        </w:rPr>
        <w:t xml:space="preserve"> ולפיכך </w:t>
      </w:r>
      <w:r w:rsidRPr="4835E9A0">
        <w:rPr>
          <w:rtl/>
          <w:lang w:bidi="ar-SA"/>
        </w:rPr>
        <w:t>(</w:t>
      </w:r>
      <w:r w:rsidRPr="4835E9A0">
        <w:rPr>
          <w:rtl/>
        </w:rPr>
        <w:t>צריך למחות בם שלא ידליקו אם הנר שלו ואם לא מיחה בהם והדליקוהו</w:t>
      </w:r>
      <w:r w:rsidRPr="4835E9A0">
        <w:rPr>
          <w:rtl/>
          <w:lang w:bidi="ar-SA"/>
        </w:rPr>
        <w:t xml:space="preserve">)  </w:t>
      </w:r>
      <w:r w:rsidRPr="4835E9A0">
        <w:rPr>
          <w:rtl/>
        </w:rPr>
        <w:t>אסור לילך עמהם לחוץ עד שיניחו הנר בבית שלא יהנה מאור הנר שהודלק בשביל הליכתו אפי</w:t>
      </w:r>
      <w:r w:rsidRPr="4835E9A0">
        <w:rPr>
          <w:rtl/>
          <w:lang w:bidi="ar-SA"/>
        </w:rPr>
        <w:t xml:space="preserve">'  </w:t>
      </w:r>
      <w:r w:rsidRPr="4835E9A0">
        <w:rPr>
          <w:rtl/>
        </w:rPr>
        <w:t xml:space="preserve">הנר של נכרי </w:t>
      </w:r>
      <w:r w:rsidRPr="4835E9A0">
        <w:rPr>
          <w:rtl/>
          <w:lang w:bidi="ar-SA"/>
        </w:rPr>
        <w:t>(</w:t>
      </w:r>
      <w:r w:rsidRPr="4835E9A0">
        <w:rPr>
          <w:rtl/>
        </w:rPr>
        <w:t>ואם מיחה בם ולא השגיחו בו והדליקו מותר להשתמש לאורו אם אינו מערים כמו שנתבאר למעלה</w:t>
      </w:r>
      <w:r w:rsidRPr="4835E9A0">
        <w:t>"?</w:t>
      </w:r>
      <w:r w:rsidRPr="00D4385E">
        <w:rPr>
          <w:rStyle w:val="FootnoteReference"/>
          <w:rFonts w:ascii="SBL Hebrew" w:eastAsia="SBL Hebrew" w:hAnsi="SBL Hebrew" w:cs="SBL Hebrew"/>
        </w:rPr>
        <w:footnoteReference w:id="121"/>
      </w:r>
    </w:p>
    <w:p w14:paraId="65695D80" w14:textId="77777777" w:rsidR="0090571E" w:rsidRPr="0046116E" w:rsidRDefault="0090571E" w:rsidP="00423C6D">
      <w:pPr>
        <w:pStyle w:val="a2"/>
        <w:rPr>
          <w:rtl/>
        </w:rPr>
      </w:pPr>
      <w:r w:rsidRPr="4835E9A0">
        <w:rPr>
          <w:rtl/>
        </w:rPr>
        <w:t xml:space="preserve">ט) האומר דרך סיפור בלי פקודה, והנכרי עושה המלאכה מעצמו. לפי שוע"ר, היתר זה הוא רק </w:t>
      </w:r>
      <w:r w:rsidRPr="4835E9A0">
        <w:rPr>
          <w:b/>
          <w:bCs/>
          <w:rtl/>
        </w:rPr>
        <w:t>כשהגוי חושב שעושה לעצמו</w:t>
      </w:r>
      <w:r w:rsidRPr="4835E9A0">
        <w:rPr>
          <w:rtl/>
        </w:rPr>
        <w:t>. אבל לפי ה'מהדורא בתרא' מותר גם כשעושה עבור הישראל, ובלבד שאין גוף הישראל נהנה מיד ממעשה הנכרי. עכ"ל</w:t>
      </w:r>
      <w:r w:rsidRPr="4835E9A0">
        <w:t>.</w:t>
      </w:r>
    </w:p>
    <w:p w14:paraId="1634E9EB" w14:textId="77777777" w:rsidR="0090571E" w:rsidRPr="0046116E" w:rsidRDefault="0090571E" w:rsidP="00423C6D">
      <w:pPr>
        <w:pStyle w:val="a2"/>
        <w:rPr>
          <w:rtl/>
        </w:rPr>
      </w:pPr>
      <w:r>
        <w:rPr>
          <w:rFonts w:hint="cs"/>
          <w:rtl/>
        </w:rPr>
        <w:t xml:space="preserve">1) </w:t>
      </w:r>
      <w:r w:rsidRPr="4835E9A0">
        <w:rPr>
          <w:rtl/>
        </w:rPr>
        <w:t xml:space="preserve">צל"ע דהא בשוע"ר כתוב </w:t>
      </w:r>
      <w:r w:rsidRPr="4835E9A0">
        <w:rPr>
          <w:b/>
          <w:bCs/>
          <w:rtl/>
        </w:rPr>
        <w:t>לדעת עצמו</w:t>
      </w:r>
      <w:r w:rsidRPr="4835E9A0">
        <w:rPr>
          <w:rtl/>
        </w:rPr>
        <w:t xml:space="preserve"> הוא עושה (ולא שעושה לעצמו) וכן במהד"ב ההיתר הוא משום "אדעתא דנפשיה" ופירושו (רש"י שבת קכא,א) "נכרי אדעתיה דנפשיה עביד. ואפילו יודע שנוח לו לישראל הוא </w:t>
      </w:r>
      <w:r w:rsidRPr="4835E9A0">
        <w:rPr>
          <w:b/>
          <w:bCs/>
          <w:rtl/>
        </w:rPr>
        <w:t>להנאת עצמו מתכוין שיודע שלא יפסיד"</w:t>
      </w:r>
      <w:r w:rsidRPr="4835E9A0">
        <w:rPr>
          <w:rtl/>
        </w:rPr>
        <w:t xml:space="preserve">. דהיינו שהנכרי עושה המעשה בשביל איזה </w:t>
      </w:r>
      <w:r w:rsidRPr="4835E9A0">
        <w:rPr>
          <w:rtl/>
          <w:lang w:bidi="ar-SA"/>
        </w:rPr>
        <w:t>(</w:t>
      </w:r>
      <w:r w:rsidRPr="4835E9A0">
        <w:rPr>
          <w:rtl/>
        </w:rPr>
        <w:t>בעבר או לעתיד</w:t>
      </w:r>
      <w:r w:rsidRPr="4835E9A0">
        <w:rPr>
          <w:rtl/>
          <w:lang w:bidi="ar-SA"/>
        </w:rPr>
        <w:t xml:space="preserve">) </w:t>
      </w:r>
      <w:r w:rsidRPr="4835E9A0">
        <w:rPr>
          <w:rtl/>
        </w:rPr>
        <w:t>טובת הנאה ואל"כ אינו עושה בשביל עצמו אלא בשביל ישראל וזה אסור, ולכן מבאר כ"ק</w:t>
      </w:r>
      <w:r w:rsidRPr="4835E9A0">
        <w:rPr>
          <w:rtl/>
          <w:lang w:bidi="ar-SA"/>
        </w:rPr>
        <w:t xml:space="preserve"> </w:t>
      </w:r>
      <w:r w:rsidRPr="4835E9A0">
        <w:rPr>
          <w:rtl/>
        </w:rPr>
        <w:t>שהטובת הנאה קיבל מהמשלח של האגרת</w:t>
      </w:r>
      <w:r w:rsidRPr="4835E9A0">
        <w:rPr>
          <w:lang w:bidi="ar-SA"/>
        </w:rPr>
        <w:t>.</w:t>
      </w:r>
    </w:p>
    <w:p w14:paraId="06FE9DDD" w14:textId="77777777" w:rsidR="0090571E" w:rsidRPr="0046116E" w:rsidRDefault="0090571E" w:rsidP="00423C6D">
      <w:pPr>
        <w:pStyle w:val="a2"/>
        <w:rPr>
          <w:rtl/>
        </w:rPr>
      </w:pPr>
      <w:r>
        <w:rPr>
          <w:rFonts w:hint="cs"/>
          <w:rtl/>
        </w:rPr>
        <w:t xml:space="preserve">2) </w:t>
      </w:r>
      <w:r w:rsidRPr="4835E9A0">
        <w:rPr>
          <w:rtl/>
        </w:rPr>
        <w:t xml:space="preserve">לכאורה ממ"ש כ"ק (בסימו שז,ח) יש תנאי בדבר.  וזלה"ק: "מותר לומר לנכרי אחר השבת מדוע לא עשית דבר פלוני בשבת שעברה אע"פ שמבין מתוך דבריו שרצונו שיעשנו בשבת הבאה אין בכך כלום כיון שאומר לו כן בחול ואין באמירתו זו שום (רמז) ציווי לעשותה בשבת הבאה אלא שהנכרי מבין כן מעצמו </w:t>
      </w:r>
      <w:r w:rsidRPr="4835E9A0">
        <w:rPr>
          <w:b/>
          <w:bCs/>
          <w:rtl/>
        </w:rPr>
        <w:t xml:space="preserve">(והוא שעשיית מלאכה זו היא בענין שאין צריך למחות כשרואה את הנכרי עושה אותה בשבת כגון שאין המלאכה נעשית בחפצים של ישראל והנכרי (אינו)  שכירו של ישראל אלא רגיל לעשות לו בטובת הנאה </w:t>
      </w:r>
      <w:r w:rsidRPr="4835E9A0">
        <w:rPr>
          <w:rtl/>
        </w:rPr>
        <w:t xml:space="preserve">עיין סי'  רמ"ד ורנ"ב)". אלא ממהדו"ב נראה שמתיר בחפצים </w:t>
      </w:r>
      <w:r w:rsidRPr="4835E9A0">
        <w:rPr>
          <w:rtl/>
        </w:rPr>
        <w:lastRenderedPageBreak/>
        <w:t>של ישראל (אם אין הישראל נהנה בגופו מהמלאכה</w:t>
      </w:r>
      <w:r>
        <w:rPr>
          <w:rFonts w:hint="cs"/>
          <w:rtl/>
        </w:rPr>
        <w:t>.</w:t>
      </w:r>
    </w:p>
    <w:p w14:paraId="70FAD151" w14:textId="77777777" w:rsidR="0090571E" w:rsidRDefault="0090571E" w:rsidP="00423C6D">
      <w:pPr>
        <w:pStyle w:val="a2"/>
        <w:rPr>
          <w:rtl/>
          <w:lang w:bidi="he"/>
        </w:rPr>
      </w:pPr>
      <w:r w:rsidRPr="4835E9A0">
        <w:t>3</w:t>
      </w:r>
      <w:r w:rsidRPr="4835E9A0">
        <w:rPr>
          <w:rtl/>
        </w:rPr>
        <w:t xml:space="preserve">) בגליון כתב על זה: </w:t>
      </w:r>
      <w:r w:rsidRPr="4835E9A0">
        <w:rPr>
          <w:rtl/>
          <w:lang w:bidi="he"/>
        </w:rPr>
        <w:t>ובכך מובנים דברי אדה</w:t>
      </w:r>
      <w:r w:rsidRPr="4835E9A0">
        <w:rPr>
          <w:rtl/>
        </w:rPr>
        <w:t>"</w:t>
      </w:r>
      <w:r w:rsidRPr="4835E9A0">
        <w:rPr>
          <w:rtl/>
          <w:lang w:bidi="he"/>
        </w:rPr>
        <w:t>ז</w:t>
      </w:r>
      <w:r w:rsidRPr="4835E9A0">
        <w:rPr>
          <w:rtl/>
        </w:rPr>
        <w:t xml:space="preserve"> (</w:t>
      </w:r>
      <w:r w:rsidRPr="4835E9A0">
        <w:rPr>
          <w:rtl/>
          <w:lang w:bidi="he"/>
        </w:rPr>
        <w:t>ליקוטי דיבורים ריש ליקוט יד</w:t>
      </w:r>
      <w:r w:rsidRPr="4835E9A0">
        <w:rPr>
          <w:rtl/>
        </w:rPr>
        <w:t xml:space="preserve">) </w:t>
      </w:r>
      <w:r w:rsidRPr="4835E9A0">
        <w:rPr>
          <w:rtl/>
          <w:lang w:bidi="he"/>
        </w:rPr>
        <w:t>לספר לגוי שצריכים לאכול בסוכה</w:t>
      </w:r>
      <w:r w:rsidRPr="4835E9A0">
        <w:rPr>
          <w:rtl/>
        </w:rPr>
        <w:t xml:space="preserve">, </w:t>
      </w:r>
      <w:r w:rsidRPr="4835E9A0">
        <w:rPr>
          <w:rtl/>
          <w:lang w:bidi="he"/>
        </w:rPr>
        <w:t>ואיננו יכולים לעשות כן כל עוד היא מכוסה בשלג</w:t>
      </w:r>
      <w:r w:rsidRPr="4835E9A0">
        <w:rPr>
          <w:rtl/>
        </w:rPr>
        <w:t xml:space="preserve">. </w:t>
      </w:r>
    </w:p>
    <w:p w14:paraId="613D0CCE" w14:textId="77777777" w:rsidR="0090571E" w:rsidRDefault="0090571E" w:rsidP="00423C6D">
      <w:pPr>
        <w:pStyle w:val="a2"/>
        <w:rPr>
          <w:rtl/>
          <w:lang w:bidi="he"/>
        </w:rPr>
      </w:pPr>
      <w:r w:rsidRPr="4835E9A0">
        <w:rPr>
          <w:rtl/>
        </w:rPr>
        <w:t xml:space="preserve"> </w:t>
      </w:r>
      <w:r w:rsidRPr="4835E9A0">
        <w:rPr>
          <w:rtl/>
          <w:lang w:bidi="he"/>
        </w:rPr>
        <w:t>יש לתמוה</w:t>
      </w:r>
      <w:r w:rsidRPr="4835E9A0">
        <w:rPr>
          <w:rtl/>
        </w:rPr>
        <w:t xml:space="preserve">, </w:t>
      </w:r>
      <w:r w:rsidRPr="4835E9A0">
        <w:rPr>
          <w:rtl/>
          <w:lang w:bidi="he"/>
        </w:rPr>
        <w:t>והא איזה איסור דאורייתא עשה הנכרי בהסרת השלג</w:t>
      </w:r>
      <w:r w:rsidRPr="4835E9A0">
        <w:rPr>
          <w:rtl/>
        </w:rPr>
        <w:t xml:space="preserve">? </w:t>
      </w:r>
      <w:r w:rsidRPr="4835E9A0">
        <w:rPr>
          <w:rtl/>
          <w:lang w:bidi="he"/>
        </w:rPr>
        <w:t>ובאיסור דרבנן כבר כתב כ</w:t>
      </w:r>
      <w:r w:rsidRPr="4835E9A0">
        <w:rPr>
          <w:rtl/>
        </w:rPr>
        <w:t>"</w:t>
      </w:r>
      <w:r w:rsidRPr="4835E9A0">
        <w:rPr>
          <w:rtl/>
          <w:lang w:bidi="he"/>
        </w:rPr>
        <w:t>ק בכמה מקומות ששבות דשבות הותרה לצורך מצוה</w:t>
      </w:r>
      <w:r w:rsidRPr="4835E9A0">
        <w:rPr>
          <w:rtl/>
        </w:rPr>
        <w:t>!</w:t>
      </w:r>
    </w:p>
    <w:p w14:paraId="7E2128C1" w14:textId="77777777" w:rsidR="0090571E" w:rsidRPr="0046116E" w:rsidRDefault="0090571E" w:rsidP="00423C6D">
      <w:pPr>
        <w:pStyle w:val="a2"/>
        <w:rPr>
          <w:rtl/>
        </w:rPr>
      </w:pPr>
      <w:r w:rsidRPr="4835E9A0">
        <w:rPr>
          <w:rtl/>
        </w:rPr>
        <w:t>י) מותר לנכרי לעשות לנו מלאכה בין השמשות לצורך מצוה. עכ"ל</w:t>
      </w:r>
      <w:r w:rsidRPr="4835E9A0">
        <w:t>.</w:t>
      </w:r>
    </w:p>
    <w:p w14:paraId="59255FDC" w14:textId="77777777" w:rsidR="0090571E" w:rsidRPr="0046116E" w:rsidRDefault="0090571E" w:rsidP="00423C6D">
      <w:pPr>
        <w:pStyle w:val="a2"/>
        <w:rPr>
          <w:rtl/>
          <w:lang w:bidi="ar-SA"/>
        </w:rPr>
      </w:pPr>
      <w:r w:rsidRPr="4835E9A0">
        <w:rPr>
          <w:rtl/>
        </w:rPr>
        <w:t>במקור הדברים (רסא,ב) הוסיף כ"ק גם צורך גדול בענין שאם לא יעשנו יהיה לו צער,</w:t>
      </w:r>
      <w:r w:rsidRPr="4835E9A0">
        <w:rPr>
          <w:rtl/>
          <w:lang w:bidi="ar-SA"/>
        </w:rPr>
        <w:t xml:space="preserve"> </w:t>
      </w:r>
      <w:r w:rsidRPr="4835E9A0">
        <w:rPr>
          <w:rtl/>
        </w:rPr>
        <w:t>וגם במקום הפסד מרובה לא גזרו על שבות בבין השמשות</w:t>
      </w:r>
      <w:r w:rsidRPr="4835E9A0">
        <w:rPr>
          <w:lang w:bidi="ar-SA"/>
        </w:rPr>
        <w:t>.</w:t>
      </w:r>
    </w:p>
    <w:p w14:paraId="09DB5C8F" w14:textId="77777777" w:rsidR="0090571E" w:rsidRPr="0046116E" w:rsidRDefault="0090571E" w:rsidP="00423C6D">
      <w:pPr>
        <w:pStyle w:val="a2"/>
        <w:rPr>
          <w:rtl/>
        </w:rPr>
      </w:pPr>
      <w:r w:rsidRPr="4835E9A0">
        <w:rPr>
          <w:rtl/>
        </w:rPr>
        <w:t>יא) על מה שכתב "נר של ישראל שהי</w:t>
      </w:r>
      <w:r w:rsidRPr="4835E9A0">
        <w:rPr>
          <w:rtl/>
          <w:lang w:bidi="ar-SA"/>
        </w:rPr>
        <w:t xml:space="preserve">' </w:t>
      </w:r>
      <w:r w:rsidRPr="4835E9A0">
        <w:rPr>
          <w:rtl/>
        </w:rPr>
        <w:t>דולק מלפני השבת</w:t>
      </w:r>
      <w:r w:rsidRPr="4835E9A0">
        <w:rPr>
          <w:rtl/>
          <w:lang w:bidi="ar-SA"/>
        </w:rPr>
        <w:t xml:space="preserve">, </w:t>
      </w:r>
      <w:r w:rsidRPr="4835E9A0">
        <w:rPr>
          <w:rtl/>
        </w:rPr>
        <w:t>ובא נכרי לתקנו ונכבה בידו</w:t>
      </w:r>
      <w:r w:rsidRPr="4835E9A0">
        <w:rPr>
          <w:rtl/>
          <w:lang w:bidi="ar-SA"/>
        </w:rPr>
        <w:t xml:space="preserve">, </w:t>
      </w:r>
      <w:r w:rsidRPr="4835E9A0">
        <w:rPr>
          <w:rtl/>
        </w:rPr>
        <w:t>ושוב הדליקו לתקן מה שקלקל</w:t>
      </w:r>
      <w:r w:rsidRPr="4835E9A0">
        <w:rPr>
          <w:rtl/>
          <w:lang w:bidi="ar-SA"/>
        </w:rPr>
        <w:t xml:space="preserve">, </w:t>
      </w:r>
      <w:r w:rsidRPr="4835E9A0">
        <w:rPr>
          <w:rtl/>
        </w:rPr>
        <w:t>מותר ליהנות ממנו" כתב בגליון "ולא נתבאר אם מותר לומר לנכרי לתקן מה שקלקל. ואולי ניתן להשוות זאת למה שמותר ל</w:t>
      </w:r>
      <w:r>
        <w:rPr>
          <w:rtl/>
        </w:rPr>
        <w:t xml:space="preserve">ומר לנכרי לעשות מלאכה בשל עצמו </w:t>
      </w:r>
      <w:r w:rsidRPr="4835E9A0">
        <w:rPr>
          <w:rtl/>
        </w:rPr>
        <w:t>שוע"ר סי' שז סל"ה ואילך" עכ"ל</w:t>
      </w:r>
      <w:r w:rsidRPr="4835E9A0">
        <w:t>.</w:t>
      </w:r>
    </w:p>
    <w:p w14:paraId="3F7A8110" w14:textId="77777777" w:rsidR="0090571E" w:rsidRDefault="0090571E" w:rsidP="00423C6D">
      <w:pPr>
        <w:pStyle w:val="a2"/>
        <w:rPr>
          <w:rtl/>
        </w:rPr>
      </w:pPr>
      <w:r w:rsidRPr="4835E9A0">
        <w:rPr>
          <w:rtl/>
        </w:rPr>
        <w:t xml:space="preserve">ולי צ"ע ממ"ש רבינו בסימן שלח,ג "יש מתירין לומר לנכרי לנגן בכלי שיר בחופות משום כבוד חתן וכלה לפי שהוא צורך מצוה שזהו עיקר שמחת חתן וכלה ובמקום מצוה לא גזרו על אמירה לנכרי בדבר שאינו אסור לישראל אלא מדברי סופרים </w:t>
      </w:r>
      <w:r w:rsidRPr="4835E9A0">
        <w:rPr>
          <w:b/>
          <w:bCs/>
          <w:rtl/>
        </w:rPr>
        <w:t>אבל אם נפסקה נימא בכנור אסור לומר לו שיתקננה שתיקון כלי הוא איסור של תורה ואסור לומר לנכרי אפילו במקום מצוה</w:t>
      </w:r>
      <w:r w:rsidRPr="4835E9A0">
        <w:rPr>
          <w:rtl/>
        </w:rPr>
        <w:t>." -לכאורה ה'כנור' היא של הנכרי ואעפ"כ אסר כ"ק לומר לו שיתקננה עאכו"כ אם ה'כנור' של ישראל היא</w:t>
      </w:r>
      <w:r w:rsidRPr="4835E9A0">
        <w:t>!</w:t>
      </w:r>
    </w:p>
    <w:p w14:paraId="5C03472A" w14:textId="77777777" w:rsidR="000B6EE8" w:rsidRPr="000B6EE8" w:rsidRDefault="000B6EE8" w:rsidP="00B1191D">
      <w:pPr>
        <w:pStyle w:val="11"/>
        <w:bidi/>
        <w:spacing w:before="0" w:after="0"/>
        <w:rPr>
          <w:rtl/>
        </w:rPr>
      </w:pPr>
      <w:bookmarkStart w:id="178" w:name="_Toc531140415"/>
      <w:r>
        <w:rPr>
          <w:rFonts w:hint="cs"/>
        </w:rPr>
        <w:sym w:font="Symbol" w:char="F02A"/>
      </w:r>
      <w:bookmarkEnd w:id="178"/>
    </w:p>
    <w:p w14:paraId="3967D07F" w14:textId="77777777" w:rsidR="0090571E" w:rsidRDefault="0090571E" w:rsidP="00B1191D">
      <w:pPr>
        <w:pStyle w:val="a2"/>
        <w:spacing w:before="0"/>
        <w:rPr>
          <w:rtl/>
        </w:rPr>
      </w:pPr>
      <w:r w:rsidRPr="4835E9A0">
        <w:rPr>
          <w:rtl/>
        </w:rPr>
        <w:t>בגליון א</w:t>
      </w:r>
      <w:r w:rsidRPr="4835E9A0">
        <w:rPr>
          <w:rtl/>
          <w:lang w:bidi="ar-SA"/>
        </w:rPr>
        <w:t xml:space="preserve">' </w:t>
      </w:r>
      <w:r w:rsidRPr="4835E9A0">
        <w:rPr>
          <w:rtl/>
        </w:rPr>
        <w:t>קנד כתב הרב לו</w:t>
      </w:r>
      <w:r w:rsidRPr="4835E9A0">
        <w:rPr>
          <w:rtl/>
          <w:lang w:bidi="ar-SA"/>
        </w:rPr>
        <w:t>"</w:t>
      </w:r>
      <w:r w:rsidRPr="4835E9A0">
        <w:rPr>
          <w:rtl/>
        </w:rPr>
        <w:t>י ראסקין שליט</w:t>
      </w:r>
      <w:r w:rsidRPr="4835E9A0">
        <w:rPr>
          <w:rtl/>
          <w:lang w:bidi="ar-SA"/>
        </w:rPr>
        <w:t>"</w:t>
      </w:r>
      <w:r w:rsidRPr="4835E9A0">
        <w:rPr>
          <w:rtl/>
        </w:rPr>
        <w:t>א בנוגע נשים בצדקה מביא תשובת ה'נודע ביהודה' (מהד"ת יו"ד סי' קנח, הובא ב'פתחי תשובה' ליו"ד רמ"ח סק"ג) דן באשה שיודעת שבעלה הוא כילי ואינו מקיים חובת צדקה המוטלת מן הדין, והיא רוצה לחלק לצדקה נגד רצון בעלה. ופסק ה'נודע ביהודה' שמעשי' הן מעשה גזל</w:t>
      </w:r>
      <w:r w:rsidRPr="4835E9A0">
        <w:t>.</w:t>
      </w:r>
    </w:p>
    <w:p w14:paraId="5EB67545" w14:textId="77777777" w:rsidR="0090571E" w:rsidRDefault="0090571E" w:rsidP="00423C6D">
      <w:pPr>
        <w:pStyle w:val="a2"/>
        <w:rPr>
          <w:rtl/>
        </w:rPr>
      </w:pPr>
      <w:r w:rsidRPr="4835E9A0">
        <w:rPr>
          <w:rtl/>
        </w:rPr>
        <w:t xml:space="preserve">יש להעיר מסיפור שבירושלמי (ע"ז פ"ב ה"ג, סוף דף יא ע"ב בדפוס וילנא) "רבי יוסי בן שאול משתעי אהן עובדא עובדא הוה איתא חדא דהוות רחמה מצוותא ובעלה שנא מצוותא (היתה אוהבת לעשות מצות וצדקות ובעלה היה שונא מצות 'פני משה'). אתא חד מסכן ויהבת קומוי ואכל (ובא עני א' ונתנה לו האשה לאכול) ארגישת בבעלה איסליק וטמרתיה בעיליתי' (וכשהרגישה שבעלה בא לבית העלתה להעני בחדר עלייתה והטמינה אותו). תבת קומי בעלה ואכל ודמך לי' </w:t>
      </w:r>
      <w:r w:rsidRPr="4835E9A0">
        <w:rPr>
          <w:rtl/>
          <w:lang w:bidi="ar-SA"/>
        </w:rPr>
        <w:t>(</w:t>
      </w:r>
      <w:r w:rsidRPr="4835E9A0">
        <w:rPr>
          <w:rtl/>
        </w:rPr>
        <w:t xml:space="preserve">וחזרה ובאת לפני </w:t>
      </w:r>
      <w:r w:rsidRPr="4835E9A0">
        <w:rPr>
          <w:rtl/>
        </w:rPr>
        <w:lastRenderedPageBreak/>
        <w:t>בעלה וערכה לפניו לאכול ואכל וישן לו</w:t>
      </w:r>
      <w:r w:rsidRPr="4835E9A0">
        <w:rPr>
          <w:rtl/>
          <w:lang w:bidi="ar-SA"/>
        </w:rPr>
        <w:t>)</w:t>
      </w:r>
      <w:r w:rsidRPr="4835E9A0">
        <w:rPr>
          <w:rtl/>
        </w:rPr>
        <w:t xml:space="preserve"> אתא חיויא ואכל מן קומוי (ובא הנחש ואכל ממה שנשאר ועומד לפניו). קם בעלה מן שינתיה ובעא מיכול (ולאחר שניער משנתו היה רוצה לחזור ולאכול). שרי ההוא דעילתיה מלולי (והתחיל העני הזה היושב בעלייה לדבר ולהזהירו שלא יאכל כי אכל הנחש ממנו) הדא אמרה ישן מותר (בתמיה, הא חזינן דהנחש אכל כשזה היה ישן וקשיא לר' אלעזר ולר' חנינא דאמרי ישן מותר)? כריך הוה (כלומר הנחש הזה היה רגיל שם...) ואינו אסור משום ייחוד (האשה עליו משום ייחוד שנתיחדה עם העני הזה)? כי ניאפו ודם בידיהם מכיון דלא הוה חשיד על דא לא חשיד על דא (ומשני: כי ניאפו ודם בידיהם כתיב, החשוד על הניאוף חשוד על שפיכת דם ומכיון שהעני הזה לא חשוד על ש"ד שהרי הזהירו לבעל הבית שלא לאכול ממה שאכל הנחש לא חשוד על הניאוף.</w:t>
      </w:r>
      <w:r w:rsidRPr="4835E9A0">
        <w:t>"</w:t>
      </w:r>
    </w:p>
    <w:p w14:paraId="18BDCFCE" w14:textId="77777777" w:rsidR="0090571E" w:rsidRPr="00404891" w:rsidRDefault="0090571E" w:rsidP="00423C6D">
      <w:pPr>
        <w:pStyle w:val="a2"/>
        <w:rPr>
          <w:rtl/>
        </w:rPr>
      </w:pPr>
      <w:r w:rsidRPr="4835E9A0">
        <w:rPr>
          <w:rtl/>
        </w:rPr>
        <w:t>מפשטות סגנון הגמרא משמע שהאישה עשתה כהוגן שנתנה לו לאכול אעפ"י שבעלה מקפיד עליה עד כדי כך שהטמינה העני. ועוד ממה שהקשו מאיסור יחוד ולא הקשו על איסור גניבה אפשר שיש ראיה מכאן שמעשי' אינן מעשה גזל</w:t>
      </w:r>
      <w:r w:rsidRPr="4835E9A0">
        <w:t>.</w:t>
      </w:r>
    </w:p>
    <w:p w14:paraId="44D9CF5A" w14:textId="3E3F0B5C" w:rsidR="0090571E" w:rsidRPr="000B6EE8" w:rsidRDefault="000B6EE8" w:rsidP="00B1191D">
      <w:pPr>
        <w:pStyle w:val="11"/>
        <w:bidi/>
        <w:spacing w:before="0" w:after="0"/>
        <w:rPr>
          <w:rtl/>
        </w:rPr>
      </w:pPr>
      <w:bookmarkStart w:id="179" w:name="_Toc531140416"/>
      <w:r>
        <w:rPr>
          <w:rFonts w:hint="cs"/>
        </w:rPr>
        <w:sym w:font="Symbol" w:char="F02A"/>
      </w:r>
      <w:bookmarkEnd w:id="179"/>
    </w:p>
    <w:p w14:paraId="72F48E67" w14:textId="77777777" w:rsidR="0090571E" w:rsidRDefault="0090571E" w:rsidP="00B1191D">
      <w:pPr>
        <w:pStyle w:val="a2"/>
        <w:spacing w:before="0"/>
        <w:rPr>
          <w:rtl/>
        </w:rPr>
      </w:pPr>
      <w:r w:rsidRPr="4835E9A0">
        <w:rPr>
          <w:rtl/>
        </w:rPr>
        <w:t>בגליון א</w:t>
      </w:r>
      <w:r w:rsidRPr="4835E9A0">
        <w:rPr>
          <w:rtl/>
          <w:lang w:bidi="ar-SA"/>
        </w:rPr>
        <w:t xml:space="preserve">' </w:t>
      </w:r>
      <w:r w:rsidRPr="4835E9A0">
        <w:rPr>
          <w:rtl/>
        </w:rPr>
        <w:t>קנד כתבתי בנוגע זמן מנחה, שמדייק המג"א מדברי המחבר בשו"ע "מי שהתפלל תפלת המנחה לאחר שש שעות ומחצה ולמעלה יצא" ש"משמע דקודם לכן לא יצא", ולא דייק ממשנה בפסחים "שחטו (לקרבן פסח) קודם חצות פסול משום שנאמר בין הערבים" שבקרבן פסח לאחר חצות בדיעבד יצא, ואם כן נאמר גם בדיעבד אם התפלל לאחר שש שעות (קודם שש ומחצה) יוצא דהא בשניהם כתיב "בין הערבים</w:t>
      </w:r>
      <w:r w:rsidRPr="4835E9A0">
        <w:t xml:space="preserve">"? </w:t>
      </w:r>
    </w:p>
    <w:p w14:paraId="2B07F609" w14:textId="77777777" w:rsidR="0090571E" w:rsidRDefault="0090571E" w:rsidP="00423C6D">
      <w:pPr>
        <w:pStyle w:val="a2"/>
        <w:rPr>
          <w:rtl/>
        </w:rPr>
      </w:pPr>
      <w:r w:rsidRPr="4835E9A0">
        <w:rPr>
          <w:rtl/>
        </w:rPr>
        <w:t>והמערכת כתבו על דברי: "ונראה לומר (בד"א כמובן) דבין הערבים בנוגע להקרבן פסח הוא סימן ולא סיבה, היינו שבשעה בין הערבים הרי זהו סימן וגילוי מילתא דצריך להקריב את הקרבן פסח, בניגוד לתפילה, הרי הוא צריך להתפלל אחר בין הערבים ולא שבין הערבים מגלה לנו שהוא צריך להתפלל.</w:t>
      </w:r>
      <w:r w:rsidRPr="4835E9A0">
        <w:t>"</w:t>
      </w:r>
    </w:p>
    <w:p w14:paraId="1D094461" w14:textId="6B769168" w:rsidR="0090571E" w:rsidRDefault="0090571E" w:rsidP="00423C6D">
      <w:pPr>
        <w:pStyle w:val="a2"/>
        <w:rPr>
          <w:rtl/>
        </w:rPr>
      </w:pPr>
      <w:r w:rsidRPr="4835E9A0">
        <w:rPr>
          <w:rtl/>
        </w:rPr>
        <w:t xml:space="preserve">נעלמה מהם דברי הפמ"ג (א"א רלג סק"ב) על מה שכתב המג"א (שם) "עיקר זמן שחיטה היא </w:t>
      </w:r>
      <w:r w:rsidRPr="4835E9A0">
        <w:rPr>
          <w:b/>
          <w:bCs/>
          <w:rtl/>
        </w:rPr>
        <w:t>מדאורייתא</w:t>
      </w:r>
      <w:r w:rsidRPr="4835E9A0">
        <w:rPr>
          <w:rtl/>
        </w:rPr>
        <w:t xml:space="preserve"> מו' שעות ומחצה" כתב </w:t>
      </w:r>
      <w:r>
        <w:rPr>
          <w:rFonts w:hint="cs"/>
          <w:rtl/>
        </w:rPr>
        <w:t xml:space="preserve">וז"ל </w:t>
      </w:r>
      <w:r w:rsidRPr="4835E9A0">
        <w:rPr>
          <w:rtl/>
        </w:rPr>
        <w:t>"מה שכתב מו' "ומחצה" ליש אומרים כן, אבל רוב הפוסקים הסכימו מתחלת שבע מן התורה זמן שחיטה וכמו שכתבתי באות א', "דבאמת" זמנה מתחלת שבע ומשנה מפורשת פסחים ס"א א' שחטו קודם חצות פסול ואחר חצות כשר, וכן פסק הר"מ ז"ל פרק א' מקרבן פסח הלכה ד' ופרק ט"ו מהלכות פסולי המוקדשין הלכה י"ב, וכתיב ביה בין ערבים כמו בתמיד." – שמשווה ה'תמיד' וה'פסח' לזמן חיוב שלהם ומביא ראיה מחצות ד'פסח' לחצות ד'תמיד' ומשום שכתוב בשניהם בין הערבים. כדברינו</w:t>
      </w:r>
      <w:r w:rsidRPr="4835E9A0">
        <w:t>.</w:t>
      </w:r>
    </w:p>
    <w:p w14:paraId="5592D93B" w14:textId="77777777" w:rsidR="00D4385E" w:rsidRDefault="00D4385E" w:rsidP="00A13257">
      <w:pPr>
        <w:pStyle w:val="a"/>
      </w:pPr>
      <w:bookmarkStart w:id="180" w:name="_Toc531140417"/>
      <w:r>
        <w:rPr>
          <w:rFonts w:hint="cs"/>
          <w:rtl/>
        </w:rPr>
        <w:lastRenderedPageBreak/>
        <w:t>שָמַש ושימוש בנר חנוכה</w:t>
      </w:r>
      <w:bookmarkEnd w:id="180"/>
    </w:p>
    <w:p w14:paraId="7DA49D32" w14:textId="6E31A718" w:rsidR="00D4385E" w:rsidRDefault="00A13257" w:rsidP="00C40DBA">
      <w:pPr>
        <w:pStyle w:val="a0"/>
        <w:rPr>
          <w:rtl/>
        </w:rPr>
      </w:pPr>
      <w:bookmarkStart w:id="181" w:name="_Toc531140418"/>
      <w:r>
        <w:rPr>
          <w:rFonts w:hint="cs"/>
          <w:rtl/>
          <w:lang w:bidi="he-IL"/>
        </w:rPr>
        <w:t>הרב צבי רייזמן</w:t>
      </w:r>
      <w:bookmarkEnd w:id="181"/>
    </w:p>
    <w:p w14:paraId="302F64C1" w14:textId="77777777" w:rsidR="00A13257" w:rsidRPr="00A13257" w:rsidRDefault="00A13257" w:rsidP="00A13257">
      <w:pPr>
        <w:pStyle w:val="a1"/>
        <w:spacing w:after="0"/>
        <w:rPr>
          <w:rtl/>
          <w:lang w:val="en-GB"/>
        </w:rPr>
      </w:pPr>
      <w:r>
        <w:rPr>
          <w:rFonts w:hint="cs"/>
          <w:rtl/>
          <w:lang w:val="en-GB"/>
        </w:rPr>
        <w:t>איש עסקים ומחבר ספרי 'רץ כצבי' (י"א חלקים)</w:t>
      </w:r>
    </w:p>
    <w:p w14:paraId="70708E72" w14:textId="32E494A1" w:rsidR="00A13257" w:rsidRPr="00A13257" w:rsidRDefault="00A13257" w:rsidP="00A13257">
      <w:pPr>
        <w:pStyle w:val="a1"/>
        <w:rPr>
          <w:rtl/>
          <w:lang w:val="en-GB"/>
        </w:rPr>
      </w:pPr>
      <w:r>
        <w:rPr>
          <w:rFonts w:hint="cs"/>
          <w:rtl/>
          <w:lang w:val="en-GB"/>
        </w:rPr>
        <w:t>לוס אנג'לס</w:t>
      </w:r>
    </w:p>
    <w:p w14:paraId="2F2F9587" w14:textId="77777777" w:rsidR="00D4385E" w:rsidRDefault="00D4385E" w:rsidP="00423C6D">
      <w:pPr>
        <w:pStyle w:val="a2"/>
        <w:rPr>
          <w:rtl/>
        </w:rPr>
      </w:pPr>
      <w:r>
        <w:rPr>
          <w:rFonts w:hint="cs"/>
          <w:rtl/>
        </w:rPr>
        <w:t>אנו מוצאים בהלכות חנוכה שני סוגים של נר הנקרא "שָמַש". האחד - נר שבאמצעותו מדליקים את הנרות שצריך להדליק בכל לילה לקיום המצוה. השני - הנר הנמצא בחנוכיה בנוסף לנרות שמדליקים לקיום המצוה.</w:t>
      </w:r>
    </w:p>
    <w:p w14:paraId="4F883A61" w14:textId="77777777" w:rsidR="00D4385E" w:rsidRDefault="00D4385E" w:rsidP="00423C6D">
      <w:pPr>
        <w:pStyle w:val="a2"/>
        <w:rPr>
          <w:rtl/>
        </w:rPr>
      </w:pPr>
      <w:r>
        <w:rPr>
          <w:rFonts w:hint="cs"/>
          <w:rtl/>
        </w:rPr>
        <w:t xml:space="preserve">שני סוגים אלו של "שָמַש" באים לידי ביטוי במנהגי הדלקת נר חנוכה. יש המדליקים נרות חנוכה בנר "שָמַש" </w:t>
      </w:r>
      <w:r>
        <w:rPr>
          <w:rFonts w:hint="cs"/>
          <w:b/>
          <w:bCs/>
          <w:rtl/>
        </w:rPr>
        <w:t>אותו</w:t>
      </w:r>
      <w:r>
        <w:rPr>
          <w:rFonts w:hint="cs"/>
          <w:rtl/>
        </w:rPr>
        <w:t xml:space="preserve"> מניחים בסיום ההדלקה בסמוך לנרות החנוכה, </w:t>
      </w:r>
      <w:r>
        <w:rPr>
          <w:rFonts w:hint="cs"/>
          <w:b/>
          <w:bCs/>
          <w:rtl/>
        </w:rPr>
        <w:t xml:space="preserve">ונר זה </w:t>
      </w:r>
      <w:r>
        <w:rPr>
          <w:rFonts w:hint="cs"/>
          <w:rtl/>
        </w:rPr>
        <w:t xml:space="preserve">נשאר להיות דולק שם. והשני, להכין בחנוכיה את מספר הנרות שצריך להדליק באותו לילה ובנוסף להם את נר ה"שָמַש". ולהדליק את </w:t>
      </w:r>
      <w:r>
        <w:rPr>
          <w:rFonts w:hint="cs"/>
          <w:b/>
          <w:bCs/>
          <w:rtl/>
        </w:rPr>
        <w:t>כל</w:t>
      </w:r>
      <w:r>
        <w:rPr>
          <w:rFonts w:hint="cs"/>
          <w:rtl/>
        </w:rPr>
        <w:t xml:space="preserve"> הנרות הללו, באמצעות </w:t>
      </w:r>
      <w:r>
        <w:rPr>
          <w:rFonts w:hint="cs"/>
          <w:b/>
          <w:bCs/>
          <w:rtl/>
        </w:rPr>
        <w:t>נר אחר</w:t>
      </w:r>
      <w:r>
        <w:rPr>
          <w:rFonts w:hint="cs"/>
          <w:rtl/>
        </w:rPr>
        <w:t xml:space="preserve"> אותו מכבים לאחר מכן. ויש להבין את פשר המנהגים.</w:t>
      </w:r>
    </w:p>
    <w:p w14:paraId="38346904" w14:textId="77777777" w:rsidR="00D4385E" w:rsidRDefault="00D4385E" w:rsidP="00423C6D">
      <w:pPr>
        <w:pStyle w:val="a2"/>
        <w:rPr>
          <w:rtl/>
        </w:rPr>
      </w:pPr>
      <w:r>
        <w:rPr>
          <w:rFonts w:hint="cs"/>
          <w:rtl/>
        </w:rPr>
        <w:t>עוד יש לברר בדיני ה"שָמַש":</w:t>
      </w:r>
    </w:p>
    <w:p w14:paraId="4DAD86C2" w14:textId="644DDE7A" w:rsidR="00D4385E" w:rsidRDefault="00D4385E" w:rsidP="00423C6D">
      <w:pPr>
        <w:pStyle w:val="a2"/>
        <w:rPr>
          <w:rtl/>
        </w:rPr>
      </w:pPr>
      <w:r>
        <w:rPr>
          <w:rFonts w:hint="cs"/>
          <w:rtl/>
        </w:rPr>
        <w:t>האם צריך להדליק נר "שָמַש" כאשר יש תאורת חשמל בבית.</w:t>
      </w:r>
    </w:p>
    <w:p w14:paraId="1517A52F" w14:textId="1A5CD8DF" w:rsidR="00D4385E" w:rsidRDefault="00D4385E" w:rsidP="00423C6D">
      <w:pPr>
        <w:pStyle w:val="a2"/>
        <w:rPr>
          <w:rtl/>
        </w:rPr>
      </w:pPr>
      <w:r>
        <w:rPr>
          <w:rFonts w:hint="cs"/>
          <w:rtl/>
        </w:rPr>
        <w:t xml:space="preserve">האם צריך להדליק "שָמַש" כאשר החנוכיה נמצאת בפתח שמחוץ לבית. </w:t>
      </w:r>
    </w:p>
    <w:p w14:paraId="4728B458" w14:textId="76F8A1B9" w:rsidR="00D4385E" w:rsidRDefault="00D4385E" w:rsidP="00423C6D">
      <w:pPr>
        <w:pStyle w:val="a2"/>
        <w:rPr>
          <w:rtl/>
        </w:rPr>
      </w:pPr>
      <w:r>
        <w:rPr>
          <w:rFonts w:hint="cs"/>
          <w:rtl/>
        </w:rPr>
        <w:t>כאשר מדליקים כמה חנוכיות בבית אחד, האם ניתן להדליק נר "שָמַש" אחד לכל החנוכיות.</w:t>
      </w:r>
    </w:p>
    <w:p w14:paraId="2369DE68" w14:textId="3B6137AF" w:rsidR="00D4385E" w:rsidRPr="00D4385E" w:rsidRDefault="00D4385E" w:rsidP="00423C6D">
      <w:pPr>
        <w:pStyle w:val="a2"/>
        <w:rPr>
          <w:rtl/>
        </w:rPr>
      </w:pPr>
      <w:r>
        <w:rPr>
          <w:rFonts w:hint="cs"/>
          <w:rtl/>
        </w:rPr>
        <w:t>האם בליל שבת יש צורך להדליק "שָמַש", או שנרות שבת יכולים להיות "תחליף" ל"שָמַש".</w:t>
      </w:r>
    </w:p>
    <w:p w14:paraId="2F86134C" w14:textId="77777777" w:rsidR="00D4385E" w:rsidRDefault="00D4385E" w:rsidP="00423C6D">
      <w:pPr>
        <w:pStyle w:val="a2"/>
        <w:rPr>
          <w:noProof/>
          <w:rtl/>
        </w:rPr>
      </w:pPr>
      <w:r>
        <w:rPr>
          <w:rFonts w:hint="cs"/>
          <w:b/>
          <w:bCs/>
          <w:rtl/>
        </w:rPr>
        <w:t xml:space="preserve">א. </w:t>
      </w:r>
      <w:r>
        <w:rPr>
          <w:rFonts w:hint="cs"/>
          <w:rtl/>
        </w:rPr>
        <w:t xml:space="preserve">במסכת שבת (כא, א) הובאו דברי רב הונא "פתילות ושמנים שאמרו חכמים אין מדליקין בהן בשבת, אין מדליקין בהן בחנוכה בין בשבת בין בחול". ובביאור דבריו אמר רבא: "מאי טעמא דרב הונא קסבר כבתה [נר חנוכה] זקוק לה [לתקנה] </w:t>
      </w:r>
      <w:r>
        <w:rPr>
          <w:rFonts w:hint="cs"/>
          <w:b/>
          <w:bCs/>
          <w:rtl/>
        </w:rPr>
        <w:t>ומותר להשתמש לאורה</w:t>
      </w:r>
      <w:r>
        <w:rPr>
          <w:rFonts w:hint="cs"/>
          <w:rtl/>
        </w:rPr>
        <w:t xml:space="preserve"> הלכך בשבת אסור, שמא יטה לצורך תשמיש]. ואילו רבי זירא חלק על רב הונא וסבר "פתילות ושמנים שאמרו חכמים אין מדליקין בהן בשבת, מדליקין בהן בחנוכה בין בחול בין בשבת". ובביאור דבריו אמר רב ירמיה: "קסבר כבתה אין זקוק לה [ולכן ביום חול מותר להדליק בשמנים מסוג זה], </w:t>
      </w:r>
      <w:r>
        <w:rPr>
          <w:rFonts w:hint="cs"/>
          <w:b/>
          <w:bCs/>
          <w:rtl/>
        </w:rPr>
        <w:t>ואסור להשתמש לאורה</w:t>
      </w:r>
      <w:r>
        <w:rPr>
          <w:rFonts w:hint="cs"/>
          <w:rtl/>
        </w:rPr>
        <w:t xml:space="preserve">". ופירש רש"י בטעם האיסור להשתמש לאורה: "שיהא ניכר שהוא נר מצוה", ומאחר ואסור להשתמש לאורה, מותר להדליק בשמנים אלו את נר חנוכה בשבת, היות ואין </w:t>
      </w:r>
      <w:r>
        <w:rPr>
          <w:rFonts w:hint="cs"/>
          <w:rtl/>
        </w:rPr>
        <w:lastRenderedPageBreak/>
        <w:t>חשש  שמא יטה את הפתילה [ויעבור על איסור מבעיר בשבת], מכיון שאינו משתמש לאורה.</w:t>
      </w:r>
    </w:p>
    <w:p w14:paraId="062C171B" w14:textId="209019BD" w:rsidR="00D4385E" w:rsidRPr="001E75C9" w:rsidRDefault="00D4385E" w:rsidP="001E75C9">
      <w:pPr>
        <w:pStyle w:val="a2"/>
        <w:rPr>
          <w:sz w:val="22"/>
          <w:szCs w:val="22"/>
          <w:rtl/>
        </w:rPr>
      </w:pPr>
      <w:r>
        <w:rPr>
          <w:rFonts w:hint="cs"/>
          <w:rtl/>
        </w:rPr>
        <w:t xml:space="preserve">ולהלכה נפסק בשו"ע (סי' תרעא סע' א) "כל השמנים והפתילות כשרים לנר חנוכה, ואע"פ שאין השמנים נמשכים אחר הפתילה ואין האור נתלה יפה באותם הפתילות. ואפילו בליל שבת שבתוך ימי חנוכה מותר להדליק בנר חנוכה השמנים והפתילות שאסור להדליק בהם נר שבת, לפי </w:t>
      </w:r>
      <w:r>
        <w:rPr>
          <w:rFonts w:hint="cs"/>
          <w:b/>
          <w:bCs/>
          <w:rtl/>
        </w:rPr>
        <w:t>שאסור להשתמש בנר חנוכה בין בשבת בין בחול</w:t>
      </w:r>
      <w:r>
        <w:rPr>
          <w:rFonts w:hint="cs"/>
          <w:rtl/>
        </w:rPr>
        <w:t>, ואפילו לבדוק מעות או לִמנותן לאורה אסור".</w:t>
      </w:r>
      <w:r w:rsidR="001E75C9">
        <w:rPr>
          <w:rFonts w:asciiTheme="minorHAnsi" w:hAnsiTheme="minorHAnsi" w:hint="cs"/>
          <w:sz w:val="22"/>
          <w:szCs w:val="22"/>
          <w:rtl/>
        </w:rPr>
        <w:t xml:space="preserve"> </w:t>
      </w:r>
      <w:r>
        <w:rPr>
          <w:rFonts w:hint="cs"/>
          <w:rtl/>
        </w:rPr>
        <w:t xml:space="preserve">והנה במסכת שבת (כא, ב) מובא: "תנו רבנן, נר חנוכה מצוה להניחה על פתח ביתו מבחוץ, אם היה דר בעליה מניחה בחלון הסמוכה לרשות הרבים, ובשעת הסכנה מניחה על שלחנו ודיו. אמר רבא </w:t>
      </w:r>
      <w:r>
        <w:rPr>
          <w:rFonts w:hint="cs"/>
          <w:b/>
          <w:bCs/>
          <w:rtl/>
        </w:rPr>
        <w:t>צריך נר אחרת להשתמש לאורה</w:t>
      </w:r>
      <w:r>
        <w:rPr>
          <w:rFonts w:hint="cs"/>
          <w:rtl/>
        </w:rPr>
        <w:t xml:space="preserve">". ונחלקו הראשונים מדוע צריך להדליק נר אחר בסמוך לנרות חנוכה - מחמת </w:t>
      </w:r>
      <w:r>
        <w:rPr>
          <w:rFonts w:hint="cs"/>
          <w:b/>
          <w:bCs/>
          <w:rtl/>
        </w:rPr>
        <w:t>האיסור ליהנות</w:t>
      </w:r>
      <w:r>
        <w:rPr>
          <w:rFonts w:hint="cs"/>
          <w:rtl/>
        </w:rPr>
        <w:t xml:space="preserve"> מאור נרות המצוה, או מדין "</w:t>
      </w:r>
      <w:r>
        <w:rPr>
          <w:rFonts w:hint="cs"/>
          <w:b/>
          <w:bCs/>
          <w:rtl/>
        </w:rPr>
        <w:t>היכר</w:t>
      </w:r>
      <w:r>
        <w:rPr>
          <w:rFonts w:hint="cs"/>
          <w:rtl/>
        </w:rPr>
        <w:t>" - שיהיה היכר שהנר הודלק לשם מצוה, כי ללא הדלקת נר ה"שָמַש" יכול הצופה מהצד לחשוב שנרות החנוכה הודלקו להנאה ולשימוש חולין ולאו דוקא לשם מצוה. ולכן רק כשמדליק נר בנוסף לנרות המצוה, והנאת החולין היא מאותו הנר, ניכר שהנרות האחרים הודלקו לקיום המצוה.</w:t>
      </w:r>
    </w:p>
    <w:p w14:paraId="647F296B" w14:textId="77777777" w:rsidR="00D4385E" w:rsidRDefault="00D4385E" w:rsidP="00423C6D">
      <w:pPr>
        <w:pStyle w:val="a2"/>
        <w:rPr>
          <w:rtl/>
        </w:rPr>
      </w:pPr>
      <w:r>
        <w:rPr>
          <w:rFonts w:hint="cs"/>
          <w:rtl/>
        </w:rPr>
        <w:t>בעל המאור (שבת ט, א בדפי הרי"ף) ביאר את דברי רבא גם לשיטת המתיר להשתמש לאור נרות החנוכה כדי "</w:t>
      </w:r>
      <w:r>
        <w:rPr>
          <w:rFonts w:hint="cs"/>
          <w:b/>
          <w:bCs/>
          <w:rtl/>
        </w:rPr>
        <w:t>שלא יהא הרואה אומר לצרכו הוא דאדלקה</w:t>
      </w:r>
      <w:r>
        <w:rPr>
          <w:rFonts w:hint="cs"/>
          <w:rtl/>
        </w:rPr>
        <w:t>". ומבואר בדבריו שהדלקת הנר הנוסף היא לא בגלל האיסור להשתמש לאור נרות החנוכה, אלא בגלל הצורך שיהיה "</w:t>
      </w:r>
      <w:r>
        <w:rPr>
          <w:rFonts w:hint="cs"/>
          <w:b/>
          <w:bCs/>
          <w:rtl/>
        </w:rPr>
        <w:t>היכר</w:t>
      </w:r>
      <w:r>
        <w:rPr>
          <w:rFonts w:hint="cs"/>
          <w:rtl/>
        </w:rPr>
        <w:t xml:space="preserve">" שהנר הודלק לשם מצוה. וכפי שמפורש בדברי רש"י בסוגיא: "אמר רבא צריך נר אחרת </w:t>
      </w:r>
      <w:r>
        <w:rPr>
          <w:rFonts w:hint="cs"/>
          <w:b/>
          <w:bCs/>
          <w:rtl/>
        </w:rPr>
        <w:t>לעשות היכר לדבר</w:t>
      </w:r>
      <w:r>
        <w:rPr>
          <w:rFonts w:hint="cs"/>
          <w:rtl/>
        </w:rPr>
        <w:t xml:space="preserve">". וכפי שמדוייק מדברי בביאור הלכה (סי' תרעא ד"ה וצריך) "פירש רש"י משום היכרא, ורצה לומר שאפילו אם לא ירצה כלל להשתמש לאורה, מכל מקום צריך נר אחר שיהיה היכולת בידו להשתמש לאורה ועל ידי זה מינכר שהנר הראשון הוא לשם מצוה, דאי לאו הכי כיון שעומד על השולחן יאמרו שלצורכו הדליקה". </w:t>
      </w:r>
    </w:p>
    <w:p w14:paraId="7D64DA10" w14:textId="77777777" w:rsidR="00D4385E" w:rsidRDefault="00D4385E" w:rsidP="00423C6D">
      <w:pPr>
        <w:pStyle w:val="a2"/>
        <w:rPr>
          <w:rtl/>
        </w:rPr>
      </w:pPr>
      <w:r>
        <w:rPr>
          <w:rFonts w:hint="cs"/>
          <w:rtl/>
        </w:rPr>
        <w:t>אולם הרשב"א (שבת כא, ב) חלק על בעל המאור, וסבר שטעם הדלקת השָמַש הוא רק למאן דאמר שאסר להשתמש לאור הנרות.</w:t>
      </w:r>
    </w:p>
    <w:p w14:paraId="210EA31B" w14:textId="77777777" w:rsidR="00D4385E" w:rsidRDefault="00D4385E" w:rsidP="00423C6D">
      <w:pPr>
        <w:pStyle w:val="a2"/>
        <w:rPr>
          <w:rtl/>
        </w:rPr>
      </w:pPr>
      <w:r>
        <w:rPr>
          <w:rFonts w:hint="cs"/>
          <w:rtl/>
        </w:rPr>
        <w:t xml:space="preserve">ולמעשה מחלוקת זו היא גם בגירסאות בגמרא. בנוסח הגמרא שלפנינו מובא "אמר רבא, צריך נר אחרת </w:t>
      </w:r>
      <w:r>
        <w:rPr>
          <w:rFonts w:hint="cs"/>
          <w:b/>
          <w:bCs/>
          <w:rtl/>
        </w:rPr>
        <w:t>להשתמש לאורה</w:t>
      </w:r>
      <w:r>
        <w:rPr>
          <w:rFonts w:hint="cs"/>
          <w:rtl/>
        </w:rPr>
        <w:t xml:space="preserve">", וברור שהסיבה להדלקת ה"שָמַש" היא בשל האיסור להשתמש לאור הנרות. ואילו בהגהות הגר"א על השו"ע (סי' תרעג סע' א) לא גרס בגמרא "להשתמש לאורה", אלא בסתם: "אמר רבא צריך נר אחרת". ובספר הררי קדם (סימן קפט) הובא בשם הגרי"ד סולובייצ'יק "שכן נראה שהוא גירסת רש"י שכתב בזה הלשון, אמר רבא צריך נר אחרת </w:t>
      </w:r>
      <w:r>
        <w:rPr>
          <w:rFonts w:hint="cs"/>
          <w:b/>
          <w:bCs/>
          <w:rtl/>
        </w:rPr>
        <w:t>לעשות היכר לדבר</w:t>
      </w:r>
      <w:r>
        <w:rPr>
          <w:rFonts w:hint="cs"/>
          <w:rtl/>
        </w:rPr>
        <w:t xml:space="preserve">, עכ"ל. </w:t>
      </w:r>
      <w:r>
        <w:rPr>
          <w:rFonts w:hint="cs"/>
          <w:rtl/>
        </w:rPr>
        <w:lastRenderedPageBreak/>
        <w:t xml:space="preserve">והחיוב דנר אחרת הוא דין בעצמו של הנר חנוכה, שצריך נר אחר עמו". </w:t>
      </w:r>
    </w:p>
    <w:p w14:paraId="5038F3B4" w14:textId="31346A5F" w:rsidR="00D4385E" w:rsidRPr="00D4385E" w:rsidRDefault="00D4385E" w:rsidP="00423C6D">
      <w:pPr>
        <w:pStyle w:val="a2"/>
        <w:rPr>
          <w:rtl/>
        </w:rPr>
      </w:pPr>
      <w:r>
        <w:rPr>
          <w:rFonts w:hint="cs"/>
          <w:rtl/>
        </w:rPr>
        <w:t>במחלוקת זו, יש נפקא מינות לדינא.</w:t>
      </w:r>
    </w:p>
    <w:p w14:paraId="33EA1B94" w14:textId="77777777" w:rsidR="00D4385E" w:rsidRDefault="00D4385E" w:rsidP="00423C6D">
      <w:pPr>
        <w:pStyle w:val="11"/>
        <w:bidi/>
        <w:rPr>
          <w:rtl/>
        </w:rPr>
      </w:pPr>
      <w:r>
        <w:rPr>
          <w:rFonts w:hint="cs"/>
          <w:rtl/>
        </w:rPr>
        <w:t xml:space="preserve">כשיש מדורה של אש בבית </w:t>
      </w:r>
    </w:p>
    <w:p w14:paraId="3730D8C7" w14:textId="77777777" w:rsidR="00D4385E" w:rsidRDefault="00D4385E" w:rsidP="00423C6D">
      <w:pPr>
        <w:pStyle w:val="a2"/>
        <w:rPr>
          <w:rtl/>
        </w:rPr>
      </w:pPr>
      <w:r>
        <w:rPr>
          <w:rFonts w:hint="cs"/>
          <w:b/>
          <w:bCs/>
          <w:rtl/>
        </w:rPr>
        <w:t xml:space="preserve">ב. </w:t>
      </w:r>
      <w:r>
        <w:rPr>
          <w:rFonts w:hint="cs"/>
          <w:rtl/>
        </w:rPr>
        <w:t>בדברי הגמרא מובא בסמוך לדברי רבא שהצריך להדליק נר בנוסף לנרות המצוה "</w:t>
      </w:r>
      <w:r>
        <w:rPr>
          <w:rFonts w:hint="cs"/>
          <w:b/>
          <w:bCs/>
          <w:rtl/>
        </w:rPr>
        <w:t>ואי איכא מדורה, לא צריך</w:t>
      </w:r>
      <w:r>
        <w:rPr>
          <w:rFonts w:hint="cs"/>
          <w:rtl/>
        </w:rPr>
        <w:t>".</w:t>
      </w:r>
    </w:p>
    <w:p w14:paraId="67F9263A" w14:textId="77777777" w:rsidR="00D4385E" w:rsidRDefault="00D4385E" w:rsidP="00423C6D">
      <w:pPr>
        <w:pStyle w:val="a2"/>
        <w:rPr>
          <w:rtl/>
        </w:rPr>
      </w:pPr>
      <w:r>
        <w:rPr>
          <w:rFonts w:hint="cs"/>
          <w:rtl/>
        </w:rPr>
        <w:t xml:space="preserve">דין זה נפסק להלכה בדברי הרמב"ם (הלכות חנוכה פ"ד ה"ח) ובשו"ע (או"ח סי' תרעא סעי' ה) "ואם היתה שם מדורה אינו צריך נר אחר". ולכאורה היה נראה כי דין זה נכון רק לסוברים שסיבת הוספת הנר הוא משום האיסור </w:t>
      </w:r>
      <w:r>
        <w:rPr>
          <w:rFonts w:hint="cs"/>
          <w:b/>
          <w:bCs/>
          <w:rtl/>
        </w:rPr>
        <w:t>להשתמש</w:t>
      </w:r>
      <w:r>
        <w:rPr>
          <w:rFonts w:hint="cs"/>
          <w:rtl/>
        </w:rPr>
        <w:t xml:space="preserve"> לאורם של נרות המצוה, וממילא כשיש מדורה וברור שישתמש לאור המדורה ואין כל חשש שישתמש לאור הנרות, אין כבר צורך להדליק נר נוסף לנרות המצוה.</w:t>
      </w:r>
    </w:p>
    <w:p w14:paraId="5C3C7A67" w14:textId="77777777" w:rsidR="00D4385E" w:rsidRDefault="00D4385E" w:rsidP="00423C6D">
      <w:pPr>
        <w:pStyle w:val="a2"/>
        <w:rPr>
          <w:rtl/>
        </w:rPr>
      </w:pPr>
      <w:r>
        <w:rPr>
          <w:rFonts w:hint="cs"/>
          <w:rtl/>
        </w:rPr>
        <w:t xml:space="preserve">אך לדעת הסוברים שהדלקת הנר הנוסף נועדה לצורך </w:t>
      </w:r>
      <w:r>
        <w:rPr>
          <w:rFonts w:hint="cs"/>
          <w:b/>
          <w:bCs/>
          <w:rtl/>
        </w:rPr>
        <w:t>היכר</w:t>
      </w:r>
      <w:r>
        <w:rPr>
          <w:rFonts w:hint="cs"/>
          <w:rtl/>
        </w:rPr>
        <w:t xml:space="preserve"> שהנרות הודלקו לצורך מצוה ולא לצורך עצמו, היה מקום לומר שגם כשיש מדורה, חשש זה נותר בעינו, ויש צורך להיכר "שלא יאמרו לצורכו הדליק הנרות", הנצרך גם במקום שיש מדורה.</w:t>
      </w:r>
    </w:p>
    <w:p w14:paraId="17309A83" w14:textId="77777777" w:rsidR="00D4385E" w:rsidRDefault="00D4385E" w:rsidP="00423C6D">
      <w:pPr>
        <w:pStyle w:val="a2"/>
        <w:rPr>
          <w:rtl/>
        </w:rPr>
      </w:pPr>
      <w:r>
        <w:rPr>
          <w:rFonts w:hint="cs"/>
          <w:rtl/>
        </w:rPr>
        <w:t xml:space="preserve">אמנם מדברי המשנה ברורה (סימן תרעא ס"ק כה) נראה כי במקום שיש מדורה אין צורך בנר נוסף גם לדעת הסוברים שחיוב הנר הנוסף הוא משום "היכר", כמבואר במה שכתב על דברי השו"ע "ואם יש מדורה", שאינו צריך נר נוסף כי "יכול להשתמש לפניה, </w:t>
      </w:r>
      <w:r>
        <w:rPr>
          <w:rFonts w:hint="cs"/>
          <w:b/>
          <w:bCs/>
          <w:rtl/>
        </w:rPr>
        <w:t>ויש היכרא שהנר של מצוה היא</w:t>
      </w:r>
      <w:r>
        <w:rPr>
          <w:rFonts w:hint="cs"/>
          <w:rtl/>
        </w:rPr>
        <w:t xml:space="preserve">". כלומר, כשיש מדורה בבית, לא רק שאין חשש שישתמש לאור הנרות, אלא יש במדורה היכר שהנרות הודלקו לצורך מצוה, כי לצורך עצמו יכל היה להשתמש באור המדורה. </w:t>
      </w:r>
    </w:p>
    <w:p w14:paraId="3F1C0ACA" w14:textId="5504B8DA" w:rsidR="00D4385E" w:rsidRDefault="00D4385E" w:rsidP="00423C6D">
      <w:pPr>
        <w:pStyle w:val="a2"/>
        <w:rPr>
          <w:rtl/>
        </w:rPr>
      </w:pPr>
      <w:r>
        <w:rPr>
          <w:rFonts w:hint="cs"/>
          <w:rtl/>
        </w:rPr>
        <w:t>נמצא לשיטת המשנה ברורה כי פסק הרמב"ם והשו"ע "ואם היתה שם מדורה אינו צריך נר אחר", נכון הן לשיטת הסוברים שטעם הוספת הנר משום האיסור להשתמש לאורם של נרות המצוה, והן לשיטת הסוברים שהדלקת הנר הנוסף משום היכר.</w:t>
      </w:r>
    </w:p>
    <w:p w14:paraId="31D6B1DD" w14:textId="77777777" w:rsidR="00D4385E" w:rsidRDefault="00D4385E" w:rsidP="00423C6D">
      <w:pPr>
        <w:pStyle w:val="11"/>
        <w:bidi/>
        <w:rPr>
          <w:rtl/>
        </w:rPr>
      </w:pPr>
      <w:r>
        <w:rPr>
          <w:rFonts w:hint="cs"/>
          <w:rtl/>
        </w:rPr>
        <w:t>חיוב "שָמַש" כשאין בדעתו להשתמש באור הנרות או כשמדליק בפתח הבית</w:t>
      </w:r>
    </w:p>
    <w:p w14:paraId="147233E5" w14:textId="77777777" w:rsidR="00D4385E" w:rsidRDefault="00D4385E" w:rsidP="00423C6D">
      <w:pPr>
        <w:pStyle w:val="a2"/>
        <w:rPr>
          <w:rtl/>
        </w:rPr>
      </w:pPr>
      <w:r>
        <w:rPr>
          <w:rFonts w:hint="cs"/>
          <w:b/>
          <w:bCs/>
          <w:rtl/>
        </w:rPr>
        <w:t>ג.</w:t>
      </w:r>
      <w:r>
        <w:rPr>
          <w:rFonts w:hint="cs"/>
          <w:rtl/>
        </w:rPr>
        <w:t xml:space="preserve"> בדברי הגרי"ד המובאים בספר הררי קדם (שם) מבוארת נפקא מינה בין הטעמים להדלקת הנר הנוסף, במקרה של הדלקת נרות חנוכה מתוך החלטה שאינו מעוניין או אינו נצרך להשתמש לאורם שימוש כלשהו. דבר המצוי מאד בזמנינו, </w:t>
      </w:r>
      <w:r>
        <w:rPr>
          <w:rFonts w:hint="cs"/>
          <w:rtl/>
        </w:rPr>
        <w:lastRenderedPageBreak/>
        <w:t xml:space="preserve">שבדרך כלל מצויה תאורת חשמל בחדר שבו דולקים נרות החנוכה, וכשמדליק את הנרות אינו מעוניין להשתמש לאורם, כי נהנה מתאורת החשמל: "לפי גירסתנו [בגמרא שחיוב הדלקת נר נוסף נובע מחמת האיסור להשתמש לאורה] רק היכא שהוא רוצה להשתמש בנרות חייב להדליק שָמַש, אבל אם אינו רוצה להשתמש לאורה אינו צריך להדליק נר אחרת, אולם לרש"י שצריך נר "לעשות היכר לדבר", הרי זהו דין היכר בעצם הדלקת הנרות להראות שההדלקה לא היתה לצורכו. ועל כרחך צריך הדלקת נר אחרת גם אם אינו רוצה להשתמש לאורה. וכן כתב הביאור הלכה שם". </w:t>
      </w:r>
    </w:p>
    <w:p w14:paraId="7C3D8C0A" w14:textId="77777777" w:rsidR="00D4385E" w:rsidRDefault="00D4385E" w:rsidP="00423C6D">
      <w:pPr>
        <w:pStyle w:val="a2"/>
        <w:rPr>
          <w:rtl/>
        </w:rPr>
      </w:pPr>
      <w:r>
        <w:rPr>
          <w:rFonts w:hint="cs"/>
          <w:rtl/>
        </w:rPr>
        <w:t>אמנם להלכה ולמעשה, גם כשאינו משתמש לאור הנרות, חייב להדליק נר נוסף, כפי שכתב הביאור הלכה (שם ד"ה וצריך) בנדון הדלקת נר חנוכה בפתח הבית - שאינו משתמש לאורם. ואף שבתחילת דבריו כתב הביאור הלכה "ונראה דווקא במניחה על שולחנו [צריך נר נוסף], אבל כל שמניחה סמוך לפתח, אינו צריך לנר אחרת, אע"פ שעומד לו לשם,</w:t>
      </w:r>
      <w:r>
        <w:rPr>
          <w:rFonts w:hint="cs"/>
          <w:b/>
          <w:bCs/>
          <w:rtl/>
        </w:rPr>
        <w:t xml:space="preserve"> הואיל ואינו בא להשתמש לאורה לאיזה תשמיש</w:t>
      </w:r>
      <w:r>
        <w:rPr>
          <w:rFonts w:hint="cs"/>
          <w:rtl/>
        </w:rPr>
        <w:t xml:space="preserve">". מכל מקום סיים למעשה: "אכן מנהג העולם וכן מנהג רבותינו, דבכל נר חנוכה המודלקת בתוך הבית צריך נר אחרת, </w:t>
      </w:r>
      <w:r>
        <w:rPr>
          <w:rFonts w:hint="cs"/>
          <w:b/>
          <w:bCs/>
          <w:rtl/>
        </w:rPr>
        <w:t>אפילו לא היה צריך לתשמיש</w:t>
      </w:r>
      <w:r>
        <w:rPr>
          <w:rFonts w:hint="cs"/>
          <w:rtl/>
        </w:rPr>
        <w:t xml:space="preserve">, שלא יאמרו לצרכו הדליקה, וכן אני נוהג למעשה, כן כתב המאירי. ועיין בפמ"ג שכן משמע ג"כ מתשובת רמ"א". </w:t>
      </w:r>
    </w:p>
    <w:p w14:paraId="053986AB" w14:textId="5C6620C9" w:rsidR="00D4385E" w:rsidRDefault="00D4385E" w:rsidP="00423C6D">
      <w:pPr>
        <w:pStyle w:val="a2"/>
        <w:rPr>
          <w:rtl/>
        </w:rPr>
      </w:pPr>
      <w:r>
        <w:rPr>
          <w:rFonts w:hint="cs"/>
          <w:rtl/>
        </w:rPr>
        <w:t>וסיים הביאור הלכה, שאם אין לו נר נוסף, אינו צריך לבטל את עיקר המצוה: "ועיין בסוף סימן תרע"ח סק"ג במגן אברהם, דאפילו מי שאין לו אלא נר אחד [ואין לו נר אחרת להדליק לשָמַש לאורה], מכל מקום ידליק את הנר ויברך עליה. ומכל מקום לכתחילה בוודאי יזהר שלא להשתמש לפניה".</w:t>
      </w:r>
    </w:p>
    <w:p w14:paraId="0AEFFED4" w14:textId="77777777" w:rsidR="00D4385E" w:rsidRDefault="00D4385E" w:rsidP="00423C6D">
      <w:pPr>
        <w:pStyle w:val="11"/>
        <w:bidi/>
        <w:rPr>
          <w:rtl/>
        </w:rPr>
      </w:pPr>
      <w:r>
        <w:rPr>
          <w:rFonts w:hint="cs"/>
          <w:rtl/>
        </w:rPr>
        <w:t xml:space="preserve">מקום הנחת הנר הנוסף </w:t>
      </w:r>
    </w:p>
    <w:p w14:paraId="340FC10A" w14:textId="77777777" w:rsidR="00D4385E" w:rsidRDefault="00D4385E" w:rsidP="00423C6D">
      <w:pPr>
        <w:pStyle w:val="a2"/>
        <w:rPr>
          <w:rtl/>
        </w:rPr>
      </w:pPr>
      <w:r>
        <w:rPr>
          <w:rFonts w:hint="cs"/>
          <w:b/>
          <w:bCs/>
          <w:rtl/>
        </w:rPr>
        <w:t xml:space="preserve">ד. </w:t>
      </w:r>
      <w:r>
        <w:rPr>
          <w:rFonts w:hint="cs"/>
          <w:rtl/>
        </w:rPr>
        <w:t>נפקא מינה נוספת בין הטעמים להדלקת הנר הנוסף, היא בשאלת מיקומו של הנר הנוסף.</w:t>
      </w:r>
    </w:p>
    <w:p w14:paraId="5B6D750C" w14:textId="77777777" w:rsidR="00D4385E" w:rsidRDefault="00D4385E" w:rsidP="00423C6D">
      <w:pPr>
        <w:pStyle w:val="a2"/>
        <w:rPr>
          <w:rtl/>
        </w:rPr>
      </w:pPr>
      <w:r>
        <w:rPr>
          <w:rFonts w:hint="cs"/>
          <w:rtl/>
        </w:rPr>
        <w:t xml:space="preserve">רבנו ירוחם (נתיב התשיעי החלק הראשון) כתב: "כשמניח נר אחר להשתמש לאורו, </w:t>
      </w:r>
      <w:r>
        <w:rPr>
          <w:rFonts w:hint="cs"/>
          <w:b/>
          <w:bCs/>
          <w:rtl/>
        </w:rPr>
        <w:t>מניחה בפני עצמה</w:t>
      </w:r>
      <w:r>
        <w:rPr>
          <w:rFonts w:hint="cs"/>
          <w:rtl/>
        </w:rPr>
        <w:t>, שאם לא כן יאמרו על כולם לצורכו הדליקם". ונראה מדבריו, שבגלל שהטעם להדלקת הנר הנוסף הוא משום הצורך ב"</w:t>
      </w:r>
      <w:r>
        <w:rPr>
          <w:rFonts w:hint="cs"/>
          <w:b/>
          <w:bCs/>
          <w:rtl/>
        </w:rPr>
        <w:t>היכר</w:t>
      </w:r>
      <w:r>
        <w:rPr>
          <w:rFonts w:hint="cs"/>
          <w:rtl/>
        </w:rPr>
        <w:t xml:space="preserve">" שלא מדליק לצרכיו הפרטיים אלא לצורך קיום המצוה, צריך להקפיד על כך שהנר הנוסף [ה"שָמַש"] יהיה </w:t>
      </w:r>
      <w:r>
        <w:rPr>
          <w:rFonts w:hint="cs"/>
          <w:b/>
          <w:bCs/>
          <w:rtl/>
        </w:rPr>
        <w:t>במקום נפרד</w:t>
      </w:r>
      <w:r>
        <w:rPr>
          <w:rFonts w:hint="cs"/>
          <w:rtl/>
        </w:rPr>
        <w:t xml:space="preserve"> ממקומם של נרות המצוה, כדי שלא יראו כולם כ"יחידה אחת", ואז יהיה ברור שנרות המצוה הודלקו למטרת קיום המצוה בלבד, והנר הנוסף הודלק למטרת השימוש בו לצרכים הפרטיים.</w:t>
      </w:r>
    </w:p>
    <w:p w14:paraId="11303417" w14:textId="77777777" w:rsidR="00D4385E" w:rsidRDefault="00D4385E" w:rsidP="00423C6D">
      <w:pPr>
        <w:pStyle w:val="a2"/>
        <w:rPr>
          <w:rtl/>
        </w:rPr>
      </w:pPr>
      <w:r>
        <w:rPr>
          <w:rFonts w:hint="cs"/>
          <w:rtl/>
        </w:rPr>
        <w:t xml:space="preserve">ברם הטור (סי' תרעג סע' סע' ב) כתב: "שאלו לאחי ה"ר יחיאל, נרות חנוכה </w:t>
      </w:r>
      <w:r>
        <w:rPr>
          <w:rFonts w:hint="cs"/>
          <w:rtl/>
        </w:rPr>
        <w:lastRenderedPageBreak/>
        <w:t xml:space="preserve">שמדליקין אחד יותר בסתם לשָמַש, ולא פירש איזה מהם, יכול אחר כך לברור איזה שירצה להיות שָמַש, אפילו הראשון או האמצעיות, או דווקא האחרון, והכי מסתברא". כאשר בשעת הדלקת הנרות לא נאמר במפורש איזה נר מהנרות יהיה "הנר הנוסף", נשאלה השאלה האם לאחר שהנרות כבר דולקים רשאי לבחור אחד מהנרות שיהיה "הנר הנוסף", או שרק הנר האחרון שהודלק הוא "הנר הנוסף", ולא נרות אחרים. וכתב הטור: "תשובה, נרות חנוכה אין להפסיק בהן, הלכך האחרון יהיה שלא לשם נר חנוכה שאם ישתמש לאורן ישתמש לאור אותו הנר". ונראה מדבריו, שהיות והסיבה להדלקת הנר הנוסף אינה משום הצורך ב"היכר" שלא מדליק לצרכיו הפרטיים, אלא מחמת </w:t>
      </w:r>
      <w:r>
        <w:rPr>
          <w:rFonts w:hint="cs"/>
          <w:b/>
          <w:bCs/>
          <w:rtl/>
        </w:rPr>
        <w:t>האיסור להשתמש לאורם של הנרות</w:t>
      </w:r>
      <w:r>
        <w:rPr>
          <w:rFonts w:hint="cs"/>
          <w:rtl/>
        </w:rPr>
        <w:t xml:space="preserve">, אין צורך להניחו במקום נפרד, אלא רשאי להניח את הנר הנוסף </w:t>
      </w:r>
      <w:r>
        <w:rPr>
          <w:rFonts w:hint="cs"/>
          <w:b/>
          <w:bCs/>
          <w:rtl/>
        </w:rPr>
        <w:t>באותו מקום</w:t>
      </w:r>
      <w:r>
        <w:rPr>
          <w:rFonts w:hint="cs"/>
          <w:rtl/>
        </w:rPr>
        <w:t xml:space="preserve"> שבו נמצאים נרות המצוה.</w:t>
      </w:r>
    </w:p>
    <w:p w14:paraId="014B0AF6" w14:textId="77777777" w:rsidR="00D4385E" w:rsidRDefault="00D4385E" w:rsidP="00423C6D">
      <w:pPr>
        <w:pStyle w:val="a2"/>
        <w:rPr>
          <w:rtl/>
        </w:rPr>
      </w:pPr>
      <w:r>
        <w:rPr>
          <w:rFonts w:hint="cs"/>
          <w:b/>
          <w:bCs/>
          <w:rtl/>
        </w:rPr>
        <w:t xml:space="preserve">להלכה: </w:t>
      </w:r>
      <w:r>
        <w:rPr>
          <w:rFonts w:hint="cs"/>
          <w:rtl/>
        </w:rPr>
        <w:t>מרן</w:t>
      </w:r>
      <w:r>
        <w:rPr>
          <w:rFonts w:hint="cs"/>
          <w:b/>
          <w:bCs/>
          <w:rtl/>
        </w:rPr>
        <w:t xml:space="preserve"> </w:t>
      </w:r>
      <w:r>
        <w:rPr>
          <w:rFonts w:hint="cs"/>
          <w:rtl/>
        </w:rPr>
        <w:t>השו"ע (או"ח סימן תרעג סע' א) פסק: "נוהגים להדליק נר נוסף, כדי שאם ישתמש לאורה יהיה לאור הנוסף שהוא אותו שהודלק אחרון, ויניחנו מרחוק קצת משאר נרות מצוה". וכתב הרמ"א: "ובמדינות אלו אין נוהגים להוסיף, רק מניח אצלם השָמַש שבהן מדליק הנרות, והוא עדיף טפי ["דאז מוכח בהדיא שאינו ממנין הנרות", מג"א שם ס"ק ו]. ויש לעשותו יותר ארוך משאר נרות, שאם בא להשתמש ישתמש לאותו נר".</w:t>
      </w:r>
    </w:p>
    <w:p w14:paraId="36F0201D" w14:textId="77777777" w:rsidR="00D4385E" w:rsidRDefault="00D4385E" w:rsidP="00423C6D">
      <w:pPr>
        <w:pStyle w:val="a2"/>
        <w:rPr>
          <w:rtl/>
        </w:rPr>
      </w:pPr>
      <w:r>
        <w:rPr>
          <w:rFonts w:hint="cs"/>
          <w:rtl/>
        </w:rPr>
        <w:t xml:space="preserve">המנהג המובא ברמ"א להדליק נר נוסף קבוע בסמוך לנרות, אך שונה מהם, נועד לצאת ידי חובת שני הטעמים שנתבארו לעיל מדוע צריך נר הנוסף, כמבואר בדברי ערוך השלחן (סי' תרעג סע' יב) "נראה לומר דמנהגינו כמו שכתב הרמ"א "הוא לקיים שתי הדעות: דעת הטור שהנר הנוסף יהיה דווקא אצל הנרות [משום דחיישינן </w:t>
      </w:r>
      <w:r>
        <w:rPr>
          <w:rFonts w:hint="cs"/>
          <w:b/>
          <w:bCs/>
          <w:rtl/>
        </w:rPr>
        <w:t>שמא ישתמש</w:t>
      </w:r>
      <w:r>
        <w:rPr>
          <w:rFonts w:hint="cs"/>
          <w:rtl/>
        </w:rPr>
        <w:t xml:space="preserve"> לאורם], ודעת הפוסקים שצריך נר אחרת להעמידו בפני עצמו [משום </w:t>
      </w:r>
      <w:r>
        <w:rPr>
          <w:rFonts w:hint="cs"/>
          <w:b/>
          <w:bCs/>
          <w:rtl/>
        </w:rPr>
        <w:t>היכר</w:t>
      </w:r>
      <w:r>
        <w:rPr>
          <w:rFonts w:hint="cs"/>
          <w:rtl/>
        </w:rPr>
        <w:t xml:space="preserve">]. והיינו [מנהגנו] שמעמידים השָמַש אצל הנרות והוא ארוך מכולם או גבוה מכולם, דבזה יצאנו דעת הטור שמצריך להיות </w:t>
      </w:r>
      <w:r>
        <w:rPr>
          <w:rFonts w:hint="cs"/>
          <w:b/>
          <w:bCs/>
          <w:rtl/>
        </w:rPr>
        <w:t>ביחד עם הנרות</w:t>
      </w:r>
      <w:r>
        <w:rPr>
          <w:rFonts w:hint="cs"/>
          <w:rtl/>
        </w:rPr>
        <w:t xml:space="preserve">, ודעת הפוסקים להעמידו </w:t>
      </w:r>
      <w:r>
        <w:rPr>
          <w:rFonts w:hint="cs"/>
          <w:b/>
          <w:bCs/>
          <w:rtl/>
        </w:rPr>
        <w:t xml:space="preserve">בפני עצמו </w:t>
      </w:r>
      <w:r>
        <w:rPr>
          <w:rFonts w:hint="cs"/>
          <w:rtl/>
        </w:rPr>
        <w:t>כדי שיהיה ניכר שאינו ממנין הנרות, והכא ניכר שאינו מן המנין, שהרי חלוק הוא מהם".</w:t>
      </w:r>
    </w:p>
    <w:p w14:paraId="4AA03F63" w14:textId="0D3243F7" w:rsidR="00D4385E" w:rsidRDefault="00D4385E" w:rsidP="00423C6D">
      <w:pPr>
        <w:pStyle w:val="a2"/>
        <w:rPr>
          <w:rtl/>
        </w:rPr>
      </w:pPr>
      <w:r>
        <w:rPr>
          <w:rFonts w:hint="cs"/>
          <w:rtl/>
        </w:rPr>
        <w:t xml:space="preserve">ובמשנה ברורה (סי' תרעג ס"ק יד) כתב: "ונוהגים להדליק נר נוסף, פירוש מלבד הנר שמניחים על השולחן, דחוששים כיון שמדליקים בפנים אולי ישתמשו בנרות של חנוכה ולאו אדעתייהו. אבל מעיקר הדין כיון שיש לו נר על שולחנו, אינו צריך להדליק נר נוסף". וגם מדבריו מבואר המנהג לצאת ידי חובת שתי הסיבות שנתבארו לעיל מדוע צריך נר הנוסף: נר אחד נמצא על השלחן, בגלל הצורך </w:t>
      </w:r>
      <w:r>
        <w:rPr>
          <w:rFonts w:hint="cs"/>
          <w:b/>
          <w:bCs/>
          <w:rtl/>
        </w:rPr>
        <w:t xml:space="preserve">להיכר </w:t>
      </w:r>
      <w:r>
        <w:rPr>
          <w:rFonts w:hint="cs"/>
          <w:rtl/>
        </w:rPr>
        <w:t>שהדלקת נרות חנוכה נעשתה לשם מצוה. ונר נוסף נמצא בסמוך לנרות המצוה, כדי שאם בטעות ישתמש לאור הנרות, הנאתו תהיה מהנר הנוסף הנמצא בסמוך להם ולא מאור נרות המצוה.</w:t>
      </w:r>
    </w:p>
    <w:p w14:paraId="00AC9030" w14:textId="77777777" w:rsidR="00D4385E" w:rsidRDefault="00D4385E" w:rsidP="00423C6D">
      <w:pPr>
        <w:pStyle w:val="11"/>
        <w:bidi/>
        <w:rPr>
          <w:rtl/>
        </w:rPr>
      </w:pPr>
      <w:r>
        <w:rPr>
          <w:rFonts w:hint="cs"/>
          <w:rtl/>
        </w:rPr>
        <w:lastRenderedPageBreak/>
        <w:t>ענף ב</w:t>
      </w:r>
    </w:p>
    <w:p w14:paraId="60981E10" w14:textId="66274FEE" w:rsidR="00D4385E" w:rsidRPr="00D4385E" w:rsidRDefault="00D4385E" w:rsidP="00423C6D">
      <w:pPr>
        <w:pStyle w:val="11"/>
        <w:bidi/>
        <w:rPr>
          <w:rtl/>
        </w:rPr>
      </w:pPr>
      <w:r>
        <w:rPr>
          <w:rFonts w:hint="cs"/>
          <w:rtl/>
        </w:rPr>
        <w:t>הדליק בטעות "שָמַש" קודם נרות חנוכה - האם צריך לחזור ולברך</w:t>
      </w:r>
    </w:p>
    <w:p w14:paraId="46C6450C" w14:textId="77777777" w:rsidR="00D4385E" w:rsidRDefault="00D4385E" w:rsidP="00423C6D">
      <w:pPr>
        <w:pStyle w:val="a2"/>
        <w:rPr>
          <w:rtl/>
        </w:rPr>
      </w:pPr>
      <w:r>
        <w:rPr>
          <w:rFonts w:hint="cs"/>
          <w:b/>
          <w:bCs/>
          <w:rtl/>
        </w:rPr>
        <w:t xml:space="preserve">ה. </w:t>
      </w:r>
      <w:r>
        <w:rPr>
          <w:rFonts w:hint="cs"/>
          <w:rtl/>
        </w:rPr>
        <w:t xml:space="preserve">בשו"ת שדה הארץ (סימן לא) הסתפק בשאלה מה הדין אם בירך על הדלקת נרות "להדליק תיכף ומיד אחר הברכות, הנר של עיקר המצוה ואחר כך ידליק הנר הנוסף, האם צריך לחזור ולברך, כיון שהפסיק בין הברכה להדלקת הנר העיקרי בהדלקת הנר הנוסף. או דילמא כיון שזה הנר הנוסף היה באה לצורך עיקר נרות חנוכה כדי שלא יבוא להשתמש לאור נרות המצוה, הוי ליה כההיא טול ברוך, דלא חשיב הפסק בין ברכת המוציא לאכילה דחשיב מענין האכילה, הכי נמי חשיב מענין עיקר הנרות, כיון שהוא לצורך הנרות כמדובר". </w:t>
      </w:r>
    </w:p>
    <w:p w14:paraId="3F53B327" w14:textId="77777777" w:rsidR="00D4385E" w:rsidRDefault="00D4385E" w:rsidP="00423C6D">
      <w:pPr>
        <w:pStyle w:val="a2"/>
        <w:rPr>
          <w:rtl/>
        </w:rPr>
      </w:pPr>
      <w:r>
        <w:rPr>
          <w:rFonts w:hint="cs"/>
          <w:rtl/>
        </w:rPr>
        <w:t>כוונתו לדברי הגמרא בברכות (מ, א) "אמר רב, טול ברוך טול ברוך, אין צריך לברך". ופירש רש"י: "הבוצע קודם שטעם מן הפרוסה בצע ממנה והושיט למי שאצלו, ואמר לו טול מפרוסת הברכה, אף על פי שסח בינתיים אין צריך לחזור לברך, ואף על גב דשיחה הויא הפסקה, כדאמרינן במנחות (לו, א) סח בין תפילין לתפילין צריך לברך, וכן בכיסוי הדם, הך שיחה צורך הברכה היא ולא מפסקא". ומבואר בדברי הגמרא כי אמירת "טול ברוך" לא נחשבת הפסק, כי אמירה זו היא "צורך הברכה". ולכן הסתפק שדה הארץ, האם הדלקת ה"שָמַש" בין הברכה לקיום המצוה בהדלקת הנר של עיקר המצוה, נחשבת ל"צורך הברכה", או לא.</w:t>
      </w:r>
    </w:p>
    <w:p w14:paraId="4802B4D2" w14:textId="1851DF41" w:rsidR="00D4385E" w:rsidRDefault="00D4385E" w:rsidP="00423C6D">
      <w:pPr>
        <w:pStyle w:val="a2"/>
        <w:rPr>
          <w:rtl/>
        </w:rPr>
      </w:pPr>
      <w:r>
        <w:rPr>
          <w:rFonts w:hint="cs"/>
          <w:rtl/>
        </w:rPr>
        <w:t xml:space="preserve">והנה דין "טול ברוך" הוא הפסק </w:t>
      </w:r>
      <w:r>
        <w:rPr>
          <w:rFonts w:hint="cs"/>
          <w:b/>
          <w:bCs/>
          <w:rtl/>
        </w:rPr>
        <w:t xml:space="preserve">בדיבור </w:t>
      </w:r>
      <w:r>
        <w:rPr>
          <w:rFonts w:hint="cs"/>
          <w:rtl/>
        </w:rPr>
        <w:t xml:space="preserve">בין הברכה לקיום המצוה, אולם בנדון דידן ההפסק בין הברכה לקיום המצוה </w:t>
      </w:r>
      <w:r>
        <w:rPr>
          <w:rFonts w:hint="cs"/>
          <w:b/>
          <w:bCs/>
          <w:rtl/>
        </w:rPr>
        <w:t>אינו בדיבור</w:t>
      </w:r>
      <w:r>
        <w:rPr>
          <w:rFonts w:hint="cs"/>
          <w:rtl/>
        </w:rPr>
        <w:t xml:space="preserve"> אלא </w:t>
      </w:r>
      <w:r>
        <w:rPr>
          <w:rFonts w:hint="cs"/>
          <w:b/>
          <w:bCs/>
          <w:rtl/>
        </w:rPr>
        <w:t xml:space="preserve">בהדלקת </w:t>
      </w:r>
      <w:r>
        <w:rPr>
          <w:rFonts w:hint="cs"/>
          <w:rtl/>
        </w:rPr>
        <w:t>נר ה"שָמַש", והשאלה היא, האם בהדלקה יש הפסק בין הברכה לקיום מצות הדלקת נר חנוכה.</w:t>
      </w:r>
    </w:p>
    <w:p w14:paraId="2ADFBCA6" w14:textId="77777777" w:rsidR="00D4385E" w:rsidRDefault="00D4385E" w:rsidP="00423C6D">
      <w:pPr>
        <w:pStyle w:val="11"/>
        <w:bidi/>
        <w:rPr>
          <w:rtl/>
        </w:rPr>
      </w:pPr>
      <w:r>
        <w:rPr>
          <w:rFonts w:hint="cs"/>
          <w:rtl/>
        </w:rPr>
        <w:t>האם שהיה מפסיקה בין הברכה לקיום המצוה</w:t>
      </w:r>
    </w:p>
    <w:p w14:paraId="6454F668" w14:textId="77777777" w:rsidR="00D4385E" w:rsidRDefault="00D4385E" w:rsidP="00423C6D">
      <w:pPr>
        <w:pStyle w:val="a2"/>
        <w:rPr>
          <w:rtl/>
        </w:rPr>
      </w:pPr>
      <w:r>
        <w:rPr>
          <w:rFonts w:hint="cs"/>
          <w:b/>
          <w:bCs/>
          <w:rtl/>
        </w:rPr>
        <w:t xml:space="preserve">ו. </w:t>
      </w:r>
      <w:r>
        <w:rPr>
          <w:rFonts w:hint="cs"/>
          <w:rtl/>
        </w:rPr>
        <w:t xml:space="preserve">המגן אברהם (או"ח סי' רו ס"ק ד) הביא מחלוקת הראשונים בדין זה: "ואם בירך על המצוה לעשות או על דבר לאכלו ולא עלתה בידו לפי שעה, </w:t>
      </w:r>
      <w:r>
        <w:rPr>
          <w:rFonts w:hint="cs"/>
          <w:b/>
          <w:bCs/>
          <w:rtl/>
        </w:rPr>
        <w:t>ונתעכב יותר מכדי שאילת תלמיד לרב</w:t>
      </w:r>
      <w:r>
        <w:rPr>
          <w:rFonts w:hint="cs"/>
          <w:rtl/>
        </w:rPr>
        <w:t xml:space="preserve"> (דהיינו שלום עליך רבי) ועלתה בידו,</w:t>
      </w:r>
      <w:r>
        <w:rPr>
          <w:rFonts w:hint="cs"/>
          <w:b/>
          <w:bCs/>
          <w:rtl/>
        </w:rPr>
        <w:t xml:space="preserve"> צריך לחזור ולברך, </w:t>
      </w:r>
      <w:r>
        <w:rPr>
          <w:rFonts w:hint="cs"/>
          <w:rtl/>
        </w:rPr>
        <w:t xml:space="preserve">עד כאן לשון בית יוסף בשם שבילי הלקט. ובסימן ק"מ כתב שהאבודרהם חולק על זה וכתב </w:t>
      </w:r>
      <w:r>
        <w:rPr>
          <w:rFonts w:hint="cs"/>
          <w:b/>
          <w:bCs/>
          <w:rtl/>
        </w:rPr>
        <w:t>דשתיקה לא חשיבה הפסקה,</w:t>
      </w:r>
      <w:r>
        <w:rPr>
          <w:rFonts w:hint="cs"/>
          <w:rtl/>
        </w:rPr>
        <w:t xml:space="preserve"> לא שנא מרובה לא שנא מועטת. ולכתחילה ודאי לא מפסקינן, אבל בדיעבד אין צריך לחזור ולברך אלא אם כן דיבר בינתיים". </w:t>
      </w:r>
    </w:p>
    <w:p w14:paraId="2A7DE646" w14:textId="77777777" w:rsidR="00D4385E" w:rsidRDefault="00D4385E" w:rsidP="00423C6D">
      <w:pPr>
        <w:pStyle w:val="a2"/>
        <w:rPr>
          <w:rtl/>
        </w:rPr>
      </w:pPr>
      <w:r>
        <w:rPr>
          <w:rFonts w:hint="cs"/>
          <w:rtl/>
        </w:rPr>
        <w:t xml:space="preserve">ולפי זה בנדון דידן, כאשר מדליק את ה"שָמַש" קודם להדלקת נרות המצוה, לכאורה שוהה כמה שניות בין הברכה לקיום המצוה, ואם כן לדעת האבודרהם אין זה הפסק כי למעשה לא דיבר, ובשהיה אין הפסק בין הברכה להדלקה. ברם לדעת שבלי </w:t>
      </w:r>
      <w:r>
        <w:rPr>
          <w:rFonts w:hint="cs"/>
          <w:rtl/>
        </w:rPr>
        <w:lastRenderedPageBreak/>
        <w:t>הלקט, כיון שעבר יותר מזמן של אמירת "שלום עליך רבי ומורי", לכאורה זה נחשב הפסק בין הברכה לקיום מצות ההדלקה, ומאחר ולא הפסיק בדיבור, בדיעבד אינו צריך לחזור ולברך.</w:t>
      </w:r>
    </w:p>
    <w:p w14:paraId="508877BE" w14:textId="5687F67B" w:rsidR="00D4385E" w:rsidRPr="00D4385E" w:rsidRDefault="00D4385E" w:rsidP="00423C6D">
      <w:pPr>
        <w:pStyle w:val="a2"/>
        <w:rPr>
          <w:rtl/>
        </w:rPr>
      </w:pPr>
      <w:r>
        <w:rPr>
          <w:rFonts w:hint="cs"/>
          <w:rtl/>
        </w:rPr>
        <w:t xml:space="preserve">להלכה הכריע המשנה ברורה (סי' רו ס"ק יב) כדעת האבודרהם: "עוד יש חילוק בין שתיקה לדיבור, דבדיבור הוא לעיכובא וצריך לחזור ולברך. אבל בשתיקה הוא רק לכתחילה, </w:t>
      </w:r>
      <w:r>
        <w:rPr>
          <w:rFonts w:hint="cs"/>
          <w:b/>
          <w:bCs/>
          <w:rtl/>
        </w:rPr>
        <w:t>אבל בדיעבד אפילו שהה הרבה יותר מכדי דיבור אין צריך לחזור ולברך כל שלא הסיח דעתו בינתיים</w:t>
      </w:r>
      <w:r>
        <w:rPr>
          <w:rFonts w:hint="cs"/>
          <w:rtl/>
        </w:rPr>
        <w:t xml:space="preserve">". ומעתה נפשטה שאלת השדה הארץ, ומכיוון שלא הפסיק </w:t>
      </w:r>
      <w:r>
        <w:rPr>
          <w:rFonts w:hint="cs"/>
          <w:b/>
          <w:bCs/>
          <w:rtl/>
        </w:rPr>
        <w:t>בדיבור</w:t>
      </w:r>
      <w:r>
        <w:rPr>
          <w:rFonts w:hint="cs"/>
          <w:rtl/>
        </w:rPr>
        <w:t xml:space="preserve"> בין הברכה לקיום המצוה, בדיעבד אינו צריך לחזור ולברך. </w:t>
      </w:r>
    </w:p>
    <w:p w14:paraId="1E668A6B" w14:textId="77777777" w:rsidR="00D4385E" w:rsidRDefault="00D4385E" w:rsidP="00423C6D">
      <w:pPr>
        <w:pStyle w:val="11"/>
        <w:bidi/>
        <w:rPr>
          <w:rtl/>
        </w:rPr>
      </w:pPr>
      <w:r>
        <w:rPr>
          <w:rFonts w:hint="cs"/>
          <w:rtl/>
        </w:rPr>
        <w:t>הפסק במעשה - האם דינו כהפסק בדיבור</w:t>
      </w:r>
    </w:p>
    <w:p w14:paraId="5ED8EEE8" w14:textId="77777777" w:rsidR="00D4385E" w:rsidRDefault="00D4385E" w:rsidP="00423C6D">
      <w:pPr>
        <w:pStyle w:val="a2"/>
        <w:rPr>
          <w:rtl/>
        </w:rPr>
      </w:pPr>
      <w:r>
        <w:rPr>
          <w:rFonts w:hint="cs"/>
          <w:b/>
          <w:bCs/>
          <w:rtl/>
        </w:rPr>
        <w:t xml:space="preserve">ז. </w:t>
      </w:r>
      <w:r>
        <w:rPr>
          <w:rFonts w:hint="cs"/>
          <w:rtl/>
        </w:rPr>
        <w:t xml:space="preserve">אלא שבנדון דידן, הרי לא היה הפסק רק </w:t>
      </w:r>
      <w:r>
        <w:rPr>
          <w:rFonts w:hint="cs"/>
          <w:b/>
          <w:bCs/>
          <w:rtl/>
        </w:rPr>
        <w:t xml:space="preserve">בשהיה </w:t>
      </w:r>
      <w:r>
        <w:rPr>
          <w:rFonts w:hint="cs"/>
          <w:rtl/>
        </w:rPr>
        <w:t xml:space="preserve">בין הברכה להדלקת נר המצוה, אלא היה הפסק </w:t>
      </w:r>
      <w:r>
        <w:rPr>
          <w:rFonts w:hint="cs"/>
          <w:b/>
          <w:bCs/>
          <w:rtl/>
        </w:rPr>
        <w:t xml:space="preserve">במעשה </w:t>
      </w:r>
      <w:r>
        <w:rPr>
          <w:rFonts w:hint="cs"/>
          <w:rtl/>
        </w:rPr>
        <w:t xml:space="preserve">הדלקת ה"שָמַש", ויתכן כי הפסק </w:t>
      </w:r>
      <w:r>
        <w:rPr>
          <w:rFonts w:hint="cs"/>
          <w:b/>
          <w:bCs/>
          <w:rtl/>
        </w:rPr>
        <w:t xml:space="preserve">במעשה </w:t>
      </w:r>
      <w:r>
        <w:rPr>
          <w:rFonts w:hint="cs"/>
          <w:rtl/>
        </w:rPr>
        <w:t xml:space="preserve">חמור יותר מהפסק </w:t>
      </w:r>
      <w:r>
        <w:rPr>
          <w:rFonts w:hint="cs"/>
          <w:b/>
          <w:bCs/>
          <w:rtl/>
        </w:rPr>
        <w:t>בשהיה</w:t>
      </w:r>
      <w:r>
        <w:rPr>
          <w:rFonts w:hint="cs"/>
          <w:rtl/>
        </w:rPr>
        <w:t xml:space="preserve"> בעלמא. ולשיטת האבודרהם, שנפסק להלכה כמותו, רק שתיקה היא לא הפסק, אך מעשה נחשב כהפסק.</w:t>
      </w:r>
    </w:p>
    <w:p w14:paraId="4352116C" w14:textId="77777777" w:rsidR="00D4385E" w:rsidRDefault="00D4385E" w:rsidP="00423C6D">
      <w:pPr>
        <w:pStyle w:val="a2"/>
        <w:rPr>
          <w:rtl/>
        </w:rPr>
      </w:pPr>
      <w:r>
        <w:rPr>
          <w:rFonts w:hint="cs"/>
          <w:rtl/>
        </w:rPr>
        <w:t xml:space="preserve">ונראה להביא ראיה שמעשה ללא דיבור גם כן לא נחשב הפסק, מדברי השו"ע (או"ח סימן רצו סע' א) "נוהגים לשפוך מכוס של יין על הארץ קודם שסיים 'בורא פרי הגפן', כדי שלא יהיה הכוס פגום". וביאר המשנה ברורה (ס"ק ד) "היינו דמשום זה אינו שופך קודם שמתחיל הברכה, כדי שלא יברך תחילת הברכה על כוס פגום שאינו מלא. ואחר סיום הברכה גם כן לא יוכל לשפוך, שיש ביזוי לכוס של ברכה כששופך ממנו אחר ברכה קודם שתיה, ולכן שופכין קודם סיום הברכה". הרי לנו </w:t>
      </w:r>
      <w:r>
        <w:rPr>
          <w:rFonts w:hint="cs"/>
          <w:b/>
          <w:bCs/>
          <w:rtl/>
        </w:rPr>
        <w:t>שמעשה</w:t>
      </w:r>
      <w:r>
        <w:rPr>
          <w:rFonts w:hint="cs"/>
          <w:rtl/>
        </w:rPr>
        <w:t xml:space="preserve"> שפיכת היין על הארץ תוך כדי הברכה אינו נחשב הפסק [אך אולי יש לחלק בין מעשה "פסיבי" של שפיכה - שאין בזה הפסק, למעשה "אקטיבי" של הדלקת נר חנוכה - שיש בזה הפסק, וצ"ע]. </w:t>
      </w:r>
    </w:p>
    <w:p w14:paraId="665B5826" w14:textId="533821A7" w:rsidR="00D4385E" w:rsidRDefault="00D4385E" w:rsidP="001E75C9">
      <w:pPr>
        <w:pStyle w:val="a2"/>
        <w:rPr>
          <w:rtl/>
        </w:rPr>
      </w:pPr>
      <w:r>
        <w:rPr>
          <w:rFonts w:hint="cs"/>
          <w:rtl/>
        </w:rPr>
        <w:t xml:space="preserve">עוד יש להביא ראיה שמעשה ללא דיבור לא נחשב הפסק, מדברי הרמ"א (או"ח סי' רט סע' ב) "היה סבור שבכוסו יין, ובירך בורא פרי הגפן, ונמצא אחר כך שבכוסו מים או שיכר, כשחוזר ושותה אחר כך יין, אינו צריך לחזור ולברך, ויוצא בברכה שבירך על כוסו אע"פ שהיתה בטעות, דהא דעתו היה לשתות גם כן שאר יין, ולכן ברכתו ברכה". והקשה המג"א (שם ס"ק ה) "להוי טעימת מים הפסק בין הברכה לשתית היין", ותירץ: "דטעימה כיון שהיא גם כן אכילה, לא הוי הפסק". וביאר המשנה ברורה (שם ס"ק ח) את דברי המג"א "אף דכוס זה היה מים והתחיל לשתותו, אפילו הכי לא מיקרי הפסק </w:t>
      </w:r>
      <w:r>
        <w:rPr>
          <w:rFonts w:hint="cs"/>
          <w:b/>
          <w:bCs/>
          <w:rtl/>
        </w:rPr>
        <w:t>כיון שלא הפסיק בדיבור בינתיים</w:t>
      </w:r>
      <w:r>
        <w:rPr>
          <w:rFonts w:hint="cs"/>
          <w:rtl/>
        </w:rPr>
        <w:t xml:space="preserve">". מוכח איפוא, כי רק </w:t>
      </w:r>
      <w:r>
        <w:rPr>
          <w:rFonts w:hint="cs"/>
          <w:b/>
          <w:bCs/>
          <w:rtl/>
        </w:rPr>
        <w:t xml:space="preserve">דיבור </w:t>
      </w:r>
      <w:r>
        <w:rPr>
          <w:rFonts w:hint="cs"/>
          <w:rtl/>
        </w:rPr>
        <w:t xml:space="preserve">מפסיק בין הברכה לקיום המצוה, אבל </w:t>
      </w:r>
      <w:r>
        <w:rPr>
          <w:rFonts w:hint="cs"/>
          <w:b/>
          <w:bCs/>
          <w:rtl/>
        </w:rPr>
        <w:t>מעשה</w:t>
      </w:r>
      <w:r>
        <w:rPr>
          <w:rFonts w:hint="cs"/>
          <w:rtl/>
        </w:rPr>
        <w:t xml:space="preserve"> של טעימת המים אינו נחשב הפסק [אך גם </w:t>
      </w:r>
      <w:r>
        <w:rPr>
          <w:rFonts w:hint="cs"/>
          <w:rtl/>
        </w:rPr>
        <w:lastRenderedPageBreak/>
        <w:t>מכאן לענ"ד לכאורה אין ראיה, כי זה היה מעשה "בטעות", בלא כוונה לעשות מעשה של טעימת המים, ואילו בנר חנוכה הדלקת השמש נעשתה בכוונה, וצ"ע].</w:t>
      </w:r>
    </w:p>
    <w:p w14:paraId="595190E8" w14:textId="77777777" w:rsidR="00D4385E" w:rsidRDefault="00D4385E" w:rsidP="00423C6D">
      <w:pPr>
        <w:pStyle w:val="a2"/>
        <w:rPr>
          <w:rtl/>
        </w:rPr>
      </w:pPr>
      <w:r>
        <w:rPr>
          <w:rFonts w:hint="cs"/>
          <w:b/>
          <w:bCs/>
          <w:rtl/>
        </w:rPr>
        <w:t xml:space="preserve">ח. </w:t>
      </w:r>
      <w:r>
        <w:rPr>
          <w:rFonts w:hint="cs"/>
          <w:rtl/>
        </w:rPr>
        <w:t xml:space="preserve">נראה כי השאלה האם מעשה נחשב הפסק בין ברכה לקיום מצוה, כשם שדיבור נחשב הפסק, או לא, תלויה במחלוקת הט"ז והפרי מגדים בדיני עיקר וטפל בברכות. </w:t>
      </w:r>
    </w:p>
    <w:p w14:paraId="2930EBB9" w14:textId="77777777" w:rsidR="00D4385E" w:rsidRDefault="00D4385E" w:rsidP="00423C6D">
      <w:pPr>
        <w:pStyle w:val="a2"/>
        <w:rPr>
          <w:rtl/>
        </w:rPr>
      </w:pPr>
      <w:r>
        <w:rPr>
          <w:rFonts w:hint="cs"/>
          <w:rtl/>
        </w:rPr>
        <w:t xml:space="preserve">בשו"ע (או"ח סי' ריב סע' א) נפסק: "הא דמברכין על העיקר ופוטר את הטפילה, היינו שאוכלן ביחד, או שאוכל העיקר תחילה, אבל אם אוכל הטפל תחילה, כגון שרוצה לשתות ורוצה לאכול תחילה כדי שלא ישתה אליבא ריקנא, מברך על האוכל תחילה אף על פי שהוא טפל לשתייה, ואינו מברך עליו רק שהכל הואיל והוא טפל לדבר אחר". כאשר השתיה עיקר והאכילה טפל, הכלל הוא שמברך על העיקר - השתיה, ופוטר את הטפל - המאכל. אך אם רוצה לאכול קודם את ה"טפל", צריך לברך על האוכל תחילה, אע"פ שהוא טפל. וביאר הט"ז (שם ס"ק ו) "דלא יתכן שיפטרנו העיקר </w:t>
      </w:r>
      <w:r>
        <w:rPr>
          <w:rFonts w:hint="cs"/>
          <w:b/>
          <w:bCs/>
          <w:rtl/>
        </w:rPr>
        <w:t xml:space="preserve">אחר כך </w:t>
      </w:r>
      <w:r>
        <w:rPr>
          <w:rFonts w:hint="cs"/>
          <w:rtl/>
        </w:rPr>
        <w:t xml:space="preserve">מברכתו למפרע וכבר היה נהנה בלא ברכה". אם יאכל את הטפל ללא ברכה ויסתמך על כך שיאכל </w:t>
      </w:r>
      <w:r>
        <w:rPr>
          <w:rFonts w:hint="cs"/>
          <w:b/>
          <w:bCs/>
          <w:rtl/>
        </w:rPr>
        <w:t>אחר כך</w:t>
      </w:r>
      <w:r>
        <w:rPr>
          <w:rFonts w:hint="cs"/>
          <w:rtl/>
        </w:rPr>
        <w:t xml:space="preserve"> את העיקר ובברכה שיברך</w:t>
      </w:r>
      <w:r>
        <w:rPr>
          <w:rFonts w:hint="cs"/>
          <w:b/>
          <w:bCs/>
          <w:rtl/>
        </w:rPr>
        <w:t xml:space="preserve"> אז  </w:t>
      </w:r>
      <w:r>
        <w:rPr>
          <w:rFonts w:hint="cs"/>
          <w:rtl/>
        </w:rPr>
        <w:t>על העיקר יפטור את הטפל, נמצא שבשעת אכילת הטפל נהנה ממנו ללא ברכה. ולכן במקרה זה צריך לברך גם על הטפל.</w:t>
      </w:r>
    </w:p>
    <w:p w14:paraId="54CFF112" w14:textId="77777777" w:rsidR="00D4385E" w:rsidRDefault="00D4385E" w:rsidP="00423C6D">
      <w:pPr>
        <w:pStyle w:val="a2"/>
        <w:rPr>
          <w:rtl/>
        </w:rPr>
      </w:pPr>
      <w:r>
        <w:rPr>
          <w:rFonts w:hint="cs"/>
          <w:rtl/>
        </w:rPr>
        <w:t>על כך הקשה הט"ז מדברי הגמרא במסכת ברכות (מג, א) "מברכים על הריח משתעלה תמרותו, [והקשו] והא לא ארח עדיין ולא נהנה, [ותירצו] כיון דדעתיה לאורוחי". ומבואר שניתן לברך על הריח קודם שנהנה ממנו מכיון שדעתו להריח ממנו. ו"אם כן הכי נמי נימא כיון שדעתו לשתות יין ואוכל תחלה למתק השתיה, שפיר יברך תכף על היין ויאכל הגרעין וישתה". לכאורה, כשם שניתן לברך על ריח קודם שנהנה ממנו, מכיון שדעתו לברך על ההנאה תיכף ומיד לאחר שנהנה. כך גם ניתן לברך על העיקר קודם שיאכל את הטפל, אם דעתו לשתות את העיקר מיד לאחר שיאכל את הטפל. ואם כן, מדוע שהברכה על העיקר לאחר אכילת הטפל, לא תפטור את הטפל.</w:t>
      </w:r>
    </w:p>
    <w:p w14:paraId="486029B6" w14:textId="77777777" w:rsidR="00D4385E" w:rsidRDefault="00D4385E" w:rsidP="00423C6D">
      <w:pPr>
        <w:pStyle w:val="a2"/>
        <w:rPr>
          <w:rtl/>
        </w:rPr>
      </w:pPr>
      <w:r>
        <w:rPr>
          <w:rFonts w:hint="cs"/>
          <w:rtl/>
        </w:rPr>
        <w:t xml:space="preserve">ומוסיף הט"ז שאין לומר "דהוה הפסק בין ברכה לשתיה". כלומר, אין לומר שאכילת הטפל בין הברכה על העיקר [יין] לשתייתו, נחשבת הפסק בין הברכה לשתיה. "דהא בהמוציא הוה </w:t>
      </w:r>
      <w:r>
        <w:rPr>
          <w:rFonts w:hint="cs"/>
          <w:b/>
          <w:bCs/>
          <w:rtl/>
        </w:rPr>
        <w:t>דיבור</w:t>
      </w:r>
      <w:r>
        <w:rPr>
          <w:rFonts w:hint="cs"/>
          <w:rtl/>
        </w:rPr>
        <w:t xml:space="preserve"> הפסק בין ברכה לאכילה, ואפילו הכי אם אמר הביאו מלח או לפתן לא הוה הפסק כיון דלצורך האכילה, הכי נמי</w:t>
      </w:r>
      <w:r>
        <w:rPr>
          <w:rFonts w:hint="cs"/>
          <w:b/>
          <w:bCs/>
          <w:rtl/>
        </w:rPr>
        <w:t xml:space="preserve"> אכילה </w:t>
      </w:r>
      <w:r>
        <w:rPr>
          <w:rFonts w:hint="cs"/>
          <w:rtl/>
        </w:rPr>
        <w:t xml:space="preserve">זו לצורך השתיה היא ולא הוי הפסק". ומבואר בדברי הט"ז כי </w:t>
      </w:r>
      <w:r>
        <w:rPr>
          <w:rFonts w:hint="cs"/>
          <w:b/>
          <w:bCs/>
          <w:rtl/>
        </w:rPr>
        <w:t xml:space="preserve">אכילת </w:t>
      </w:r>
      <w:r>
        <w:rPr>
          <w:rFonts w:hint="cs"/>
          <w:rtl/>
        </w:rPr>
        <w:t xml:space="preserve">הטפל בין הברכה על העיקר לשתיית העיקר </w:t>
      </w:r>
      <w:r>
        <w:rPr>
          <w:rFonts w:hint="cs"/>
          <w:b/>
          <w:bCs/>
          <w:rtl/>
        </w:rPr>
        <w:t xml:space="preserve">לא נחשבת הפסק </w:t>
      </w:r>
      <w:r>
        <w:rPr>
          <w:rFonts w:hint="cs"/>
          <w:rtl/>
        </w:rPr>
        <w:t>כדין "טול ברוך", משום שהיא צורך האכילה.</w:t>
      </w:r>
    </w:p>
    <w:p w14:paraId="2C2D13B8" w14:textId="77777777" w:rsidR="00D4385E" w:rsidRDefault="00D4385E" w:rsidP="00423C6D">
      <w:pPr>
        <w:pStyle w:val="a2"/>
        <w:rPr>
          <w:rtl/>
        </w:rPr>
      </w:pPr>
      <w:r>
        <w:rPr>
          <w:rFonts w:hint="cs"/>
          <w:rtl/>
        </w:rPr>
        <w:lastRenderedPageBreak/>
        <w:t xml:space="preserve">אולם הפרי מגדים (משבצות זהב שם) חלק על הט"ז וכתב: "אם בירך פרי הגפן על יין ואכל פירות בין ברכה לשתיה </w:t>
      </w:r>
      <w:r>
        <w:rPr>
          <w:rFonts w:hint="cs"/>
          <w:b/>
          <w:bCs/>
          <w:rtl/>
        </w:rPr>
        <w:t>הוה הפסק</w:t>
      </w:r>
      <w:r>
        <w:rPr>
          <w:rFonts w:hint="cs"/>
          <w:rtl/>
        </w:rPr>
        <w:t xml:space="preserve"> וחוזר ומברך, ודווקא שתיקה בלא מעשה לא הוה הפסק".</w:t>
      </w:r>
    </w:p>
    <w:p w14:paraId="19D0CEB3" w14:textId="41BEF9F5" w:rsidR="00D4385E" w:rsidRDefault="00D4385E" w:rsidP="00423C6D">
      <w:pPr>
        <w:pStyle w:val="a2"/>
        <w:rPr>
          <w:rtl/>
        </w:rPr>
      </w:pPr>
      <w:r>
        <w:rPr>
          <w:rFonts w:hint="cs"/>
          <w:rtl/>
        </w:rPr>
        <w:t xml:space="preserve">הרי לנו מחלוקת הט"ז והפרי מגדים, האם </w:t>
      </w:r>
      <w:r>
        <w:rPr>
          <w:rFonts w:hint="cs"/>
          <w:b/>
          <w:bCs/>
          <w:rtl/>
        </w:rPr>
        <w:t>מעשה אכילה</w:t>
      </w:r>
      <w:r>
        <w:rPr>
          <w:rFonts w:hint="cs"/>
          <w:rtl/>
        </w:rPr>
        <w:t xml:space="preserve"> </w:t>
      </w:r>
      <w:r>
        <w:rPr>
          <w:rFonts w:hint="cs"/>
          <w:b/>
          <w:bCs/>
          <w:rtl/>
        </w:rPr>
        <w:t>נחשב הפסק</w:t>
      </w:r>
      <w:r>
        <w:rPr>
          <w:rFonts w:hint="cs"/>
          <w:rtl/>
        </w:rPr>
        <w:t xml:space="preserve"> בין ברכה על שתיית יין, לשתייתו. ולפי זה בנדון דידן, לדעת הט"ז מאחר ומעשה לא נחשב הפסק בין ברכה לקיום מצוה, כאשר בירך ובטעות הדליק קודם את ה"שָמַש", אין זה הפסק בין הברכה לקיום המצוה, וכאשר ממשיך להדליק את נרות המצוה, לא צריך לחזור ולברך. ולדעת הפרי מגדים ששתיקה לא נחשבת הפסק אבל מעשה נחשב הפסק, הדלקת ה"שָמַש" מפסיקה בין הברכה לקיום המצוה, ויצטרך לברך בשנית בטרם ידליק את נרות המצוה.</w:t>
      </w:r>
    </w:p>
    <w:p w14:paraId="7A967454" w14:textId="77777777" w:rsidR="00D4385E" w:rsidRDefault="00D4385E" w:rsidP="00423C6D">
      <w:pPr>
        <w:pStyle w:val="11"/>
        <w:bidi/>
        <w:rPr>
          <w:rtl/>
        </w:rPr>
      </w:pPr>
      <w:r>
        <w:rPr>
          <w:rFonts w:hint="cs"/>
          <w:rtl/>
        </w:rPr>
        <w:t>הפסק במעשה מצוה שלא יוצא בו ידי חובה</w:t>
      </w:r>
    </w:p>
    <w:p w14:paraId="78F9A968" w14:textId="77777777" w:rsidR="00D4385E" w:rsidRDefault="00D4385E" w:rsidP="00423C6D">
      <w:pPr>
        <w:pStyle w:val="a2"/>
        <w:rPr>
          <w:rtl/>
        </w:rPr>
      </w:pPr>
      <w:r>
        <w:rPr>
          <w:rFonts w:hint="cs"/>
          <w:b/>
          <w:bCs/>
          <w:rtl/>
        </w:rPr>
        <w:t xml:space="preserve">ט. </w:t>
      </w:r>
      <w:r>
        <w:rPr>
          <w:rFonts w:hint="cs"/>
          <w:rtl/>
        </w:rPr>
        <w:t xml:space="preserve">לאחר עיון נוסף נראה כי בנדון דידן, הדלקת ה"שָמַש" בין הברכה לקיום המצוה, היא לא </w:t>
      </w:r>
      <w:r>
        <w:rPr>
          <w:rFonts w:hint="cs"/>
          <w:b/>
          <w:bCs/>
          <w:rtl/>
        </w:rPr>
        <w:t>מעשה</w:t>
      </w:r>
      <w:r>
        <w:rPr>
          <w:rFonts w:hint="cs"/>
          <w:rtl/>
        </w:rPr>
        <w:t xml:space="preserve"> </w:t>
      </w:r>
      <w:r>
        <w:rPr>
          <w:rFonts w:hint="cs"/>
          <w:b/>
          <w:bCs/>
          <w:rtl/>
        </w:rPr>
        <w:t>שכלל אינו מענין המצוה</w:t>
      </w:r>
      <w:r>
        <w:rPr>
          <w:rFonts w:hint="cs"/>
          <w:rtl/>
        </w:rPr>
        <w:t xml:space="preserve"> בין הברכה לקיום המצוה, אלא מעשה של המצוה שאינו יוצא בזה ידי חובת קיום המצוה, כי בקיום מצוה בטעות לא יוצאים ידי חובה. ומעתה יש לדון האם </w:t>
      </w:r>
      <w:r>
        <w:rPr>
          <w:rFonts w:hint="cs"/>
          <w:b/>
          <w:bCs/>
          <w:rtl/>
        </w:rPr>
        <w:t xml:space="preserve">הפסק במעשה מצוה שאין ודאות שיוצא בו ידי חובה </w:t>
      </w:r>
      <w:r>
        <w:rPr>
          <w:rFonts w:hint="cs"/>
          <w:rtl/>
        </w:rPr>
        <w:t xml:space="preserve">בין הברכה לקיום המצוה, נחשב הפסק המחייב לשוב ולברך, או לא. </w:t>
      </w:r>
    </w:p>
    <w:p w14:paraId="1CE4F464" w14:textId="612C7C55" w:rsidR="00D4385E" w:rsidRDefault="00D4385E" w:rsidP="00423C6D">
      <w:pPr>
        <w:pStyle w:val="a2"/>
        <w:rPr>
          <w:rtl/>
        </w:rPr>
      </w:pPr>
      <w:r>
        <w:rPr>
          <w:rFonts w:hint="cs"/>
          <w:rtl/>
        </w:rPr>
        <w:t xml:space="preserve">בשאלה זו דן הגרצ"פ פרנק בספרו מקראי קודש (סוכות סימן ט) במעשה שהיה כשהביאו לרבי חיים סולובייצ'יק מבריסק שני אתרוגים "אחד מארץ ישראל ודאי כשר, והשני מקורפו מהודר אבל ספק פסול. ופסק הגר"ח לברך על ספק פסול, ואחר כך יטול זה שהוא ודאי כשר, דאם לא כן לא יהא מקיים מצות הידור מצוה, כי הידור בלא מצוה אינו כלום". מהכרעת הגר"ח לברך וליטול תחילה את האתרוג שיש ספק על כשרותו, נראה כי מעשה מצוה שיתכן ולא יוצאים בו ידי חובה אינו מפסיק בין הברכה לקיום המצוה. </w:t>
      </w:r>
    </w:p>
    <w:p w14:paraId="168072AD" w14:textId="77777777" w:rsidR="00D4385E" w:rsidRDefault="00D4385E" w:rsidP="00423C6D">
      <w:pPr>
        <w:pStyle w:val="a2"/>
        <w:rPr>
          <w:rtl/>
        </w:rPr>
      </w:pPr>
      <w:r>
        <w:rPr>
          <w:rFonts w:hint="cs"/>
          <w:rtl/>
        </w:rPr>
        <w:t xml:space="preserve">ועל כך העיר הגרצ"פ פרנק מדברי רש"י במסכת עירובין (נ, א) בנדון ספק שהתעורר בשעת הפרשת מעשר בהמה, על שתי בהמות, איזו מהן הופרשה למעשה, שצריך להביא אחת לקרבן מעשר בהמה והשניה לשלמים. ופירש רש"י: "ולבי אומר דאינו מברך על התנופה ועל הסמיכה, דלא להווי ברכה לבטלה". שלמים טעונים סמיכה ותנופה, מה שאין כן מעשר שאינו טעון סמיכה ותנופה. ומבואר בדברי רש"י שכאשר מקריב מספק את שתי הבהמות, לא יברך על התנופה ועל הסמיכה, מחשש שהבהמה הראשונה היא של מעשר שאינה טעונה סמיכה ותנופה, ונמצא שהקרבתה נחשבת </w:t>
      </w:r>
      <w:r>
        <w:rPr>
          <w:rFonts w:hint="cs"/>
          <w:b/>
          <w:bCs/>
          <w:rtl/>
        </w:rPr>
        <w:t xml:space="preserve">הפסק </w:t>
      </w:r>
      <w:r>
        <w:rPr>
          <w:rFonts w:hint="cs"/>
          <w:rtl/>
        </w:rPr>
        <w:t xml:space="preserve">בין הברכה על תנופה והסמיכה ובין קיום המצוה בהקרבת הבהמה </w:t>
      </w:r>
      <w:r>
        <w:rPr>
          <w:rFonts w:hint="cs"/>
          <w:rtl/>
        </w:rPr>
        <w:lastRenderedPageBreak/>
        <w:t xml:space="preserve">השניה. ומפורש איפוא בדבריו, שמעשה מצוה שאינו יוצא בה ידי חובה, נחשב הפסק בין הברכה לקיום המצוה. </w:t>
      </w:r>
    </w:p>
    <w:p w14:paraId="58BC2239" w14:textId="513B0B47" w:rsidR="00D4385E" w:rsidRDefault="00D4385E" w:rsidP="00423C6D">
      <w:pPr>
        <w:pStyle w:val="a2"/>
        <w:rPr>
          <w:rtl/>
        </w:rPr>
      </w:pPr>
      <w:r>
        <w:rPr>
          <w:rFonts w:hint="cs"/>
          <w:rtl/>
        </w:rPr>
        <w:t xml:space="preserve">בשו"ע (או"ח סי' כז סע' ה) נפסק: "אדם שהוא עלול לנזילות ואם יצטרך להניח תפילה של ראש על בשרו לא יניחם כלל, יש להתיר לו להניח תפילה של ראש על הכובע דק הסמוך לראש, ויכסם מפני הרואים". וכתב הרמ"א: "והמניחים בדרך זה לא יברך על של ראש, רק יברך על של יד להניח". הכובע הנמצא בין הראש לתפילין מהווה חציצה, ובשל כך אין לברך על התפילין של ראש. וכתב המג"א (ס"ק ח) "ואם מניח של יד כדרך זה [דהיינו, כאשר יש דבר החוצץ בין היד לתפילין] לא יברך על של יד, דהא יש אומרים דחציצה פוסלת". והקשה רבי עקיבא אייגר: "ולענ"ד הא מכל מקום יברך על הראש שתים כדין אין לו רק תפילה של ראש. אם כן אמאי לא יברך על של יד להניח, דהא הברכה קאי גם על הראש". כלומר, מדוע כשיש חציצה בין היד לתפילין לא יברך קודם הנחתן "להניח תפילין" מתוך כוונה שהברכה תחול גם על הנחתן וגם על הנחת תפילין של ראש. ותירץ: "ואולי יש לומר דלהרא"ש דחציצה פוסל הוי הנחתה דיד </w:t>
      </w:r>
      <w:r>
        <w:rPr>
          <w:rFonts w:hint="cs"/>
          <w:b/>
          <w:bCs/>
          <w:rtl/>
        </w:rPr>
        <w:t>וקשירתה הפסק בין ברכת להניח להנחת תפילין דהראש</w:t>
      </w:r>
      <w:r>
        <w:rPr>
          <w:rFonts w:hint="cs"/>
          <w:rtl/>
        </w:rPr>
        <w:t xml:space="preserve">, ואם אין לו רק תפילה של יד מברך עלה". ומבואר איפוא בתירוצו, כי מעשה מצוה שלא יוצא בו ידי חובה [כגון הנחת תפילין של יד על דבר החוצץ בינן ליד], נחשב הפסק בין הברכה לקיום המצוה, ולכן אינו רשאי לברך "להניח תפילין" גם כשמניח תפילין של יד על חציצה, שאינו יוצא בזה ידי חובה, מתוך כוונה שהברכה תחול גם על הנחתן וגם על הנחת תפילין של ראש. </w:t>
      </w:r>
    </w:p>
    <w:p w14:paraId="11C2E22B" w14:textId="2B6FF423" w:rsidR="00D4385E" w:rsidRDefault="00D4385E" w:rsidP="001E75C9">
      <w:pPr>
        <w:pStyle w:val="a2"/>
        <w:rPr>
          <w:rtl/>
        </w:rPr>
      </w:pPr>
      <w:r>
        <w:rPr>
          <w:rFonts w:hint="cs"/>
          <w:rtl/>
        </w:rPr>
        <w:t xml:space="preserve">המשנה ברורה (סי' תלו ס"ק לב) הביא מחלוקת הפוסקים, האם יש חיוב לבדוק חמץ בליל י"ד בניסן בחדר או בית שבדעתו למוכרם למחרת לנכרי". וכתב בשו"ת האלף לך שלמה (סימן שצב) "אף שלחומרא ראוי להחמיר ולבדוק, מכל מקום נראה שלא יתחיל תיכף אחר הברכה בבתים הללו. כי אם למחר יתברר שלא היו צריכים בדיקה למפרע, אם כן לא הוי במעשה זו מצוה, </w:t>
      </w:r>
      <w:r>
        <w:rPr>
          <w:rFonts w:hint="cs"/>
          <w:b/>
          <w:bCs/>
          <w:rtl/>
        </w:rPr>
        <w:t>והוי הפסק בין ברכה לתחילת הבדיקה</w:t>
      </w:r>
      <w:r>
        <w:rPr>
          <w:rFonts w:hint="cs"/>
          <w:rtl/>
        </w:rPr>
        <w:t>". ומבואר בדבריו שמעשה מצוה שיתכן שלא יוצא בו ידי חובה, נחשב הפסק בין הברכה לקיום המצוה, ולכן במקרה שיש צורך לבדוק חמץ במקומות שודאי חייבים בבדיקה ובמקומות שיש ספק אם חייבים לבדוק בהם, לא יתחיל לבדוק במקומות שיש בהם ספק, כדי שזה לא יהיה הפסק בין הברכה לקיום מצות הבדיקה.</w:t>
      </w:r>
    </w:p>
    <w:p w14:paraId="7C6B37E6" w14:textId="77777777" w:rsidR="00D4385E" w:rsidRDefault="00D4385E" w:rsidP="00423C6D">
      <w:pPr>
        <w:pStyle w:val="a2"/>
        <w:rPr>
          <w:rtl/>
        </w:rPr>
      </w:pPr>
      <w:r>
        <w:rPr>
          <w:rFonts w:hint="cs"/>
          <w:b/>
          <w:bCs/>
          <w:rtl/>
        </w:rPr>
        <w:t xml:space="preserve">י. </w:t>
      </w:r>
      <w:r>
        <w:rPr>
          <w:rFonts w:hint="cs"/>
          <w:rtl/>
        </w:rPr>
        <w:t xml:space="preserve">מאידך גיסא, יש להוכיח כי מעשה מצוה שאינו יוצא בו בוודאות ידי חובה, אינו נחשב הפסק בין הברכה לקיום המצוה. </w:t>
      </w:r>
    </w:p>
    <w:p w14:paraId="384C802C" w14:textId="1A27236D" w:rsidR="00D4385E" w:rsidRDefault="00D4385E" w:rsidP="00423C6D">
      <w:pPr>
        <w:pStyle w:val="a2"/>
        <w:rPr>
          <w:rtl/>
        </w:rPr>
      </w:pPr>
      <w:r>
        <w:rPr>
          <w:rFonts w:hint="cs"/>
          <w:rtl/>
        </w:rPr>
        <w:t xml:space="preserve">הגר"ח קנייבסקי כתב בספרו נחל איתן (סימן יג סע' ז) "עגלה ערופה שנתערבה באחרות, אפילו באלף, כולם אסורות בהנאה, דבעלי חיים אינם בטלים. ויערפם כולם </w:t>
      </w:r>
      <w:r>
        <w:rPr>
          <w:rFonts w:hint="cs"/>
          <w:rtl/>
        </w:rPr>
        <w:lastRenderedPageBreak/>
        <w:t xml:space="preserve">בנחל איתן, ויצא באותו שהיא העגלה שנאסרה, ויקברם כולם במקום אחד וירחצו ידיהם על זה, ויכול לברך על העריפה". מצות עגלה ערופה מתקיימת גם כשהעגלה שצריך לעורפה נתערבה עם עגלות אחרות וצריך לערוף את כולן [כי היא לא בטלה ברוב]. ובמקרה זה, מברך על קיום המצוה קודם שמתחיל לערוך את </w:t>
      </w:r>
      <w:r>
        <w:rPr>
          <w:rFonts w:hint="cs"/>
          <w:b/>
          <w:bCs/>
          <w:rtl/>
        </w:rPr>
        <w:t xml:space="preserve">כל </w:t>
      </w:r>
      <w:r>
        <w:rPr>
          <w:rFonts w:hint="cs"/>
          <w:rtl/>
        </w:rPr>
        <w:t xml:space="preserve">העגלות. וביאר הגר"ח קנייבסקי (שם ס"ק ג) "ויכוון על איזה שהוא העגלה ערופה תעלה הברכה, </w:t>
      </w:r>
      <w:r>
        <w:rPr>
          <w:rFonts w:hint="cs"/>
          <w:b/>
          <w:bCs/>
          <w:rtl/>
        </w:rPr>
        <w:t xml:space="preserve">ואין זה הפסק </w:t>
      </w:r>
      <w:r>
        <w:rPr>
          <w:rFonts w:hint="cs"/>
          <w:rtl/>
        </w:rPr>
        <w:t xml:space="preserve">מה שעורף אחרים מספק". והיינו משום שמעשה מצוה שאינו יוצא בה ידי חובה, לא נחשב הפסק בין הברכה לקיום המצוה, ולפיכך למרות שיתכן שבין הברכה שמברך ועד שיגיע ל"עגלה הערופה" האמתית, יערוף עגלות שלא מקיים בהם את המצוה, אין זה נחשב הפסק. </w:t>
      </w:r>
    </w:p>
    <w:p w14:paraId="69DDD726" w14:textId="77777777" w:rsidR="00D4385E" w:rsidRDefault="00D4385E" w:rsidP="00423C6D">
      <w:pPr>
        <w:pStyle w:val="a2"/>
        <w:rPr>
          <w:rtl/>
        </w:rPr>
      </w:pPr>
      <w:r>
        <w:rPr>
          <w:rFonts w:hint="cs"/>
          <w:rtl/>
        </w:rPr>
        <w:t xml:space="preserve">הגר"ח הוכיח את דבריו מפסק השו"ע בהלכות תפילין (או"ח סי' לד סע' ב) בנדון הנחת תפילין של רש"י ותפילין של רבינו תם: "ירא שמים יצא ידי שניהם, ויעשה שתי זוגות תפילין ויניח שניהם, ויכוון בהנחתם באותם שהם אליבא דהלכתא אני יוצא ידי חובתי, והשאר הם כרצועות בעלמא, כי מקום יש בראש להניח שתי תפילין. וכן בזרוע. </w:t>
      </w:r>
      <w:r>
        <w:rPr>
          <w:rFonts w:hint="cs"/>
          <w:b/>
          <w:bCs/>
          <w:rtl/>
        </w:rPr>
        <w:t>ויניח האחרים על סמך ברכה הראשונה"</w:t>
      </w:r>
      <w:r>
        <w:rPr>
          <w:rFonts w:hint="cs"/>
          <w:rtl/>
        </w:rPr>
        <w:t>. ואף שאם ההלכה כרבנו תם, לכאורה בהנחת תפילין של רש"י יש הפסק בין הברכה להנחת תפילין של רבנו תם, מכל מקום אנו רואים שהברכה על הנחת תפילין של רש"י מועילה גם להנחת תפילין של רבנו תם. ומוכח איפוא, שמעשה מצוה שאינו יוצא בה ידי חובה, לא נחשב הפסק בין הברכה לקיום המצוה, ולכן הנחת תפילין של רש"י אינה נחשבת הפסק בין הברכה להנחת תפילין של רבנו תם.</w:t>
      </w:r>
    </w:p>
    <w:p w14:paraId="7E93AB5C" w14:textId="6A86D234" w:rsidR="00D4385E" w:rsidRDefault="00D4385E" w:rsidP="00423C6D">
      <w:pPr>
        <w:pStyle w:val="a2"/>
        <w:rPr>
          <w:rtl/>
        </w:rPr>
      </w:pPr>
      <w:r>
        <w:rPr>
          <w:rFonts w:hint="cs"/>
          <w:rtl/>
        </w:rPr>
        <w:t xml:space="preserve">בתבואות שור (יו"ד סימן יח סע' יא) כתב: "שחט עוף ורוצה לשחוט בהמה, יכסה תחילה דם העוף בברכה, ואחר כך ישחט הבהמה בלא ברכה. דכיון דהבהמה אין צריך כיסוי, ואין מצות הכיסוי שייכא כי אם להעוף, ראוי שיגמור מצוה ראשונה תחילה. </w:t>
      </w:r>
      <w:r>
        <w:rPr>
          <w:rFonts w:hint="cs"/>
          <w:b/>
          <w:bCs/>
          <w:rtl/>
        </w:rPr>
        <w:t>ומכל מקום לא הוה הכיסוי הפסק בין השחיטות</w:t>
      </w:r>
      <w:r>
        <w:rPr>
          <w:rFonts w:hint="cs"/>
          <w:rtl/>
        </w:rPr>
        <w:t xml:space="preserve">, דהכיסוי גמר השחיטה היא". והוסיף: "זה שאמרנו שאין הכיסוי הפסק בין השחיטות, נראה לי </w:t>
      </w:r>
      <w:r>
        <w:rPr>
          <w:rFonts w:hint="cs"/>
          <w:b/>
          <w:bCs/>
          <w:rtl/>
        </w:rPr>
        <w:t xml:space="preserve">דאפילו מכסה בלא ברכה מחמת ספק </w:t>
      </w:r>
      <w:r>
        <w:rPr>
          <w:rFonts w:hint="cs"/>
          <w:rtl/>
        </w:rPr>
        <w:t>אם חייב בכיסוי".  ומבואר מדבריו שמעשה מצוה שאין וודאות שיוצא בזה ידי חובה, לא נחשב הפסק בין הברכה לקיום המצוה, ולכן כיסוי הדם מחמת ספק, לא נחשב הפסק בין הברכה על שחיטת העוף לשחיטת הבהמה לאחר הכיסוי.</w:t>
      </w:r>
    </w:p>
    <w:p w14:paraId="6B39449C" w14:textId="717CE4D9" w:rsidR="00D4385E" w:rsidRDefault="00D4385E" w:rsidP="00423C6D">
      <w:pPr>
        <w:pStyle w:val="a2"/>
        <w:rPr>
          <w:rtl/>
        </w:rPr>
      </w:pPr>
      <w:r>
        <w:rPr>
          <w:rFonts w:hint="cs"/>
          <w:rtl/>
        </w:rPr>
        <w:t>וכתב התבואות שור (שם ס"ק כא) ביאור מדוע כיסוי הדם אינו נחשב הפסק "</w:t>
      </w:r>
      <w:r>
        <w:rPr>
          <w:rFonts w:hint="cs"/>
          <w:b/>
          <w:bCs/>
          <w:rtl/>
        </w:rPr>
        <w:t>דכל זה עוסק באותו ענין הוא</w:t>
      </w:r>
      <w:r>
        <w:rPr>
          <w:rFonts w:hint="cs"/>
          <w:rtl/>
        </w:rPr>
        <w:t xml:space="preserve">", והביא ראיה לכך מסדר התקיעות שאנו תוקעים בראש השנה שלושים קולות של תקיעה, שברים ותרועה, הנובע מספק מהי ה"תרועה" המוזכרת בתורה: "דאף על גב דכל סדר התקיעות ספיקא נינהו, ואם כן הוי ליה דלא לברוכי. דדלמא תש"ת הוא העיקר, או תר"ת. ואם כן תשר"ת הוא הפסק בין הברכה לתקיעות האמיתיות, דאינן אלא קולות בעלמא. אלא </w:t>
      </w:r>
      <w:r>
        <w:rPr>
          <w:rFonts w:hint="cs"/>
          <w:b/>
          <w:bCs/>
          <w:rtl/>
        </w:rPr>
        <w:t xml:space="preserve">דכל זה שעוסק במצוה </w:t>
      </w:r>
      <w:r>
        <w:rPr>
          <w:rFonts w:hint="cs"/>
          <w:b/>
          <w:bCs/>
          <w:rtl/>
        </w:rPr>
        <w:lastRenderedPageBreak/>
        <w:t>זו, אפילו לצאת ידי ספיקא, לא הוי הפסק</w:t>
      </w:r>
      <w:r>
        <w:rPr>
          <w:rFonts w:hint="cs"/>
          <w:rtl/>
        </w:rPr>
        <w:t xml:space="preserve">, כיון שמוכרח הוא לזה. ומינה נמי אפילו נתקלקל לגמרי, מכל מקום עסק באותו ענין". </w:t>
      </w:r>
    </w:p>
    <w:p w14:paraId="0F0A0179" w14:textId="77777777" w:rsidR="00D4385E" w:rsidRPr="00D4385E" w:rsidRDefault="00D4385E" w:rsidP="001E75C9">
      <w:pPr>
        <w:pStyle w:val="a2"/>
        <w:spacing w:after="0"/>
        <w:rPr>
          <w:rtl/>
        </w:rPr>
      </w:pPr>
      <w:r w:rsidRPr="00D4385E">
        <w:rPr>
          <w:rtl/>
        </w:rPr>
        <w:t>הנה כי כן, נשארנו ללא הכרעה ברורה, האם מעשה מצוה שאינו יוצא בו בוודאות ידי חובה, נחשב הפסק בין הברכה לקיום המצוה, או לא. והבאנו ראיות לכאן ולכאן. ולכן גם בנדון דידן, כשהדליק את ה"שָמַש" בטעות קודם הדלקת נר המצוה, והסתפקנו האם הדלקה זו מפסיקה בין הברכה לקיום המצוה, וצריך לברך שנית לפני הדלקת נרות המצוה, לכאורה עדיין לא יצאנו מידי הספק.</w:t>
      </w:r>
    </w:p>
    <w:p w14:paraId="0DE73FA0" w14:textId="77777777" w:rsidR="00D4385E" w:rsidRDefault="00D4385E" w:rsidP="00D4385E">
      <w:pPr>
        <w:bidi/>
        <w:spacing w:after="0" w:line="360" w:lineRule="auto"/>
        <w:jc w:val="both"/>
        <w:rPr>
          <w:rFonts w:ascii="David" w:hAnsi="David" w:cs="David"/>
          <w:rtl/>
        </w:rPr>
      </w:pPr>
    </w:p>
    <w:p w14:paraId="0CD0E5C9" w14:textId="138B2A7A" w:rsidR="00D4385E" w:rsidRPr="00D4385E" w:rsidRDefault="00D4385E" w:rsidP="00D4385E">
      <w:pPr>
        <w:pStyle w:val="af9"/>
        <w:spacing w:after="0"/>
        <w:rPr>
          <w:rtl/>
        </w:rPr>
      </w:pPr>
      <w:r w:rsidRPr="00D4385E">
        <w:rPr>
          <w:rFonts w:hint="cs"/>
          <w:sz w:val="32"/>
          <w:szCs w:val="32"/>
          <w:rtl/>
        </w:rPr>
        <w:t>*</w:t>
      </w:r>
    </w:p>
    <w:p w14:paraId="450C1388" w14:textId="77777777" w:rsidR="00D4385E" w:rsidRDefault="00D4385E" w:rsidP="001E75C9">
      <w:pPr>
        <w:pStyle w:val="11"/>
        <w:bidi/>
        <w:spacing w:before="0"/>
        <w:rPr>
          <w:rtl/>
        </w:rPr>
      </w:pPr>
      <w:r>
        <w:rPr>
          <w:rFonts w:hint="cs"/>
          <w:rtl/>
        </w:rPr>
        <w:t>הדלקת ה"שָמַש" - חלק ממצות הדלקת נר חנוכה או לא</w:t>
      </w:r>
    </w:p>
    <w:p w14:paraId="7B561521" w14:textId="77777777" w:rsidR="00D4385E" w:rsidRDefault="00D4385E" w:rsidP="00423C6D">
      <w:pPr>
        <w:pStyle w:val="a2"/>
        <w:rPr>
          <w:rtl/>
        </w:rPr>
      </w:pPr>
      <w:r>
        <w:rPr>
          <w:rFonts w:hint="cs"/>
          <w:rtl/>
        </w:rPr>
        <w:t>יא. ונראה לדון בשאלה האם כשהדליק בטעות "שָמַש" קודם נרות חנוכה, צריך לחזור ולברך, על פי הטעמים שנתבארו לעיל מדוע מדליקים את ה"שָמַש". ולענ"ד יסוד המחלוקת האם טעם הדלקת נר בנוסף לנרות החנוכה הוא מחמת האיסור להשתמש לאור הנרות, או בגלל הצורך שיהיה היכר שהנר הודלק לשם מצוה, תלוי בהסבר הגדר והמהות מהו ה"שָמַש" - חלק ממצות הדלקת נר חנוכה, או שהוא חלק חיצוני מעצם מצות נר חנוכה.</w:t>
      </w:r>
    </w:p>
    <w:p w14:paraId="30759331" w14:textId="77777777" w:rsidR="00D4385E" w:rsidRDefault="00D4385E" w:rsidP="00423C6D">
      <w:pPr>
        <w:pStyle w:val="a2"/>
        <w:rPr>
          <w:rtl/>
        </w:rPr>
      </w:pPr>
      <w:r>
        <w:rPr>
          <w:rFonts w:hint="cs"/>
          <w:rtl/>
        </w:rPr>
        <w:t>אם נאמר שטעם הדלקת הנר הנוסף הוא מחמת האיסור להשתמש לאור הנרות, הרי שנר זה אינו חלק ממצות הדלקת נר חנוכה, וכמו שכתב בשו"ת שדה הארץ [לעיל אות ה] בתחילת דבריו: "הנה הנר הנוסף אינו מעיקר נרות המצוה של חנוכה, אלא הוא נר נוסף, כדי שאם יבוא להשתמש לאורם ישתמש לאור נר הזה הנוסף. ובערך נרות דמצוה הוי ליה נר זה כנר דחול ממש, דהלא אם יש לו נר על שולחנו אין צריך להדליק נר נוסף. ונמצא דאין לו שייכות כלל ועיקר עם נרות דמצות חנוכה". ולפי זה בנדון דידן, הדלקת נר השָמַש בטעות מפסיקה בין הברכה להדלקת נרות המצוה, ויצטרך לברך בשנית קודם הדלקתן.</w:t>
      </w:r>
    </w:p>
    <w:p w14:paraId="299C908D" w14:textId="77777777" w:rsidR="00D4385E" w:rsidRDefault="00D4385E" w:rsidP="00423C6D">
      <w:pPr>
        <w:pStyle w:val="a2"/>
        <w:rPr>
          <w:rtl/>
        </w:rPr>
      </w:pPr>
      <w:r>
        <w:rPr>
          <w:rFonts w:hint="cs"/>
          <w:rtl/>
        </w:rPr>
        <w:t>ברם אם נאמר כי טעם הדלקת הנר הנוסף הוא בגלל הצורך שיהיה היכר שהנר הודלק לשם מצוה, יש לומר שהדלקת הנר הנוסף היא חלק ממצות הדלקת נר חנוכה, כי הדלקת הנר הנוסף גורמת לכך ששאר הנרות שמדליק הם נרות שניכר שמדליקים אותם לשם מצוה, וגם ה"שָמַש" הוא חלק מקיום מצות ההדלקה. ולפי זה הדלקת נר השָמַש בטעות לא נחשבת הפסק בין הברכה להדלקת נרות המצוה, שהרי גם הדלקת השָמַש היא חלק ממצות הדלקת נר חנוכה.</w:t>
      </w:r>
    </w:p>
    <w:p w14:paraId="76622B37" w14:textId="77777777" w:rsidR="00D4385E" w:rsidRDefault="00D4385E" w:rsidP="00423C6D">
      <w:pPr>
        <w:pStyle w:val="a2"/>
        <w:rPr>
          <w:rtl/>
        </w:rPr>
      </w:pPr>
      <w:r>
        <w:rPr>
          <w:rFonts w:hint="cs"/>
          <w:rtl/>
        </w:rPr>
        <w:lastRenderedPageBreak/>
        <w:t>מצאתי סעד לדברי בספר הררי קדם [בהמשך לדבריו המובאים לעיל אות ג] שכתב שהנפקא מינה בין הטעמים להדלקת הנר הנוסף היא "האם הוא [המדליק] חייב להדליק את הנר האחר קודם לשאר הנרות, כדי שיהיה היכר שהדלקתו היא לשם נר חנוכה מיד בשעת ההדלקה. דלהאמור בדעת רש"י נראה דחייב להדליקו לפני שאר הנרות. ועיין בשולחן ערוך (תרעג, א) ונוהגים להדליק נר נוסף כדי שאם ישתמש לאורה יהיה לאור הנוסף שהוא אותו שהודלק אחרון. וברמ"א שם כתב, במדינות אלו אין נוהגים להוסיף רק מניח אצלן השָמַש שבו מדליק הנרות והוא עדיף טפי. והנה להשו"ע מפורש דמדליק את הנר האחר בסוף, אך השו"ע לטעמיה דכל הטעם הוא שמא ישתמש לאורה. אך להרמ"א דמניח השָמַש אצלן שבו הדליק כל הנרות, יש לומר דכהאי גונא חשוב שהדליק השָמַש קודם ואיכא היכרא משעת הדלקה". ומבואר בדבריו שאם טעם ההדלקה משום היכר, צריך להדליק את השָמַש קודם שמדליקים את הנרות, ואילו אם סיבת ההדלקה היא כדי שלא ישתמשו לאור הנרות, יש צורך להדליק את השָמַש לאחר שסיים להדליק את נרות המצוה.</w:t>
      </w:r>
    </w:p>
    <w:p w14:paraId="2F20CD73" w14:textId="77777777" w:rsidR="00D4385E" w:rsidRDefault="00D4385E" w:rsidP="00423C6D">
      <w:pPr>
        <w:pStyle w:val="a2"/>
        <w:rPr>
          <w:rtl/>
        </w:rPr>
      </w:pPr>
      <w:r>
        <w:rPr>
          <w:rFonts w:hint="cs"/>
          <w:rtl/>
        </w:rPr>
        <w:t>וגם מדבריו נוכל ללמוד לנדון דידן, כי אם הסיבה הטעם שהדלקת השָמַש היא משום היכר, הרי שלכתחילה צריך להדליק את השָמַש קודם הדלקת נרות המצוה, ובוודאי שאין בזה הפסק המחייב ברכה חוזרת. אך אם הסיבה להדלקת השָמַש היא כדי שלא ישתמש לאור הנרות, ולכן צריך להדליקו לאחר הדלקת נרות המצוה, יש לחשוש שהדלקת השָמַש בטעות מפסיקה בין הברכה לקיום מצות הדלקת נרות המצוה.</w:t>
      </w:r>
    </w:p>
    <w:p w14:paraId="2A07E4D4" w14:textId="77F5BB51" w:rsidR="00D4385E" w:rsidRDefault="00D4385E" w:rsidP="00423C6D">
      <w:pPr>
        <w:pStyle w:val="a2"/>
        <w:rPr>
          <w:rtl/>
        </w:rPr>
      </w:pPr>
      <w:r>
        <w:rPr>
          <w:rFonts w:hint="cs"/>
          <w:rtl/>
        </w:rPr>
        <w:t>בחנוכה תשע"ח שהיתי בירושלים, וראיתי מנהג מחודש של הדלקת נרות חנוכה באופן זה: בחנוכיה הוכנו כל הנרות הנצרכים להדלקה והשָמַש. קודם כל הדליקו את השָמַש בחנוכיה, ורק אחר כך בירכו את הברכות והדליקו את נרות החיוב. ולפי האמור, יתכן וזהו המקור למנהג זה.</w:t>
      </w:r>
    </w:p>
    <w:p w14:paraId="0BE26FC9" w14:textId="77777777" w:rsidR="00D4385E" w:rsidRDefault="00D4385E" w:rsidP="00423C6D">
      <w:pPr>
        <w:pStyle w:val="11"/>
        <w:bidi/>
        <w:rPr>
          <w:rtl/>
        </w:rPr>
      </w:pPr>
      <w:r>
        <w:rPr>
          <w:rFonts w:hint="cs"/>
          <w:rtl/>
        </w:rPr>
        <w:t>הכרעת הפוסקים למעשה</w:t>
      </w:r>
    </w:p>
    <w:p w14:paraId="08E73289" w14:textId="77777777" w:rsidR="00D4385E" w:rsidRDefault="00D4385E" w:rsidP="00423C6D">
      <w:pPr>
        <w:pStyle w:val="a2"/>
        <w:rPr>
          <w:rtl/>
        </w:rPr>
      </w:pPr>
      <w:r>
        <w:rPr>
          <w:rFonts w:hint="cs"/>
          <w:rtl/>
        </w:rPr>
        <w:t>יב. בשו"ת שדה הארץ כתב בתחילת דבריו: "נראה שמצד הדין בוודאי היה חייב לחזור ולברך קודם הדלקת נרות חנוכה, כיון שהדלקת נר הנוסף אין לה שייכות כלל למצוה עצמה, שנר זה הוי ליה כנר חול ממש ושהה יותר מכדי דיבור הוי הפסק גמור. ולא דמי למה שהביא מרן השואל מההיא ד"טול ברוך", דהתם הוי מענין השייך לפרוסת המוציא מה שאין כאן בנידון דידן שאינו שייך כלל למצות נר חנוכה". אולם בהמשך דבריו כתב: "אמנם מיראי הוראה אני, ונראה לי שהראוי להורות להלכה ולמעשה שלא יברך פעם אחרת, כיון שהנר הנוסף מענין הדלקת נר חנוכה, שבא לגדר ולסייג שלהם, והוי ליה קצת צורך למצוה, וספק ברכות להקל".</w:t>
      </w:r>
    </w:p>
    <w:p w14:paraId="288A744F" w14:textId="77777777" w:rsidR="00D4385E" w:rsidRDefault="00D4385E" w:rsidP="00423C6D">
      <w:pPr>
        <w:pStyle w:val="a2"/>
        <w:rPr>
          <w:rtl/>
        </w:rPr>
      </w:pPr>
      <w:r>
        <w:rPr>
          <w:rFonts w:hint="cs"/>
          <w:rtl/>
        </w:rPr>
        <w:lastRenderedPageBreak/>
        <w:t>וכן פסק בילקוט יוסף (או"ח סי' תרעו סע' ז) בנדון דידן: "לא יברך פעם שניה, אלא ידליק נרות החיוב על סמך ברכתו. דאף שהוא כהפסק שנר השָמַש חשיב כנר של חול לגמרי, שאין לו שייכות למצוה עצמה ושהה אם כן יותר מכדי דיבור. מכל מקום כיון שנר השָמַש הוא מענין הדלקת נר חנוכה, שבא לגדר וסייג של נרות חנוכה, הוה ליה קצת הפסק לצורך מצוה, ולפיכך לא יחזור לברך".</w:t>
      </w:r>
    </w:p>
    <w:p w14:paraId="4BB6694D" w14:textId="3D1F61BF" w:rsidR="00D4385E" w:rsidRPr="00D4385E" w:rsidRDefault="00D4385E" w:rsidP="00423C6D">
      <w:pPr>
        <w:pStyle w:val="a2"/>
        <w:rPr>
          <w:sz w:val="22"/>
          <w:szCs w:val="22"/>
          <w:rtl/>
        </w:rPr>
      </w:pPr>
      <w:r>
        <w:rPr>
          <w:rFonts w:hint="cs"/>
          <w:rtl/>
        </w:rPr>
        <w:t>וכיוצא בזה הובא בקובץ פסקי הלכות רבי שמואל קמינצקי (חנוכה פ"ו סע' יב) "מי שבירך על ההדלקה וטעה והדליק את הנר הנוסף [השָמַש] קודם שהדליק הנרות של מצוה, אף שאין השָמַש נחשב לנר של מצוה כיון שהדלקתו היה בטעות, אפילו הכי לא נחשב להפסק בין הברכה להדלקת נרות של מצוה, ואין לו לחזור ולברך". בנימוק ש"כל כהאי גונא שעוסק בהמצוה לא חשיבא הפסק, ואף שהדלקת השָמַש לאו מצוה היא הא על כל פנים הוא מענין ההדלקה, שהוא גם בשביל ההדלקה" (שם ס"ק כ).</w:t>
      </w:r>
    </w:p>
    <w:p w14:paraId="2FF27C86" w14:textId="77777777" w:rsidR="00D4385E" w:rsidRDefault="00D4385E" w:rsidP="00423C6D">
      <w:pPr>
        <w:pStyle w:val="11"/>
        <w:bidi/>
        <w:rPr>
          <w:sz w:val="22"/>
          <w:szCs w:val="22"/>
          <w:rtl/>
        </w:rPr>
      </w:pPr>
      <w:r>
        <w:rPr>
          <w:rFonts w:hint="cs"/>
          <w:rtl/>
        </w:rPr>
        <w:t>ענף ג</w:t>
      </w:r>
    </w:p>
    <w:p w14:paraId="27590669" w14:textId="6E702843" w:rsidR="00D4385E" w:rsidRPr="00D4385E" w:rsidRDefault="00D4385E" w:rsidP="00423C6D">
      <w:pPr>
        <w:pStyle w:val="11"/>
        <w:bidi/>
        <w:rPr>
          <w:rtl/>
        </w:rPr>
      </w:pPr>
      <w:r>
        <w:rPr>
          <w:rFonts w:hint="cs"/>
          <w:rtl/>
        </w:rPr>
        <w:t xml:space="preserve">האם יש קדושה בנר ה"שָמַש" </w:t>
      </w:r>
    </w:p>
    <w:p w14:paraId="1D57B7FF" w14:textId="77777777" w:rsidR="00D4385E" w:rsidRDefault="00D4385E" w:rsidP="00423C6D">
      <w:pPr>
        <w:pStyle w:val="a2"/>
        <w:rPr>
          <w:rtl/>
        </w:rPr>
      </w:pPr>
      <w:r>
        <w:rPr>
          <w:rFonts w:hint="cs"/>
          <w:b/>
          <w:bCs/>
          <w:rtl/>
        </w:rPr>
        <w:t>יג.</w:t>
      </w:r>
      <w:r>
        <w:rPr>
          <w:rFonts w:hint="cs"/>
          <w:rtl/>
        </w:rPr>
        <w:t xml:space="preserve"> בספר קב הישר (פרק צו) כתב: "מספר הנרות של חנוכה הם ל"ו, ושמונה שָמַשים, ומנהגם של ישראל תורה, שהמנהג ליתן את השָמַש המדליק למעלה מהנרות של חנוכה. ורמז לדבר "שרפים עומדים ממעל ל"ו". </w:t>
      </w:r>
      <w:r>
        <w:rPr>
          <w:rFonts w:hint="cs"/>
          <w:b/>
          <w:bCs/>
          <w:rtl/>
        </w:rPr>
        <w:t>ואם כן לפי זה יש קדושה גדולה גם כן בנרות של השָמַשים,</w:t>
      </w:r>
      <w:r>
        <w:rPr>
          <w:rFonts w:hint="cs"/>
          <w:rtl/>
        </w:rPr>
        <w:t xml:space="preserve"> אשר הם קצת גדולים מן הנר של חנוכה, שנר השָמַש הוא דוגמת הכהן שהיה מדליק נרות בבית המקדש, ודוגמת שרפי מעלה המדליקים בוצינין קדישין שיאירו פני כסא כבודו יתברך".</w:t>
      </w:r>
    </w:p>
    <w:p w14:paraId="493A80E9" w14:textId="77777777" w:rsidR="00D4385E" w:rsidRDefault="00D4385E" w:rsidP="00423C6D">
      <w:pPr>
        <w:pStyle w:val="a2"/>
        <w:rPr>
          <w:rtl/>
        </w:rPr>
      </w:pPr>
      <w:r>
        <w:rPr>
          <w:rFonts w:hint="cs"/>
          <w:rtl/>
        </w:rPr>
        <w:t xml:space="preserve">והדברים מבוארים היטב לפי האמור לעיל, שאם הסיבה להדלקת הנר הנוסף היא בגלל הצורך שיהיה </w:t>
      </w:r>
      <w:r>
        <w:rPr>
          <w:rFonts w:hint="cs"/>
          <w:b/>
          <w:bCs/>
          <w:rtl/>
        </w:rPr>
        <w:t>היכר</w:t>
      </w:r>
      <w:r>
        <w:rPr>
          <w:rFonts w:hint="cs"/>
          <w:rtl/>
        </w:rPr>
        <w:t xml:space="preserve"> שהנר הודלק לשם מצוה, ממילא הדלקת השָמַש היא </w:t>
      </w:r>
      <w:r>
        <w:rPr>
          <w:rFonts w:hint="cs"/>
          <w:b/>
          <w:bCs/>
          <w:rtl/>
        </w:rPr>
        <w:t xml:space="preserve">חלק ממצות הדלקת נר חנוכה, </w:t>
      </w:r>
      <w:r>
        <w:rPr>
          <w:rFonts w:hint="cs"/>
          <w:rtl/>
        </w:rPr>
        <w:t>ולכן ניתן לומר שיש קדושה גם בנר השָמַש.</w:t>
      </w:r>
    </w:p>
    <w:p w14:paraId="64704B3A" w14:textId="77777777" w:rsidR="00D4385E" w:rsidRDefault="00D4385E" w:rsidP="00423C6D">
      <w:pPr>
        <w:pStyle w:val="a2"/>
        <w:rPr>
          <w:rtl/>
        </w:rPr>
      </w:pPr>
      <w:r>
        <w:rPr>
          <w:rFonts w:hint="cs"/>
          <w:rtl/>
        </w:rPr>
        <w:t xml:space="preserve">ואמנם מצינו מחלוקת האם מותר להשתמש לכתחילה לאור השָמַש. המג"א (סי' תרעג ס"ק ד) כתב: "דאפילו שיש שָמַש אצל הנרות, צריך נר על השלחן שלא יאמרו לצורכו הדליקן", ודבריו הובאו בביאור הלכה (סי' תרעג סע' א ד"ה שאם) שהוסיף: "עיין בפרי מגדים שפירש, דאף נגד אור נוסף או שָמַש גם כן אסור לכתחילה להשתמש לאורם". ועל כך כתב הביאור הלכה: "והמעיין ברבינו ירוחם שהובא בבית יוסף לא משמע כן, אלא דנגד השָמַש כשמניחו בפני עצמו רחוק קצת מהנר מותר להשתמש נגדו, וכן כתב במחצית השקל בביאור דברי המג"א, ע"ש. אחר כך מצאתי </w:t>
      </w:r>
      <w:r>
        <w:rPr>
          <w:rFonts w:hint="cs"/>
          <w:rtl/>
        </w:rPr>
        <w:lastRenderedPageBreak/>
        <w:t xml:space="preserve">באליה רבה שהסכים גם כן לדינא דנגד השָמַש מותר להשתמש". ועל פי האמור מבוארת מחלוקת זו: אם הדלקת השָמַש היא </w:t>
      </w:r>
      <w:r>
        <w:rPr>
          <w:rFonts w:hint="cs"/>
          <w:b/>
          <w:bCs/>
          <w:rtl/>
        </w:rPr>
        <w:t xml:space="preserve">חלק ממצות הדלקת נר חנוכה, </w:t>
      </w:r>
      <w:r>
        <w:rPr>
          <w:rFonts w:hint="cs"/>
          <w:rtl/>
        </w:rPr>
        <w:t>אז</w:t>
      </w:r>
      <w:r>
        <w:rPr>
          <w:rFonts w:hint="cs"/>
          <w:b/>
          <w:bCs/>
          <w:rtl/>
        </w:rPr>
        <w:t xml:space="preserve"> </w:t>
      </w:r>
      <w:r>
        <w:rPr>
          <w:rFonts w:hint="cs"/>
          <w:rtl/>
        </w:rPr>
        <w:t xml:space="preserve">יש קדושה גם בנר השָמַש, ולכן ברורה דעת האוסרים לכתחילה להשתמש לאור השָמַש. אבל אם הדלקת השָמַש נובעת מחמת האיסור להשתמש לאור הנרות, ואז השָמַש </w:t>
      </w:r>
      <w:r>
        <w:rPr>
          <w:rFonts w:hint="cs"/>
          <w:b/>
          <w:bCs/>
          <w:rtl/>
        </w:rPr>
        <w:t>אינו חלק ממצות הדלקת נר חנוכה</w:t>
      </w:r>
      <w:r>
        <w:rPr>
          <w:rFonts w:hint="cs"/>
          <w:rtl/>
        </w:rPr>
        <w:t xml:space="preserve"> ואין בו כל קדושה, פשיטא שאין כל איסור להשתמש לאורו.</w:t>
      </w:r>
    </w:p>
    <w:p w14:paraId="4302CF14" w14:textId="77777777" w:rsidR="00D4385E" w:rsidRDefault="00D4385E" w:rsidP="00423C6D">
      <w:pPr>
        <w:pStyle w:val="a2"/>
        <w:rPr>
          <w:rtl/>
        </w:rPr>
      </w:pPr>
      <w:r>
        <w:rPr>
          <w:rFonts w:hint="cs"/>
          <w:rtl/>
        </w:rPr>
        <w:t>ואכן ראיתי בפסקי תשובות (סי' תרעג ס"ק ז) שהביא את דברי ספר קב הישר "יש קדושה גדולה גם כן בנרות של השָמַשים", וכתב: "ומכאן עוד סיבה לחשוש לפסקו של המגן אברהם על פי פירושו של הפרי מגדים (הובאו דבריו בביאור הלכה ד"ה שאם) שגם נגד אור השָמַש אסור לכתחילה להשתמש וליהנות, כי גם בו יש קדושה".</w:t>
      </w:r>
    </w:p>
    <w:p w14:paraId="5DCF1864" w14:textId="77777777" w:rsidR="00D4385E" w:rsidRDefault="00D4385E" w:rsidP="00423C6D">
      <w:pPr>
        <w:pStyle w:val="a2"/>
        <w:rPr>
          <w:rtl/>
        </w:rPr>
      </w:pPr>
      <w:r>
        <w:rPr>
          <w:rFonts w:hint="cs"/>
          <w:rtl/>
        </w:rPr>
        <w:t>לשאלה יסודית זו, האם הדלקת השָמַש היא חלק ממצות הדלקת נר חנוכה וממילא יש קדושה גם בנר השָמַש, יש השלכות נוספות. לדוגמא, האם אפשר להשתמש בשָמַש בנר חשמלי, כי לדעת הפוסקים הסוברים שאין להדליק את נרות החנוכה בחשמל. ואם אמנם השָמַש הוא חלק ממצות ההדלקה, הרי לשיטתם כשם שיש להימנע מהדלקת נרות חנוכה בחשמל, כן הדין שאין להשתמש לנר השָמַש בנר חשמלי. אולם אם השָמַש אינו חלק ממצות ההדלקה, אין סיבה להימנע מהדלקת השָמַש בנר חשמלי.</w:t>
      </w:r>
    </w:p>
    <w:p w14:paraId="0D95D325" w14:textId="5797C98B" w:rsidR="00D4385E" w:rsidRDefault="00D4385E" w:rsidP="00423C6D">
      <w:pPr>
        <w:pStyle w:val="a2"/>
        <w:rPr>
          <w:rtl/>
        </w:rPr>
      </w:pPr>
      <w:r>
        <w:rPr>
          <w:rFonts w:hint="cs"/>
          <w:rtl/>
        </w:rPr>
        <w:t>ודוגמא נוספת, האם כשמדליקים כמה חנוכיות בבית אחד, ניתן להדליק נר "שָמַש" אחד לכל החנוכיות. בספר אורחות רבנו הקהילות יעקב (ח"ב חנוכה אות עו) הובא: "ראיתי אצל מורי ורבי [הסטייפלער] שהיה שָמַש משותף לו ולחתן בתו שהדליק בסמוך לחנוכיה של מו"ר לפי הוראת מו"ר. ועי' במשנה ברורה סי' תרעג ס"ק יח, דמשמע דאם מדליק במקום אחד, די בשָמַש אחד". ונראה שאם השָמַש הוא חלק ממצות ההדלקה ויש בו קדושה, מסתבר שכל אחת מהחנוכיות צריכה שָמַש בפני עצמה. אולם אם השָמַש אינו חלק ממצות ההדלקה ואין בו קדושה, לכאורה אין טעם להצריך שָמַש לכל אחת מהחנוכיות.</w:t>
      </w:r>
    </w:p>
    <w:p w14:paraId="47D1F175" w14:textId="77777777" w:rsidR="00D4385E" w:rsidRDefault="00D4385E" w:rsidP="00423C6D">
      <w:pPr>
        <w:pStyle w:val="11"/>
        <w:bidi/>
        <w:rPr>
          <w:rtl/>
        </w:rPr>
      </w:pPr>
      <w:r>
        <w:rPr>
          <w:rFonts w:hint="cs"/>
          <w:rtl/>
        </w:rPr>
        <w:t>'הנרות הללו' - קודם הדלקת השָמַש או רק לאחר הדלקתו.</w:t>
      </w:r>
    </w:p>
    <w:p w14:paraId="5C28E620" w14:textId="77777777" w:rsidR="00D4385E" w:rsidRDefault="00D4385E" w:rsidP="00423C6D">
      <w:pPr>
        <w:pStyle w:val="a2"/>
        <w:rPr>
          <w:b/>
          <w:bCs/>
          <w:rtl/>
        </w:rPr>
      </w:pPr>
      <w:r>
        <w:rPr>
          <w:rFonts w:hint="cs"/>
          <w:b/>
          <w:bCs/>
          <w:rtl/>
        </w:rPr>
        <w:t xml:space="preserve">יד. </w:t>
      </w:r>
      <w:r>
        <w:rPr>
          <w:rFonts w:hint="cs"/>
          <w:rtl/>
        </w:rPr>
        <w:t>ממוצא הדברים מבוארת מחלוקת הפוסקים האם אומרים את הפזמון 'הנרות הללו', קודם הדלקת השָמַש או רק לאחר הדלקתו.</w:t>
      </w:r>
    </w:p>
    <w:p w14:paraId="2811448D" w14:textId="77777777" w:rsidR="00D4385E" w:rsidRDefault="00D4385E" w:rsidP="00423C6D">
      <w:pPr>
        <w:pStyle w:val="a2"/>
        <w:rPr>
          <w:rtl/>
        </w:rPr>
      </w:pPr>
      <w:r>
        <w:rPr>
          <w:rFonts w:hint="cs"/>
          <w:rtl/>
        </w:rPr>
        <w:t xml:space="preserve">בשו"ת רבבות אפרים (ח"ד או"ח סימן קס) נשאל האם צריך להקפיד לומר </w:t>
      </w:r>
      <w:r>
        <w:rPr>
          <w:rFonts w:hint="cs"/>
          <w:rtl/>
        </w:rPr>
        <w:lastRenderedPageBreak/>
        <w:t xml:space="preserve">'הנרות הללו' קודם הדלקת השָמַש בדווקא "אחרת נראה שגם כן השָמַש קודש, ואסור להשתמש לאורו". כלומר, מנוסח הפיוט "הַנֵּרוֹת הַלָּלוּ </w:t>
      </w:r>
      <w:r>
        <w:rPr>
          <w:rFonts w:hint="cs"/>
          <w:b/>
          <w:bCs/>
          <w:rtl/>
        </w:rPr>
        <w:t>קֹדֶשׁ הֵם</w:t>
      </w:r>
      <w:r>
        <w:rPr>
          <w:rFonts w:hint="cs"/>
          <w:rtl/>
        </w:rPr>
        <w:t xml:space="preserve">, </w:t>
      </w:r>
      <w:r>
        <w:rPr>
          <w:rFonts w:hint="cs"/>
          <w:b/>
          <w:bCs/>
          <w:rtl/>
        </w:rPr>
        <w:t>וְאֵין לָנוּ רְשׁוּת לְהִשְׁתַּמֵּשׁ בָּהֶם</w:t>
      </w:r>
      <w:r>
        <w:rPr>
          <w:rFonts w:hint="cs"/>
          <w:rtl/>
        </w:rPr>
        <w:t xml:space="preserve">, אֶלָּא לִרְאוֹתָם בִּלְבָד", משמע </w:t>
      </w:r>
      <w:r>
        <w:rPr>
          <w:rFonts w:hint="cs"/>
          <w:b/>
          <w:bCs/>
          <w:rtl/>
        </w:rPr>
        <w:t>שכל</w:t>
      </w:r>
      <w:r>
        <w:rPr>
          <w:rFonts w:hint="cs"/>
          <w:rtl/>
        </w:rPr>
        <w:t xml:space="preserve"> הנרות שהדליק הן "קודש". ואם יאמר זאת לאחר שהדליק את השָמַש יהיה נראה כאילו גם השָמַש בכלל הנרות שהן "</w:t>
      </w:r>
      <w:r>
        <w:rPr>
          <w:rFonts w:hint="cs"/>
          <w:b/>
          <w:bCs/>
          <w:rtl/>
        </w:rPr>
        <w:t>קודש</w:t>
      </w:r>
      <w:r>
        <w:rPr>
          <w:rFonts w:hint="cs"/>
          <w:rtl/>
        </w:rPr>
        <w:t>" ואין רשות להשתמש בו - וזה לכאורה אינו נכון, שהרי השָמַש אינו קדוש והדלקתו נועדה לאפשר את השימוש לאור הנרות, כמפורש בדברי הרמ"א (סי' תרעג סע' א). ומוכח איפוא, שצריך להקפיד לומר 'הנרות הללו' דווקא קודם הדלקת השָמַש, כדי להבדיל בין הנרות שהדליק שהן קודש, לשאר הנרות שאינן קדושים. והרבבות אפרים, דחה את דברי השואל וכתב: "נראה לי דלא כן, כי זה נוסח הלשון בלשון רבים, ולא עולה על השָמַש ויכול להשתמש לאורה". והיינו שניתן לפרש את דברי הפייטן 'הנרות הללו' כאמירה כללית בלשון רבים על מהות הנרות שמדליק בימי החנוכה, ולאו דווקא על הנרות שעתה מדליק. ולכן אפילו אם יאמר 'הנרות הללו' לאחר שהדליק את השָמַש, אין כוונתו לומר שכל הנרות שהדליק והשָמַש בכללם קודש הן, אלא כוונתו לומר באופן כללי שנרות חנוכה הן קודש.</w:t>
      </w:r>
    </w:p>
    <w:p w14:paraId="397F906B" w14:textId="77777777" w:rsidR="00D4385E" w:rsidRDefault="00D4385E" w:rsidP="00423C6D">
      <w:pPr>
        <w:pStyle w:val="a2"/>
        <w:rPr>
          <w:rtl/>
        </w:rPr>
      </w:pPr>
      <w:r>
        <w:rPr>
          <w:rFonts w:hint="cs"/>
          <w:rtl/>
        </w:rPr>
        <w:t>אולם בספר אורחות רבנו הקהילות יעקב (ח"ב חנוכה אות עז) הובא כי הסטייפלער נהג "לומר הנרות הללו אחר שגומר להדליק את כל הנרות והשָמַש". וזאת משום שסבר שגם בשָמַש יש קדושה, והוא חלק מהדלקת הנרות – ולכן צריך לומר 'הנרות הללו' רק לאחר שסיים את הדלקת כל הנרות, ובכללם השָמַש.</w:t>
      </w:r>
    </w:p>
    <w:p w14:paraId="6DD41F60" w14:textId="77777777" w:rsidR="00D4385E" w:rsidRDefault="00D4385E" w:rsidP="00423C6D">
      <w:pPr>
        <w:pStyle w:val="a2"/>
        <w:rPr>
          <w:rtl/>
        </w:rPr>
      </w:pPr>
      <w:r>
        <w:rPr>
          <w:rFonts w:hint="cs"/>
          <w:rtl/>
        </w:rPr>
        <w:t xml:space="preserve">לעומתם,  בקובץ אור ישראל (מונסי, חלק לח עמ' קב) נשאל הגר"ח קנייבסקי מה כוונת המשנ"ב (סי' תרעו ס"ק ח) שכתב "מי שנוהג לומר 'הנרות הללו' לאחר </w:t>
      </w:r>
      <w:r>
        <w:rPr>
          <w:rFonts w:hint="cs"/>
          <w:b/>
          <w:bCs/>
          <w:rtl/>
        </w:rPr>
        <w:t>שהדליק הכל</w:t>
      </w:r>
      <w:r>
        <w:rPr>
          <w:rFonts w:hint="cs"/>
          <w:rtl/>
        </w:rPr>
        <w:t xml:space="preserve"> נמי שפיר דמי", האם גם נר השָמַש, או שכוונת המשנ"ב על שאר הנרות, אבל לא השָמַש, שזה צריך להדליק לכו"ע אחרי אמירת 'הנרות הללו". והגר"ח השיב בקצרה: "השָמַש אינו חיוב הדלקה, רק כדי שלא יהנו". ונראה מדבריו שצריך לדקדק לומר 'הנרות הללו' קודם שמדליק את השָמַש, ולא לאחר שהדליקו, כי השָמַש אינו נר שחייבים להדליקו, כיֶתר נרות האחרים שהדליק.</w:t>
      </w:r>
    </w:p>
    <w:p w14:paraId="7BB403FA" w14:textId="751BCA69" w:rsidR="00D4385E" w:rsidRPr="00D4385E" w:rsidRDefault="00D4385E" w:rsidP="00423C6D">
      <w:pPr>
        <w:pStyle w:val="a2"/>
        <w:rPr>
          <w:rtl/>
        </w:rPr>
      </w:pPr>
      <w:r>
        <w:rPr>
          <w:rFonts w:hint="cs"/>
          <w:rtl/>
        </w:rPr>
        <w:t xml:space="preserve">ונראה כי השאלה האם אומרים את הפזמון 'הנרות הללו' קודם הדלקת השָמַש או רק לאחר הדלקתו, תלויה בטעמים להדלקת השָמַש. אם סיבת ההדלקה מחמת </w:t>
      </w:r>
      <w:r>
        <w:rPr>
          <w:rFonts w:hint="cs"/>
          <w:b/>
          <w:bCs/>
          <w:rtl/>
        </w:rPr>
        <w:t>האיסור להשתמש לאור הנרות</w:t>
      </w:r>
      <w:r>
        <w:rPr>
          <w:rFonts w:hint="cs"/>
          <w:rtl/>
        </w:rPr>
        <w:t xml:space="preserve">, ונר זה </w:t>
      </w:r>
      <w:r>
        <w:rPr>
          <w:rFonts w:hint="cs"/>
          <w:b/>
          <w:bCs/>
          <w:rtl/>
        </w:rPr>
        <w:t>אינו חלק ממצות הדלקת נר חנוכה</w:t>
      </w:r>
      <w:r>
        <w:rPr>
          <w:rFonts w:hint="cs"/>
          <w:rtl/>
        </w:rPr>
        <w:t xml:space="preserve">, ואין בו כל קדושה, ברור כי יאמר 'הנרות הללו' קודם שמדליק את השָמַש, היות ואינו בכלל הנרות הללו שהם "קודש". אולם אם טעם הדלקת הנר הנוסף הוא בגלל הצורך שיהיה </w:t>
      </w:r>
      <w:r>
        <w:rPr>
          <w:rFonts w:hint="cs"/>
          <w:b/>
          <w:bCs/>
          <w:rtl/>
        </w:rPr>
        <w:t>היכר</w:t>
      </w:r>
      <w:r>
        <w:rPr>
          <w:rFonts w:hint="cs"/>
          <w:rtl/>
        </w:rPr>
        <w:t xml:space="preserve"> שהנר הודלק לשם מצוה, והדלקת השָמַש היא </w:t>
      </w:r>
      <w:r>
        <w:rPr>
          <w:rFonts w:hint="cs"/>
          <w:b/>
          <w:bCs/>
          <w:rtl/>
        </w:rPr>
        <w:t>חלק ממצות הדלקת נר חנוכה ויש בהם קדושה</w:t>
      </w:r>
      <w:r>
        <w:rPr>
          <w:rFonts w:hint="cs"/>
          <w:rtl/>
        </w:rPr>
        <w:t>, ימתין עד לאחר הדלקת השָמַש שגם בו יש קדושה, ואז יאמר 'הנרות הללו קודש הם' ויכוון גם על השָמַש שיש בו קדושה.</w:t>
      </w:r>
    </w:p>
    <w:p w14:paraId="440994EB" w14:textId="77777777" w:rsidR="00D4385E" w:rsidRPr="00D4385E" w:rsidRDefault="00D4385E" w:rsidP="00423C6D">
      <w:pPr>
        <w:pStyle w:val="a2"/>
        <w:rPr>
          <w:rtl/>
        </w:rPr>
      </w:pPr>
      <w:r w:rsidRPr="00D4385E">
        <w:rPr>
          <w:rFonts w:hint="cs"/>
          <w:b/>
          <w:bCs/>
          <w:rtl/>
        </w:rPr>
        <w:lastRenderedPageBreak/>
        <w:t>לסיכום:</w:t>
      </w:r>
      <w:r w:rsidRPr="00D4385E">
        <w:rPr>
          <w:rFonts w:hint="cs"/>
          <w:rtl/>
        </w:rPr>
        <w:t xml:space="preserve"> בדברי הראשונים נאמרו שני טעמים להדלקת נר בנוסף לנרות החנוכה, או בשל האיסור להשתמש לאור הנרות, או בשל הצורך שיהיה היכר שהנר הודלק לשם מצוה. ונפקא מינא בין הטעמים, האם יש צורך להשתמש בשָמַש כשיש תאורת חשמל ואינו נהנה מאור הנרות,  או כאשר מדליק בפתח הבית ואינו נהנה מאור הנרות. ומה המקום הראוי להדלקת הנר הנוסף - במקום נפרד מנרות המצווה או בסמיכות אליהם.</w:t>
      </w:r>
    </w:p>
    <w:p w14:paraId="188B420A" w14:textId="3EA2C207" w:rsidR="00D4385E" w:rsidRPr="00D4385E" w:rsidRDefault="00D4385E" w:rsidP="00423C6D">
      <w:pPr>
        <w:pStyle w:val="a2"/>
        <w:rPr>
          <w:rtl/>
        </w:rPr>
      </w:pPr>
      <w:r w:rsidRPr="00D4385E">
        <w:rPr>
          <w:rFonts w:hint="cs"/>
          <w:rtl/>
        </w:rPr>
        <w:t>ונתבאר בעומק טעמים אלו כי זו בעצם שאלה יסודית בגדר מהות הצורך ב"שָמַש" - האם הוא חלק ממצות הדלקת נר חנוכה ויש בו קדושה, או לא. והנפקא מינות הן: האם יש איסור להשתמש לאורו, וכן האם מותרת הדלקת נר חשמלי כשָמַש, וכמו כן האם די בשָמַש אחד למספר חנוכיות, ומתי יש לומר את הפיוט "הנרות הללו" - קודם או אחר הדלקת השָמַש.</w:t>
      </w:r>
    </w:p>
    <w:p w14:paraId="584437D8" w14:textId="77777777" w:rsidR="00196006" w:rsidRPr="00347933" w:rsidRDefault="00196006" w:rsidP="000B6EE8">
      <w:pPr>
        <w:pStyle w:val="a4"/>
        <w:spacing w:after="0"/>
        <w:sectPr w:rsidR="0019600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82049EA" w14:textId="204AE04D" w:rsidR="00CA16C9" w:rsidRPr="00816DEC" w:rsidRDefault="00CA16C9" w:rsidP="00CA16C9">
      <w:pPr>
        <w:pStyle w:val="a"/>
        <w:rPr>
          <w:rtl/>
        </w:rPr>
      </w:pPr>
      <w:bookmarkStart w:id="182" w:name="_Toc531140419"/>
      <w:r w:rsidRPr="00816DEC">
        <w:rPr>
          <w:rFonts w:hint="cs"/>
          <w:rtl/>
        </w:rPr>
        <w:t>הזמנה לחתונה</w:t>
      </w:r>
      <w:bookmarkEnd w:id="182"/>
    </w:p>
    <w:p w14:paraId="53ACEABD" w14:textId="04595BAA" w:rsidR="00CA16C9" w:rsidRPr="008307D7" w:rsidRDefault="00BA4997" w:rsidP="00C40DBA">
      <w:pPr>
        <w:pStyle w:val="a0"/>
        <w:rPr>
          <w:rtl/>
        </w:rPr>
      </w:pPr>
      <w:bookmarkStart w:id="183" w:name="_Toc531140420"/>
      <w:r>
        <w:rPr>
          <w:rFonts w:hint="cs"/>
          <w:rtl/>
          <w:lang w:bidi="he-IL"/>
        </w:rPr>
        <w:t>הת</w:t>
      </w:r>
      <w:r>
        <w:rPr>
          <w:rFonts w:hint="cs"/>
          <w:rtl/>
        </w:rPr>
        <w:t xml:space="preserve">' </w:t>
      </w:r>
      <w:r w:rsidR="00CA16C9" w:rsidRPr="008307D7">
        <w:rPr>
          <w:rFonts w:hint="cs"/>
          <w:rtl/>
          <w:lang w:bidi="he-IL"/>
        </w:rPr>
        <w:t>מנחם מענדל רייטפארט</w:t>
      </w:r>
      <w:bookmarkEnd w:id="183"/>
    </w:p>
    <w:p w14:paraId="1651CAD8" w14:textId="419FBEDA" w:rsidR="00464AFE" w:rsidRPr="00464AFE" w:rsidRDefault="00BA4997" w:rsidP="00464AFE">
      <w:pPr>
        <w:pStyle w:val="a1"/>
        <w:rPr>
          <w:rtl/>
          <w:lang w:val="en-GB"/>
        </w:rPr>
      </w:pPr>
      <w:r>
        <w:rPr>
          <w:rFonts w:hint="cs"/>
          <w:rtl/>
          <w:lang w:val="en-GB"/>
        </w:rPr>
        <w:t>תלמיד בישיבה</w:t>
      </w:r>
    </w:p>
    <w:p w14:paraId="2BB6455B" w14:textId="77777777" w:rsidR="00CA16C9" w:rsidRPr="00EF7430" w:rsidRDefault="00CA16C9" w:rsidP="00423C6D">
      <w:pPr>
        <w:pStyle w:val="a2"/>
        <w:rPr>
          <w:rtl/>
        </w:rPr>
      </w:pPr>
      <w:r w:rsidRPr="00EF7430">
        <w:rPr>
          <w:rFonts w:hint="cs"/>
          <w:rtl/>
        </w:rPr>
        <w:t>מרגלא בפומי דאינשי שאין להזמין לברית מילה. מקור הדברים הוא מהמובא בפסחים</w:t>
      </w:r>
      <w:r>
        <w:rPr>
          <w:rStyle w:val="FootnoteReference"/>
          <w:rtl/>
        </w:rPr>
        <w:footnoteReference w:id="122"/>
      </w:r>
      <w:r w:rsidRPr="00EF7430">
        <w:rPr>
          <w:rFonts w:hint="cs"/>
          <w:rtl/>
        </w:rPr>
        <w:t xml:space="preserve"> "</w:t>
      </w:r>
      <w:r>
        <w:rPr>
          <w:rFonts w:hint="cs"/>
          <w:rtl/>
        </w:rPr>
        <w:t xml:space="preserve">שבעה מנודין לשמים . </w:t>
      </w:r>
      <w:r w:rsidRPr="00EF7430">
        <w:rPr>
          <w:rFonts w:hint="cs"/>
          <w:rtl/>
        </w:rPr>
        <w:t>. וי"א אף מי שאינו מיסב בחבורה של מצוה", ופי' הרשב"ם</w:t>
      </w:r>
      <w:r>
        <w:rPr>
          <w:rFonts w:hint="cs"/>
          <w:rtl/>
        </w:rPr>
        <w:t xml:space="preserve"> בד"ה</w:t>
      </w:r>
      <w:r w:rsidRPr="00EF7430">
        <w:rPr>
          <w:rFonts w:hint="cs"/>
          <w:rtl/>
        </w:rPr>
        <w:t xml:space="preserve"> בחבורת מצוה</w:t>
      </w:r>
      <w:r>
        <w:rPr>
          <w:rFonts w:hint="cs"/>
          <w:rtl/>
        </w:rPr>
        <w:t xml:space="preserve"> "</w:t>
      </w:r>
      <w:r w:rsidRPr="00EF7430">
        <w:rPr>
          <w:rFonts w:hint="cs"/>
          <w:rtl/>
        </w:rPr>
        <w:t>כגון משתה של ברית מילה ובת כהן לכהן", וכ</w:t>
      </w:r>
      <w:r>
        <w:rPr>
          <w:rFonts w:hint="cs"/>
          <w:rtl/>
        </w:rPr>
        <w:t>"כ</w:t>
      </w:r>
      <w:r w:rsidRPr="00EF7430">
        <w:rPr>
          <w:rFonts w:hint="cs"/>
          <w:rtl/>
        </w:rPr>
        <w:t xml:space="preserve"> התוס'</w:t>
      </w:r>
      <w:r>
        <w:rPr>
          <w:rStyle w:val="FootnoteReference"/>
          <w:rtl/>
        </w:rPr>
        <w:footnoteReference w:id="123"/>
      </w:r>
      <w:r w:rsidRPr="00EF7430">
        <w:rPr>
          <w:rFonts w:hint="cs"/>
          <w:rtl/>
        </w:rPr>
        <w:t xml:space="preserve"> </w:t>
      </w:r>
      <w:r>
        <w:rPr>
          <w:rFonts w:hint="cs"/>
          <w:rtl/>
        </w:rPr>
        <w:t xml:space="preserve">בד"ה </w:t>
      </w:r>
      <w:r w:rsidRPr="00EF7430">
        <w:rPr>
          <w:rFonts w:hint="cs"/>
          <w:rtl/>
        </w:rPr>
        <w:t>ואין מיסב בחבורת מצוה</w:t>
      </w:r>
      <w:r>
        <w:rPr>
          <w:rFonts w:hint="cs"/>
          <w:rtl/>
        </w:rPr>
        <w:t xml:space="preserve"> "היינו סעודת</w:t>
      </w:r>
      <w:r w:rsidRPr="00EF7430">
        <w:rPr>
          <w:rFonts w:hint="cs"/>
          <w:rtl/>
        </w:rPr>
        <w:t xml:space="preserve"> מילה דאמר במדרש דניצול מדינה של גיהנם, וסעודת נישוא</w:t>
      </w:r>
      <w:r>
        <w:rPr>
          <w:rFonts w:hint="cs"/>
          <w:rtl/>
        </w:rPr>
        <w:t>י</w:t>
      </w:r>
      <w:r w:rsidRPr="00EF7430">
        <w:rPr>
          <w:rFonts w:hint="cs"/>
          <w:rtl/>
        </w:rPr>
        <w:t>ן בת"ח ובת כהן לכהן". כמו"כ מובא דין זה להלכה</w:t>
      </w:r>
      <w:r>
        <w:rPr>
          <w:rStyle w:val="FootnoteReference"/>
          <w:rtl/>
        </w:rPr>
        <w:footnoteReference w:id="124"/>
      </w:r>
      <w:r w:rsidRPr="00EF7430">
        <w:rPr>
          <w:rFonts w:hint="cs"/>
          <w:rtl/>
        </w:rPr>
        <w:t>, והרבה כתבו ע"ז</w:t>
      </w:r>
      <w:r>
        <w:rPr>
          <w:rStyle w:val="FootnoteReference"/>
          <w:rtl/>
        </w:rPr>
        <w:footnoteReference w:id="125"/>
      </w:r>
      <w:r w:rsidRPr="00EF7430">
        <w:rPr>
          <w:rFonts w:hint="cs"/>
          <w:rtl/>
        </w:rPr>
        <w:t xml:space="preserve"> שמטעם זה אין להזמין לברית מילה מי שידוע שלא יבא "כדי שלא יהא ח"ו כמנודה לשמים"</w:t>
      </w:r>
      <w:r>
        <w:rPr>
          <w:rStyle w:val="FootnoteReference"/>
          <w:rtl/>
        </w:rPr>
        <w:footnoteReference w:id="126"/>
      </w:r>
      <w:r w:rsidRPr="00EF7430">
        <w:rPr>
          <w:rFonts w:hint="cs"/>
          <w:rtl/>
        </w:rPr>
        <w:t>.</w:t>
      </w:r>
    </w:p>
    <w:p w14:paraId="0A8F6EBB" w14:textId="77777777" w:rsidR="00CA16C9" w:rsidRPr="00EF7430" w:rsidRDefault="00CA16C9" w:rsidP="00423C6D">
      <w:pPr>
        <w:pStyle w:val="a2"/>
        <w:rPr>
          <w:rtl/>
        </w:rPr>
      </w:pPr>
      <w:r w:rsidRPr="00EF7430">
        <w:rPr>
          <w:rFonts w:hint="cs"/>
          <w:rtl/>
        </w:rPr>
        <w:lastRenderedPageBreak/>
        <w:t>ויש לעיין בזה, שהרי הרשב"ם ותוס' הדגישו שדין זה נוהג גם בסעודת נישואין, וראה בכס"מ</w:t>
      </w:r>
      <w:r>
        <w:rPr>
          <w:rFonts w:hint="cs"/>
          <w:rtl/>
        </w:rPr>
        <w:t xml:space="preserve"> הל' עדות</w:t>
      </w:r>
      <w:r>
        <w:rPr>
          <w:rStyle w:val="FootnoteReference"/>
          <w:rtl/>
        </w:rPr>
        <w:footnoteReference w:id="127"/>
      </w:r>
      <w:r>
        <w:rPr>
          <w:rFonts w:hint="cs"/>
          <w:rtl/>
        </w:rPr>
        <w:t xml:space="preserve"> </w:t>
      </w:r>
      <w:r w:rsidRPr="00EF7430">
        <w:rPr>
          <w:rFonts w:hint="cs"/>
          <w:rtl/>
        </w:rPr>
        <w:t>שדין סעודת נישואין וסעודת מצוה הוא בכל מקום שאין ירידה מגדולתו בחתונה זו (ולא רק בנישואי ת"ח), וראה ג"כ במרדכי מס' פסחים</w:t>
      </w:r>
      <w:r>
        <w:rPr>
          <w:rStyle w:val="FootnoteReference"/>
          <w:rtl/>
        </w:rPr>
        <w:footnoteReference w:id="128"/>
      </w:r>
      <w:r w:rsidRPr="00EF7430">
        <w:rPr>
          <w:rFonts w:hint="cs"/>
          <w:rtl/>
        </w:rPr>
        <w:t xml:space="preserve"> שדין סעודת מצוה הוא בכל חתונה ממש, וא"כ צ"ל הא דלא קפדי אינשי מלהזמין לחתונה כמו שמקפידים לברית מילה מחשש מנודה לשמים?</w:t>
      </w:r>
    </w:p>
    <w:p w14:paraId="3B97B807" w14:textId="77777777" w:rsidR="00CA16C9" w:rsidRDefault="00CA16C9" w:rsidP="00423C6D">
      <w:pPr>
        <w:pStyle w:val="a2"/>
        <w:rPr>
          <w:rtl/>
        </w:rPr>
      </w:pPr>
      <w:r w:rsidRPr="00EF7430">
        <w:rPr>
          <w:rFonts w:hint="cs"/>
          <w:rtl/>
        </w:rPr>
        <w:t xml:space="preserve">ויש להוסיף </w:t>
      </w:r>
      <w:r>
        <w:rPr>
          <w:rFonts w:hint="cs"/>
          <w:rtl/>
        </w:rPr>
        <w:t>ו</w:t>
      </w:r>
      <w:r w:rsidRPr="00EF7430">
        <w:rPr>
          <w:rFonts w:hint="cs"/>
          <w:rtl/>
        </w:rPr>
        <w:t>להקשות, שהרי ידוע שגם רבותינו נשיאינו שלחו הזמנות לחתונות שעשו</w:t>
      </w:r>
      <w:r>
        <w:rPr>
          <w:rStyle w:val="FootnoteReference"/>
          <w:rtl/>
        </w:rPr>
        <w:footnoteReference w:id="129"/>
      </w:r>
      <w:r w:rsidRPr="00EF7430">
        <w:rPr>
          <w:rFonts w:hint="cs"/>
          <w:rtl/>
        </w:rPr>
        <w:t xml:space="preserve">, ועד שידוע </w:t>
      </w:r>
      <w:r>
        <w:rPr>
          <w:rFonts w:hint="cs"/>
          <w:rtl/>
        </w:rPr>
        <w:t>ש</w:t>
      </w:r>
      <w:r w:rsidRPr="00EF7430">
        <w:rPr>
          <w:rFonts w:hint="cs"/>
          <w:rtl/>
        </w:rPr>
        <w:t xml:space="preserve">אדמו"ר הריי"ץ שלח (לכה"פ) י"ב הזמנות שונות </w:t>
      </w:r>
      <w:r>
        <w:rPr>
          <w:rFonts w:hint="cs"/>
          <w:rtl/>
        </w:rPr>
        <w:t>לחתונת כ"ק אדמו"ר נשיא דורנו</w:t>
      </w:r>
      <w:r>
        <w:rPr>
          <w:rStyle w:val="FootnoteReference"/>
          <w:rtl/>
        </w:rPr>
        <w:footnoteReference w:id="130"/>
      </w:r>
      <w:r w:rsidRPr="00EF7430">
        <w:rPr>
          <w:rFonts w:hint="cs"/>
          <w:rtl/>
        </w:rPr>
        <w:t xml:space="preserve">, </w:t>
      </w:r>
      <w:r>
        <w:rPr>
          <w:rFonts w:hint="cs"/>
          <w:rtl/>
        </w:rPr>
        <w:t>ולא חששו מלהזמין מחשש מנודה לשמים, וצ"ב הטעם בזה.</w:t>
      </w:r>
    </w:p>
    <w:p w14:paraId="467BB1F2" w14:textId="77777777" w:rsidR="00CA16C9" w:rsidRDefault="00CA16C9" w:rsidP="00423C6D">
      <w:pPr>
        <w:pStyle w:val="a2"/>
        <w:rPr>
          <w:rtl/>
        </w:rPr>
      </w:pPr>
      <w:r>
        <w:rPr>
          <w:rFonts w:hint="cs"/>
          <w:rtl/>
        </w:rPr>
        <w:t>וראיתי בס' תשובות מנהגים</w:t>
      </w:r>
      <w:r>
        <w:rPr>
          <w:rStyle w:val="FootnoteReference"/>
          <w:rtl/>
        </w:rPr>
        <w:footnoteReference w:id="131"/>
      </w:r>
      <w:r>
        <w:rPr>
          <w:rFonts w:hint="cs"/>
          <w:rtl/>
        </w:rPr>
        <w:t>, ללמד זכות על אלו שמזמינים לחתונה, ש"מבואר ברמב"ם הל' דעות</w:t>
      </w:r>
      <w:r>
        <w:rPr>
          <w:rStyle w:val="FootnoteReference"/>
          <w:rtl/>
        </w:rPr>
        <w:footnoteReference w:id="132"/>
      </w:r>
      <w:r>
        <w:rPr>
          <w:rFonts w:hint="cs"/>
          <w:rtl/>
        </w:rPr>
        <w:t xml:space="preserve"> דהיינו בת"ח לת"ח, ולא כל א' ראוי לכך, ולכן משתמט עצמו באמתלא שאין זה סעודת מצוה", ולכאורה יל"ע בזה, דהנה, (נוסף להא דחתונת רבינו הי' בודאי בגדר בת"ח לת"ח, ומ"מ לא הקפיד אדמו"ר הריי"ץ מלהזמין להחתונה, הנה) הכס"מ הסיג על הרמב"ם שם (כנ"ל) שהיינו דינא </w:t>
      </w:r>
      <w:r w:rsidRPr="00E139C7">
        <w:rPr>
          <w:rFonts w:hint="cs"/>
          <w:b/>
          <w:bCs/>
          <w:rtl/>
        </w:rPr>
        <w:t>בכל</w:t>
      </w:r>
      <w:r>
        <w:rPr>
          <w:rFonts w:hint="cs"/>
          <w:rtl/>
        </w:rPr>
        <w:t xml:space="preserve"> </w:t>
      </w:r>
      <w:r w:rsidRPr="00E139C7">
        <w:rPr>
          <w:rFonts w:hint="cs"/>
          <w:b/>
          <w:bCs/>
          <w:rtl/>
        </w:rPr>
        <w:t>מקום</w:t>
      </w:r>
      <w:r>
        <w:rPr>
          <w:rFonts w:hint="cs"/>
          <w:rtl/>
        </w:rPr>
        <w:t xml:space="preserve"> שאין ירידה מגדולתו בחתונה זו, ואפי' בת ע"ה לע"ה. עוד כתב שם שיש לתרץ, "שורש האיסור והנידוי כשאינו מיסב בסעודת מצוה, היינו דוקא בנמנע מפני שמדמה עצמו לאדם חשוב, וזהו למטה מכבודו לשבת בסעודה עם אלו . . אבל אם נמנע מפני שרוצה ללמוד תורה או שעסוק בעסק אחר, אזי אינו מנודה", ולכ' צ"ב בזה, שהרי בנוגע לברי"מ לא כתבו לחלק אם לא יגיע משום כבודו או מפני שעסוק בענין אחר, אלא כתבו שכ"ז שלא יגיע להברי"מ לא יזמינוהו, וצ"ב מנלן שבנוגע לחתונה מחלקים בטעמו?</w:t>
      </w:r>
    </w:p>
    <w:p w14:paraId="12665CBF" w14:textId="77777777" w:rsidR="00CA16C9" w:rsidRDefault="00CA16C9" w:rsidP="00423C6D">
      <w:pPr>
        <w:pStyle w:val="a2"/>
        <w:rPr>
          <w:rtl/>
        </w:rPr>
      </w:pPr>
      <w:r>
        <w:rPr>
          <w:rFonts w:hint="cs"/>
          <w:rtl/>
        </w:rPr>
        <w:t>וי"ל הביאור בזה, ע"פ דיוק הלשון במכתבי ההזמנה מרבותינו נשיאינו בהזמנתם לחתונות, וכמו בהזמנה מאדמו"ר הרש"ב לנישואי בנו אדמו"ר הריי"ץ שכתב</w:t>
      </w:r>
      <w:r>
        <w:rPr>
          <w:rStyle w:val="FootnoteReference"/>
          <w:rtl/>
        </w:rPr>
        <w:footnoteReference w:id="133"/>
      </w:r>
      <w:r>
        <w:rPr>
          <w:rFonts w:hint="cs"/>
          <w:rtl/>
        </w:rPr>
        <w:t xml:space="preserve"> "אקרא נא למאהבי נפשי, בא יבא על ראש שמחתי להתעלס באהבים, והשי"ת יזכו לשמוח בשמחת בניו ובני ביתו", שדייק לכ' שמזמינו להגיע ולשמוח יחדיו ("להתעלס </w:t>
      </w:r>
      <w:r>
        <w:rPr>
          <w:rFonts w:hint="cs"/>
          <w:rtl/>
        </w:rPr>
        <w:lastRenderedPageBreak/>
        <w:t>באהבים"), ולא כתב דבר וחצי דבר להזמינו לסעודה! עד"ז רואים בהזמנה מאדמו"ר מוהר"ש לחתונת בנו הרמ"מ שכתב</w:t>
      </w:r>
      <w:r>
        <w:rPr>
          <w:rStyle w:val="FootnoteReference"/>
          <w:rtl/>
        </w:rPr>
        <w:footnoteReference w:id="134"/>
      </w:r>
      <w:r>
        <w:rPr>
          <w:rFonts w:hint="cs"/>
          <w:rtl/>
        </w:rPr>
        <w:t xml:space="preserve"> "לזאת באתי עם הספר לקרוא למאהבי נפשי לבוא ליום המוגבל להתעלס באהבים", שגם כאן רואים שמזמין רק לשמוח בהחתונה ואין שום הזמנה להסעודה. וכמו"כ בכל שאר מכתבי רבותינו שיש בהם הזמנה לחתונה</w:t>
      </w:r>
      <w:r>
        <w:rPr>
          <w:rStyle w:val="FootnoteReference"/>
          <w:rtl/>
        </w:rPr>
        <w:footnoteReference w:id="135"/>
      </w:r>
      <w:r>
        <w:rPr>
          <w:rFonts w:hint="cs"/>
          <w:rtl/>
        </w:rPr>
        <w:t>, שבכולם רואים שיש הזמנה לשמוח בהחתונה, אבל אין שם הזמנה להסעודה.</w:t>
      </w:r>
    </w:p>
    <w:p w14:paraId="7C00B7F7" w14:textId="77777777" w:rsidR="00CA16C9" w:rsidRDefault="00CA16C9" w:rsidP="00423C6D">
      <w:pPr>
        <w:pStyle w:val="a2"/>
        <w:rPr>
          <w:rtl/>
        </w:rPr>
      </w:pPr>
      <w:r>
        <w:rPr>
          <w:rFonts w:hint="cs"/>
          <w:rtl/>
        </w:rPr>
        <w:t>ויש להעיר, שלחתונת כ"ק אדמו"ר נשיא דורנו ואשתו הרבנית הצדקנית חי' מושקא נ"ע</w:t>
      </w:r>
      <w:r>
        <w:rPr>
          <w:rStyle w:val="FootnoteReference"/>
          <w:rtl/>
        </w:rPr>
        <w:footnoteReference w:id="136"/>
      </w:r>
      <w:r>
        <w:rPr>
          <w:rFonts w:hint="cs"/>
          <w:rtl/>
        </w:rPr>
        <w:t>, , שאדמו"ר הריי"ץ שלח (לכה"פ) י"ב הזמנות שונות להחתונה, ורואים שהיו שם בכללות ב' סוגים: אלו ששלח לאנשים וקהילות להזמינם להחתונה, שבכמעט כולם כתב (לאחר שהודיע פרטי מיקום החתונה וכו'), "בשמחה וטוב לבב אקרא לידידי ומכירי אשר יואילו נא לשמוח אתנו יחדיו, ביום שמחת לבבנו, ולברך את הזוג יחיו, ואותנו כולנו, בברכת מזל טוב, וחיים מאושרים בגשמיות ברוחניות", (ואין בזה הזמנה להסעודה, כנ"ל באריכות); וסוג שני של הזמנות, לאלו שהיו במצב שהי' א"א להם להגיע להחתונה, שגם להם כתב אדמו"ר הריי"ץ כל פרטי מיקום וזמן החתונה, ואח"כ ממשיך לבקש "יואילו נא אנ"ש, אשר במחנם הט', ד' עליהם יחיו, לקבוע מקום מוגבל ומיוחד לברכה, באחד הבתי כנסיות או בתי מדרשים אשר יבחרו להתאסף שמה במושב אוהבים ורעים, באהבה ובאחוה, בחדוה ובשמחה . . ואנעג במאד לקרוא את ברכותיהם בכתב". ויש להביא ראי' ברורה מכאן, שאף אם מודיע על החתונה וכל פרטי', אינו מוכח שהמוזמן חייב להגיע להחתונה, וכמו שמפורש בהזמנה זה, שידע בודאי שלא יגיעו, ואף כתב כן מפורש, ולא חש מלהודיע כל הפרטים, (ולא סתר סוף ההזמנה את תחילתו, כפשוט).</w:t>
      </w:r>
    </w:p>
    <w:p w14:paraId="7FC4E74D" w14:textId="429E81DB" w:rsidR="00CA16C9" w:rsidRDefault="00CA16C9" w:rsidP="00423C6D">
      <w:pPr>
        <w:pStyle w:val="a2"/>
        <w:rPr>
          <w:rtl/>
        </w:rPr>
      </w:pPr>
      <w:r>
        <w:rPr>
          <w:rFonts w:hint="cs"/>
          <w:rtl/>
        </w:rPr>
        <w:t>מכל זה נראה ברור, שאצלנו חסידי חב"ד שנוהגים להזמין לחתונה בנוסח ההזמנה שלחתונת רבינו, (וראה שיחת י"ד כסלו תשי"ד בזה), מעיקרא קושי ליכא, ואין שום בעי' לנו לשלוח הזמנה אפי' למי שידוע לנו בודאי שלא יגיע להחתונה.</w:t>
      </w:r>
    </w:p>
    <w:p w14:paraId="7330CA4D" w14:textId="77777777" w:rsidR="00CA16C9" w:rsidRPr="00347933" w:rsidRDefault="00CA16C9" w:rsidP="000B6EE8">
      <w:pPr>
        <w:pStyle w:val="a4"/>
        <w:spacing w:after="0"/>
        <w:sectPr w:rsidR="00CA16C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1CDDC24" w14:textId="3FED3C55" w:rsidR="00CA16C9" w:rsidRDefault="00CA16C9" w:rsidP="00682009">
      <w:pPr>
        <w:pStyle w:val="12"/>
        <w:rPr>
          <w:rtl/>
        </w:rPr>
      </w:pPr>
      <w:bookmarkStart w:id="184" w:name="_Toc531140421"/>
      <w:r>
        <w:rPr>
          <w:rFonts w:hint="cs"/>
          <w:rtl/>
        </w:rPr>
        <w:lastRenderedPageBreak/>
        <w:t>פשוטו של מקרא</w:t>
      </w:r>
      <w:bookmarkEnd w:id="184"/>
    </w:p>
    <w:p w14:paraId="179F5AF8" w14:textId="7EDBD609" w:rsidR="008307D7" w:rsidRDefault="008307D7" w:rsidP="00BA4997">
      <w:pPr>
        <w:pStyle w:val="a"/>
        <w:rPr>
          <w:rtl/>
        </w:rPr>
      </w:pPr>
      <w:bookmarkStart w:id="185" w:name="_Toc531140422"/>
      <w:r>
        <w:rPr>
          <w:rtl/>
        </w:rPr>
        <w:t xml:space="preserve">בפירש"י </w:t>
      </w:r>
      <w:r w:rsidR="00BA4997">
        <w:rPr>
          <w:rFonts w:hint="cs"/>
          <w:rtl/>
        </w:rPr>
        <w:t>ד"ה</w:t>
      </w:r>
      <w:r>
        <w:rPr>
          <w:rtl/>
        </w:rPr>
        <w:t xml:space="preserve"> "פסים"</w:t>
      </w:r>
      <w:bookmarkEnd w:id="185"/>
    </w:p>
    <w:p w14:paraId="29FDDA44" w14:textId="77777777" w:rsidR="00BA4997" w:rsidRPr="008307D7" w:rsidRDefault="00BA4997" w:rsidP="00C40DBA">
      <w:pPr>
        <w:pStyle w:val="a0"/>
        <w:rPr>
          <w:rtl/>
        </w:rPr>
      </w:pPr>
      <w:bookmarkStart w:id="186" w:name="_Toc531140423"/>
      <w:r w:rsidRPr="008307D7">
        <w:rPr>
          <w:rFonts w:hint="cs"/>
          <w:rtl/>
          <w:lang w:bidi="he-IL"/>
        </w:rPr>
        <w:t>הרב שרגא פייוויל רימלער</w:t>
      </w:r>
      <w:bookmarkEnd w:id="186"/>
    </w:p>
    <w:p w14:paraId="0AAB2432" w14:textId="0D81306B" w:rsidR="00BA4997" w:rsidRPr="00347933" w:rsidRDefault="00BA4997" w:rsidP="00BA4997">
      <w:pPr>
        <w:pStyle w:val="a1"/>
        <w:sectPr w:rsidR="00BA4997" w:rsidRPr="00347933" w:rsidSect="00E65DD5">
          <w:footnotePr>
            <w:numRestart w:val="eachSect"/>
          </w:footnotePr>
          <w:type w:val="continuous"/>
          <w:pgSz w:w="7920" w:h="12240"/>
          <w:pgMar w:top="-810" w:right="864" w:bottom="720" w:left="864" w:header="270" w:footer="0" w:gutter="0"/>
          <w:cols w:space="720"/>
          <w:docGrid w:linePitch="360"/>
        </w:sectPr>
      </w:pPr>
      <w:r>
        <w:rPr>
          <w:rFonts w:hint="cs"/>
          <w:rtl/>
        </w:rPr>
        <w:t>רב בברייטון ביטש, ברוקלין, נ.י.</w:t>
      </w:r>
    </w:p>
    <w:p w14:paraId="5771A752" w14:textId="77777777" w:rsidR="008307D7" w:rsidRDefault="008307D7" w:rsidP="00423C6D">
      <w:pPr>
        <w:pStyle w:val="a2"/>
        <w:rPr>
          <w:rtl/>
        </w:rPr>
      </w:pPr>
      <w:r>
        <w:rPr>
          <w:rtl/>
        </w:rPr>
        <w:t>פ' וישב (לז, ג) ברש"י ד"ה פסים כותב "לשון כלי מילת  (שבת י')  כמו כרפס ותכלת (אסתר א, ו) וכמו כתנת פסים  (שמואל ב' יג, יח) דתמר ואמנון.  ומדרש אגדה על שם צרותיו שנמכר לפוטיפר ולסוחרים ולישמעאלים ולמדינים (ב"ר פ"ד ח').</w:t>
      </w:r>
    </w:p>
    <w:p w14:paraId="3E2CDCB7" w14:textId="77777777" w:rsidR="008307D7" w:rsidRDefault="008307D7" w:rsidP="00423C6D">
      <w:pPr>
        <w:pStyle w:val="a2"/>
        <w:rPr>
          <w:rtl/>
        </w:rPr>
      </w:pPr>
      <w:r>
        <w:rPr>
          <w:rtl/>
        </w:rPr>
        <w:t>ומובן הצורך לרש"י לפרש פסים כי מלה זו נאמר כאן פעם הראשון ואין פירושו ידוע, ולכן מפרשו רש"י  שזה לשון כלי מילת  וכמו כרפס ותכלת וכמו כתנת הפסים דתמר ואמנון.  ועי"ז מבואר מה זה כתנת פסים לפי פשוטו .</w:t>
      </w:r>
    </w:p>
    <w:p w14:paraId="5A1C2FD8" w14:textId="77777777" w:rsidR="008307D7" w:rsidRDefault="008307D7" w:rsidP="00423C6D">
      <w:pPr>
        <w:pStyle w:val="a2"/>
        <w:rPr>
          <w:rtl/>
        </w:rPr>
      </w:pPr>
      <w:r>
        <w:rPr>
          <w:rtl/>
        </w:rPr>
        <w:t>וצ"ל מה היה חסר הפירוש של "פסים" שהוכרח רש"י  להביא פירוש נוסף ממדרש אגדה ש"פסים" הוא ע"ש צרותיו. ואם אכן היה איזו קושיא לרש"י בפירושו לפי פשוטו והוכרח להוסיף פירוש נוסף ממדרש אגדה למה בחר דוקא פירוש זה מכל החמשה פירושים שנאמרו שם במד"ר על "פסים".</w:t>
      </w:r>
    </w:p>
    <w:p w14:paraId="066469BC" w14:textId="77777777" w:rsidR="008307D7" w:rsidRDefault="008307D7" w:rsidP="00423C6D">
      <w:pPr>
        <w:pStyle w:val="a2"/>
        <w:rPr>
          <w:rtl/>
        </w:rPr>
      </w:pPr>
      <w:r>
        <w:rPr>
          <w:rtl/>
        </w:rPr>
        <w:t>והביאור, י"ל לרש"י היה קשה שלפי הפירוש שהוא כתנת פסים כמו כתנת פסים דתמר ואמנון איך יתכן שיעקב יעשה ליוסף בגד כזה שהוא מלבוש של נשים. כי מפורש נאמר בשמואל ב'  "כי כן תלבשנה בנות המלך" ואם זה לבוש של בנות ונשים, והאבות קיימו כל התורה ולא יתכן  שיעקב יעשה ליוסף בגד נשים.</w:t>
      </w:r>
    </w:p>
    <w:p w14:paraId="5538F2DD" w14:textId="77777777" w:rsidR="008307D7" w:rsidRDefault="008307D7" w:rsidP="00423C6D">
      <w:pPr>
        <w:pStyle w:val="a2"/>
        <w:rPr>
          <w:rtl/>
        </w:rPr>
      </w:pPr>
      <w:r>
        <w:rPr>
          <w:rtl/>
        </w:rPr>
        <w:t>ולכן הוסיף רש"י פירוש ממדרש אגדה שלפי פירוש זה אין זה אותו הכתונת של תמר ואמנון אלא מין כתונת יפה אחר ונקרא בכתוב בשם "פסים" ע"ש צרותיו.</w:t>
      </w:r>
    </w:p>
    <w:p w14:paraId="04C9F084" w14:textId="77777777" w:rsidR="008307D7" w:rsidRDefault="008307D7" w:rsidP="00423C6D">
      <w:pPr>
        <w:pStyle w:val="a2"/>
        <w:rPr>
          <w:rtl/>
        </w:rPr>
      </w:pPr>
      <w:r>
        <w:rPr>
          <w:rtl/>
        </w:rPr>
        <w:t>ורש"י בחר דוקא פירוש זה מכל שאר הפירושים שם כי לשאר הפירושים הוא כתונת פסים כמו דתמר ואמנון אלא מטעמים שונים נקרא כך. אבל לפי פירוש זה שנקרא ע"ש צרותיו אין זה הכתנת פסים כמו של תמר ואמנון אלא מין כתנת יקר אחר ונקרא "פסים" ע"ש צרותיו והוא מלבוש גברים דוקא.</w:t>
      </w:r>
    </w:p>
    <w:p w14:paraId="5E124C78" w14:textId="2EF82302" w:rsidR="008307D7" w:rsidRDefault="008307D7" w:rsidP="00423C6D">
      <w:pPr>
        <w:pStyle w:val="a2"/>
        <w:rPr>
          <w:rtl/>
        </w:rPr>
      </w:pPr>
      <w:r>
        <w:rPr>
          <w:rtl/>
        </w:rPr>
        <w:t>אבל כיון שמצינו כתנת פסים בתנ"ך צריך רש"י לפרש לפי פשוטו שכתנת פסים דכאן הוא כמו כתנת פסים דשם, ועל השאלה היתכן לעשות לו בגד נשים, י"ל שעשה אותו בשינוי שלא יהיה דומה ממש לשמלת נשים.</w:t>
      </w:r>
    </w:p>
    <w:p w14:paraId="6148FF68" w14:textId="77777777" w:rsidR="008307D7" w:rsidRDefault="008307D7" w:rsidP="008307D7">
      <w:pPr>
        <w:pStyle w:val="a"/>
        <w:bidi w:val="0"/>
      </w:pPr>
      <w:bookmarkStart w:id="187" w:name="_Toc528295171"/>
      <w:bookmarkStart w:id="188" w:name="_Toc531140424"/>
      <w:r>
        <w:rPr>
          <w:rFonts w:hint="cs"/>
          <w:rtl/>
        </w:rPr>
        <w:lastRenderedPageBreak/>
        <w:t>למה אין רש"י מפרש טעם שינוי הלשון בפסוקים הדומים זל"ז</w:t>
      </w:r>
      <w:bookmarkEnd w:id="187"/>
      <w:bookmarkEnd w:id="188"/>
    </w:p>
    <w:p w14:paraId="487B231B" w14:textId="77777777" w:rsidR="008307D7" w:rsidRPr="008307D7" w:rsidRDefault="008307D7" w:rsidP="00C40DBA">
      <w:pPr>
        <w:pStyle w:val="a0"/>
      </w:pPr>
      <w:bookmarkStart w:id="189" w:name="_Toc528295172"/>
      <w:bookmarkStart w:id="190" w:name="_Toc531140425"/>
      <w:r w:rsidRPr="008307D7">
        <w:rPr>
          <w:rFonts w:hint="cs"/>
          <w:rtl/>
          <w:lang w:bidi="he-IL"/>
        </w:rPr>
        <w:t>הרב וו</w:t>
      </w:r>
      <w:r w:rsidRPr="008307D7">
        <w:rPr>
          <w:rFonts w:hint="cs"/>
          <w:rtl/>
        </w:rPr>
        <w:t xml:space="preserve">. </w:t>
      </w:r>
      <w:r w:rsidRPr="008307D7">
        <w:rPr>
          <w:rFonts w:hint="cs"/>
          <w:rtl/>
          <w:lang w:bidi="he-IL"/>
        </w:rPr>
        <w:t>רוזנבלום</w:t>
      </w:r>
      <w:bookmarkEnd w:id="189"/>
      <w:bookmarkEnd w:id="190"/>
    </w:p>
    <w:p w14:paraId="36FE92FC" w14:textId="77777777" w:rsidR="008307D7" w:rsidRDefault="008307D7" w:rsidP="008307D7">
      <w:pPr>
        <w:pStyle w:val="a1"/>
        <w:rPr>
          <w:rtl/>
        </w:rPr>
      </w:pPr>
      <w:r>
        <w:rPr>
          <w:rFonts w:hint="cs"/>
          <w:rtl/>
        </w:rPr>
        <w:t>תושב השכונה</w:t>
      </w:r>
    </w:p>
    <w:p w14:paraId="5F598EA8" w14:textId="77777777" w:rsidR="008307D7" w:rsidRDefault="008307D7" w:rsidP="00423C6D">
      <w:pPr>
        <w:pStyle w:val="a2"/>
      </w:pPr>
      <w:r>
        <w:rPr>
          <w:rFonts w:hint="cs"/>
          <w:rtl/>
        </w:rPr>
        <w:t>כשיש שני פסוקים שהלשון בה הי' צריך להיות בדומה זה לזה ואעפ"כ יש איזה שינוי ביניהם מצינו כמה וכמה פעמים בפירש"י שעומד על זה ומפרש טעם השינוי</w:t>
      </w:r>
    </w:p>
    <w:p w14:paraId="09C2BD51" w14:textId="77777777" w:rsidR="008307D7" w:rsidRDefault="008307D7" w:rsidP="00423C6D">
      <w:pPr>
        <w:pStyle w:val="a2"/>
        <w:rPr>
          <w:rtl/>
        </w:rPr>
      </w:pPr>
      <w:r>
        <w:rPr>
          <w:rFonts w:hint="cs"/>
          <w:rtl/>
        </w:rPr>
        <w:t>ולדוגמא:</w:t>
      </w:r>
    </w:p>
    <w:p w14:paraId="0EE590B0" w14:textId="77777777" w:rsidR="008307D7" w:rsidRDefault="008307D7" w:rsidP="00423C6D">
      <w:pPr>
        <w:pStyle w:val="a2"/>
        <w:rPr>
          <w:rtl/>
        </w:rPr>
      </w:pPr>
      <w:r>
        <w:rPr>
          <w:rFonts w:hint="cs"/>
          <w:rtl/>
        </w:rPr>
        <w:t>בפירש"י בפרשת ויקרא ד"ה את פני הפרכת (ד,יז): "ולמעלה הוא אומר את פני פרכת הקדש..."</w:t>
      </w:r>
    </w:p>
    <w:p w14:paraId="17EC75A0" w14:textId="77777777" w:rsidR="008307D7" w:rsidRDefault="008307D7" w:rsidP="00423C6D">
      <w:pPr>
        <w:pStyle w:val="a2"/>
        <w:rPr>
          <w:rtl/>
        </w:rPr>
      </w:pPr>
      <w:r>
        <w:rPr>
          <w:rFonts w:hint="cs"/>
          <w:rtl/>
        </w:rPr>
        <w:t>וכן בפירש"י סוף פרשת ויקרא ד"ה על חטאת</w:t>
      </w:r>
      <w:r>
        <w:rPr>
          <w:rFonts w:hint="cs"/>
          <w:rtl/>
          <w:lang w:val="en-US"/>
        </w:rPr>
        <w:t>ו</w:t>
      </w:r>
      <w:r>
        <w:rPr>
          <w:rFonts w:hint="cs"/>
          <w:rtl/>
        </w:rPr>
        <w:t xml:space="preserve"> אשר חטא</w:t>
      </w:r>
      <w:r>
        <w:rPr>
          <w:rFonts w:hint="cs"/>
          <w:lang w:val="en-US"/>
        </w:rPr>
        <w:t xml:space="preserve"> </w:t>
      </w:r>
      <w:r>
        <w:rPr>
          <w:rFonts w:hint="cs"/>
          <w:rtl/>
        </w:rPr>
        <w:t>(ה,יג): "כאן שנה הכתוב שהרי בעשירות ודלות נאמר מחטאתו וכאן בדלי דלות נאמר על חטאתו..."</w:t>
      </w:r>
    </w:p>
    <w:p w14:paraId="65692BC0" w14:textId="77777777" w:rsidR="008307D7" w:rsidRDefault="008307D7" w:rsidP="00423C6D">
      <w:pPr>
        <w:pStyle w:val="a2"/>
        <w:rPr>
          <w:rtl/>
        </w:rPr>
      </w:pPr>
      <w:r>
        <w:rPr>
          <w:rFonts w:hint="cs"/>
          <w:rtl/>
        </w:rPr>
        <w:t>וכן בפירש"י סוף פרשת פנחס ד"ה ומנחתם ונסכיהם לפרים (כט,יח):"...בשני נאמר ונסכיהם... ולא שינה הלשון אלא לדרוש ... בשני ונסכיהם בששי ונסכי' בשביעי כמשפטם..."</w:t>
      </w:r>
    </w:p>
    <w:p w14:paraId="0EC06089" w14:textId="77777777" w:rsidR="008307D7" w:rsidRDefault="008307D7" w:rsidP="00423C6D">
      <w:pPr>
        <w:pStyle w:val="a2"/>
        <w:rPr>
          <w:rtl/>
        </w:rPr>
      </w:pPr>
      <w:r>
        <w:rPr>
          <w:rFonts w:hint="cs"/>
          <w:rtl/>
        </w:rPr>
        <w:t>ולפי זה צ"ל:</w:t>
      </w:r>
    </w:p>
    <w:p w14:paraId="05441DF2" w14:textId="77777777" w:rsidR="008307D7" w:rsidRDefault="008307D7" w:rsidP="00423C6D">
      <w:pPr>
        <w:pStyle w:val="a2"/>
        <w:rPr>
          <w:rtl/>
        </w:rPr>
      </w:pPr>
      <w:r>
        <w:rPr>
          <w:rFonts w:hint="cs"/>
          <w:rtl/>
        </w:rPr>
        <w:t xml:space="preserve">הלשון "במצור ובמצוק אשר יציק לך איבך" נאמר בפרשת כי תבוא </w:t>
      </w:r>
      <w:r>
        <w:rPr>
          <w:rFonts w:hint="cs"/>
          <w:b/>
          <w:bCs/>
          <w:rtl/>
        </w:rPr>
        <w:t>שלשה</w:t>
      </w:r>
      <w:r>
        <w:rPr>
          <w:rFonts w:hint="cs"/>
          <w:rtl/>
        </w:rPr>
        <w:t xml:space="preserve"> פעמים </w:t>
      </w:r>
      <w:r>
        <w:rPr>
          <w:rFonts w:hint="cs"/>
          <w:b/>
          <w:bCs/>
          <w:rtl/>
        </w:rPr>
        <w:t>ורק</w:t>
      </w:r>
      <w:r>
        <w:rPr>
          <w:rFonts w:hint="cs"/>
          <w:rtl/>
        </w:rPr>
        <w:t xml:space="preserve"> בהפסק של </w:t>
      </w:r>
      <w:r>
        <w:rPr>
          <w:rFonts w:hint="cs"/>
          <w:b/>
          <w:bCs/>
          <w:rtl/>
        </w:rPr>
        <w:t>שני</w:t>
      </w:r>
      <w:r>
        <w:rPr>
          <w:rFonts w:hint="cs"/>
          <w:rtl/>
        </w:rPr>
        <w:t xml:space="preserve"> פסוקים ביניהם:</w:t>
      </w:r>
    </w:p>
    <w:p w14:paraId="213D8CE8" w14:textId="77777777" w:rsidR="008307D7" w:rsidRDefault="008307D7" w:rsidP="00423C6D">
      <w:pPr>
        <w:pStyle w:val="a2"/>
        <w:rPr>
          <w:rtl/>
        </w:rPr>
      </w:pPr>
      <w:r>
        <w:rPr>
          <w:rFonts w:hint="cs"/>
          <w:rtl/>
        </w:rPr>
        <w:t>בפסוק (כח,נג) כתיב:"... במצור ובמצוק אשר יציק לך איבך".</w:t>
      </w:r>
    </w:p>
    <w:p w14:paraId="51535867" w14:textId="77777777" w:rsidR="008307D7" w:rsidRDefault="008307D7" w:rsidP="00423C6D">
      <w:pPr>
        <w:pStyle w:val="a2"/>
        <w:rPr>
          <w:rtl/>
        </w:rPr>
      </w:pPr>
      <w:r>
        <w:rPr>
          <w:rFonts w:hint="cs"/>
          <w:rtl/>
        </w:rPr>
        <w:t>בפסוק (שם,נה) כתיב:"... במצור ובמצוק אשר יציק לך איבך בכל שעריך".</w:t>
      </w:r>
    </w:p>
    <w:p w14:paraId="05734322" w14:textId="77777777" w:rsidR="008307D7" w:rsidRDefault="008307D7" w:rsidP="00423C6D">
      <w:pPr>
        <w:pStyle w:val="a2"/>
        <w:rPr>
          <w:rtl/>
        </w:rPr>
      </w:pPr>
      <w:r>
        <w:rPr>
          <w:rFonts w:hint="cs"/>
          <w:rtl/>
        </w:rPr>
        <w:t>הרי כאן הוסף הכתוב תיבות "בכל שעריך", שלא כתוב בפסוק ראשון.</w:t>
      </w:r>
    </w:p>
    <w:p w14:paraId="31E32F6B" w14:textId="77777777" w:rsidR="008307D7" w:rsidRDefault="008307D7" w:rsidP="00423C6D">
      <w:pPr>
        <w:pStyle w:val="a2"/>
        <w:rPr>
          <w:rtl/>
        </w:rPr>
      </w:pPr>
      <w:r>
        <w:rPr>
          <w:rFonts w:hint="cs"/>
          <w:rtl/>
        </w:rPr>
        <w:t>עוד כתוב (שם,נז):"... במצור ובמצוק אשר יציק לך איבך בשעריך".</w:t>
      </w:r>
    </w:p>
    <w:p w14:paraId="739EDAF5" w14:textId="77777777" w:rsidR="008307D7" w:rsidRDefault="008307D7" w:rsidP="00423C6D">
      <w:pPr>
        <w:pStyle w:val="a2"/>
        <w:rPr>
          <w:rtl/>
        </w:rPr>
      </w:pPr>
      <w:r>
        <w:rPr>
          <w:rFonts w:hint="cs"/>
          <w:rtl/>
        </w:rPr>
        <w:t xml:space="preserve">הנה גם כאן הוסיף הכתוב תיבת "בשעריך" כמו בפסוק השני אבל </w:t>
      </w:r>
      <w:r>
        <w:rPr>
          <w:rFonts w:hint="cs"/>
          <w:b/>
          <w:bCs/>
          <w:rtl/>
        </w:rPr>
        <w:t>השמיט</w:t>
      </w:r>
      <w:r>
        <w:rPr>
          <w:rFonts w:hint="cs"/>
          <w:rtl/>
        </w:rPr>
        <w:t xml:space="preserve"> תיבת "בכל".</w:t>
      </w:r>
    </w:p>
    <w:p w14:paraId="3042E6F6" w14:textId="77777777" w:rsidR="008307D7" w:rsidRDefault="008307D7" w:rsidP="00423C6D">
      <w:pPr>
        <w:pStyle w:val="a2"/>
        <w:rPr>
          <w:rtl/>
        </w:rPr>
      </w:pPr>
      <w:r>
        <w:rPr>
          <w:rFonts w:hint="cs"/>
          <w:rtl/>
        </w:rPr>
        <w:t xml:space="preserve">ולהאיר שבנוגע לתיבת "כל" שהשמיט הפסוק כאן מצינו במקום אחר שרש"י </w:t>
      </w:r>
      <w:r>
        <w:rPr>
          <w:rFonts w:hint="cs"/>
          <w:rtl/>
        </w:rPr>
        <w:lastRenderedPageBreak/>
        <w:t>מפרש כעין זה.</w:t>
      </w:r>
    </w:p>
    <w:p w14:paraId="11A32BE2" w14:textId="77777777" w:rsidR="008307D7" w:rsidRDefault="008307D7" w:rsidP="00423C6D">
      <w:pPr>
        <w:pStyle w:val="a2"/>
        <w:rPr>
          <w:rtl/>
        </w:rPr>
      </w:pPr>
      <w:r>
        <w:rPr>
          <w:rFonts w:hint="cs"/>
          <w:rtl/>
        </w:rPr>
        <w:t xml:space="preserve">והוא בפרשת בלק בפירש"י ד"ה ושרי מואב אתו (כג,כ):"ולמעלה הוא אומר </w:t>
      </w:r>
      <w:r>
        <w:rPr>
          <w:rFonts w:hint="cs"/>
          <w:b/>
          <w:bCs/>
          <w:rtl/>
        </w:rPr>
        <w:t>וכל</w:t>
      </w:r>
      <w:r>
        <w:rPr>
          <w:rFonts w:hint="cs"/>
          <w:rtl/>
        </w:rPr>
        <w:t xml:space="preserve"> שרי מואב..."</w:t>
      </w:r>
    </w:p>
    <w:p w14:paraId="7E45C54B" w14:textId="3BD73FA3" w:rsidR="008307D7" w:rsidRPr="003D7C6F" w:rsidRDefault="008307D7" w:rsidP="00423C6D">
      <w:pPr>
        <w:pStyle w:val="a2"/>
        <w:rPr>
          <w:rtl/>
        </w:rPr>
      </w:pPr>
      <w:r w:rsidRPr="003D7C6F">
        <w:rPr>
          <w:rtl/>
        </w:rPr>
        <w:t>ואם כן צריך להבין נוסף לזה שבפסוק הראשון לא נזכר תיבת בשעריך, למה נאמר בפסוק שני בכל ולא בפסוק שלישי. ולמה אין רש"י שואל כאן: ולמעלה הוא אומר בכל שעריך.</w:t>
      </w:r>
    </w:p>
    <w:p w14:paraId="68FD1272" w14:textId="77777777" w:rsidR="003D7C6F" w:rsidRPr="00347933" w:rsidRDefault="003D7C6F" w:rsidP="003D7C6F">
      <w:pPr>
        <w:pStyle w:val="a4"/>
        <w:spacing w:after="0"/>
        <w:sectPr w:rsidR="003D7C6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D76DCDB" w14:textId="19EDED45" w:rsidR="003D7C6F" w:rsidRDefault="003D7C6F" w:rsidP="003D7C6F">
      <w:pPr>
        <w:pStyle w:val="a"/>
      </w:pPr>
      <w:bookmarkStart w:id="191" w:name="_Toc531140426"/>
      <w:r>
        <w:rPr>
          <w:rtl/>
        </w:rPr>
        <w:t>מה הי' קודם מלחמת המלכים או ברית בין הבתרים</w:t>
      </w:r>
      <w:bookmarkEnd w:id="191"/>
    </w:p>
    <w:p w14:paraId="5403BE36" w14:textId="44D7667B" w:rsidR="003D7C6F" w:rsidRDefault="003D7C6F" w:rsidP="00C40DBA">
      <w:pPr>
        <w:pStyle w:val="a0"/>
        <w:rPr>
          <w:rtl/>
        </w:rPr>
      </w:pPr>
      <w:bookmarkStart w:id="192" w:name="_Toc531140427"/>
      <w:r>
        <w:rPr>
          <w:rFonts w:hint="cs"/>
          <w:rtl/>
          <w:lang w:bidi="he-IL"/>
        </w:rPr>
        <w:t>הנ</w:t>
      </w:r>
      <w:r>
        <w:rPr>
          <w:rFonts w:hint="cs"/>
          <w:rtl/>
        </w:rPr>
        <w:t>"</w:t>
      </w:r>
      <w:r>
        <w:rPr>
          <w:rFonts w:hint="cs"/>
          <w:rtl/>
          <w:lang w:bidi="he-IL"/>
        </w:rPr>
        <w:t>ל</w:t>
      </w:r>
      <w:bookmarkEnd w:id="192"/>
    </w:p>
    <w:p w14:paraId="2EA4F2D0" w14:textId="77777777" w:rsidR="003D7C6F" w:rsidRDefault="003D7C6F" w:rsidP="00423C6D">
      <w:pPr>
        <w:pStyle w:val="a2"/>
        <w:rPr>
          <w:rtl/>
        </w:rPr>
      </w:pPr>
      <w:r>
        <w:rPr>
          <w:rtl/>
        </w:rPr>
        <w:t>בפירש"י פ' לך לך (טו, יז. ד"ה באה) "טעמו למעלה, לכך הוא מבואר שבאה כבר. ואם הי' טעמו למטה באל"ף, הי' מבואר כשהיא שוקעת, ואי אפשר לומר כן, שהרי כבר כתיב ויהי השמש לבוא, והעברת תנור עשן לאחר מכאן היתה, נמצא כבר שקעה..."</w:t>
      </w:r>
    </w:p>
    <w:p w14:paraId="0903DD33" w14:textId="77777777" w:rsidR="003D7C6F" w:rsidRDefault="003D7C6F" w:rsidP="00423C6D">
      <w:pPr>
        <w:pStyle w:val="a2"/>
        <w:rPr>
          <w:rtl/>
        </w:rPr>
      </w:pPr>
      <w:r>
        <w:rPr>
          <w:rtl/>
        </w:rPr>
        <w:t xml:space="preserve">ויש להעיר, </w:t>
      </w:r>
      <w:r>
        <w:rPr>
          <w:b/>
          <w:bCs/>
          <w:rtl/>
        </w:rPr>
        <w:t>שקודם</w:t>
      </w:r>
      <w:r>
        <w:rPr>
          <w:rtl/>
        </w:rPr>
        <w:t xml:space="preserve"> פסוקים אלו נאמר (טו, ה) "ויוצא אותו החוצה ויאמר הבט נא השמימה וספר </w:t>
      </w:r>
      <w:r>
        <w:rPr>
          <w:b/>
          <w:bCs/>
          <w:rtl/>
        </w:rPr>
        <w:t>הכוכבים</w:t>
      </w:r>
      <w:r>
        <w:rPr>
          <w:rtl/>
        </w:rPr>
        <w:t xml:space="preserve"> וגו'".</w:t>
      </w:r>
    </w:p>
    <w:p w14:paraId="74499383" w14:textId="77777777" w:rsidR="003D7C6F" w:rsidRDefault="003D7C6F" w:rsidP="00423C6D">
      <w:pPr>
        <w:pStyle w:val="a2"/>
        <w:rPr>
          <w:rtl/>
        </w:rPr>
      </w:pPr>
      <w:r>
        <w:rPr>
          <w:rtl/>
        </w:rPr>
        <w:t xml:space="preserve">זאת אומרת שהי' </w:t>
      </w:r>
      <w:r>
        <w:rPr>
          <w:b/>
          <w:bCs/>
          <w:rtl/>
        </w:rPr>
        <w:t>כבר</w:t>
      </w:r>
      <w:r>
        <w:rPr>
          <w:rtl/>
        </w:rPr>
        <w:t xml:space="preserve"> לילה, </w:t>
      </w:r>
      <w:r>
        <w:rPr>
          <w:b/>
          <w:bCs/>
          <w:rtl/>
        </w:rPr>
        <w:t>לאחר שקיעת החמה</w:t>
      </w:r>
      <w:r>
        <w:rPr>
          <w:rtl/>
        </w:rPr>
        <w:t xml:space="preserve">. ואם כן, איך מתאים לומר </w:t>
      </w:r>
      <w:r>
        <w:rPr>
          <w:b/>
          <w:bCs/>
          <w:rtl/>
        </w:rPr>
        <w:t>אחר</w:t>
      </w:r>
      <w:r>
        <w:rPr>
          <w:rtl/>
        </w:rPr>
        <w:t xml:space="preserve"> זה (בפסוק יב) "ויהי השמש לבוא וגו'".</w:t>
      </w:r>
    </w:p>
    <w:p w14:paraId="45AD0C50" w14:textId="77777777" w:rsidR="003D7C6F" w:rsidRDefault="003D7C6F" w:rsidP="00423C6D">
      <w:pPr>
        <w:pStyle w:val="a2"/>
        <w:rPr>
          <w:rtl/>
        </w:rPr>
      </w:pPr>
      <w:r>
        <w:rPr>
          <w:rtl/>
        </w:rPr>
        <w:t>וגם, למה לא פי' רש"י כלום לתרץ זה.</w:t>
      </w:r>
    </w:p>
    <w:p w14:paraId="1ABE3F7E" w14:textId="77777777" w:rsidR="003D7C6F" w:rsidRDefault="003D7C6F" w:rsidP="00423C6D">
      <w:pPr>
        <w:pStyle w:val="a2"/>
        <w:rPr>
          <w:rtl/>
        </w:rPr>
      </w:pPr>
      <w:r>
        <w:rPr>
          <w:rtl/>
        </w:rPr>
        <w:t>וראיתי בתוס' ברכות (ז,ב בסוף ד"ה לא שעמד על זה) "ומזה מיישב רשב"ם, דבמקום אחד משמע שהי' לילה, דכתיב (טו, ה) "וספור הכוכבים", ובתר הכי כתיב (שם, יב) "ויהי השמש לבוא", משמע שהוא יום. אלא ודאי ש"מ דשני פרשיות הם, ולאו בבת אחת נאמרו ואין מוקדם ומאוחר בתורה".</w:t>
      </w:r>
    </w:p>
    <w:p w14:paraId="0F9683DE" w14:textId="77777777" w:rsidR="003D7C6F" w:rsidRDefault="003D7C6F" w:rsidP="00423C6D">
      <w:pPr>
        <w:pStyle w:val="a2"/>
        <w:rPr>
          <w:rtl/>
        </w:rPr>
      </w:pPr>
      <w:r>
        <w:rPr>
          <w:rtl/>
        </w:rPr>
        <w:t xml:space="preserve">ועוד יש להעיר ממה שכתב שם בתוס' בתחילת דבריו "וי"ל שהפרשיות לא נאמרו כסדר, ואין מוקדם ומאוחר בתורה, וזה הפסוק דבין הבתרים (היינו "ויאמר . . </w:t>
      </w:r>
      <w:r>
        <w:rPr>
          <w:rtl/>
        </w:rPr>
        <w:lastRenderedPageBreak/>
        <w:t>במה אדע כי אירשנה" - הכותב), הי' קודם לכן" (היינו, קודם הפסוק "ויאמר . . מה תתן לי", הנאמר אחר מלחמת המלכים - הכותב).</w:t>
      </w:r>
    </w:p>
    <w:p w14:paraId="1C4D8CE1" w14:textId="77777777" w:rsidR="003D7C6F" w:rsidRDefault="003D7C6F" w:rsidP="00423C6D">
      <w:pPr>
        <w:pStyle w:val="a2"/>
        <w:rPr>
          <w:rtl/>
        </w:rPr>
      </w:pPr>
      <w:r>
        <w:rPr>
          <w:rtl/>
        </w:rPr>
        <w:t>וממשיך שם תוספות להוכיח, כי אברהם הי' בן ע"ג שנה בשעת מלחמת המלכים, ובשעת ברית בין הבתרים הי' בן ע' שנה, עיי"ש.</w:t>
      </w:r>
    </w:p>
    <w:p w14:paraId="6622542D" w14:textId="77777777" w:rsidR="003D7C6F" w:rsidRDefault="003D7C6F" w:rsidP="00423C6D">
      <w:pPr>
        <w:pStyle w:val="a2"/>
        <w:rPr>
          <w:rtl/>
        </w:rPr>
      </w:pPr>
      <w:r>
        <w:rPr>
          <w:rtl/>
        </w:rPr>
        <w:t>וא"כ, צריך להבין למה לא פי' רש"י כאן, שאין מוקדם ומאוחר בתורה, כמו שפי' בכמה מקומות.</w:t>
      </w:r>
    </w:p>
    <w:p w14:paraId="4E042447" w14:textId="77777777" w:rsidR="003D7C6F" w:rsidRDefault="003D7C6F" w:rsidP="00423C6D">
      <w:pPr>
        <w:pStyle w:val="a2"/>
        <w:rPr>
          <w:rtl/>
        </w:rPr>
      </w:pPr>
      <w:r>
        <w:rPr>
          <w:rtl/>
        </w:rPr>
        <w:t>ולהעיר שזה שאברהם הי' בן ע' שנה בברית בין הבתרים, מובן גם מפירש"י (בפ' בא יב, מא. ד"ה שלשים שנה וארבע מאות שנה) "ושלשים שנה היו משנגזרה גזרת בין הבתרים עד שנולד יצחק . .", והרי, אברהם הי' בן מאה שנה כשנולד יצחק, וא"כ שלשים שנה לפני זה, בברית בין הבתרים הי' בן ע' שנה.</w:t>
      </w:r>
    </w:p>
    <w:p w14:paraId="4FB99B0C" w14:textId="1D62CAC1" w:rsidR="003D7C6F" w:rsidRDefault="003D7C6F" w:rsidP="00423C6D">
      <w:pPr>
        <w:pStyle w:val="a2"/>
        <w:rPr>
          <w:rtl/>
        </w:rPr>
      </w:pPr>
      <w:r>
        <w:rPr>
          <w:rtl/>
        </w:rPr>
        <w:t>ועל השאלה, שהרי אברהם יצא מחרן כשהי' בן ע"ה שנה, כמ"ש בפ' לך לך (יב, ד) "ואברם בן חמש שנים ושבעים שנה בצאתו מחרן". ובברית בין הבתרים כשהי' בן ע' שנה הי' כבר בא"י, כמ"ש (טו, ז) "לתת לך את הארץ הזאת לרשתה". כבר תירצו כמה מפרשי החומש, שאחר ברית בין הבתרים, חזר אברהם לחרן ועשה שם חמש שנים, ויצא בשנית מחרן בן ע"ה שנה.</w:t>
      </w:r>
    </w:p>
    <w:p w14:paraId="74DB54CE" w14:textId="77777777" w:rsidR="005A6EB4" w:rsidRPr="00347933" w:rsidRDefault="005A6EB4" w:rsidP="000B6EE8">
      <w:pPr>
        <w:pStyle w:val="a4"/>
        <w:spacing w:after="0"/>
        <w:sectPr w:rsidR="005A6EB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A051574" w14:textId="5D331F57" w:rsidR="005F6E4F" w:rsidRPr="00390778" w:rsidRDefault="005F6E4F" w:rsidP="005A6EB4">
      <w:pPr>
        <w:pStyle w:val="a"/>
      </w:pPr>
      <w:bookmarkStart w:id="193" w:name="_Toc531140428"/>
      <w:r w:rsidRPr="00390778">
        <w:rPr>
          <w:rtl/>
        </w:rPr>
        <w:t>נשיאת יצחק לאחותו</w:t>
      </w:r>
      <w:bookmarkEnd w:id="193"/>
    </w:p>
    <w:p w14:paraId="1ED641D5" w14:textId="77777777" w:rsidR="00652896" w:rsidRDefault="00652896" w:rsidP="00C40DBA">
      <w:pPr>
        <w:pStyle w:val="a0"/>
        <w:rPr>
          <w:rtl/>
        </w:rPr>
      </w:pPr>
      <w:bookmarkStart w:id="194" w:name="_Toc531140429"/>
      <w:r>
        <w:rPr>
          <w:rFonts w:hint="cs"/>
          <w:rtl/>
          <w:lang w:bidi="he-IL"/>
        </w:rPr>
        <w:t>הת</w:t>
      </w:r>
      <w:r>
        <w:rPr>
          <w:rFonts w:hint="cs"/>
          <w:rtl/>
        </w:rPr>
        <w:t xml:space="preserve">' </w:t>
      </w:r>
      <w:r>
        <w:rPr>
          <w:rFonts w:hint="cs"/>
          <w:rtl/>
          <w:lang w:bidi="he-IL"/>
        </w:rPr>
        <w:t>שמואל יוסף גרינבוים</w:t>
      </w:r>
      <w:bookmarkEnd w:id="194"/>
    </w:p>
    <w:p w14:paraId="3014FB67" w14:textId="7F06FB77" w:rsidR="005F6E4F" w:rsidRPr="00652896" w:rsidRDefault="00652896" w:rsidP="00652896">
      <w:pPr>
        <w:pStyle w:val="a1"/>
        <w:rPr>
          <w:lang w:val="en-GB"/>
        </w:rPr>
      </w:pPr>
      <w:r>
        <w:rPr>
          <w:rFonts w:hint="cs"/>
          <w:rtl/>
          <w:lang w:val="en-GB"/>
        </w:rPr>
        <w:t>תלמיד בישיבה</w:t>
      </w:r>
    </w:p>
    <w:p w14:paraId="2FFD666D" w14:textId="77777777" w:rsidR="005F6E4F" w:rsidRPr="00390778" w:rsidRDefault="005F6E4F" w:rsidP="00423C6D">
      <w:pPr>
        <w:pStyle w:val="a2"/>
      </w:pPr>
      <w:r w:rsidRPr="00390778">
        <w:rPr>
          <w:rtl/>
        </w:rPr>
        <w:t>בתוס' (ב"ב קמא, א.) ד"ה "בת היה לו ובכל שמה. וא"ת ולמה לא השיאה ליצחק למ"ד בפרק ד' מיתות דבן נח מותר באחותו. וי"ל דשמא קטנה היתה ולא רצה עדיין להשיאה ליצחק. א"נ מהגר היתה לו ול</w:t>
      </w:r>
      <w:r>
        <w:rPr>
          <w:rtl/>
        </w:rPr>
        <w:t>א משרה ולכך לא רצה להשיאה ליצחק</w:t>
      </w:r>
      <w:r w:rsidRPr="00390778">
        <w:rPr>
          <w:rtl/>
        </w:rPr>
        <w:t>"</w:t>
      </w:r>
      <w:r>
        <w:rPr>
          <w:rFonts w:hint="cs"/>
          <w:rtl/>
        </w:rPr>
        <w:t>.</w:t>
      </w:r>
    </w:p>
    <w:p w14:paraId="274F2C6E" w14:textId="77777777" w:rsidR="005F6E4F" w:rsidRPr="00390778" w:rsidRDefault="005F6E4F" w:rsidP="00423C6D">
      <w:pPr>
        <w:pStyle w:val="a2"/>
      </w:pPr>
      <w:r w:rsidRPr="00390778">
        <w:rPr>
          <w:rtl/>
        </w:rPr>
        <w:t>וצ"ב מהי ההו"א להשיאה ליצחק והא קיימו האבות כל התורה כולה עד שלא ניתנה, ומה"ת אסור לישא אחותו?</w:t>
      </w:r>
    </w:p>
    <w:p w14:paraId="236840B8" w14:textId="77777777" w:rsidR="005F6E4F" w:rsidRPr="00390778" w:rsidRDefault="005F6E4F" w:rsidP="00423C6D">
      <w:pPr>
        <w:pStyle w:val="a2"/>
      </w:pPr>
      <w:r>
        <w:rPr>
          <w:rtl/>
        </w:rPr>
        <w:t>ויש לבאר ע"פ מ</w:t>
      </w:r>
      <w:r>
        <w:rPr>
          <w:rFonts w:hint="cs"/>
          <w:rtl/>
        </w:rPr>
        <w:t xml:space="preserve">"ש </w:t>
      </w:r>
      <w:r w:rsidRPr="00390778">
        <w:rPr>
          <w:rtl/>
        </w:rPr>
        <w:t xml:space="preserve">בלקו"ש (ח"ה עמ' 141 ואילך) שהמצוות שקיימו האבות אז היה כמו ההקפדה וזהירות פרטי על האבות עצמם, ובמקום (איסור דב"נ או) זהירות </w:t>
      </w:r>
      <w:r w:rsidRPr="00390778">
        <w:rPr>
          <w:rtl/>
        </w:rPr>
        <w:lastRenderedPageBreak/>
        <w:t>של אוה"ע דחו הקפדתם. ועפ"ז י"ל בדא"פ שההו"א דתוס' הוא, שמוטב שיצחק ישא אחותו שהוא נגד הקפדתו הפרטית, לקיים מצוות התורה, דאל"כ אחותו ישא עוע"ז ותהי' כמותו – שהוא איסור מד"א לב"נ (לעבוד ע"ז).</w:t>
      </w:r>
    </w:p>
    <w:p w14:paraId="718794A1" w14:textId="77777777" w:rsidR="005F6E4F" w:rsidRPr="00390778" w:rsidRDefault="005F6E4F" w:rsidP="00423C6D">
      <w:pPr>
        <w:pStyle w:val="a2"/>
      </w:pPr>
      <w:r w:rsidRPr="00390778">
        <w:rPr>
          <w:rtl/>
        </w:rPr>
        <w:t>[ודוחק קצת, שבהביאור בהשיחה (וראה גם לקו"ש שם עמ' 188, ועמ' 236 הע' 54 בשוה"ג) הבעי' היא שהוא הולך נגד הזהירות דכל העולם שלא לרמות, אבל כאן כשאינו נושא אחותו אינו עובר על שום דבר בעצ</w:t>
      </w:r>
      <w:r>
        <w:rPr>
          <w:rtl/>
        </w:rPr>
        <w:t>מו ורק גורם שאחותו יעבור על ע"ז</w:t>
      </w:r>
      <w:r>
        <w:rPr>
          <w:rFonts w:hint="cs"/>
          <w:rtl/>
        </w:rPr>
        <w:t>.</w:t>
      </w:r>
      <w:r>
        <w:rPr>
          <w:rStyle w:val="FootnoteReference"/>
          <w:sz w:val="28"/>
          <w:szCs w:val="28"/>
          <w:rtl/>
        </w:rPr>
        <w:footnoteReference w:id="137"/>
      </w:r>
      <w:r>
        <w:rPr>
          <w:rFonts w:hint="cs"/>
          <w:rtl/>
        </w:rPr>
        <w:t xml:space="preserve"> </w:t>
      </w:r>
      <w:r w:rsidRPr="00390778">
        <w:rPr>
          <w:rtl/>
        </w:rPr>
        <w:t xml:space="preserve">ומ"מ יש לתווך ההוראה, ועיי"ש]. </w:t>
      </w:r>
    </w:p>
    <w:p w14:paraId="795DD0C2" w14:textId="77777777" w:rsidR="005F6E4F" w:rsidRPr="00390778" w:rsidRDefault="005F6E4F" w:rsidP="00423C6D">
      <w:pPr>
        <w:pStyle w:val="a2"/>
      </w:pPr>
      <w:r w:rsidRPr="00390778">
        <w:rPr>
          <w:rtl/>
        </w:rPr>
        <w:t>שו"ר בהגהות יעב"ץ שהק' על התוס' וז</w:t>
      </w:r>
      <w:r>
        <w:rPr>
          <w:rtl/>
        </w:rPr>
        <w:t>"ל "שרי להו מרייהו, חס להו לרבנ</w:t>
      </w:r>
      <w:r>
        <w:rPr>
          <w:rFonts w:hint="cs"/>
          <w:rtl/>
        </w:rPr>
        <w:t>ן</w:t>
      </w:r>
      <w:r w:rsidRPr="00390778">
        <w:rPr>
          <w:rtl/>
        </w:rPr>
        <w:t xml:space="preserve"> קדישי ולא ניחא להו למרייהו לימרו הכי כי אחר שנימול אברהם אבינו ודאי לא הי' לו עוד דין בן נח כו'", עכ"ל. אבל י"ל שכאן לומדים תוס' ע"פ פשוטו של מקרא, ו</w:t>
      </w:r>
      <w:r>
        <w:rPr>
          <w:rFonts w:hint="cs"/>
          <w:rtl/>
        </w:rPr>
        <w:t xml:space="preserve">הרי </w:t>
      </w:r>
      <w:r w:rsidRPr="00390778">
        <w:rPr>
          <w:rtl/>
        </w:rPr>
        <w:t>השיחה שלל</w:t>
      </w:r>
      <w:r>
        <w:rPr>
          <w:rFonts w:hint="cs"/>
          <w:rtl/>
        </w:rPr>
        <w:t xml:space="preserve"> </w:t>
      </w:r>
      <w:r w:rsidRPr="00390778">
        <w:rPr>
          <w:rtl/>
        </w:rPr>
        <w:t>– ע"פ פשוטו של מקרא -</w:t>
      </w:r>
      <w:r>
        <w:rPr>
          <w:rtl/>
        </w:rPr>
        <w:t xml:space="preserve"> כל הטענות שהביא היעב"ץ, ועיי"ש</w:t>
      </w:r>
      <w:r w:rsidRPr="00390778">
        <w:rPr>
          <w:rtl/>
        </w:rPr>
        <w:t xml:space="preserve">. </w:t>
      </w:r>
    </w:p>
    <w:p w14:paraId="1F1E8E73" w14:textId="77777777" w:rsidR="005F6E4F" w:rsidRPr="00390778" w:rsidRDefault="005F6E4F" w:rsidP="00423C6D">
      <w:pPr>
        <w:pStyle w:val="a2"/>
      </w:pPr>
      <w:r w:rsidRPr="00390778">
        <w:rPr>
          <w:rtl/>
        </w:rPr>
        <w:t>ואולי יש לתרץ ע"פ המבואר בהשיחה (שם) הע' 5, וזלה"ק, "לכאו' הי' אפשר לתרץ, שד' האמהות היו אחיות רק מן האב ולא מן האם, ובמילא לא היו אחיות כלל עפ"י דין, כי "אין אבות לב"נ" (רש"י וירא כ, יב), ולכן אי"ז שייך ל"תרי"ג מצות שמרתי", כי מה שקיימו האבות כה"ת עד שלא ניתנה הוא דוקא בנוגע לציוויים (שמציאות כזו שלאחרי מ"ת היתה אסורה, נמנעו מזה האבות אף שלא נצטוו), משא"כ בנדו"ד, שכל המציאות דאחיות מן האב נתחדשה לאחרי מ"ת ומקודם מ"ת לא היו אחיות כלל (במציאות תורנית)</w:t>
      </w:r>
      <w:r>
        <w:rPr>
          <w:rtl/>
        </w:rPr>
        <w:t>, לא הוצרך יעקב להחמיר ע"ע בזה"</w:t>
      </w:r>
      <w:r w:rsidRPr="00390778">
        <w:rPr>
          <w:rtl/>
        </w:rPr>
        <w:t>.</w:t>
      </w:r>
    </w:p>
    <w:p w14:paraId="724BA1DF" w14:textId="77777777" w:rsidR="005F6E4F" w:rsidRPr="00390778" w:rsidRDefault="005F6E4F" w:rsidP="00423C6D">
      <w:pPr>
        <w:pStyle w:val="a2"/>
      </w:pPr>
      <w:r w:rsidRPr="00390778">
        <w:rPr>
          <w:rtl/>
        </w:rPr>
        <w:t xml:space="preserve">וכן יש לבאר לפי התוס' שמציאות דאחיות מן האב לא הי' קודם מ"ת, ולכן הי' יצחק מותר באחותו </w:t>
      </w:r>
      <w:r>
        <w:rPr>
          <w:rStyle w:val="FootnoteReference"/>
          <w:sz w:val="28"/>
          <w:szCs w:val="28"/>
          <w:rtl/>
        </w:rPr>
        <w:footnoteReference w:id="138"/>
      </w:r>
      <w:r w:rsidRPr="00390778">
        <w:rPr>
          <w:rtl/>
        </w:rPr>
        <w:t xml:space="preserve">. </w:t>
      </w:r>
    </w:p>
    <w:p w14:paraId="5A8DEEE2" w14:textId="77777777" w:rsidR="005F6E4F" w:rsidRPr="00390778" w:rsidRDefault="005F6E4F" w:rsidP="00423C6D">
      <w:pPr>
        <w:pStyle w:val="a2"/>
      </w:pPr>
      <w:r w:rsidRPr="00390778">
        <w:rPr>
          <w:rtl/>
        </w:rPr>
        <w:t xml:space="preserve">ומה שהקשה </w:t>
      </w:r>
      <w:r>
        <w:rPr>
          <w:rFonts w:hint="cs"/>
          <w:rtl/>
        </w:rPr>
        <w:t xml:space="preserve">בלקו"ש </w:t>
      </w:r>
      <w:r w:rsidRPr="00390778">
        <w:rPr>
          <w:rtl/>
        </w:rPr>
        <w:t>שם מפרש"י בפ' תולדות על פסוק (כ"ו, ה') "וישמור משמרתי" שפי' "שניות לעריות" שמוכרח שזה גם בהעריות מהאב (ע"ש, ובשוה"ג באריכות), ולכן צ"ל או ששמר מצות אלו אע"פ שלא היו במציאות קודם מ"ת, או שהי' המציאות דקרובת האב בנוגע דינים אחרים, ומפני זה שמר גם בכל עריות מן האב, ע"ש מש"כ באריכות.</w:t>
      </w:r>
    </w:p>
    <w:p w14:paraId="12122C25" w14:textId="77777777" w:rsidR="005F6E4F" w:rsidRPr="00390778" w:rsidRDefault="005F6E4F" w:rsidP="00423C6D">
      <w:pPr>
        <w:pStyle w:val="a2"/>
      </w:pPr>
      <w:r w:rsidRPr="00390778">
        <w:rPr>
          <w:rtl/>
        </w:rPr>
        <w:lastRenderedPageBreak/>
        <w:t>אין זה קשיא בנוגע לתוס' זו, שהרי י"ל שתוס' פי' "וישמור משמרתי" – כפי' הרמב"ן (עה"ת שם) "שניות לעריות של בנ"נ" (או רק על שבות לשבת) , ולכן אין הכרח ששמר מצוות אלו שלא הי' להם מציאות קודם מ"ת .</w:t>
      </w:r>
    </w:p>
    <w:p w14:paraId="06D63378" w14:textId="61339698" w:rsidR="005F6E4F" w:rsidRPr="005F6E4F" w:rsidRDefault="005F6E4F" w:rsidP="00423C6D">
      <w:pPr>
        <w:pStyle w:val="a2"/>
        <w:rPr>
          <w:rtl/>
          <w:lang w:val="en-US"/>
        </w:rPr>
      </w:pPr>
      <w:r w:rsidRPr="00390778">
        <w:rPr>
          <w:rtl/>
        </w:rPr>
        <w:t xml:space="preserve">וא"ש דברי התוס' שיכול להשיאה ליצחק. </w:t>
      </w:r>
    </w:p>
    <w:p w14:paraId="4700888C" w14:textId="77777777" w:rsidR="005A6EB4" w:rsidRPr="00347933" w:rsidRDefault="005A6EB4" w:rsidP="000B6EE8">
      <w:pPr>
        <w:pStyle w:val="a4"/>
        <w:spacing w:after="0"/>
        <w:sectPr w:rsidR="005A6EB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F9571CE" w14:textId="4FBC2EC9" w:rsidR="005A6EB4" w:rsidRDefault="005A6EB4" w:rsidP="003C4CF0">
      <w:pPr>
        <w:pStyle w:val="a"/>
        <w:rPr>
          <w:rFonts w:cs="Arial Unicode MS"/>
          <w:rtl/>
        </w:rPr>
      </w:pPr>
      <w:bookmarkStart w:id="195" w:name="_Toc531140430"/>
      <w:r>
        <w:rPr>
          <w:rFonts w:eastAsia="Arial Unicode MS" w:hint="cs"/>
          <w:rtl/>
        </w:rPr>
        <w:t>בירור משמעות נס העיסה באהלה של שרה</w:t>
      </w:r>
      <w:bookmarkEnd w:id="195"/>
    </w:p>
    <w:p w14:paraId="434F80BF" w14:textId="77777777" w:rsidR="007F5A3D" w:rsidRPr="008307D7" w:rsidRDefault="007F5A3D" w:rsidP="00C40DBA">
      <w:pPr>
        <w:pStyle w:val="a0"/>
        <w:rPr>
          <w:rtl/>
        </w:rPr>
      </w:pPr>
      <w:bookmarkStart w:id="196" w:name="_Toc531140431"/>
      <w:r w:rsidRPr="008307D7">
        <w:rPr>
          <w:rFonts w:hint="cs"/>
          <w:rtl/>
          <w:lang w:bidi="he-IL"/>
        </w:rPr>
        <w:t>הרב בנימין אפרים ביטון</w:t>
      </w:r>
      <w:bookmarkEnd w:id="196"/>
    </w:p>
    <w:p w14:paraId="689D28DA" w14:textId="1319D4B9" w:rsidR="007F5A3D" w:rsidRPr="007F5A3D" w:rsidRDefault="007F5A3D" w:rsidP="007F5A3D">
      <w:pPr>
        <w:pStyle w:val="a1"/>
        <w:rPr>
          <w:rtl/>
          <w:lang w:val="en-GB" w:bidi="ar-SA"/>
        </w:rPr>
      </w:pPr>
      <w:r w:rsidRPr="00C60FEE">
        <w:rPr>
          <w:rFonts w:hint="cs"/>
          <w:rtl/>
        </w:rPr>
        <w:t xml:space="preserve">שליח כ"ק אדמו"ר </w:t>
      </w:r>
      <w:r w:rsidRPr="00C60FEE">
        <w:rPr>
          <w:rtl/>
        </w:rPr>
        <w:t>–</w:t>
      </w:r>
      <w:r w:rsidRPr="00C60FEE">
        <w:rPr>
          <w:rFonts w:hint="cs"/>
          <w:rtl/>
        </w:rPr>
        <w:t xml:space="preserve"> וונקובר ב.ק. קנדה</w:t>
      </w:r>
    </w:p>
    <w:p w14:paraId="233BF6FB" w14:textId="7EDF4C23" w:rsidR="005A6EB4" w:rsidRDefault="005A6EB4" w:rsidP="00423C6D">
      <w:pPr>
        <w:pStyle w:val="11"/>
        <w:bidi/>
        <w:rPr>
          <w:rFonts w:cs="Arial Unicode MS"/>
          <w:rtl/>
        </w:rPr>
      </w:pPr>
      <w:r>
        <w:rPr>
          <w:rFonts w:hint="cs"/>
          <w:rtl/>
        </w:rPr>
        <w:t>האהלה שרה אמ</w:t>
      </w:r>
      <w:r w:rsidR="004C43CB">
        <w:rPr>
          <w:rFonts w:hint="cs"/>
          <w:rtl/>
        </w:rPr>
        <w:t>ו</w:t>
      </w:r>
    </w:p>
    <w:p w14:paraId="4E7EBA7F" w14:textId="77777777" w:rsidR="005A6EB4" w:rsidRDefault="005A6EB4" w:rsidP="00423C6D">
      <w:pPr>
        <w:pStyle w:val="a2"/>
        <w:rPr>
          <w:rFonts w:cs="Arial Unicode MS"/>
          <w:rtl/>
        </w:rPr>
      </w:pPr>
      <w:r w:rsidRPr="001E75C9">
        <w:rPr>
          <w:rFonts w:hint="cs"/>
          <w:b/>
          <w:bCs/>
          <w:rtl/>
        </w:rPr>
        <w:t>א</w:t>
      </w:r>
      <w:r w:rsidRPr="001E75C9">
        <w:rPr>
          <w:rFonts w:ascii="FbHadasaNew" w:hAnsi="FbHadasaNew" w:cs="Arial Unicode MS"/>
          <w:b/>
          <w:bCs/>
          <w:rtl/>
        </w:rPr>
        <w:t>.</w:t>
      </w:r>
      <w:r>
        <w:rPr>
          <w:rFonts w:ascii="FbHadasaNew" w:hAnsi="FbHadasaNew" w:cs="Arial Unicode MS"/>
          <w:rtl/>
        </w:rPr>
        <w:t xml:space="preserve"> </w:t>
      </w:r>
      <w:r>
        <w:rPr>
          <w:rFonts w:hint="cs"/>
          <w:rtl/>
        </w:rPr>
        <w:t xml:space="preserve">עה״פ </w:t>
      </w:r>
      <w:r>
        <w:rPr>
          <w:rFonts w:ascii="FbHadasaNew" w:hAnsi="FbHadasaNew" w:cs="Arial Unicode MS"/>
          <w:rtl/>
        </w:rPr>
        <w:t>(</w:t>
      </w:r>
      <w:r>
        <w:rPr>
          <w:rFonts w:hint="cs"/>
          <w:rtl/>
        </w:rPr>
        <w:t>בראשית כד</w:t>
      </w:r>
      <w:r>
        <w:rPr>
          <w:rFonts w:ascii="FbHadasaNew" w:hAnsi="FbHadasaNew" w:cs="Arial Unicode MS"/>
          <w:rtl/>
        </w:rPr>
        <w:t xml:space="preserve">, </w:t>
      </w:r>
      <w:r>
        <w:rPr>
          <w:rFonts w:hint="cs"/>
          <w:rtl/>
        </w:rPr>
        <w:t>סז</w:t>
      </w:r>
      <w:r>
        <w:rPr>
          <w:rFonts w:ascii="FbHadasaNew" w:hAnsi="FbHadasaNew" w:cs="Arial Unicode MS"/>
          <w:rtl/>
        </w:rPr>
        <w:t xml:space="preserve">) </w:t>
      </w:r>
      <w:r>
        <w:rPr>
          <w:rFonts w:hint="cs"/>
          <w:rtl/>
        </w:rPr>
        <w:t>״ויבאה יצחק האהלה שרה אמו ויקח את רבקה ותהי לו לאשה ויאהבה וינחם יצחק אחרי אמו״</w:t>
      </w:r>
      <w:r>
        <w:rPr>
          <w:rFonts w:ascii="FbHadasaNew" w:hAnsi="FbHadasaNew" w:cs="Arial Unicode MS"/>
          <w:rtl/>
        </w:rPr>
        <w:t xml:space="preserve">, </w:t>
      </w:r>
      <w:r>
        <w:rPr>
          <w:rFonts w:hint="cs"/>
          <w:rtl/>
        </w:rPr>
        <w:t xml:space="preserve">מסופר במדרש </w:t>
      </w:r>
      <w:r>
        <w:rPr>
          <w:rFonts w:ascii="FbHadasaNew" w:hAnsi="FbHadasaNew" w:cs="Arial Unicode MS"/>
          <w:rtl/>
        </w:rPr>
        <w:t>(</w:t>
      </w:r>
      <w:r>
        <w:rPr>
          <w:rFonts w:hint="cs"/>
          <w:rtl/>
        </w:rPr>
        <w:t>בראשית רבה</w:t>
      </w:r>
      <w:r>
        <w:rPr>
          <w:rFonts w:ascii="FbHadasaNew" w:hAnsi="FbHadasaNew" w:cs="Arial Unicode MS"/>
          <w:rtl/>
        </w:rPr>
        <w:t xml:space="preserve">, </w:t>
      </w:r>
      <w:r>
        <w:rPr>
          <w:rFonts w:hint="cs"/>
          <w:rtl/>
        </w:rPr>
        <w:t>ס</w:t>
      </w:r>
      <w:r>
        <w:rPr>
          <w:rFonts w:ascii="FbHadasaNew" w:hAnsi="FbHadasaNew" w:cs="Arial Unicode MS"/>
          <w:rtl/>
        </w:rPr>
        <w:t xml:space="preserve">, </w:t>
      </w:r>
      <w:r>
        <w:rPr>
          <w:rFonts w:hint="cs"/>
          <w:rtl/>
        </w:rPr>
        <w:t>טז</w:t>
      </w:r>
      <w:r>
        <w:rPr>
          <w:rFonts w:ascii="FbHadasaNew" w:hAnsi="FbHadasaNew" w:cs="Arial Unicode MS"/>
          <w:rtl/>
        </w:rPr>
        <w:t xml:space="preserve">) </w:t>
      </w:r>
      <w:r>
        <w:rPr>
          <w:rFonts w:hint="cs"/>
          <w:rtl/>
        </w:rPr>
        <w:t>בזה״ל ״כל ימים שהיתה שרה קיימת</w:t>
      </w:r>
      <w:r>
        <w:rPr>
          <w:rFonts w:ascii="FbHadasaNew" w:hAnsi="FbHadasaNew" w:cs="Arial Unicode MS"/>
          <w:rtl/>
        </w:rPr>
        <w:t xml:space="preserve">, </w:t>
      </w:r>
      <w:r>
        <w:rPr>
          <w:rFonts w:hint="cs"/>
          <w:rtl/>
        </w:rPr>
        <w:t>היה ענן קשור על פתח אהלה</w:t>
      </w:r>
      <w:r>
        <w:rPr>
          <w:rFonts w:ascii="FbHadasaNew" w:hAnsi="FbHadasaNew" w:cs="Arial Unicode MS"/>
          <w:rtl/>
        </w:rPr>
        <w:t xml:space="preserve">, </w:t>
      </w:r>
      <w:r>
        <w:rPr>
          <w:rFonts w:hint="cs"/>
          <w:rtl/>
        </w:rPr>
        <w:t>וכיון שמתה</w:t>
      </w:r>
      <w:r>
        <w:rPr>
          <w:rFonts w:ascii="FbHadasaNew" w:hAnsi="FbHadasaNew" w:cs="Arial Unicode MS"/>
          <w:rtl/>
        </w:rPr>
        <w:t xml:space="preserve">, </w:t>
      </w:r>
      <w:r>
        <w:rPr>
          <w:rFonts w:hint="cs"/>
          <w:rtl/>
        </w:rPr>
        <w:t>פסק אותו ענן</w:t>
      </w:r>
      <w:r>
        <w:rPr>
          <w:rFonts w:ascii="FbHadasaNew" w:hAnsi="FbHadasaNew" w:cs="Arial Unicode MS"/>
          <w:rtl/>
        </w:rPr>
        <w:t xml:space="preserve">, </w:t>
      </w:r>
      <w:r>
        <w:rPr>
          <w:rFonts w:hint="cs"/>
          <w:rtl/>
        </w:rPr>
        <w:t>וכיון שבאת רבקה</w:t>
      </w:r>
      <w:r>
        <w:rPr>
          <w:rFonts w:ascii="FbHadasaNew" w:hAnsi="FbHadasaNew" w:cs="Arial Unicode MS"/>
          <w:rtl/>
        </w:rPr>
        <w:t xml:space="preserve">, </w:t>
      </w:r>
      <w:r>
        <w:rPr>
          <w:rFonts w:hint="cs"/>
          <w:rtl/>
        </w:rPr>
        <w:t>חזר אותו ענן</w:t>
      </w:r>
      <w:r>
        <w:rPr>
          <w:rFonts w:ascii="FbHadasaNew" w:hAnsi="FbHadasaNew" w:cs="Arial Unicode MS"/>
          <w:rtl/>
        </w:rPr>
        <w:t xml:space="preserve">; </w:t>
      </w:r>
      <w:r>
        <w:rPr>
          <w:rFonts w:hint="cs"/>
          <w:rtl/>
        </w:rPr>
        <w:t>כל ימים שהיתה שרה קיימת</w:t>
      </w:r>
      <w:r>
        <w:rPr>
          <w:rFonts w:ascii="FbHadasaNew" w:hAnsi="FbHadasaNew" w:cs="Arial Unicode MS"/>
          <w:rtl/>
        </w:rPr>
        <w:t xml:space="preserve">, </w:t>
      </w:r>
      <w:r>
        <w:rPr>
          <w:rFonts w:hint="cs"/>
          <w:rtl/>
        </w:rPr>
        <w:t>היתה ברכה משולחת בעיסה</w:t>
      </w:r>
      <w:r>
        <w:rPr>
          <w:rFonts w:ascii="FbHadasaNew" w:hAnsi="FbHadasaNew" w:cs="Arial Unicode MS"/>
          <w:rtl/>
        </w:rPr>
        <w:t xml:space="preserve">, </w:t>
      </w:r>
      <w:r>
        <w:rPr>
          <w:rFonts w:hint="cs"/>
          <w:rtl/>
        </w:rPr>
        <w:t>וכיון שמתה שרה</w:t>
      </w:r>
      <w:r>
        <w:rPr>
          <w:rFonts w:ascii="FbHadasaNew" w:hAnsi="FbHadasaNew" w:cs="Arial Unicode MS"/>
          <w:rtl/>
        </w:rPr>
        <w:t xml:space="preserve">, </w:t>
      </w:r>
      <w:r>
        <w:rPr>
          <w:rFonts w:hint="cs"/>
          <w:rtl/>
        </w:rPr>
        <w:t>פסקה אותה הברכה</w:t>
      </w:r>
      <w:r>
        <w:rPr>
          <w:rFonts w:ascii="FbHadasaNew" w:hAnsi="FbHadasaNew" w:cs="Arial Unicode MS"/>
          <w:rtl/>
        </w:rPr>
        <w:t xml:space="preserve">, </w:t>
      </w:r>
      <w:r>
        <w:rPr>
          <w:rFonts w:hint="cs"/>
          <w:rtl/>
        </w:rPr>
        <w:t>כיון שבאת רבקה חזרה</w:t>
      </w:r>
      <w:r>
        <w:rPr>
          <w:rFonts w:ascii="FbHadasaNew" w:hAnsi="FbHadasaNew" w:cs="Arial Unicode MS"/>
          <w:rtl/>
        </w:rPr>
        <w:t xml:space="preserve">; </w:t>
      </w:r>
      <w:r>
        <w:rPr>
          <w:rFonts w:hint="cs"/>
          <w:rtl/>
        </w:rPr>
        <w:t>כל ימים שהיתה שרה קיימת</w:t>
      </w:r>
      <w:r>
        <w:rPr>
          <w:rFonts w:ascii="FbHadasaNew" w:hAnsi="FbHadasaNew" w:cs="Arial Unicode MS"/>
          <w:rtl/>
        </w:rPr>
        <w:t xml:space="preserve">, </w:t>
      </w:r>
      <w:r>
        <w:rPr>
          <w:rFonts w:hint="cs"/>
          <w:rtl/>
        </w:rPr>
        <w:t>היה נר דלוק מלילי שבת ועד לילי שבת</w:t>
      </w:r>
      <w:r>
        <w:rPr>
          <w:rFonts w:ascii="FbHadasaNew" w:hAnsi="FbHadasaNew" w:cs="Arial Unicode MS"/>
          <w:rtl/>
        </w:rPr>
        <w:t xml:space="preserve">, </w:t>
      </w:r>
      <w:r>
        <w:rPr>
          <w:rFonts w:hint="cs"/>
          <w:rtl/>
        </w:rPr>
        <w:t>וכיון שמתה פסק אותו הנר</w:t>
      </w:r>
      <w:r>
        <w:rPr>
          <w:rFonts w:ascii="FbHadasaNew" w:hAnsi="FbHadasaNew" w:cs="Arial Unicode MS"/>
          <w:rtl/>
        </w:rPr>
        <w:t xml:space="preserve">, </w:t>
      </w:r>
      <w:r>
        <w:rPr>
          <w:rFonts w:hint="cs"/>
          <w:rtl/>
        </w:rPr>
        <w:t>וכיון שבאת רבקה חזר</w:t>
      </w:r>
      <w:r>
        <w:rPr>
          <w:rFonts w:ascii="FbHadasaNew" w:hAnsi="FbHadasaNew" w:cs="Arial Unicode MS"/>
          <w:rtl/>
        </w:rPr>
        <w:t xml:space="preserve">. </w:t>
      </w:r>
      <w:r>
        <w:rPr>
          <w:rFonts w:hint="cs"/>
          <w:rtl/>
        </w:rPr>
        <w:t>וכיון שראה אותה</w:t>
      </w:r>
      <w:r>
        <w:rPr>
          <w:rFonts w:ascii="FbHadasaNew" w:hAnsi="FbHadasaNew" w:cs="Arial Unicode MS"/>
          <w:rtl/>
        </w:rPr>
        <w:t xml:space="preserve"> </w:t>
      </w:r>
      <w:r>
        <w:rPr>
          <w:rFonts w:hint="cs"/>
          <w:rtl/>
        </w:rPr>
        <w:t xml:space="preserve">שהיא עושה כמעשה אמו </w:t>
      </w:r>
      <w:r>
        <w:rPr>
          <w:rFonts w:ascii="FbHadasaNew" w:hAnsi="FbHadasaNew" w:cs="Arial Unicode MS"/>
          <w:rtl/>
        </w:rPr>
        <w:t xml:space="preserve">. . </w:t>
      </w:r>
      <w:r>
        <w:rPr>
          <w:rFonts w:hint="cs"/>
          <w:rtl/>
        </w:rPr>
        <w:t>מיד</w:t>
      </w:r>
      <w:r>
        <w:rPr>
          <w:rFonts w:ascii="FbHadasaNew" w:hAnsi="FbHadasaNew" w:cs="Arial Unicode MS"/>
          <w:rtl/>
        </w:rPr>
        <w:t xml:space="preserve"> </w:t>
      </w:r>
      <w:r>
        <w:rPr>
          <w:rFonts w:hint="cs"/>
          <w:rtl/>
        </w:rPr>
        <w:t>ויביאה יצחק האהלה״</w:t>
      </w:r>
      <w:r>
        <w:rPr>
          <w:rFonts w:ascii="FbHadasaNew" w:hAnsi="FbHadasaNew" w:cs="Arial Unicode MS"/>
          <w:rtl/>
        </w:rPr>
        <w:t>.</w:t>
      </w:r>
    </w:p>
    <w:p w14:paraId="6EC586A1" w14:textId="77777777" w:rsidR="005A6EB4" w:rsidRDefault="005A6EB4" w:rsidP="00423C6D">
      <w:pPr>
        <w:pStyle w:val="a2"/>
        <w:rPr>
          <w:rFonts w:cs="Arial Unicode MS"/>
          <w:rtl/>
        </w:rPr>
      </w:pPr>
      <w:r>
        <w:rPr>
          <w:rFonts w:hint="cs"/>
          <w:rtl/>
        </w:rPr>
        <w:t>ומבואר אפוא במדרש שאירעו באוהלה של שרה שלושה נסים</w:t>
      </w:r>
      <w:r>
        <w:rPr>
          <w:rFonts w:ascii="FbHadasaNew" w:eastAsia="FbHadasaNew" w:hAnsi="FbHadasaNew"/>
          <w:vertAlign w:val="superscript"/>
        </w:rPr>
        <w:footnoteReference w:id="139"/>
      </w:r>
      <w:r>
        <w:rPr>
          <w:rFonts w:hint="cs"/>
          <w:rtl/>
        </w:rPr>
        <w:t xml:space="preserve"> במשך תקופת </w:t>
      </w:r>
      <w:r>
        <w:rPr>
          <w:rFonts w:hint="cs"/>
          <w:rtl/>
        </w:rPr>
        <w:lastRenderedPageBreak/>
        <w:t>ימי חייה</w:t>
      </w:r>
      <w:r>
        <w:rPr>
          <w:rFonts w:ascii="FbHadasaNew" w:hAnsi="FbHadasaNew" w:cs="Arial Unicode MS"/>
          <w:rtl/>
        </w:rPr>
        <w:t xml:space="preserve">, </w:t>
      </w:r>
      <w:r>
        <w:rPr>
          <w:rFonts w:hint="cs"/>
          <w:rtl/>
        </w:rPr>
        <w:t>ונסים אלו חזרו בביאת רבקה</w:t>
      </w:r>
      <w:r>
        <w:rPr>
          <w:rFonts w:ascii="FbHadasaNew" w:hAnsi="FbHadasaNew" w:cs="Arial Unicode MS"/>
          <w:rtl/>
        </w:rPr>
        <w:t xml:space="preserve">: </w:t>
      </w:r>
      <w:r>
        <w:rPr>
          <w:rFonts w:hint="cs"/>
          <w:rtl/>
        </w:rPr>
        <w:t>הא׳ ענן של שכינה היה שורה על פתח אוהלה</w:t>
      </w:r>
      <w:r>
        <w:rPr>
          <w:rFonts w:ascii="FbHadasaNew" w:hAnsi="FbHadasaNew" w:cs="Arial Unicode MS"/>
          <w:rtl/>
        </w:rPr>
        <w:t xml:space="preserve">, </w:t>
      </w:r>
      <w:r>
        <w:rPr>
          <w:rFonts w:hint="cs"/>
          <w:rtl/>
        </w:rPr>
        <w:t>והב׳ ברכה משולחת בעיסה</w:t>
      </w:r>
      <w:r>
        <w:rPr>
          <w:rFonts w:ascii="FbHadasaNew" w:hAnsi="FbHadasaNew" w:cs="Arial Unicode MS"/>
          <w:rtl/>
        </w:rPr>
        <w:t xml:space="preserve">, </w:t>
      </w:r>
      <w:r>
        <w:rPr>
          <w:rFonts w:hint="cs"/>
          <w:rtl/>
        </w:rPr>
        <w:t>והג׳ הנרות שהיתה מדליקה בערב שבת</w:t>
      </w:r>
      <w:r>
        <w:rPr>
          <w:rFonts w:ascii="FbHadasaNew" w:hAnsi="FbHadasaNew" w:cs="Arial Unicode MS"/>
          <w:rtl/>
        </w:rPr>
        <w:t xml:space="preserve">, </w:t>
      </w:r>
      <w:r>
        <w:rPr>
          <w:rFonts w:hint="cs"/>
          <w:rtl/>
        </w:rPr>
        <w:t>היו ממשיכים לדלוק בדרך נס עד לערב שבת הבא</w:t>
      </w:r>
      <w:r>
        <w:rPr>
          <w:rFonts w:ascii="FbHadasaNew" w:hAnsi="FbHadasaNew" w:cs="Arial Unicode MS"/>
          <w:rtl/>
        </w:rPr>
        <w:t>.</w:t>
      </w:r>
    </w:p>
    <w:p w14:paraId="2ACACF4B" w14:textId="77777777" w:rsidR="005A6EB4" w:rsidRDefault="005A6EB4" w:rsidP="00423C6D">
      <w:pPr>
        <w:pStyle w:val="11"/>
        <w:bidi/>
        <w:rPr>
          <w:rFonts w:cs="Arial Unicode MS"/>
          <w:rtl/>
        </w:rPr>
      </w:pPr>
      <w:r>
        <w:rPr>
          <w:rFonts w:hint="cs"/>
          <w:rtl/>
        </w:rPr>
        <w:t>ברכה משולחת בעיסה</w:t>
      </w:r>
    </w:p>
    <w:p w14:paraId="417F2D03" w14:textId="77777777" w:rsidR="005A6EB4" w:rsidRDefault="005A6EB4" w:rsidP="00423C6D">
      <w:pPr>
        <w:pStyle w:val="a2"/>
        <w:rPr>
          <w:rFonts w:cs="Arial Unicode MS"/>
          <w:rtl/>
        </w:rPr>
      </w:pPr>
      <w:r w:rsidRPr="001E75C9">
        <w:rPr>
          <w:rFonts w:hint="cs"/>
          <w:b/>
          <w:bCs/>
          <w:rtl/>
        </w:rPr>
        <w:t>ב</w:t>
      </w:r>
      <w:r w:rsidRPr="001E75C9">
        <w:rPr>
          <w:rFonts w:ascii="FbHadasaNew" w:hAnsi="FbHadasaNew" w:cs="Arial Unicode MS"/>
          <w:b/>
          <w:bCs/>
          <w:rtl/>
        </w:rPr>
        <w:t>.</w:t>
      </w:r>
      <w:r>
        <w:rPr>
          <w:rFonts w:ascii="FbHadasaNew" w:hAnsi="FbHadasaNew" w:cs="Arial Unicode MS"/>
          <w:rtl/>
        </w:rPr>
        <w:t xml:space="preserve"> </w:t>
      </w:r>
      <w:r>
        <w:rPr>
          <w:rFonts w:hint="cs"/>
          <w:rtl/>
        </w:rPr>
        <w:t>ויש להבהיר בפירוש ובירור משמעות אותו נס הב׳ שהיתה ברכה בעיסה של שרה ורבקה</w:t>
      </w:r>
      <w:r>
        <w:rPr>
          <w:rFonts w:ascii="FbHadasaNew" w:hAnsi="FbHadasaNew" w:cs="Arial Unicode MS"/>
          <w:rtl/>
        </w:rPr>
        <w:t xml:space="preserve">, </w:t>
      </w:r>
      <w:r>
        <w:rPr>
          <w:rFonts w:hint="cs"/>
          <w:rtl/>
        </w:rPr>
        <w:t>דהנה לשון המדרש שלפנינו הוא ״היתה</w:t>
      </w:r>
      <w:r>
        <w:rPr>
          <w:rFonts w:ascii="FbHadasaNew" w:hAnsi="FbHadasaNew" w:cs="Arial Unicode MS"/>
          <w:rtl/>
        </w:rPr>
        <w:t> </w:t>
      </w:r>
      <w:r>
        <w:rPr>
          <w:rFonts w:hint="cs"/>
          <w:rtl/>
        </w:rPr>
        <w:t>ברכה</w:t>
      </w:r>
      <w:r>
        <w:rPr>
          <w:rFonts w:ascii="FbHadasaNew" w:hAnsi="FbHadasaNew" w:cs="Arial Unicode MS"/>
          <w:rtl/>
        </w:rPr>
        <w:t> </w:t>
      </w:r>
      <w:r>
        <w:rPr>
          <w:rFonts w:hint="cs"/>
          <w:rtl/>
        </w:rPr>
        <w:t>משולחת</w:t>
      </w:r>
      <w:r>
        <w:rPr>
          <w:rFonts w:ascii="FbHadasaNew" w:hAnsi="FbHadasaNew" w:cs="Arial Unicode MS"/>
          <w:rtl/>
        </w:rPr>
        <w:t> </w:t>
      </w:r>
      <w:r>
        <w:rPr>
          <w:rFonts w:hint="cs"/>
          <w:rtl/>
        </w:rPr>
        <w:t>בעיסה״</w:t>
      </w:r>
      <w:r>
        <w:rPr>
          <w:rFonts w:ascii="FbHadasaNew" w:eastAsia="FbHadasaNew" w:hAnsi="FbHadasaNew"/>
          <w:vertAlign w:val="superscript"/>
        </w:rPr>
        <w:footnoteReference w:id="140"/>
      </w:r>
      <w:r>
        <w:rPr>
          <w:rFonts w:hint="cs"/>
          <w:rtl/>
        </w:rPr>
        <w:t xml:space="preserve"> אינו מבורר כל צרכו</w:t>
      </w:r>
      <w:r>
        <w:rPr>
          <w:rFonts w:ascii="FbHadasaNew" w:hAnsi="FbHadasaNew" w:cs="Arial Unicode MS"/>
          <w:rtl/>
        </w:rPr>
        <w:t xml:space="preserve">, </w:t>
      </w:r>
      <w:r>
        <w:rPr>
          <w:rFonts w:hint="cs"/>
          <w:rtl/>
        </w:rPr>
        <w:t>ונתחבטו המפרשים במשמעות העניין ומצינו בזה כמה פירושים</w:t>
      </w:r>
      <w:r>
        <w:rPr>
          <w:rFonts w:ascii="FbHadasaNew" w:hAnsi="FbHadasaNew" w:cs="Arial Unicode MS"/>
          <w:rtl/>
        </w:rPr>
        <w:t>:</w:t>
      </w:r>
    </w:p>
    <w:p w14:paraId="46EEB1D8" w14:textId="0927FA92" w:rsidR="005A6EB4" w:rsidRDefault="005A6EB4" w:rsidP="00423C6D">
      <w:pPr>
        <w:pStyle w:val="a2"/>
        <w:rPr>
          <w:rFonts w:cs="Arial Unicode MS"/>
          <w:rtl/>
        </w:rPr>
      </w:pPr>
      <w:r>
        <w:rPr>
          <w:rFonts w:hint="cs"/>
          <w:rtl/>
        </w:rPr>
        <w:t>הא׳ יש שפירשו כי עיסתה של שרה התברכה עד כי אף כמות קטנה של פת היתה כבר משבעת את האוכל בדרך נס</w:t>
      </w:r>
      <w:r>
        <w:rPr>
          <w:rFonts w:ascii="FbHadasaNew" w:hAnsi="FbHadasaNew" w:cs="Arial Unicode MS"/>
          <w:rtl/>
        </w:rPr>
        <w:t xml:space="preserve">, </w:t>
      </w:r>
      <w:r>
        <w:rPr>
          <w:rFonts w:hint="cs"/>
          <w:rtl/>
        </w:rPr>
        <w:t xml:space="preserve">והרי זה כעין הנס שמצינו אצל לחם הפנים </w:t>
      </w:r>
      <w:r>
        <w:rPr>
          <w:rFonts w:ascii="FbHadasaNew" w:hAnsi="FbHadasaNew" w:cs="Arial Unicode MS"/>
          <w:rtl/>
        </w:rPr>
        <w:t>[</w:t>
      </w:r>
      <w:r>
        <w:rPr>
          <w:rFonts w:hint="cs"/>
          <w:rtl/>
        </w:rPr>
        <w:t>וכן גם בעומר ובשתי הלחם</w:t>
      </w:r>
      <w:r>
        <w:rPr>
          <w:rFonts w:ascii="FbHadasaNew" w:hAnsi="FbHadasaNew" w:cs="Arial Unicode MS"/>
          <w:rtl/>
        </w:rPr>
        <w:t xml:space="preserve">], </w:t>
      </w:r>
      <w:r>
        <w:rPr>
          <w:rFonts w:hint="cs"/>
          <w:rtl/>
        </w:rPr>
        <w:t>אשר כמות קטנה של כזית היתה משבעת את הכהן</w:t>
      </w:r>
      <w:r w:rsidR="003C4CF0">
        <w:rPr>
          <w:rFonts w:hint="cs"/>
          <w:rtl/>
        </w:rPr>
        <w:t xml:space="preserve"> </w:t>
      </w:r>
      <w:r>
        <w:rPr>
          <w:rFonts w:ascii="FbHadasaNew" w:hAnsi="FbHadasaNew" w:cs="Arial Unicode MS"/>
          <w:rtl/>
        </w:rPr>
        <w:t>(</w:t>
      </w:r>
      <w:r>
        <w:rPr>
          <w:rFonts w:hint="cs"/>
          <w:rtl/>
        </w:rPr>
        <w:t>ראה בזה יומא לט</w:t>
      </w:r>
      <w:r>
        <w:rPr>
          <w:rFonts w:ascii="FbHadasaNew" w:hAnsi="FbHadasaNew" w:cs="Arial Unicode MS"/>
          <w:rtl/>
        </w:rPr>
        <w:t xml:space="preserve">, </w:t>
      </w:r>
      <w:r>
        <w:rPr>
          <w:rFonts w:hint="cs"/>
          <w:rtl/>
        </w:rPr>
        <w:t>א</w:t>
      </w:r>
      <w:r>
        <w:rPr>
          <w:rFonts w:ascii="FbHadasaNew" w:eastAsia="FbHadasaNew" w:hAnsi="FbHadasaNew"/>
          <w:vertAlign w:val="superscript"/>
        </w:rPr>
        <w:footnoteReference w:id="141"/>
      </w:r>
      <w:r>
        <w:rPr>
          <w:rFonts w:ascii="FbHadasaNew" w:hAnsi="FbHadasaNew" w:cs="Arial Unicode MS"/>
          <w:rtl/>
        </w:rPr>
        <w:t>)</w:t>
      </w:r>
      <w:r>
        <w:rPr>
          <w:rFonts w:ascii="FbHadasaNew" w:eastAsia="FbHadasaNew" w:hAnsi="FbHadasaNew"/>
          <w:vertAlign w:val="superscript"/>
        </w:rPr>
        <w:footnoteReference w:id="142"/>
      </w:r>
      <w:r>
        <w:rPr>
          <w:rFonts w:ascii="FbHadasaNew" w:hAnsi="FbHadasaNew" w:cs="Arial Unicode MS"/>
          <w:rtl/>
        </w:rPr>
        <w:t>.</w:t>
      </w:r>
    </w:p>
    <w:p w14:paraId="4E297892" w14:textId="77777777" w:rsidR="005A6EB4" w:rsidRDefault="005A6EB4" w:rsidP="00423C6D">
      <w:pPr>
        <w:pStyle w:val="a2"/>
        <w:rPr>
          <w:rFonts w:cs="Arial Unicode MS"/>
          <w:rtl/>
        </w:rPr>
      </w:pPr>
      <w:r>
        <w:rPr>
          <w:rFonts w:hint="cs"/>
          <w:rtl/>
        </w:rPr>
        <w:t>והב׳ יש עוד שפירשו כי אין הכוונה ל״נס״</w:t>
      </w:r>
      <w:r>
        <w:rPr>
          <w:rFonts w:ascii="FbHadasaNew" w:hAnsi="FbHadasaNew" w:cs="Arial Unicode MS"/>
          <w:rtl/>
        </w:rPr>
        <w:t xml:space="preserve">, </w:t>
      </w:r>
      <w:r>
        <w:rPr>
          <w:rFonts w:hint="cs"/>
          <w:rtl/>
        </w:rPr>
        <w:t>אלא לעובדה כי</w:t>
      </w:r>
      <w:r>
        <w:rPr>
          <w:rFonts w:ascii="FbHadasaNew" w:hAnsi="FbHadasaNew" w:cs="Arial Unicode MS"/>
          <w:rtl/>
        </w:rPr>
        <w:t> </w:t>
      </w:r>
      <w:r>
        <w:rPr>
          <w:rFonts w:hint="cs"/>
          <w:rtl/>
        </w:rPr>
        <w:t>ברכה</w:t>
      </w:r>
      <w:r>
        <w:rPr>
          <w:rFonts w:ascii="FbHadasaNew" w:hAnsi="FbHadasaNew" w:cs="Arial Unicode MS"/>
          <w:rtl/>
        </w:rPr>
        <w:t> </w:t>
      </w:r>
      <w:r>
        <w:rPr>
          <w:rFonts w:hint="cs"/>
          <w:rtl/>
        </w:rPr>
        <w:t>היתה בפיתה של שרה שהיה נראה טוב למראה וטוב למאכל</w:t>
      </w:r>
      <w:r>
        <w:rPr>
          <w:rFonts w:ascii="FbHadasaNew" w:eastAsia="FbHadasaNew" w:hAnsi="FbHadasaNew"/>
          <w:vertAlign w:val="superscript"/>
        </w:rPr>
        <w:footnoteReference w:id="143"/>
      </w:r>
      <w:r>
        <w:rPr>
          <w:rFonts w:ascii="FbHadasaNew" w:hAnsi="FbHadasaNew" w:cs="Arial Unicode MS"/>
          <w:rtl/>
        </w:rPr>
        <w:t>.</w:t>
      </w:r>
    </w:p>
    <w:p w14:paraId="28034F5C" w14:textId="77777777" w:rsidR="005A6EB4" w:rsidRDefault="005A6EB4" w:rsidP="00423C6D">
      <w:pPr>
        <w:pStyle w:val="a2"/>
        <w:rPr>
          <w:rFonts w:cs="Arial Unicode MS"/>
          <w:rtl/>
        </w:rPr>
      </w:pPr>
      <w:r w:rsidRPr="001E75C9">
        <w:rPr>
          <w:rFonts w:hint="cs"/>
          <w:b/>
          <w:bCs/>
          <w:rtl/>
        </w:rPr>
        <w:t>ג</w:t>
      </w:r>
      <w:r w:rsidRPr="001E75C9">
        <w:rPr>
          <w:rFonts w:ascii="FbHadasaNew" w:hAnsi="FbHadasaNew" w:cs="Arial Unicode MS"/>
          <w:b/>
          <w:bCs/>
          <w:rtl/>
        </w:rPr>
        <w:t>.</w:t>
      </w:r>
      <w:r>
        <w:rPr>
          <w:rFonts w:ascii="FbHadasaNew" w:hAnsi="FbHadasaNew" w:cs="Arial Unicode MS"/>
          <w:rtl/>
        </w:rPr>
        <w:t xml:space="preserve"> </w:t>
      </w:r>
      <w:r>
        <w:rPr>
          <w:rFonts w:hint="cs"/>
          <w:rtl/>
        </w:rPr>
        <w:t>והנה מבין שני פירושים אלו נראה להכריע כפירוש הראשון</w:t>
      </w:r>
      <w:r>
        <w:rPr>
          <w:rFonts w:ascii="FbHadasaNew" w:hAnsi="FbHadasaNew" w:cs="Arial Unicode MS"/>
          <w:rtl/>
        </w:rPr>
        <w:t xml:space="preserve">, </w:t>
      </w:r>
      <w:r>
        <w:rPr>
          <w:rFonts w:hint="cs"/>
          <w:rtl/>
        </w:rPr>
        <w:t>ומכמה טעמים</w:t>
      </w:r>
      <w:r>
        <w:rPr>
          <w:rFonts w:ascii="FbHadasaNew" w:hAnsi="FbHadasaNew" w:cs="Arial Unicode MS"/>
          <w:rtl/>
        </w:rPr>
        <w:t xml:space="preserve">, </w:t>
      </w:r>
      <w:r>
        <w:rPr>
          <w:rFonts w:hint="cs"/>
          <w:rtl/>
        </w:rPr>
        <w:t>הא׳ דהנה מכללות תוכן הסיפור</w:t>
      </w:r>
      <w:r>
        <w:rPr>
          <w:rFonts w:ascii="FbHadasaNew" w:hAnsi="FbHadasaNew" w:cs="Arial Unicode MS"/>
          <w:rtl/>
        </w:rPr>
        <w:t xml:space="preserve">, </w:t>
      </w:r>
      <w:r>
        <w:rPr>
          <w:rFonts w:hint="cs"/>
          <w:rtl/>
        </w:rPr>
        <w:t>ששימשו סימנים אלו כהוכחה ליצחק שרבקה דומה לאימו בצדקותה</w:t>
      </w:r>
      <w:r>
        <w:rPr>
          <w:rFonts w:ascii="FbHadasaNew" w:hAnsi="FbHadasaNew" w:cs="Arial Unicode MS"/>
          <w:rtl/>
        </w:rPr>
        <w:t xml:space="preserve">, </w:t>
      </w:r>
      <w:r>
        <w:rPr>
          <w:rFonts w:hint="cs"/>
          <w:rtl/>
        </w:rPr>
        <w:t>הרי מתבאר בפשטות כי היו אלו נסים היוצאים מגדרי הטבע</w:t>
      </w:r>
      <w:r>
        <w:rPr>
          <w:rFonts w:ascii="FbHadasaNew" w:hAnsi="FbHadasaNew" w:cs="Arial Unicode MS"/>
          <w:rtl/>
        </w:rPr>
        <w:t xml:space="preserve">, </w:t>
      </w:r>
      <w:r>
        <w:rPr>
          <w:rFonts w:hint="cs"/>
          <w:rtl/>
        </w:rPr>
        <w:lastRenderedPageBreak/>
        <w:t xml:space="preserve">ודווקא משום בחינת ה״נס״ שבהם הוכח ליצחק את מדת צדקותה של רבקה </w:t>
      </w:r>
      <w:r>
        <w:rPr>
          <w:rFonts w:ascii="FbHadasaNew" w:hAnsi="FbHadasaNew" w:cs="Arial Unicode MS"/>
          <w:rtl/>
        </w:rPr>
        <w:t>(</w:t>
      </w:r>
      <w:r>
        <w:rPr>
          <w:rFonts w:hint="cs"/>
          <w:rtl/>
        </w:rPr>
        <w:t xml:space="preserve">וראה לקוטי שיחות חט״ו עמ׳ </w:t>
      </w:r>
      <w:r w:rsidRPr="003C4CF0">
        <w:rPr>
          <w:rtl/>
        </w:rPr>
        <w:t>166</w:t>
      </w:r>
      <w:r>
        <w:rPr>
          <w:rFonts w:ascii="FbHadasaNew" w:hAnsi="FbHadasaNew" w:cs="Arial Unicode MS"/>
          <w:rtl/>
        </w:rPr>
        <w:t xml:space="preserve"> </w:t>
      </w:r>
      <w:r>
        <w:rPr>
          <w:rFonts w:hint="cs"/>
          <w:rtl/>
        </w:rPr>
        <w:t xml:space="preserve">הערה </w:t>
      </w:r>
      <w:r w:rsidRPr="003C4CF0">
        <w:rPr>
          <w:rtl/>
        </w:rPr>
        <w:t>23</w:t>
      </w:r>
      <w:r>
        <w:rPr>
          <w:rFonts w:hint="cs"/>
          <w:rtl/>
        </w:rPr>
        <w:t xml:space="preserve"> עיי״ש</w:t>
      </w:r>
      <w:r>
        <w:rPr>
          <w:rFonts w:ascii="FbHadasaNew" w:hAnsi="FbHadasaNew" w:cs="Arial Unicode MS"/>
          <w:rtl/>
        </w:rPr>
        <w:t>). </w:t>
      </w:r>
    </w:p>
    <w:p w14:paraId="2208397E" w14:textId="77777777" w:rsidR="005A6EB4" w:rsidRDefault="005A6EB4" w:rsidP="00423C6D">
      <w:pPr>
        <w:pStyle w:val="a2"/>
        <w:rPr>
          <w:rFonts w:cs="Arial Unicode MS"/>
          <w:rtl/>
        </w:rPr>
      </w:pPr>
      <w:r>
        <w:rPr>
          <w:rFonts w:hint="cs"/>
          <w:rtl/>
        </w:rPr>
        <w:t xml:space="preserve">והב׳ דהנה לשון הגמרא </w:t>
      </w:r>
      <w:r>
        <w:rPr>
          <w:rFonts w:ascii="FbHadasaNew" w:hAnsi="FbHadasaNew" w:cs="Arial Unicode MS"/>
          <w:rtl/>
        </w:rPr>
        <w:t>(</w:t>
      </w:r>
      <w:r>
        <w:rPr>
          <w:rFonts w:hint="cs"/>
          <w:rtl/>
        </w:rPr>
        <w:t>יומא שם</w:t>
      </w:r>
      <w:r>
        <w:rPr>
          <w:rFonts w:ascii="FbHadasaNew" w:hAnsi="FbHadasaNew" w:cs="Arial Unicode MS"/>
          <w:rtl/>
        </w:rPr>
        <w:t xml:space="preserve">) </w:t>
      </w:r>
      <w:r>
        <w:rPr>
          <w:rFonts w:hint="cs"/>
          <w:rtl/>
        </w:rPr>
        <w:t xml:space="preserve">בקשר לנס שאירע כאמור בלחם הפנים </w:t>
      </w:r>
      <w:r>
        <w:rPr>
          <w:rFonts w:ascii="FbHadasaNew" w:hAnsi="FbHadasaNew" w:cs="Arial Unicode MS"/>
          <w:rtl/>
        </w:rPr>
        <w:t>[</w:t>
      </w:r>
      <w:r>
        <w:rPr>
          <w:rFonts w:hint="cs"/>
          <w:rtl/>
        </w:rPr>
        <w:t>ובעומר ובשתי הלחם</w:t>
      </w:r>
      <w:r>
        <w:rPr>
          <w:rFonts w:ascii="FbHadasaNew" w:hAnsi="FbHadasaNew" w:cs="Arial Unicode MS"/>
          <w:rtl/>
        </w:rPr>
        <w:t xml:space="preserve">] </w:t>
      </w:r>
      <w:r>
        <w:rPr>
          <w:rFonts w:hint="cs"/>
          <w:rtl/>
        </w:rPr>
        <w:t xml:space="preserve">אשר כמות קטנה של כזית היתה משבעת את הכהן הוא </w:t>
      </w:r>
      <w:r w:rsidRPr="003C4CF0">
        <w:rPr>
          <w:rFonts w:hint="cs"/>
          <w:rtl/>
        </w:rPr>
        <w:t>״ונשתלחה</w:t>
      </w:r>
      <w:r w:rsidRPr="003C4CF0">
        <w:rPr>
          <w:rFonts w:ascii="Cambria" w:hAnsi="Cambria" w:cs="Cambria" w:hint="cs"/>
          <w:rtl/>
        </w:rPr>
        <w:t> </w:t>
      </w:r>
      <w:r w:rsidRPr="003C4CF0">
        <w:rPr>
          <w:rFonts w:hint="cs"/>
          <w:rtl/>
        </w:rPr>
        <w:t>ברכה</w:t>
      </w:r>
      <w:r w:rsidRPr="003C4CF0">
        <w:rPr>
          <w:rFonts w:ascii="Cambria" w:hAnsi="Cambria" w:cs="Cambria" w:hint="cs"/>
          <w:rtl/>
        </w:rPr>
        <w:t> </w:t>
      </w:r>
      <w:r w:rsidRPr="003C4CF0">
        <w:rPr>
          <w:rtl/>
        </w:rPr>
        <w:t xml:space="preserve">. . </w:t>
      </w:r>
      <w:r w:rsidRPr="003C4CF0">
        <w:rPr>
          <w:rFonts w:hint="cs"/>
          <w:rtl/>
        </w:rPr>
        <w:t>בלחם הפנים״</w:t>
      </w:r>
      <w:r w:rsidRPr="003C4CF0">
        <w:rPr>
          <w:rtl/>
        </w:rPr>
        <w:t xml:space="preserve">, </w:t>
      </w:r>
      <w:r w:rsidRPr="003C4CF0">
        <w:rPr>
          <w:rFonts w:hint="cs"/>
          <w:rtl/>
        </w:rPr>
        <w:t>והרי לשון זה הוא ממש כלשון המדרש</w:t>
      </w:r>
      <w:r w:rsidRPr="003C4CF0">
        <w:rPr>
          <w:rtl/>
        </w:rPr>
        <w:t xml:space="preserve"> – </w:t>
      </w:r>
      <w:r w:rsidRPr="003C4CF0">
        <w:rPr>
          <w:rFonts w:hint="cs"/>
          <w:rtl/>
        </w:rPr>
        <w:t xml:space="preserve">שלפנינו </w:t>
      </w:r>
      <w:r w:rsidRPr="003C4CF0">
        <w:rPr>
          <w:rtl/>
        </w:rPr>
        <w:t xml:space="preserve">– </w:t>
      </w:r>
      <w:r w:rsidRPr="003C4CF0">
        <w:rPr>
          <w:rFonts w:hint="cs"/>
          <w:rtl/>
        </w:rPr>
        <w:t>אצל שרה אשר ״היתה ברכה</w:t>
      </w:r>
      <w:r w:rsidRPr="003C4CF0">
        <w:rPr>
          <w:rFonts w:ascii="Cambria" w:hAnsi="Cambria" w:cs="Cambria" w:hint="cs"/>
          <w:rtl/>
        </w:rPr>
        <w:t> </w:t>
      </w:r>
      <w:r w:rsidRPr="003C4CF0">
        <w:rPr>
          <w:rFonts w:hint="cs"/>
          <w:rtl/>
        </w:rPr>
        <w:t>משולחת</w:t>
      </w:r>
      <w:r w:rsidRPr="003C4CF0">
        <w:rPr>
          <w:rFonts w:ascii="Cambria" w:hAnsi="Cambria" w:cs="Cambria" w:hint="cs"/>
          <w:rtl/>
        </w:rPr>
        <w:t> </w:t>
      </w:r>
      <w:r w:rsidRPr="003C4CF0">
        <w:rPr>
          <w:rFonts w:hint="cs"/>
          <w:rtl/>
        </w:rPr>
        <w:t>ב</w:t>
      </w:r>
      <w:r>
        <w:rPr>
          <w:rFonts w:hint="cs"/>
          <w:rtl/>
        </w:rPr>
        <w:t>עיסה״</w:t>
      </w:r>
      <w:r>
        <w:rPr>
          <w:rFonts w:ascii="FbHadasaNew" w:eastAsia="FbHadasaNew" w:hAnsi="FbHadasaNew"/>
          <w:vertAlign w:val="superscript"/>
        </w:rPr>
        <w:footnoteReference w:id="144"/>
      </w:r>
      <w:r>
        <w:rPr>
          <w:rFonts w:ascii="FbHadasaNew" w:hAnsi="FbHadasaNew" w:cs="Arial Unicode MS"/>
          <w:rtl/>
        </w:rPr>
        <w:t>.</w:t>
      </w:r>
    </w:p>
    <w:p w14:paraId="30924BAD" w14:textId="77777777" w:rsidR="005A6EB4" w:rsidRDefault="005A6EB4" w:rsidP="00423C6D">
      <w:pPr>
        <w:pStyle w:val="11"/>
        <w:bidi/>
        <w:rPr>
          <w:rFonts w:cs="Arial Unicode MS"/>
          <w:rtl/>
        </w:rPr>
      </w:pPr>
      <w:r>
        <w:rPr>
          <w:rFonts w:hint="cs"/>
          <w:rtl/>
        </w:rPr>
        <w:t>ברכה בהגדלת וריבוי העיסה</w:t>
      </w:r>
    </w:p>
    <w:p w14:paraId="776DE876" w14:textId="77777777" w:rsidR="005A6EB4" w:rsidRDefault="005A6EB4" w:rsidP="00423C6D">
      <w:pPr>
        <w:pStyle w:val="a2"/>
        <w:rPr>
          <w:rFonts w:cs="Arial Unicode MS"/>
          <w:rtl/>
        </w:rPr>
      </w:pPr>
      <w:r w:rsidRPr="001E75C9">
        <w:rPr>
          <w:rFonts w:hint="cs"/>
          <w:b/>
          <w:bCs/>
          <w:rtl/>
        </w:rPr>
        <w:t>ד</w:t>
      </w:r>
      <w:r w:rsidRPr="001E75C9">
        <w:rPr>
          <w:rFonts w:ascii="FbHadasaNew" w:hAnsi="FbHadasaNew" w:cs="Arial Unicode MS"/>
          <w:b/>
          <w:bCs/>
          <w:rtl/>
        </w:rPr>
        <w:t>.</w:t>
      </w:r>
      <w:r>
        <w:rPr>
          <w:rFonts w:ascii="FbHadasaNew" w:hAnsi="FbHadasaNew" w:cs="Arial Unicode MS"/>
          <w:rtl/>
        </w:rPr>
        <w:t xml:space="preserve"> </w:t>
      </w:r>
      <w:r>
        <w:rPr>
          <w:rFonts w:hint="cs"/>
          <w:rtl/>
        </w:rPr>
        <w:t>האומנם דיתכן להציע פירוש נוסף במשמעות הנס</w:t>
      </w:r>
      <w:r>
        <w:rPr>
          <w:rFonts w:ascii="FbHadasaNew" w:hAnsi="FbHadasaNew" w:cs="Arial Unicode MS"/>
          <w:rtl/>
        </w:rPr>
        <w:t xml:space="preserve">, </w:t>
      </w:r>
      <w:r>
        <w:rPr>
          <w:rFonts w:hint="cs"/>
          <w:rtl/>
        </w:rPr>
        <w:t>והוא אשר ממעט העיסה שהכינה ולשה שרה</w:t>
      </w:r>
      <w:r>
        <w:rPr>
          <w:rFonts w:ascii="FbHadasaNew" w:hAnsi="FbHadasaNew" w:cs="Arial Unicode MS"/>
          <w:rtl/>
        </w:rPr>
        <w:t xml:space="preserve">, </w:t>
      </w:r>
      <w:r>
        <w:rPr>
          <w:rFonts w:hint="cs"/>
          <w:rtl/>
        </w:rPr>
        <w:t>נתרבתה העיסה ונעשתה גדולה יותר באופן נסי</w:t>
      </w:r>
      <w:r>
        <w:rPr>
          <w:rFonts w:ascii="FbHadasaNew" w:eastAsia="FbHadasaNew" w:hAnsi="FbHadasaNew"/>
          <w:vertAlign w:val="superscript"/>
        </w:rPr>
        <w:footnoteReference w:id="145"/>
      </w:r>
      <w:r>
        <w:rPr>
          <w:rFonts w:ascii="FbHadasaNew" w:hAnsi="FbHadasaNew" w:cs="Arial Unicode MS"/>
          <w:rtl/>
        </w:rPr>
        <w:t>.</w:t>
      </w:r>
    </w:p>
    <w:p w14:paraId="4E7BF50C" w14:textId="77777777" w:rsidR="005A6EB4" w:rsidRPr="005A6EB4" w:rsidRDefault="005A6EB4" w:rsidP="00423C6D">
      <w:pPr>
        <w:pStyle w:val="a2"/>
        <w:rPr>
          <w:rtl/>
        </w:rPr>
      </w:pPr>
      <w:r>
        <w:rPr>
          <w:rFonts w:hint="cs"/>
          <w:rtl/>
        </w:rPr>
        <w:t>ויש להעיר מלשון הרבי בלקוטי שיחות שם</w:t>
      </w:r>
      <w:r>
        <w:rPr>
          <w:rFonts w:ascii="FbHadasaNew" w:hAnsi="FbHadasaNew" w:cs="Arial Unicode MS"/>
          <w:rtl/>
        </w:rPr>
        <w:t xml:space="preserve"> </w:t>
      </w:r>
      <w:r>
        <w:rPr>
          <w:rFonts w:hint="cs"/>
          <w:rtl/>
        </w:rPr>
        <w:t xml:space="preserve">עמ׳ </w:t>
      </w:r>
      <w:r w:rsidRPr="005A6EB4">
        <w:rPr>
          <w:rtl/>
        </w:rPr>
        <w:t>167</w:t>
      </w:r>
      <w:r>
        <w:rPr>
          <w:rFonts w:ascii="FbHadasaNew" w:hAnsi="FbHadasaNew" w:cs="Arial Unicode MS"/>
          <w:rtl/>
        </w:rPr>
        <w:t xml:space="preserve"> </w:t>
      </w:r>
      <w:r>
        <w:rPr>
          <w:rFonts w:hint="cs"/>
          <w:rtl/>
        </w:rPr>
        <w:t>בהקשר לנס זה</w:t>
      </w:r>
      <w:r>
        <w:rPr>
          <w:rFonts w:ascii="FbHadasaNew" w:hAnsi="FbHadasaNew" w:cs="Arial Unicode MS"/>
          <w:rtl/>
        </w:rPr>
        <w:t xml:space="preserve"> [</w:t>
      </w:r>
      <w:r>
        <w:rPr>
          <w:rFonts w:hint="cs"/>
          <w:rtl/>
        </w:rPr>
        <w:t>ההדגשות אינן במקור</w:t>
      </w:r>
      <w:r>
        <w:rPr>
          <w:rFonts w:ascii="FbHadasaNew" w:hAnsi="FbHadasaNew" w:cs="Arial Unicode MS"/>
          <w:rtl/>
        </w:rPr>
        <w:t xml:space="preserve">] </w:t>
      </w:r>
      <w:r>
        <w:rPr>
          <w:rFonts w:hint="cs"/>
          <w:rtl/>
        </w:rPr>
        <w:t>וזלה״ק ״און דערנאך ״ברכה</w:t>
      </w:r>
      <w:r>
        <w:rPr>
          <w:rFonts w:ascii="FbHadasaNew" w:hAnsi="FbHadasaNew" w:cs="Arial Unicode MS"/>
          <w:rtl/>
        </w:rPr>
        <w:t> </w:t>
      </w:r>
      <w:r>
        <w:rPr>
          <w:rFonts w:hint="cs"/>
          <w:rtl/>
        </w:rPr>
        <w:t>מצויה</w:t>
      </w:r>
      <w:r>
        <w:rPr>
          <w:rFonts w:ascii="FbHadasaNew" w:hAnsi="FbHadasaNew" w:cs="Arial Unicode MS"/>
          <w:rtl/>
        </w:rPr>
        <w:t> </w:t>
      </w:r>
      <w:r>
        <w:rPr>
          <w:rFonts w:hint="cs"/>
          <w:rtl/>
        </w:rPr>
        <w:t xml:space="preserve">בעיסה״ </w:t>
      </w:r>
      <w:r>
        <w:rPr>
          <w:rFonts w:ascii="FbHadasaNew" w:hAnsi="FbHadasaNew" w:cs="Arial Unicode MS"/>
          <w:rtl/>
        </w:rPr>
        <w:t xml:space="preserve">– </w:t>
      </w:r>
      <w:r>
        <w:rPr>
          <w:rFonts w:hint="cs"/>
          <w:rtl/>
        </w:rPr>
        <w:t>א נס וואס האט זיך אנג</w:t>
      </w:r>
      <w:r w:rsidRPr="005A6EB4">
        <w:rPr>
          <w:rFonts w:hint="cs"/>
          <w:rtl/>
        </w:rPr>
        <w:t>עזען באלד אין איר התעסקות מיט דער ״עיסה״״</w:t>
      </w:r>
      <w:r w:rsidRPr="005A6EB4">
        <w:rPr>
          <w:rtl/>
        </w:rPr>
        <w:t xml:space="preserve">. </w:t>
      </w:r>
    </w:p>
    <w:p w14:paraId="0474A2B5" w14:textId="77777777" w:rsidR="005A6EB4" w:rsidRPr="005A6EB4" w:rsidRDefault="005A6EB4" w:rsidP="00423C6D">
      <w:pPr>
        <w:pStyle w:val="a2"/>
        <w:rPr>
          <w:rtl/>
        </w:rPr>
      </w:pPr>
      <w:r w:rsidRPr="005A6EB4">
        <w:rPr>
          <w:rFonts w:hint="cs"/>
          <w:rtl/>
        </w:rPr>
        <w:t>ומלשון זה משמע קצת כאופן האמור</w:t>
      </w:r>
      <w:r w:rsidRPr="005A6EB4">
        <w:rPr>
          <w:rtl/>
        </w:rPr>
        <w:t xml:space="preserve">, </w:t>
      </w:r>
      <w:r w:rsidRPr="005A6EB4">
        <w:rPr>
          <w:rFonts w:hint="cs"/>
          <w:rtl/>
        </w:rPr>
        <w:t>והיינו שממעט העיסה שלשה שרה</w:t>
      </w:r>
      <w:r w:rsidRPr="005A6EB4">
        <w:rPr>
          <w:rtl/>
        </w:rPr>
        <w:t xml:space="preserve">, </w:t>
      </w:r>
      <w:r w:rsidRPr="005A6EB4">
        <w:rPr>
          <w:rFonts w:hint="cs"/>
          <w:rtl/>
        </w:rPr>
        <w:t>נתרבתה העיסה ונעשתה גדולה יותר</w:t>
      </w:r>
      <w:r w:rsidRPr="005A6EB4">
        <w:rPr>
          <w:rtl/>
        </w:rPr>
        <w:t xml:space="preserve">, </w:t>
      </w:r>
      <w:r w:rsidRPr="005A6EB4">
        <w:rPr>
          <w:rFonts w:hint="cs"/>
          <w:rtl/>
        </w:rPr>
        <w:t>שכן לאופן זה אכן היה הנס נראה מיידית ממש</w:t>
      </w:r>
      <w:r w:rsidRPr="005A6EB4">
        <w:rPr>
          <w:rtl/>
        </w:rPr>
        <w:t xml:space="preserve">, </w:t>
      </w:r>
      <w:r w:rsidRPr="005A6EB4">
        <w:rPr>
          <w:rFonts w:hint="cs"/>
          <w:rtl/>
        </w:rPr>
        <w:t>וכלשון הרבי ״באלד אין איר התעסקות מיט דער עיסה״</w:t>
      </w:r>
      <w:r w:rsidRPr="005A6EB4">
        <w:rPr>
          <w:rtl/>
        </w:rPr>
        <w:t xml:space="preserve">. </w:t>
      </w:r>
    </w:p>
    <w:p w14:paraId="0992A8F6" w14:textId="77777777" w:rsidR="005A6EB4" w:rsidRPr="005A6EB4" w:rsidRDefault="005A6EB4" w:rsidP="00423C6D">
      <w:pPr>
        <w:pStyle w:val="a2"/>
        <w:rPr>
          <w:rtl/>
        </w:rPr>
      </w:pPr>
      <w:r w:rsidRPr="005A6EB4">
        <w:rPr>
          <w:rtl/>
        </w:rPr>
        <w:t>[</w:t>
      </w:r>
      <w:r w:rsidRPr="005A6EB4">
        <w:rPr>
          <w:rFonts w:hint="cs"/>
          <w:rtl/>
        </w:rPr>
        <w:t>מה שאין כן לפירוש המפרשים</w:t>
      </w:r>
      <w:r w:rsidRPr="005A6EB4">
        <w:rPr>
          <w:rtl/>
        </w:rPr>
        <w:t xml:space="preserve"> </w:t>
      </w:r>
      <w:r w:rsidRPr="005A6EB4">
        <w:rPr>
          <w:rFonts w:hint="cs"/>
          <w:rtl/>
        </w:rPr>
        <w:t>הנ״ל</w:t>
      </w:r>
      <w:r w:rsidRPr="005A6EB4">
        <w:rPr>
          <w:rtl/>
        </w:rPr>
        <w:t xml:space="preserve"> </w:t>
      </w:r>
      <w:r w:rsidRPr="005A6EB4">
        <w:rPr>
          <w:rFonts w:hint="cs"/>
          <w:rtl/>
        </w:rPr>
        <w:t>אשר כמות קטנה של פת היתה משבעת את האוכלו</w:t>
      </w:r>
      <w:r w:rsidRPr="005A6EB4">
        <w:rPr>
          <w:rtl/>
        </w:rPr>
        <w:t xml:space="preserve">, </w:t>
      </w:r>
      <w:r w:rsidRPr="005A6EB4">
        <w:rPr>
          <w:rFonts w:hint="cs"/>
          <w:rtl/>
        </w:rPr>
        <w:t>הנה כדי להכיר את הנס</w:t>
      </w:r>
      <w:r w:rsidRPr="005A6EB4">
        <w:rPr>
          <w:rtl/>
        </w:rPr>
        <w:t xml:space="preserve">, </w:t>
      </w:r>
      <w:r w:rsidRPr="005A6EB4">
        <w:rPr>
          <w:rFonts w:hint="cs"/>
          <w:rtl/>
        </w:rPr>
        <w:t>הרי דרוש לשיהוי זמן מה על כל פנים</w:t>
      </w:r>
      <w:r w:rsidRPr="005A6EB4">
        <w:rPr>
          <w:rtl/>
        </w:rPr>
        <w:t xml:space="preserve">, </w:t>
      </w:r>
      <w:r w:rsidRPr="005A6EB4">
        <w:rPr>
          <w:rFonts w:hint="cs"/>
          <w:rtl/>
        </w:rPr>
        <w:t>עד שהפת נאפה והאוכל אוכלו וכו׳</w:t>
      </w:r>
      <w:r w:rsidRPr="005A6EB4">
        <w:rPr>
          <w:rtl/>
        </w:rPr>
        <w:t xml:space="preserve">, </w:t>
      </w:r>
      <w:r w:rsidRPr="005A6EB4">
        <w:rPr>
          <w:rFonts w:hint="cs"/>
          <w:rtl/>
        </w:rPr>
        <w:t>וכמובן</w:t>
      </w:r>
      <w:r w:rsidRPr="005A6EB4">
        <w:rPr>
          <w:rtl/>
        </w:rPr>
        <w:t xml:space="preserve">]. </w:t>
      </w:r>
    </w:p>
    <w:p w14:paraId="5A68A97A" w14:textId="77777777" w:rsidR="005A6EB4" w:rsidRPr="005A6EB4" w:rsidRDefault="005A6EB4" w:rsidP="00423C6D">
      <w:pPr>
        <w:pStyle w:val="a2"/>
        <w:rPr>
          <w:rtl/>
        </w:rPr>
      </w:pPr>
      <w:r w:rsidRPr="001E75C9">
        <w:rPr>
          <w:rFonts w:hint="cs"/>
          <w:b/>
          <w:bCs/>
          <w:rtl/>
        </w:rPr>
        <w:t>ה</w:t>
      </w:r>
      <w:r w:rsidRPr="001E75C9">
        <w:rPr>
          <w:b/>
          <w:bCs/>
          <w:rtl/>
        </w:rPr>
        <w:t>.</w:t>
      </w:r>
      <w:r w:rsidRPr="005A6EB4">
        <w:rPr>
          <w:rtl/>
        </w:rPr>
        <w:t xml:space="preserve"> </w:t>
      </w:r>
      <w:r w:rsidRPr="005A6EB4">
        <w:rPr>
          <w:rFonts w:hint="cs"/>
          <w:rtl/>
        </w:rPr>
        <w:t>ואולי יש להעיר עוד שקצת ראיה יש לפירוש זה מדקדוק לשון המדרש ״ברכה משולחת בעיסה״</w:t>
      </w:r>
      <w:r w:rsidRPr="005A6EB4">
        <w:rPr>
          <w:rtl/>
        </w:rPr>
        <w:t xml:space="preserve">, </w:t>
      </w:r>
      <w:r w:rsidRPr="005A6EB4">
        <w:rPr>
          <w:rFonts w:hint="cs"/>
          <w:rtl/>
        </w:rPr>
        <w:t>או כפי גירסת רש״י עה״ת שם ״ברכה מצויה בעיסה״</w:t>
      </w:r>
      <w:r w:rsidRPr="005A6EB4">
        <w:rPr>
          <w:rtl/>
        </w:rPr>
        <w:t xml:space="preserve">, </w:t>
      </w:r>
      <w:r w:rsidRPr="005A6EB4">
        <w:rPr>
          <w:rFonts w:hint="cs"/>
          <w:rtl/>
        </w:rPr>
        <w:t>והיינו שהנס היה קשור עם ה״עיסה״</w:t>
      </w:r>
      <w:r w:rsidRPr="005A6EB4">
        <w:rPr>
          <w:rtl/>
        </w:rPr>
        <w:t xml:space="preserve">, </w:t>
      </w:r>
      <w:r w:rsidRPr="005A6EB4">
        <w:rPr>
          <w:rFonts w:hint="cs"/>
          <w:rtl/>
        </w:rPr>
        <w:t>לא כל כך עם ה״פת״</w:t>
      </w:r>
      <w:r w:rsidRPr="005A6EB4">
        <w:rPr>
          <w:rtl/>
        </w:rPr>
        <w:t xml:space="preserve">, </w:t>
      </w:r>
      <w:r w:rsidRPr="005A6EB4">
        <w:rPr>
          <w:rFonts w:hint="cs"/>
          <w:rtl/>
        </w:rPr>
        <w:t>ולפי זה משמע יותר כאופן הג׳ הנ״ל שממעט העיסה שלשה שרה</w:t>
      </w:r>
      <w:r w:rsidRPr="005A6EB4">
        <w:rPr>
          <w:rtl/>
        </w:rPr>
        <w:t xml:space="preserve">, </w:t>
      </w:r>
      <w:r w:rsidRPr="005A6EB4">
        <w:rPr>
          <w:rFonts w:hint="cs"/>
          <w:rtl/>
        </w:rPr>
        <w:t>נתרבתה העיסה</w:t>
      </w:r>
      <w:r w:rsidRPr="005A6EB4">
        <w:rPr>
          <w:rtl/>
        </w:rPr>
        <w:t xml:space="preserve"> </w:t>
      </w:r>
      <w:r w:rsidRPr="005A6EB4">
        <w:rPr>
          <w:rFonts w:hint="cs"/>
          <w:rtl/>
        </w:rPr>
        <w:t>בדרך נס ונעשתה גדולה יותר</w:t>
      </w:r>
      <w:r w:rsidRPr="005A6EB4">
        <w:rPr>
          <w:rtl/>
        </w:rPr>
        <w:t xml:space="preserve">. </w:t>
      </w:r>
    </w:p>
    <w:p w14:paraId="7C3A8B6D" w14:textId="77777777" w:rsidR="005A6EB4" w:rsidRPr="005A6EB4" w:rsidRDefault="005A6EB4" w:rsidP="00423C6D">
      <w:pPr>
        <w:pStyle w:val="a2"/>
        <w:rPr>
          <w:rtl/>
        </w:rPr>
      </w:pPr>
      <w:r w:rsidRPr="005A6EB4">
        <w:rPr>
          <w:rFonts w:hint="cs"/>
          <w:rtl/>
        </w:rPr>
        <w:t>מה שאין כן לפי הפירוש הא׳ הנ״ל אשר כמות קטנה של פת היתה משבעת את האוכל</w:t>
      </w:r>
      <w:r w:rsidRPr="005A6EB4">
        <w:rPr>
          <w:rtl/>
        </w:rPr>
        <w:t xml:space="preserve">, </w:t>
      </w:r>
      <w:r w:rsidRPr="005A6EB4">
        <w:rPr>
          <w:rFonts w:hint="cs"/>
          <w:rtl/>
        </w:rPr>
        <w:t>הרי הנס היה ניכר יותר בפיתה של שרה</w:t>
      </w:r>
      <w:r w:rsidRPr="005A6EB4">
        <w:rPr>
          <w:rtl/>
        </w:rPr>
        <w:t xml:space="preserve">, </w:t>
      </w:r>
      <w:r w:rsidRPr="005A6EB4">
        <w:rPr>
          <w:rFonts w:hint="cs"/>
          <w:rtl/>
        </w:rPr>
        <w:t>לא כל כך בעיסתה</w:t>
      </w:r>
      <w:r w:rsidRPr="005A6EB4">
        <w:rPr>
          <w:rtl/>
        </w:rPr>
        <w:t>.</w:t>
      </w:r>
    </w:p>
    <w:p w14:paraId="6D03DA31" w14:textId="77777777" w:rsidR="005A6EB4" w:rsidRPr="005A6EB4" w:rsidRDefault="005A6EB4" w:rsidP="00423C6D">
      <w:pPr>
        <w:pStyle w:val="a2"/>
        <w:rPr>
          <w:rtl/>
        </w:rPr>
      </w:pPr>
      <w:r w:rsidRPr="005A6EB4">
        <w:rPr>
          <w:rFonts w:hint="cs"/>
          <w:rtl/>
        </w:rPr>
        <w:lastRenderedPageBreak/>
        <w:t xml:space="preserve">אלא שיש להעיר מלקוטי שיחות שם עמ׳ </w:t>
      </w:r>
      <w:r w:rsidRPr="005A6EB4">
        <w:rPr>
          <w:rtl/>
        </w:rPr>
        <w:t xml:space="preserve">163 </w:t>
      </w:r>
      <w:r w:rsidRPr="005A6EB4">
        <w:rPr>
          <w:rFonts w:hint="cs"/>
          <w:rtl/>
        </w:rPr>
        <w:t xml:space="preserve">הערה </w:t>
      </w:r>
      <w:r w:rsidRPr="005A6EB4">
        <w:rPr>
          <w:rtl/>
        </w:rPr>
        <w:t xml:space="preserve">4 </w:t>
      </w:r>
      <w:r w:rsidRPr="005A6EB4">
        <w:rPr>
          <w:rFonts w:hint="cs"/>
          <w:rtl/>
        </w:rPr>
        <w:t xml:space="preserve">שמציין לגירסא נוספת בפירוש רש״י על התורה </w:t>
      </w:r>
      <w:r w:rsidRPr="005A6EB4">
        <w:rPr>
          <w:rtl/>
        </w:rPr>
        <w:t>(</w:t>
      </w:r>
      <w:r w:rsidRPr="005A6EB4">
        <w:rPr>
          <w:rFonts w:hint="cs"/>
          <w:rtl/>
        </w:rPr>
        <w:t>בראשית כד</w:t>
      </w:r>
      <w:r w:rsidRPr="005A6EB4">
        <w:rPr>
          <w:rtl/>
        </w:rPr>
        <w:t xml:space="preserve">, </w:t>
      </w:r>
      <w:r w:rsidRPr="005A6EB4">
        <w:rPr>
          <w:rFonts w:hint="cs"/>
          <w:rtl/>
        </w:rPr>
        <w:t>סז</w:t>
      </w:r>
      <w:r w:rsidRPr="005A6EB4">
        <w:rPr>
          <w:rtl/>
        </w:rPr>
        <w:t xml:space="preserve">) </w:t>
      </w:r>
      <w:r w:rsidRPr="005A6EB4">
        <w:rPr>
          <w:rFonts w:hint="cs"/>
          <w:rtl/>
        </w:rPr>
        <w:t>״בפת ובעיסה״</w:t>
      </w:r>
      <w:r w:rsidRPr="005A6EB4">
        <w:rPr>
          <w:rtl/>
        </w:rPr>
        <w:t xml:space="preserve">. </w:t>
      </w:r>
    </w:p>
    <w:p w14:paraId="47D684E8" w14:textId="77777777" w:rsidR="005A6EB4" w:rsidRPr="005A6EB4" w:rsidRDefault="005A6EB4" w:rsidP="00423C6D">
      <w:pPr>
        <w:pStyle w:val="a2"/>
        <w:rPr>
          <w:rtl/>
        </w:rPr>
      </w:pPr>
      <w:r w:rsidRPr="005A6EB4">
        <w:rPr>
          <w:rFonts w:hint="cs"/>
          <w:rtl/>
        </w:rPr>
        <w:t>ונראה לכאורה כי גירסא זו מתאמת לשני האופנים הנ״ל בפירוש הנס</w:t>
      </w:r>
      <w:r w:rsidRPr="005A6EB4">
        <w:rPr>
          <w:rtl/>
        </w:rPr>
        <w:t xml:space="preserve">, </w:t>
      </w:r>
      <w:r w:rsidRPr="005A6EB4">
        <w:rPr>
          <w:rFonts w:hint="cs"/>
          <w:rtl/>
        </w:rPr>
        <w:t>והיינו אם בפת</w:t>
      </w:r>
      <w:r w:rsidRPr="005A6EB4">
        <w:rPr>
          <w:rtl/>
        </w:rPr>
        <w:t xml:space="preserve"> [</w:t>
      </w:r>
      <w:r w:rsidRPr="005A6EB4">
        <w:rPr>
          <w:rFonts w:hint="cs"/>
          <w:rtl/>
        </w:rPr>
        <w:t>שהיתה כמות קטנה מ״פיתה״ של שרה משבעת את האוכלו</w:t>
      </w:r>
      <w:r w:rsidRPr="005A6EB4">
        <w:rPr>
          <w:rtl/>
        </w:rPr>
        <w:t xml:space="preserve">, </w:t>
      </w:r>
      <w:r w:rsidRPr="005A6EB4">
        <w:rPr>
          <w:rFonts w:hint="cs"/>
          <w:rtl/>
        </w:rPr>
        <w:t>כאופן הא׳ הנ״ל</w:t>
      </w:r>
      <w:r w:rsidRPr="005A6EB4">
        <w:rPr>
          <w:rtl/>
        </w:rPr>
        <w:t xml:space="preserve">] </w:t>
      </w:r>
      <w:r w:rsidRPr="005A6EB4">
        <w:rPr>
          <w:rFonts w:hint="cs"/>
          <w:rtl/>
        </w:rPr>
        <w:t>אם בעיסה</w:t>
      </w:r>
      <w:r w:rsidRPr="005A6EB4">
        <w:rPr>
          <w:rtl/>
        </w:rPr>
        <w:t xml:space="preserve"> [</w:t>
      </w:r>
      <w:r w:rsidRPr="005A6EB4">
        <w:rPr>
          <w:rFonts w:hint="cs"/>
          <w:rtl/>
        </w:rPr>
        <w:t>שה״עיסה״ נתגדלה ונתרבתה</w:t>
      </w:r>
      <w:r w:rsidRPr="005A6EB4">
        <w:rPr>
          <w:rtl/>
        </w:rPr>
        <w:t xml:space="preserve">, </w:t>
      </w:r>
      <w:r w:rsidRPr="005A6EB4">
        <w:rPr>
          <w:rFonts w:hint="cs"/>
          <w:rtl/>
        </w:rPr>
        <w:t>כאופן הג׳ הנ״ל</w:t>
      </w:r>
      <w:r w:rsidRPr="005A6EB4">
        <w:rPr>
          <w:rtl/>
        </w:rPr>
        <w:t xml:space="preserve">]. </w:t>
      </w:r>
    </w:p>
    <w:p w14:paraId="0BB5A2E8" w14:textId="77777777" w:rsidR="005A6EB4" w:rsidRPr="005A6EB4" w:rsidRDefault="005A6EB4" w:rsidP="00423C6D">
      <w:pPr>
        <w:pStyle w:val="a2"/>
        <w:rPr>
          <w:rtl/>
        </w:rPr>
      </w:pPr>
      <w:r w:rsidRPr="005A6EB4">
        <w:rPr>
          <w:rFonts w:hint="cs"/>
          <w:rtl/>
        </w:rPr>
        <w:t>ואולי יש לומר כי לפי גירסא זו</w:t>
      </w:r>
      <w:r w:rsidRPr="005A6EB4">
        <w:rPr>
          <w:rtl/>
        </w:rPr>
        <w:t xml:space="preserve">, </w:t>
      </w:r>
      <w:r w:rsidRPr="005A6EB4">
        <w:rPr>
          <w:rFonts w:hint="cs"/>
          <w:rtl/>
        </w:rPr>
        <w:t>אכן ׳תרווייהו איתנהו בה׳</w:t>
      </w:r>
      <w:r w:rsidRPr="005A6EB4">
        <w:rPr>
          <w:rtl/>
        </w:rPr>
        <w:t xml:space="preserve">, </w:t>
      </w:r>
      <w:r w:rsidRPr="005A6EB4">
        <w:rPr>
          <w:rFonts w:hint="cs"/>
          <w:rtl/>
        </w:rPr>
        <w:t>ששני הנסים אירעו אצל שרה</w:t>
      </w:r>
      <w:r w:rsidRPr="005A6EB4">
        <w:rPr>
          <w:rtl/>
        </w:rPr>
        <w:t xml:space="preserve">, </w:t>
      </w:r>
      <w:r w:rsidRPr="005A6EB4">
        <w:rPr>
          <w:rFonts w:hint="cs"/>
          <w:rtl/>
        </w:rPr>
        <w:t xml:space="preserve">הן בפת </w:t>
      </w:r>
      <w:r w:rsidRPr="005A6EB4">
        <w:rPr>
          <w:rtl/>
        </w:rPr>
        <w:t xml:space="preserve">– </w:t>
      </w:r>
      <w:r w:rsidRPr="005A6EB4">
        <w:rPr>
          <w:rFonts w:hint="cs"/>
          <w:rtl/>
        </w:rPr>
        <w:t>שכמות קטנה של פת היתה משבעת את האוכלו</w:t>
      </w:r>
      <w:r w:rsidRPr="005A6EB4">
        <w:rPr>
          <w:rtl/>
        </w:rPr>
        <w:t xml:space="preserve">, </w:t>
      </w:r>
      <w:r w:rsidRPr="005A6EB4">
        <w:rPr>
          <w:rFonts w:hint="cs"/>
          <w:rtl/>
        </w:rPr>
        <w:t xml:space="preserve">והן בעיסה </w:t>
      </w:r>
      <w:r w:rsidRPr="005A6EB4">
        <w:rPr>
          <w:rtl/>
        </w:rPr>
        <w:t xml:space="preserve">– </w:t>
      </w:r>
      <w:r w:rsidRPr="005A6EB4">
        <w:rPr>
          <w:rFonts w:hint="cs"/>
          <w:rtl/>
        </w:rPr>
        <w:t>שהעיסה נתרבתה בדרך נס</w:t>
      </w:r>
      <w:r w:rsidRPr="005A6EB4">
        <w:rPr>
          <w:rtl/>
        </w:rPr>
        <w:t xml:space="preserve">. </w:t>
      </w:r>
    </w:p>
    <w:p w14:paraId="523763F7" w14:textId="77777777" w:rsidR="005A6EB4" w:rsidRPr="005A6EB4" w:rsidRDefault="005A6EB4" w:rsidP="00423C6D">
      <w:pPr>
        <w:pStyle w:val="a2"/>
        <w:rPr>
          <w:rtl/>
        </w:rPr>
      </w:pPr>
      <w:r w:rsidRPr="001E75C9">
        <w:rPr>
          <w:rFonts w:hint="cs"/>
          <w:b/>
          <w:bCs/>
          <w:rtl/>
        </w:rPr>
        <w:t>ו</w:t>
      </w:r>
      <w:r w:rsidRPr="001E75C9">
        <w:rPr>
          <w:b/>
          <w:bCs/>
          <w:rtl/>
        </w:rPr>
        <w:t>.</w:t>
      </w:r>
      <w:r w:rsidRPr="005A6EB4">
        <w:rPr>
          <w:rtl/>
        </w:rPr>
        <w:t xml:space="preserve"> </w:t>
      </w:r>
      <w:r w:rsidRPr="005A6EB4">
        <w:rPr>
          <w:rFonts w:hint="cs"/>
          <w:rtl/>
        </w:rPr>
        <w:t>ויש להעיר עוד בכל זה עוד מסוטה מח</w:t>
      </w:r>
      <w:r w:rsidRPr="005A6EB4">
        <w:rPr>
          <w:rtl/>
        </w:rPr>
        <w:t xml:space="preserve">, </w:t>
      </w:r>
      <w:r w:rsidRPr="005A6EB4">
        <w:rPr>
          <w:rFonts w:hint="cs"/>
          <w:rtl/>
        </w:rPr>
        <w:t>א ואילך בקשר לאותם דברים שנתבטלו מאת שחרב בית המקדש</w:t>
      </w:r>
      <w:r w:rsidRPr="005A6EB4">
        <w:rPr>
          <w:rtl/>
        </w:rPr>
        <w:t xml:space="preserve">, </w:t>
      </w:r>
      <w:r w:rsidRPr="005A6EB4">
        <w:rPr>
          <w:rFonts w:hint="cs"/>
          <w:rtl/>
        </w:rPr>
        <w:t xml:space="preserve">דתנן שם ״משחרב בית המקדש בטל </w:t>
      </w:r>
      <w:r w:rsidRPr="005A6EB4">
        <w:rPr>
          <w:rtl/>
        </w:rPr>
        <w:t xml:space="preserve">. . </w:t>
      </w:r>
      <w:r w:rsidRPr="005A6EB4">
        <w:rPr>
          <w:rFonts w:hint="cs"/>
          <w:rtl/>
        </w:rPr>
        <w:t>נופת צופים״</w:t>
      </w:r>
      <w:r w:rsidRPr="005A6EB4">
        <w:rPr>
          <w:rtl/>
        </w:rPr>
        <w:t xml:space="preserve">, </w:t>
      </w:r>
      <w:r w:rsidRPr="005A6EB4">
        <w:rPr>
          <w:rFonts w:hint="cs"/>
          <w:rtl/>
        </w:rPr>
        <w:t>ובגמרא ״מאי נופת צופים</w:t>
      </w:r>
      <w:r w:rsidRPr="005A6EB4">
        <w:rPr>
          <w:rtl/>
        </w:rPr>
        <w:t xml:space="preserve"> . . </w:t>
      </w:r>
      <w:r w:rsidRPr="005A6EB4">
        <w:rPr>
          <w:rFonts w:hint="cs"/>
          <w:rtl/>
        </w:rPr>
        <w:t>לוי אמר שתי ככרות הנדבקות בתנור ותופחות ובאות עד שמגיעות זו לזו״</w:t>
      </w:r>
      <w:r w:rsidRPr="005A6EB4">
        <w:rPr>
          <w:rtl/>
        </w:rPr>
        <w:t xml:space="preserve">. </w:t>
      </w:r>
    </w:p>
    <w:p w14:paraId="31347BA0" w14:textId="35511830" w:rsidR="005A6EB4" w:rsidRPr="005A6EB4" w:rsidRDefault="005A6EB4" w:rsidP="001E75C9">
      <w:pPr>
        <w:pStyle w:val="a2"/>
        <w:rPr>
          <w:rtl/>
        </w:rPr>
      </w:pPr>
      <w:r w:rsidRPr="005A6EB4">
        <w:rPr>
          <w:rFonts w:hint="cs"/>
          <w:rtl/>
        </w:rPr>
        <w:t>ובפירוש רש״י שם כתב וז״ל ״שהיתה ברכה מצויה בעיסה</w:t>
      </w:r>
      <w:r w:rsidRPr="005A6EB4">
        <w:rPr>
          <w:rtl/>
        </w:rPr>
        <w:t xml:space="preserve">, </w:t>
      </w:r>
      <w:r w:rsidRPr="005A6EB4">
        <w:rPr>
          <w:rFonts w:hint="cs"/>
          <w:rtl/>
        </w:rPr>
        <w:t>וכשמדבקין ככרות בדופני התנור אחת בדופן זה ואחת בדופן זה שכנגדו</w:t>
      </w:r>
      <w:r w:rsidRPr="005A6EB4">
        <w:rPr>
          <w:rtl/>
        </w:rPr>
        <w:t>,</w:t>
      </w:r>
      <w:r w:rsidRPr="005A6EB4">
        <w:rPr>
          <w:rFonts w:hint="cs"/>
          <w:rtl/>
        </w:rPr>
        <w:t xml:space="preserve"> והן תפוחות אצפליי</w:t>
      </w:r>
      <w:r w:rsidRPr="005A6EB4">
        <w:rPr>
          <w:rtl/>
        </w:rPr>
        <w:t>"</w:t>
      </w:r>
      <w:r w:rsidRPr="005A6EB4">
        <w:rPr>
          <w:rFonts w:hint="cs"/>
          <w:rtl/>
        </w:rPr>
        <w:t>ר בלע</w:t>
      </w:r>
      <w:r w:rsidRPr="005A6EB4">
        <w:rPr>
          <w:rtl/>
        </w:rPr>
        <w:t>"</w:t>
      </w:r>
      <w:r w:rsidRPr="005A6EB4">
        <w:rPr>
          <w:rFonts w:hint="cs"/>
          <w:rtl/>
        </w:rPr>
        <w:t>ז עד שמגעת פני זו לזו</w:t>
      </w:r>
      <w:r w:rsidRPr="005A6EB4">
        <w:rPr>
          <w:rtl/>
        </w:rPr>
        <w:t>,</w:t>
      </w:r>
      <w:r w:rsidRPr="005A6EB4">
        <w:rPr>
          <w:rFonts w:hint="cs"/>
          <w:rtl/>
        </w:rPr>
        <w:t xml:space="preserve"> כצוף זה שגדל ומתפשט והולך ותולה באויר</w:t>
      </w:r>
      <w:r w:rsidRPr="005A6EB4">
        <w:rPr>
          <w:rtl/>
        </w:rPr>
        <w:t>,</w:t>
      </w:r>
      <w:r w:rsidRPr="005A6EB4">
        <w:rPr>
          <w:rFonts w:hint="cs"/>
          <w:rtl/>
        </w:rPr>
        <w:t xml:space="preserve"> כן אלו צפות ותפוחות באויר״</w:t>
      </w:r>
      <w:r w:rsidRPr="005A6EB4">
        <w:rPr>
          <w:rtl/>
        </w:rPr>
        <w:t xml:space="preserve">. </w:t>
      </w:r>
      <w:r w:rsidRPr="005A6EB4">
        <w:rPr>
          <w:rFonts w:hint="cs"/>
          <w:rtl/>
        </w:rPr>
        <w:t xml:space="preserve">ומבואר להדיא מפירוש רש״י שלשון זה </w:t>
      </w:r>
      <w:r w:rsidRPr="005A6EB4">
        <w:rPr>
          <w:rtl/>
        </w:rPr>
        <w:t>–</w:t>
      </w:r>
      <w:r w:rsidRPr="005A6EB4">
        <w:rPr>
          <w:rFonts w:ascii="Cambria" w:hAnsi="Cambria" w:cs="Cambria" w:hint="cs"/>
          <w:rtl/>
        </w:rPr>
        <w:t> </w:t>
      </w:r>
      <w:r w:rsidRPr="005A6EB4">
        <w:rPr>
          <w:rFonts w:hint="cs"/>
          <w:rtl/>
        </w:rPr>
        <w:t xml:space="preserve">״ברכה מצויה בעיסה״ </w:t>
      </w:r>
      <w:r w:rsidRPr="005A6EB4">
        <w:rPr>
          <w:rtl/>
        </w:rPr>
        <w:t xml:space="preserve">– </w:t>
      </w:r>
      <w:r w:rsidRPr="005A6EB4">
        <w:rPr>
          <w:rFonts w:hint="cs"/>
          <w:rtl/>
        </w:rPr>
        <w:t>מורה על ריבוי והגדלת העיסה</w:t>
      </w:r>
      <w:r w:rsidRPr="005A6EB4">
        <w:rPr>
          <w:rtl/>
        </w:rPr>
        <w:t xml:space="preserve">, </w:t>
      </w:r>
      <w:r w:rsidRPr="005A6EB4">
        <w:rPr>
          <w:rFonts w:hint="cs"/>
          <w:rtl/>
        </w:rPr>
        <w:t>שנתפחה ונתרבתה</w:t>
      </w:r>
      <w:r w:rsidRPr="005A6EB4">
        <w:rPr>
          <w:rtl/>
        </w:rPr>
        <w:t xml:space="preserve">. </w:t>
      </w:r>
    </w:p>
    <w:p w14:paraId="457785A9" w14:textId="77777777" w:rsidR="005A6EB4" w:rsidRPr="005A6EB4" w:rsidRDefault="005A6EB4" w:rsidP="00423C6D">
      <w:pPr>
        <w:pStyle w:val="a2"/>
        <w:rPr>
          <w:rtl/>
        </w:rPr>
      </w:pPr>
      <w:r w:rsidRPr="005A6EB4">
        <w:rPr>
          <w:rFonts w:hint="cs"/>
          <w:rtl/>
        </w:rPr>
        <w:t>ומזה אפוא ראיה לנידון דידן</w:t>
      </w:r>
      <w:r w:rsidRPr="005A6EB4">
        <w:rPr>
          <w:rtl/>
        </w:rPr>
        <w:t xml:space="preserve">, </w:t>
      </w:r>
      <w:r w:rsidRPr="005A6EB4">
        <w:rPr>
          <w:rFonts w:hint="cs"/>
          <w:rtl/>
        </w:rPr>
        <w:t>בנס העיסה של שרה ורבקה</w:t>
      </w:r>
      <w:r w:rsidRPr="005A6EB4">
        <w:rPr>
          <w:rtl/>
        </w:rPr>
        <w:t xml:space="preserve">, </w:t>
      </w:r>
      <w:r w:rsidRPr="005A6EB4">
        <w:rPr>
          <w:rFonts w:hint="cs"/>
          <w:rtl/>
        </w:rPr>
        <w:t>שהכוונה במשמעות הנס הוא לריבוי והגדלת העיסה</w:t>
      </w:r>
      <w:r w:rsidRPr="005A6EB4">
        <w:rPr>
          <w:rtl/>
        </w:rPr>
        <w:t xml:space="preserve">, </w:t>
      </w:r>
      <w:r w:rsidRPr="005A6EB4">
        <w:rPr>
          <w:rFonts w:hint="cs"/>
          <w:rtl/>
        </w:rPr>
        <w:t>שכן הרי בפירוש רש״י עה״ת שם הובא אותו הלשון ממש אשר היתה ״ברכה מצויה בעיסה״ וכנ״ל</w:t>
      </w:r>
      <w:r w:rsidRPr="005A6EB4">
        <w:rPr>
          <w:rtl/>
        </w:rPr>
        <w:t>.</w:t>
      </w:r>
    </w:p>
    <w:p w14:paraId="154F8AC0" w14:textId="77777777" w:rsidR="005A6EB4" w:rsidRPr="005A6EB4" w:rsidRDefault="005A6EB4" w:rsidP="00423C6D">
      <w:pPr>
        <w:pStyle w:val="a2"/>
        <w:rPr>
          <w:rtl/>
        </w:rPr>
      </w:pPr>
      <w:r w:rsidRPr="001E75C9">
        <w:rPr>
          <w:rFonts w:hint="cs"/>
          <w:b/>
          <w:bCs/>
          <w:rtl/>
        </w:rPr>
        <w:t>ז</w:t>
      </w:r>
      <w:r w:rsidRPr="001E75C9">
        <w:rPr>
          <w:b/>
          <w:bCs/>
          <w:rtl/>
        </w:rPr>
        <w:t>.</w:t>
      </w:r>
      <w:r w:rsidRPr="005A6EB4">
        <w:rPr>
          <w:rtl/>
        </w:rPr>
        <w:t xml:space="preserve"> </w:t>
      </w:r>
      <w:r w:rsidRPr="005A6EB4">
        <w:rPr>
          <w:rFonts w:hint="cs"/>
          <w:rtl/>
        </w:rPr>
        <w:t xml:space="preserve">והנה לאחרי כתבי את כל זה שוב ראיתי ב׳לקוטי לוי יצחק׳ </w:t>
      </w:r>
      <w:r w:rsidRPr="005A6EB4">
        <w:rPr>
          <w:rtl/>
        </w:rPr>
        <w:t>(</w:t>
      </w:r>
      <w:r w:rsidRPr="005A6EB4">
        <w:rPr>
          <w:rFonts w:hint="cs"/>
          <w:rtl/>
        </w:rPr>
        <w:t>אגרות קודש</w:t>
      </w:r>
      <w:r w:rsidRPr="005A6EB4">
        <w:rPr>
          <w:rtl/>
        </w:rPr>
        <w:t xml:space="preserve">, </w:t>
      </w:r>
      <w:r w:rsidRPr="005A6EB4">
        <w:rPr>
          <w:rFonts w:hint="cs"/>
          <w:rtl/>
        </w:rPr>
        <w:t>עמ׳ שעו</w:t>
      </w:r>
      <w:r w:rsidRPr="005A6EB4">
        <w:rPr>
          <w:rtl/>
        </w:rPr>
        <w:t xml:space="preserve">) – </w:t>
      </w:r>
      <w:r w:rsidRPr="005A6EB4">
        <w:rPr>
          <w:rFonts w:hint="cs"/>
          <w:rtl/>
        </w:rPr>
        <w:t xml:space="preserve">במכתבו להרבי והרבנית נ״ע </w:t>
      </w:r>
      <w:r w:rsidRPr="005A6EB4">
        <w:rPr>
          <w:rtl/>
        </w:rPr>
        <w:t xml:space="preserve">– </w:t>
      </w:r>
      <w:r w:rsidRPr="005A6EB4">
        <w:rPr>
          <w:rFonts w:hint="cs"/>
          <w:rtl/>
        </w:rPr>
        <w:t xml:space="preserve">שכתב שם בתוך דבריו וזלה״ק ״ </w:t>
      </w:r>
      <w:r w:rsidRPr="005A6EB4">
        <w:rPr>
          <w:rtl/>
        </w:rPr>
        <w:t xml:space="preserve">. . </w:t>
      </w:r>
      <w:r w:rsidRPr="005A6EB4">
        <w:rPr>
          <w:rFonts w:hint="cs"/>
          <w:rtl/>
        </w:rPr>
        <w:t>הנה צריך שיהיה ברכה מצויה בעיסה</w:t>
      </w:r>
      <w:r w:rsidRPr="005A6EB4">
        <w:rPr>
          <w:rtl/>
        </w:rPr>
        <w:t xml:space="preserve">, </w:t>
      </w:r>
      <w:r w:rsidRPr="005A6EB4">
        <w:rPr>
          <w:rFonts w:hint="cs"/>
          <w:rtl/>
        </w:rPr>
        <w:t>ושיהיה ברכה מצויה בעיסה הוא על ידי האשה דוקא</w:t>
      </w:r>
      <w:r w:rsidRPr="005A6EB4">
        <w:rPr>
          <w:rtl/>
        </w:rPr>
        <w:t xml:space="preserve">, </w:t>
      </w:r>
      <w:r w:rsidRPr="005A6EB4">
        <w:rPr>
          <w:rFonts w:hint="cs"/>
          <w:rtl/>
        </w:rPr>
        <w:t>שעל ידה מתגדלת העיסה</w:t>
      </w:r>
      <w:r w:rsidRPr="005A6EB4">
        <w:rPr>
          <w:rtl/>
        </w:rPr>
        <w:t xml:space="preserve">, </w:t>
      </w:r>
      <w:r w:rsidRPr="005A6EB4">
        <w:rPr>
          <w:rFonts w:hint="cs"/>
          <w:rtl/>
        </w:rPr>
        <w:t>שנעשה בה ברכה הרבה</w:t>
      </w:r>
      <w:r w:rsidRPr="005A6EB4">
        <w:rPr>
          <w:rtl/>
        </w:rPr>
        <w:t xml:space="preserve">, </w:t>
      </w:r>
      <w:r w:rsidRPr="005A6EB4">
        <w:rPr>
          <w:rFonts w:hint="cs"/>
          <w:rtl/>
        </w:rPr>
        <w:t>וכמו שמצינו בשרה שהיתה ברכה מצויה בעיסה״</w:t>
      </w:r>
      <w:r w:rsidRPr="005A6EB4">
        <w:rPr>
          <w:rtl/>
        </w:rPr>
        <w:t>.</w:t>
      </w:r>
    </w:p>
    <w:p w14:paraId="278A9FE0" w14:textId="77777777" w:rsidR="005A6EB4" w:rsidRDefault="005A6EB4" w:rsidP="00423C6D">
      <w:pPr>
        <w:pStyle w:val="a2"/>
        <w:rPr>
          <w:rFonts w:cs="Arial Unicode MS"/>
          <w:rtl/>
        </w:rPr>
      </w:pPr>
      <w:r>
        <w:rPr>
          <w:rFonts w:hint="cs"/>
          <w:rtl/>
        </w:rPr>
        <w:t xml:space="preserve">ומפורש אפוא להדיא מדברי הרלוי״צ ז״ל שאכן למד במשמעות הנס כאופן הג׳ הנ״ל אשר ממעט העיסה שלשה שרה נתרבתה העיסה ונעשתה גדולה יותר באופן </w:t>
      </w:r>
      <w:r>
        <w:rPr>
          <w:rFonts w:hint="cs"/>
          <w:rtl/>
        </w:rPr>
        <w:lastRenderedPageBreak/>
        <w:t>נסי</w:t>
      </w:r>
      <w:r>
        <w:rPr>
          <w:rFonts w:ascii="FbHadasaNew" w:eastAsia="FbHadasaNew" w:hAnsi="FbHadasaNew"/>
          <w:vertAlign w:val="superscript"/>
        </w:rPr>
        <w:footnoteReference w:id="146"/>
      </w:r>
      <w:r>
        <w:rPr>
          <w:rFonts w:ascii="FbHadasaNew" w:hAnsi="FbHadasaNew" w:cs="Arial Unicode MS"/>
          <w:rtl/>
        </w:rPr>
        <w:t>.</w:t>
      </w:r>
    </w:p>
    <w:p w14:paraId="0C2409BA" w14:textId="77777777" w:rsidR="005A6EB4" w:rsidRDefault="005A6EB4" w:rsidP="00423C6D">
      <w:pPr>
        <w:pStyle w:val="11"/>
        <w:bidi/>
        <w:rPr>
          <w:rFonts w:cs="Arial Unicode MS"/>
          <w:rtl/>
        </w:rPr>
      </w:pPr>
      <w:r>
        <w:rPr>
          <w:rFonts w:hint="cs"/>
          <w:rtl/>
        </w:rPr>
        <w:t>הבהרת טעות נפוצה</w:t>
      </w:r>
    </w:p>
    <w:p w14:paraId="5D95E4A2" w14:textId="77777777" w:rsidR="005A6EB4" w:rsidRDefault="005A6EB4" w:rsidP="00423C6D">
      <w:pPr>
        <w:pStyle w:val="a2"/>
        <w:rPr>
          <w:rFonts w:cs="Arial Unicode MS"/>
          <w:rtl/>
        </w:rPr>
      </w:pPr>
      <w:r w:rsidRPr="001E75C9">
        <w:rPr>
          <w:rFonts w:hint="cs"/>
          <w:b/>
          <w:bCs/>
          <w:rtl/>
        </w:rPr>
        <w:t>ח</w:t>
      </w:r>
      <w:r w:rsidRPr="001E75C9">
        <w:rPr>
          <w:rFonts w:ascii="FbHadasaNew" w:hAnsi="FbHadasaNew" w:cs="Arial Unicode MS"/>
          <w:b/>
          <w:bCs/>
          <w:rtl/>
        </w:rPr>
        <w:t>.</w:t>
      </w:r>
      <w:r>
        <w:rPr>
          <w:rFonts w:ascii="FbHadasaNew" w:hAnsi="FbHadasaNew" w:cs="Arial Unicode MS"/>
          <w:rtl/>
        </w:rPr>
        <w:t xml:space="preserve"> </w:t>
      </w:r>
      <w:r>
        <w:rPr>
          <w:rFonts w:hint="cs"/>
          <w:rtl/>
        </w:rPr>
        <w:t>והנה בכל אופן</w:t>
      </w:r>
      <w:r>
        <w:rPr>
          <w:rFonts w:ascii="FbHadasaNew" w:hAnsi="FbHadasaNew" w:cs="Arial Unicode MS"/>
          <w:rtl/>
        </w:rPr>
        <w:t xml:space="preserve">, </w:t>
      </w:r>
      <w:r>
        <w:rPr>
          <w:rFonts w:hint="cs"/>
          <w:rtl/>
        </w:rPr>
        <w:t xml:space="preserve">ראוי להבהיר בהקשר זה כי אין משמעות הנס </w:t>
      </w:r>
      <w:r>
        <w:rPr>
          <w:rFonts w:ascii="FbHadasaNew" w:hAnsi="FbHadasaNew" w:cs="Arial Unicode MS"/>
          <w:rtl/>
        </w:rPr>
        <w:t xml:space="preserve">– </w:t>
      </w:r>
      <w:r>
        <w:rPr>
          <w:rFonts w:hint="cs"/>
          <w:rtl/>
        </w:rPr>
        <w:t>כההנחה הרווחת אצל כמה</w:t>
      </w:r>
      <w:r>
        <w:rPr>
          <w:rFonts w:ascii="FbHadasaNew" w:hAnsi="FbHadasaNew" w:cs="Arial Unicode MS"/>
          <w:rtl/>
        </w:rPr>
        <w:t xml:space="preserve"> – </w:t>
      </w:r>
      <w:r>
        <w:rPr>
          <w:rFonts w:hint="cs"/>
          <w:rtl/>
        </w:rPr>
        <w:t xml:space="preserve">שהיה לחמה של שרה נשאר טרי </w:t>
      </w:r>
      <w:r>
        <w:rPr>
          <w:rFonts w:ascii="FbHadasaNew" w:hAnsi="FbHadasaNew" w:cs="Arial Unicode MS"/>
          <w:rtl/>
        </w:rPr>
        <w:t>[</w:t>
      </w:r>
      <w:r>
        <w:rPr>
          <w:rFonts w:hint="cs"/>
          <w:rtl/>
        </w:rPr>
        <w:t>וחם</w:t>
      </w:r>
      <w:r>
        <w:rPr>
          <w:rFonts w:ascii="FbHadasaNew" w:hAnsi="FbHadasaNew" w:cs="Arial Unicode MS"/>
          <w:rtl/>
        </w:rPr>
        <w:t>]</w:t>
      </w:r>
      <w:r>
        <w:rPr>
          <w:rFonts w:hint="cs"/>
          <w:rtl/>
        </w:rPr>
        <w:t xml:space="preserve"> משבת לשבת</w:t>
      </w:r>
      <w:r>
        <w:rPr>
          <w:rFonts w:ascii="FbHadasaNew" w:hAnsi="FbHadasaNew" w:cs="Arial Unicode MS"/>
          <w:rtl/>
        </w:rPr>
        <w:t xml:space="preserve">, </w:t>
      </w:r>
      <w:r>
        <w:rPr>
          <w:rFonts w:hint="cs"/>
          <w:rtl/>
        </w:rPr>
        <w:t>דוגמת אותו נס נוסף שא</w:t>
      </w:r>
      <w:r w:rsidRPr="005A6EB4">
        <w:rPr>
          <w:rFonts w:hint="cs"/>
          <w:rtl/>
        </w:rPr>
        <w:t>ירע בלחם הפנים שהיה ״סילוקו כסידורו״</w:t>
      </w:r>
      <w:r w:rsidRPr="005A6EB4">
        <w:rPr>
          <w:rtl/>
        </w:rPr>
        <w:t xml:space="preserve">, </w:t>
      </w:r>
      <w:r w:rsidRPr="005A6EB4">
        <w:rPr>
          <w:rFonts w:hint="cs"/>
          <w:rtl/>
        </w:rPr>
        <w:t xml:space="preserve">והיינו שהיה הלחם הפנים נשאר חם וטרי משבת לשבת </w:t>
      </w:r>
      <w:r w:rsidRPr="005A6EB4">
        <w:rPr>
          <w:rtl/>
        </w:rPr>
        <w:t>(</w:t>
      </w:r>
      <w:r w:rsidRPr="005A6EB4">
        <w:rPr>
          <w:rFonts w:hint="cs"/>
          <w:rtl/>
        </w:rPr>
        <w:t>ראה יומא כא</w:t>
      </w:r>
      <w:r w:rsidRPr="005A6EB4">
        <w:rPr>
          <w:rtl/>
        </w:rPr>
        <w:t xml:space="preserve">, </w:t>
      </w:r>
      <w:r w:rsidRPr="005A6EB4">
        <w:rPr>
          <w:rFonts w:hint="cs"/>
          <w:rtl/>
        </w:rPr>
        <w:t>א</w:t>
      </w:r>
      <w:r w:rsidRPr="005A6EB4">
        <w:rPr>
          <w:rtl/>
        </w:rPr>
        <w:t xml:space="preserve">), </w:t>
      </w:r>
      <w:r w:rsidRPr="005A6EB4">
        <w:rPr>
          <w:rFonts w:hint="cs"/>
          <w:rtl/>
        </w:rPr>
        <w:t>שכן אין זה במובן פשטות לשון המדרש ״היתה</w:t>
      </w:r>
      <w:r w:rsidRPr="005A6EB4">
        <w:rPr>
          <w:rFonts w:ascii="Cambria" w:hAnsi="Cambria" w:cs="Cambria" w:hint="cs"/>
          <w:rtl/>
        </w:rPr>
        <w:t> </w:t>
      </w:r>
      <w:r w:rsidRPr="005A6EB4">
        <w:rPr>
          <w:rFonts w:hint="cs"/>
          <w:rtl/>
        </w:rPr>
        <w:t>ברכה</w:t>
      </w:r>
      <w:r w:rsidRPr="005A6EB4">
        <w:rPr>
          <w:rFonts w:ascii="Cambria" w:hAnsi="Cambria" w:cs="Cambria" w:hint="cs"/>
          <w:rtl/>
        </w:rPr>
        <w:t> </w:t>
      </w:r>
      <w:r w:rsidRPr="005A6EB4">
        <w:rPr>
          <w:rFonts w:hint="cs"/>
          <w:rtl/>
        </w:rPr>
        <w:t>משולחת</w:t>
      </w:r>
      <w:r w:rsidRPr="005A6EB4">
        <w:rPr>
          <w:rtl/>
        </w:rPr>
        <w:t xml:space="preserve"> </w:t>
      </w:r>
      <w:r w:rsidRPr="005A6EB4">
        <w:rPr>
          <w:rFonts w:hint="cs"/>
          <w:rtl/>
        </w:rPr>
        <w:t>בעיסה״ כלל</w:t>
      </w:r>
      <w:r w:rsidRPr="005A6EB4">
        <w:rPr>
          <w:rtl/>
        </w:rPr>
        <w:t>.</w:t>
      </w:r>
    </w:p>
    <w:p w14:paraId="5A71004E" w14:textId="77777777" w:rsidR="005A6EB4" w:rsidRDefault="005A6EB4" w:rsidP="00423C6D">
      <w:pPr>
        <w:pStyle w:val="a2"/>
        <w:rPr>
          <w:rFonts w:cs="Arial Unicode MS"/>
          <w:rtl/>
        </w:rPr>
      </w:pPr>
      <w:r>
        <w:rPr>
          <w:rFonts w:hint="cs"/>
          <w:rtl/>
        </w:rPr>
        <w:t xml:space="preserve">וכנראה נשתרבבה טעות נפוצה זו מפני השוואת שני העניינים </w:t>
      </w:r>
      <w:r>
        <w:rPr>
          <w:rFonts w:ascii="FbHadasaNew" w:hAnsi="FbHadasaNew" w:cs="Arial Unicode MS"/>
          <w:rtl/>
        </w:rPr>
        <w:t xml:space="preserve">– </w:t>
      </w:r>
      <w:r>
        <w:rPr>
          <w:rFonts w:hint="cs"/>
          <w:rtl/>
        </w:rPr>
        <w:t xml:space="preserve">הנס שבעיסת שרה והנס שבלחם הפנים </w:t>
      </w:r>
      <w:r>
        <w:rPr>
          <w:rFonts w:ascii="FbHadasaNew" w:hAnsi="FbHadasaNew" w:cs="Arial Unicode MS"/>
          <w:rtl/>
        </w:rPr>
        <w:t xml:space="preserve">– </w:t>
      </w:r>
      <w:r>
        <w:rPr>
          <w:rFonts w:hint="cs"/>
          <w:rtl/>
        </w:rPr>
        <w:t xml:space="preserve">שנזכרה בדברי המפרשים </w:t>
      </w:r>
      <w:r>
        <w:rPr>
          <w:rFonts w:ascii="FbHadasaNew" w:hAnsi="FbHadasaNew" w:cs="Arial Unicode MS"/>
          <w:rtl/>
        </w:rPr>
        <w:t>(</w:t>
      </w:r>
      <w:r>
        <w:rPr>
          <w:rFonts w:hint="cs"/>
          <w:rtl/>
        </w:rPr>
        <w:t>ראה ׳שם משמואל׳ שם</w:t>
      </w:r>
      <w:r>
        <w:rPr>
          <w:rFonts w:ascii="FbHadasaNew" w:hAnsi="FbHadasaNew" w:cs="Arial Unicode MS"/>
          <w:rtl/>
        </w:rPr>
        <w:t xml:space="preserve">. </w:t>
      </w:r>
      <w:r>
        <w:rPr>
          <w:rFonts w:hint="cs"/>
          <w:rtl/>
        </w:rPr>
        <w:t>ועוד</w:t>
      </w:r>
      <w:r>
        <w:rPr>
          <w:rFonts w:ascii="FbHadasaNew" w:hAnsi="FbHadasaNew" w:cs="Arial Unicode MS"/>
          <w:rtl/>
        </w:rPr>
        <w:t xml:space="preserve">). </w:t>
      </w:r>
    </w:p>
    <w:p w14:paraId="7A833B6C" w14:textId="2E740A50" w:rsidR="005A6EB4" w:rsidRPr="005A6EB4" w:rsidRDefault="005A6EB4" w:rsidP="00423C6D">
      <w:pPr>
        <w:pStyle w:val="a2"/>
        <w:rPr>
          <w:rFonts w:cs="Arial Unicode MS"/>
          <w:rtl/>
        </w:rPr>
      </w:pPr>
      <w:r>
        <w:rPr>
          <w:rFonts w:hint="cs"/>
          <w:rtl/>
        </w:rPr>
        <w:t>אמנם</w:t>
      </w:r>
      <w:r>
        <w:rPr>
          <w:rFonts w:ascii="FbHadasaNew" w:hAnsi="FbHadasaNew" w:cs="Arial Unicode MS"/>
          <w:rtl/>
        </w:rPr>
        <w:t xml:space="preserve">, </w:t>
      </w:r>
      <w:r>
        <w:rPr>
          <w:rFonts w:hint="cs"/>
          <w:rtl/>
        </w:rPr>
        <w:t>כאמור</w:t>
      </w:r>
      <w:r>
        <w:rPr>
          <w:rFonts w:ascii="FbHadasaNew" w:hAnsi="FbHadasaNew" w:cs="Arial Unicode MS"/>
          <w:rtl/>
        </w:rPr>
        <w:t xml:space="preserve">, </w:t>
      </w:r>
      <w:r>
        <w:rPr>
          <w:rFonts w:hint="cs"/>
          <w:rtl/>
        </w:rPr>
        <w:t>השוואת הנס שאירע</w:t>
      </w:r>
      <w:r>
        <w:rPr>
          <w:rFonts w:ascii="FbHadasaNew" w:hAnsi="FbHadasaNew" w:cs="Arial Unicode MS"/>
          <w:rtl/>
        </w:rPr>
        <w:t> </w:t>
      </w:r>
      <w:r>
        <w:rPr>
          <w:rFonts w:hint="cs"/>
          <w:rtl/>
        </w:rPr>
        <w:t>בעיסתה של שרה להנס שאירע בלחם הפנים מתייחסת</w:t>
      </w:r>
      <w:r>
        <w:rPr>
          <w:rFonts w:ascii="FbHadasaNew" w:hAnsi="FbHadasaNew" w:cs="Arial Unicode MS"/>
          <w:rtl/>
        </w:rPr>
        <w:t xml:space="preserve"> – </w:t>
      </w:r>
      <w:r>
        <w:rPr>
          <w:rFonts w:hint="cs"/>
          <w:rtl/>
        </w:rPr>
        <w:t>לפירוש מפרשים אלו</w:t>
      </w:r>
      <w:r>
        <w:rPr>
          <w:rFonts w:ascii="FbHadasaNew" w:hAnsi="FbHadasaNew" w:cs="Arial Unicode MS"/>
          <w:rtl/>
        </w:rPr>
        <w:t xml:space="preserve"> –</w:t>
      </w:r>
      <w:r>
        <w:rPr>
          <w:rFonts w:hint="cs"/>
          <w:rtl/>
        </w:rPr>
        <w:t xml:space="preserve"> לא לנס חמימות וטריות הלחם של לחם הפנים</w:t>
      </w:r>
      <w:r>
        <w:rPr>
          <w:rFonts w:ascii="FbHadasaNew" w:hAnsi="FbHadasaNew" w:cs="Arial Unicode MS"/>
          <w:rtl/>
        </w:rPr>
        <w:t xml:space="preserve">, </w:t>
      </w:r>
      <w:r>
        <w:rPr>
          <w:rFonts w:hint="cs"/>
          <w:rtl/>
        </w:rPr>
        <w:t>אל</w:t>
      </w:r>
      <w:r w:rsidRPr="005A6EB4">
        <w:rPr>
          <w:rFonts w:hint="cs"/>
          <w:rtl/>
        </w:rPr>
        <w:t>א לנס האחר שבלחם הפנים</w:t>
      </w:r>
      <w:r w:rsidRPr="005A6EB4">
        <w:rPr>
          <w:rtl/>
        </w:rPr>
        <w:t>,</w:t>
      </w:r>
      <w:r w:rsidRPr="005A6EB4">
        <w:rPr>
          <w:rFonts w:hint="cs"/>
          <w:rtl/>
        </w:rPr>
        <w:t xml:space="preserve"> אשר כמות קטנה של פת היתה משבעת את האוכלו</w:t>
      </w:r>
      <w:r w:rsidRPr="005A6EB4">
        <w:rPr>
          <w:rtl/>
        </w:rPr>
        <w:t xml:space="preserve"> [</w:t>
      </w:r>
      <w:r w:rsidRPr="005A6EB4">
        <w:rPr>
          <w:rFonts w:hint="cs"/>
          <w:rtl/>
        </w:rPr>
        <w:t>עיין היטב בפירוש ולשון ה׳שם משמואל׳ שם</w:t>
      </w:r>
      <w:r w:rsidRPr="005A6EB4">
        <w:rPr>
          <w:rtl/>
        </w:rPr>
        <w:t xml:space="preserve">. </w:t>
      </w:r>
      <w:r w:rsidRPr="005A6EB4">
        <w:rPr>
          <w:rFonts w:hint="cs"/>
          <w:rtl/>
        </w:rPr>
        <w:t>דוק ותשכח</w:t>
      </w:r>
      <w:r w:rsidRPr="005A6EB4">
        <w:rPr>
          <w:rtl/>
        </w:rPr>
        <w:t>].</w:t>
      </w:r>
    </w:p>
    <w:p w14:paraId="5EA99200" w14:textId="45A7D97C" w:rsidR="00213797" w:rsidRDefault="00436C71" w:rsidP="00213797">
      <w:pPr>
        <w:pStyle w:val="a"/>
        <w:rPr>
          <w:rtl/>
        </w:rPr>
      </w:pPr>
      <w:bookmarkStart w:id="197" w:name="_Toc531140432"/>
      <w:r>
        <w:rPr>
          <w:rFonts w:hint="cs"/>
          <w:rtl/>
        </w:rPr>
        <w:lastRenderedPageBreak/>
        <w:t>מדתו של יעקב מדת האמת</w:t>
      </w:r>
      <w:bookmarkEnd w:id="197"/>
    </w:p>
    <w:p w14:paraId="53936587" w14:textId="3322F835" w:rsidR="00213797" w:rsidRPr="008307D7" w:rsidRDefault="00213797" w:rsidP="00C40DBA">
      <w:pPr>
        <w:pStyle w:val="a0"/>
        <w:rPr>
          <w:rtl/>
        </w:rPr>
      </w:pPr>
      <w:bookmarkStart w:id="198" w:name="_Toc531140433"/>
      <w:r w:rsidRPr="008307D7">
        <w:rPr>
          <w:rFonts w:hint="cs"/>
          <w:rtl/>
          <w:lang w:bidi="he-IL"/>
        </w:rPr>
        <w:t>הת</w:t>
      </w:r>
      <w:r w:rsidRPr="008307D7">
        <w:rPr>
          <w:rFonts w:hint="cs"/>
          <w:rtl/>
        </w:rPr>
        <w:t xml:space="preserve">' </w:t>
      </w:r>
      <w:r w:rsidRPr="008307D7">
        <w:rPr>
          <w:rFonts w:hint="cs"/>
          <w:rtl/>
          <w:lang w:bidi="he-IL"/>
        </w:rPr>
        <w:t>שלום</w:t>
      </w:r>
      <w:r w:rsidR="00652896">
        <w:rPr>
          <w:rFonts w:hint="cs"/>
          <w:rtl/>
          <w:lang w:bidi="he-IL"/>
        </w:rPr>
        <w:t xml:space="preserve"> דובער</w:t>
      </w:r>
      <w:r w:rsidRPr="008307D7">
        <w:rPr>
          <w:rFonts w:hint="cs"/>
          <w:rtl/>
          <w:lang w:bidi="he-IL"/>
        </w:rPr>
        <w:t xml:space="preserve"> גרינברג</w:t>
      </w:r>
      <w:bookmarkEnd w:id="198"/>
    </w:p>
    <w:p w14:paraId="50A77286" w14:textId="42E17165" w:rsidR="00213797" w:rsidRPr="00213797" w:rsidRDefault="00213797" w:rsidP="00213797">
      <w:pPr>
        <w:pStyle w:val="a1"/>
        <w:rPr>
          <w:rtl/>
          <w:lang w:val="en-GB"/>
        </w:rPr>
      </w:pPr>
      <w:r>
        <w:rPr>
          <w:rFonts w:hint="cs"/>
          <w:rtl/>
          <w:lang w:val="en-GB"/>
        </w:rPr>
        <w:t>תלמיד בישיבה</w:t>
      </w:r>
    </w:p>
    <w:p w14:paraId="58AACD13" w14:textId="77777777" w:rsidR="00213797" w:rsidRDefault="00213797" w:rsidP="00423C6D">
      <w:pPr>
        <w:pStyle w:val="a2"/>
        <w:rPr>
          <w:rtl/>
        </w:rPr>
      </w:pPr>
      <w:r>
        <w:rPr>
          <w:rFonts w:hint="cs"/>
          <w:rtl/>
        </w:rPr>
        <w:t>בנוגע ביאת יעקב אל יצחק אביו לקחת הברכות במרמה ידוע השתדלותו של רש"י לפרש את דברי יעקב ולגלות איך שכל דבריו היו אמת לאמיתו אלא שהם העלימו המציאות שלא עמד לפניו עשו [ואכן הגיע יצחק למסקנא ש"אתה זה בני עשו" (כז,כב) ויברכו].</w:t>
      </w:r>
    </w:p>
    <w:p w14:paraId="2B8A345C" w14:textId="77777777" w:rsidR="00213797" w:rsidRDefault="00213797" w:rsidP="00423C6D">
      <w:pPr>
        <w:pStyle w:val="a2"/>
        <w:rPr>
          <w:rtl/>
        </w:rPr>
      </w:pPr>
      <w:r>
        <w:rPr>
          <w:rFonts w:hint="cs"/>
          <w:rtl/>
        </w:rPr>
        <w:t>ולכאורה דרוש ביאור, ובהקדם:</w:t>
      </w:r>
    </w:p>
    <w:p w14:paraId="70077AD2" w14:textId="77777777" w:rsidR="00213797" w:rsidRDefault="00213797" w:rsidP="00423C6D">
      <w:pPr>
        <w:pStyle w:val="a2"/>
        <w:rPr>
          <w:rtl/>
        </w:rPr>
      </w:pPr>
      <w:r>
        <w:rPr>
          <w:rFonts w:hint="cs"/>
          <w:rtl/>
        </w:rPr>
        <w:t>יעקב הרי ענינו קו האמצעי כמו משה רבינו, ועל משה רבינו מבואר (לקו"ש חכ"ד פ' ברכה) שבהיותו מדת האמת לא הי' ביכלתו להביא שלום בין איש לרעהו כו', ע"י שינוי האמת כמו שהי' הנהגת אהרון שהי' מדת החסד.</w:t>
      </w:r>
    </w:p>
    <w:p w14:paraId="69FFBC7A" w14:textId="77777777" w:rsidR="00213797" w:rsidRPr="00C7500B" w:rsidRDefault="00213797" w:rsidP="00423C6D">
      <w:pPr>
        <w:pStyle w:val="a2"/>
        <w:rPr>
          <w:rtl/>
        </w:rPr>
      </w:pPr>
      <w:r>
        <w:rPr>
          <w:rFonts w:hint="cs"/>
          <w:rtl/>
        </w:rPr>
        <w:t xml:space="preserve">ובל' הק' "און אע"פ שמותר כו' לשנות בדבר השלום איז, כנ"ל, א הוראה פון תורה וואס זי איז תורת </w:t>
      </w:r>
      <w:r w:rsidRPr="00C7500B">
        <w:rPr>
          <w:rFonts w:hint="cs"/>
          <w:b/>
          <w:bCs/>
          <w:rtl/>
        </w:rPr>
        <w:t>אמת</w:t>
      </w:r>
      <w:r>
        <w:rPr>
          <w:rFonts w:hint="cs"/>
          <w:rtl/>
        </w:rPr>
        <w:t xml:space="preserve"> . . אז דאס איז בלויז אן ענין פון "שינוי", אבער ניט קיין שקר ח"ו . . ואולי יש להוסיף כו' ניט שייך אראפצולאזן זיך אויך צו אזעלכע וואס זיינען אין א מצב ירוד, ביז אז דער </w:t>
      </w:r>
      <w:r w:rsidRPr="00C7500B">
        <w:rPr>
          <w:rFonts w:hint="cs"/>
          <w:b/>
          <w:bCs/>
          <w:rtl/>
        </w:rPr>
        <w:t>איינציקער</w:t>
      </w:r>
      <w:r>
        <w:rPr>
          <w:rFonts w:hint="cs"/>
          <w:b/>
          <w:bCs/>
          <w:rtl/>
        </w:rPr>
        <w:t xml:space="preserve"> </w:t>
      </w:r>
      <w:r w:rsidRPr="00C7500B">
        <w:rPr>
          <w:rFonts w:hint="cs"/>
          <w:rtl/>
        </w:rPr>
        <w:t>וועג צו מאכן שלום ביניהם איז דורך</w:t>
      </w:r>
      <w:r>
        <w:rPr>
          <w:rFonts w:hint="cs"/>
          <w:b/>
          <w:bCs/>
          <w:rtl/>
        </w:rPr>
        <w:t xml:space="preserve"> משנה </w:t>
      </w:r>
      <w:r w:rsidRPr="00C7500B">
        <w:rPr>
          <w:rFonts w:hint="cs"/>
          <w:rtl/>
        </w:rPr>
        <w:t>זיין מן</w:t>
      </w:r>
      <w:r>
        <w:rPr>
          <w:rFonts w:hint="cs"/>
          <w:b/>
          <w:bCs/>
          <w:rtl/>
        </w:rPr>
        <w:t xml:space="preserve"> האמת</w:t>
      </w:r>
      <w:r>
        <w:rPr>
          <w:rFonts w:hint="cs"/>
          <w:rtl/>
        </w:rPr>
        <w:t>".</w:t>
      </w:r>
    </w:p>
    <w:p w14:paraId="12EE8DA2" w14:textId="77777777" w:rsidR="00213797" w:rsidRDefault="00213797" w:rsidP="00423C6D">
      <w:pPr>
        <w:pStyle w:val="a2"/>
        <w:rPr>
          <w:rtl/>
        </w:rPr>
      </w:pPr>
      <w:r>
        <w:rPr>
          <w:rFonts w:hint="cs"/>
          <w:rtl/>
        </w:rPr>
        <w:t>עפ"ז מובנת השאלה, איך הי' יעקב שמדתו מדת אמת, יכול להעלים את האמת</w:t>
      </w:r>
      <w:r>
        <w:rPr>
          <w:rStyle w:val="FootnoteReference"/>
          <w:rtl/>
        </w:rPr>
        <w:footnoteReference w:id="147"/>
      </w:r>
      <w:r>
        <w:rPr>
          <w:rFonts w:hint="cs"/>
          <w:rtl/>
        </w:rPr>
        <w:t xml:space="preserve"> בפני יצחק אביו.</w:t>
      </w:r>
    </w:p>
    <w:p w14:paraId="64BC363F" w14:textId="77777777" w:rsidR="00213797" w:rsidRDefault="00213797" w:rsidP="00423C6D">
      <w:pPr>
        <w:pStyle w:val="a2"/>
        <w:rPr>
          <w:rtl/>
        </w:rPr>
      </w:pPr>
      <w:r>
        <w:rPr>
          <w:rFonts w:hint="cs"/>
          <w:rtl/>
        </w:rPr>
        <w:t>ואין לפרש שיעקב הי' יכול להוריד עצמו לבירורים יותר ממרע"ה. שהרי עבודת הבירורים היתה בעיקר בדור של משה מאצל האבות, כידוע (וראה לקו"ש חכ"ה פ' וישב-י"ט כסלו). אלא ע"כ צריך לומר שיעקב הי' יותר מופשט מעולם התחתון, וברור שלא הי' לו קשר אם ענינים אלה [דהיינו כל הקשור עם שקר].</w:t>
      </w:r>
    </w:p>
    <w:p w14:paraId="237A0A25" w14:textId="77777777" w:rsidR="00213797" w:rsidRDefault="00213797" w:rsidP="00423C6D">
      <w:pPr>
        <w:pStyle w:val="a2"/>
        <w:rPr>
          <w:rtl/>
        </w:rPr>
      </w:pPr>
      <w:r>
        <w:rPr>
          <w:rFonts w:hint="cs"/>
          <w:rtl/>
        </w:rPr>
        <w:t>אפשר לתרץ שזה הי' מקרה יצא מן הכלל, מפני שהי' מכרח לקבל הברכות, והי' זה מצב של מסירת נפש. אבל ק"ק דא"כ למה א"א לו (למשה) לשנות מפני השלום הרי אפי' המזבח מעלה דמעות על העדר שלום בית.</w:t>
      </w:r>
    </w:p>
    <w:p w14:paraId="1BE3FF91" w14:textId="77777777" w:rsidR="00213797" w:rsidRDefault="00213797" w:rsidP="00423C6D">
      <w:pPr>
        <w:pStyle w:val="a2"/>
        <w:rPr>
          <w:rtl/>
        </w:rPr>
      </w:pPr>
      <w:r>
        <w:rPr>
          <w:rFonts w:hint="cs"/>
          <w:rtl/>
        </w:rPr>
        <w:lastRenderedPageBreak/>
        <w:t xml:space="preserve">ועוד י"ל שאכן הי' זה נגד ענינו של יעקב (כנ"ל) אלא שהי' מוכרח לקיים מצות רבקה אמו. אבל גם זה צריך בירור, שהרי מבואר (לקו"ש ח"ה) שהי' זהירות אצל בני נח, למנוע מלרמות אחד השני. וזהירות זו שיש לה תוקף של הלכה וחיוב (ראה שם) גובר על מצות כיבוד אב ואם, שהי' רק חומרא לגבי האבות. לאידך י"ל, שאין זה בגדר רמאות, שתוכנה שקר ["למה רמיתני" הי' בהמשך לזה שלבן עבר על </w:t>
      </w:r>
      <w:r w:rsidRPr="001661F5">
        <w:rPr>
          <w:rFonts w:hint="cs"/>
          <w:b/>
          <w:bCs/>
          <w:rtl/>
        </w:rPr>
        <w:t>דבריו</w:t>
      </w:r>
      <w:r>
        <w:rPr>
          <w:rFonts w:hint="cs"/>
          <w:rtl/>
        </w:rPr>
        <w:t>, משא"כ כאן] שמדגיש רש"י שלא הי' "מרמה" אלא "חכמה". אלא שעדיין קשה לפי האבן עזרא (כנ"ל בהערה), וצ"ע.</w:t>
      </w:r>
    </w:p>
    <w:p w14:paraId="53107869" w14:textId="4A000096" w:rsidR="00213797" w:rsidRDefault="00213797" w:rsidP="0083553B">
      <w:pPr>
        <w:pStyle w:val="a2"/>
        <w:rPr>
          <w:rtl/>
        </w:rPr>
      </w:pPr>
      <w:r>
        <w:rPr>
          <w:rFonts w:hint="cs"/>
          <w:rtl/>
        </w:rPr>
        <w:t>(ה</w:t>
      </w:r>
      <w:r w:rsidR="0083553B">
        <w:rPr>
          <w:rFonts w:hint="cs"/>
          <w:rtl/>
        </w:rPr>
        <w:t>עירוני</w:t>
      </w:r>
      <w:r>
        <w:rPr>
          <w:rFonts w:hint="cs"/>
          <w:rtl/>
        </w:rPr>
        <w:t xml:space="preserve"> חכם א'</w:t>
      </w:r>
      <w:r>
        <w:rPr>
          <w:rStyle w:val="FootnoteReference"/>
          <w:rtl/>
        </w:rPr>
        <w:footnoteReference w:id="148"/>
      </w:r>
      <w:r>
        <w:rPr>
          <w:rFonts w:hint="cs"/>
          <w:rtl/>
        </w:rPr>
        <w:t xml:space="preserve">, שאדרבא, בזה מתורץ שאלה ידוע </w:t>
      </w:r>
      <w:r>
        <w:rPr>
          <w:rtl/>
        </w:rPr>
        <w:t>–</w:t>
      </w:r>
      <w:r>
        <w:rPr>
          <w:rFonts w:hint="cs"/>
          <w:rtl/>
        </w:rPr>
        <w:t xml:space="preserve"> אם יעקב עשה ידיו שתהיינה כידי עשו למה לא שינה דבריו שיהא נשמע כעשו אחיו. אלא שעפ"ז שמדתו מדת אמת מובן שלא הי' יכול לשנות מהאמת כלל, ופנימיותו התבטא בלי סילוף כלל. וגם י"ל שרבקה עשה ידי יעקב כידי עשו אבל הקול הי' על יעקב לבד.)</w:t>
      </w:r>
    </w:p>
    <w:p w14:paraId="0BB96E47" w14:textId="77777777" w:rsidR="007C28B9" w:rsidRPr="00347933" w:rsidRDefault="007C28B9" w:rsidP="000B6EE8">
      <w:pPr>
        <w:pStyle w:val="a4"/>
        <w:spacing w:after="0"/>
        <w:sectPr w:rsidR="007C28B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30477B3" w14:textId="27E76C8D" w:rsidR="00213797" w:rsidRDefault="00213797" w:rsidP="00213797">
      <w:pPr>
        <w:pStyle w:val="12"/>
        <w:bidi w:val="0"/>
        <w:rPr>
          <w:rtl/>
        </w:rPr>
      </w:pPr>
      <w:bookmarkStart w:id="199" w:name="_Toc531140434"/>
      <w:r>
        <w:rPr>
          <w:rFonts w:hint="cs"/>
          <w:rtl/>
        </w:rPr>
        <w:t>שונות</w:t>
      </w:r>
      <w:bookmarkEnd w:id="199"/>
    </w:p>
    <w:p w14:paraId="0B5B108F" w14:textId="64705A44" w:rsidR="00FB5EB2" w:rsidRPr="00FB5EB2" w:rsidRDefault="00213797" w:rsidP="00F21F8C">
      <w:pPr>
        <w:pStyle w:val="a"/>
        <w:bidi w:val="0"/>
      </w:pPr>
      <w:bookmarkStart w:id="200" w:name="_Toc531140435"/>
      <w:r>
        <w:rPr>
          <w:rFonts w:hint="cs"/>
          <w:rtl/>
        </w:rPr>
        <w:t>בענין מצוות התלויות ברגש</w:t>
      </w:r>
      <w:bookmarkEnd w:id="200"/>
    </w:p>
    <w:p w14:paraId="16CD48DA" w14:textId="52D2C3DE" w:rsidR="00FB5EB2" w:rsidRPr="008307D7" w:rsidRDefault="00FB5EB2" w:rsidP="00C40DBA">
      <w:pPr>
        <w:pStyle w:val="a0"/>
        <w:rPr>
          <w:rtl/>
        </w:rPr>
      </w:pPr>
      <w:bookmarkStart w:id="201" w:name="_Toc531140436"/>
      <w:r w:rsidRPr="008307D7">
        <w:rPr>
          <w:rFonts w:hint="cs"/>
          <w:rtl/>
          <w:lang w:bidi="he-IL"/>
        </w:rPr>
        <w:t>הת</w:t>
      </w:r>
      <w:r w:rsidRPr="008307D7">
        <w:rPr>
          <w:rFonts w:hint="cs"/>
          <w:rtl/>
        </w:rPr>
        <w:t xml:space="preserve">' </w:t>
      </w:r>
      <w:r w:rsidRPr="008307D7">
        <w:rPr>
          <w:rFonts w:hint="cs"/>
          <w:rtl/>
          <w:lang w:bidi="he-IL"/>
        </w:rPr>
        <w:t xml:space="preserve">שלום דובער </w:t>
      </w:r>
      <w:r w:rsidR="00D50EFC" w:rsidRPr="008307D7">
        <w:rPr>
          <w:rFonts w:hint="cs"/>
          <w:rtl/>
          <w:lang w:bidi="he-IL"/>
        </w:rPr>
        <w:t>פעריס</w:t>
      </w:r>
      <w:bookmarkEnd w:id="201"/>
    </w:p>
    <w:p w14:paraId="28F90D58" w14:textId="7581B073" w:rsidR="00FB5EB2" w:rsidRPr="00FB5EB2" w:rsidRDefault="00FB5EB2" w:rsidP="00FB5EB2">
      <w:pPr>
        <w:pStyle w:val="a1"/>
        <w:rPr>
          <w:rtl/>
          <w:lang w:val="en-GB"/>
        </w:rPr>
      </w:pPr>
      <w:r>
        <w:rPr>
          <w:rFonts w:hint="cs"/>
          <w:rtl/>
          <w:lang w:val="en-GB"/>
        </w:rPr>
        <w:t>תלמיד בישיבה</w:t>
      </w:r>
    </w:p>
    <w:p w14:paraId="5C708D43" w14:textId="77777777" w:rsidR="00FB5EB2" w:rsidRDefault="00FB5EB2" w:rsidP="00423C6D">
      <w:pPr>
        <w:pStyle w:val="a2"/>
        <w:rPr>
          <w:rtl/>
        </w:rPr>
      </w:pPr>
      <w:r>
        <w:rPr>
          <w:rFonts w:hint="cs"/>
          <w:rtl/>
        </w:rPr>
        <w:t>כתב הרמב"ם (מו"נ ח"ג פי"ג) וז"ל: ומי שירצה להיות בעל בשר ועצמות ולא יקבל מעשה ולא ישיגוהו דבר ממשיגי החומר - אמנם ירצה לקבץ בין שני ההפכים והוא לא ישער, וזה שהוא ירצה להיות מקבל מעשה, ולא מקבל  מעשה עכ"ל. וכוונתו מבואר, שהרי מובן בפשטות דבכל דבר שיש תכונות נפרדים מוטבעים בו - בדרך חיוב, לא בדרך מקרה - א"א להפריד ביניהם ולקיים מקצתם ולשלול מקצתם. וכמו בהדוגמא שכתב הרמב"ם, שא"א להיות מציאות גשמי בלי הימצאות ההפסידות אתו, שבחוק הגשם מוטבע ענין ההפסידות. או למשל, באש יחוייב שכל אש יהי' בו חמימות ובהירות, וא"א לשלול החמימות ולשאר אורו לבד, וזה פשוט וברור לשכל הבריא.</w:t>
      </w:r>
    </w:p>
    <w:p w14:paraId="64E83AC6" w14:textId="77777777" w:rsidR="00FB5EB2" w:rsidRDefault="00FB5EB2" w:rsidP="00423C6D">
      <w:pPr>
        <w:pStyle w:val="a2"/>
        <w:rPr>
          <w:rtl/>
        </w:rPr>
      </w:pPr>
      <w:r>
        <w:rPr>
          <w:rFonts w:hint="cs"/>
          <w:rtl/>
        </w:rPr>
        <w:t xml:space="preserve">ובביאור הגאון צפע"נ על המו"נ (שם) הביא כדרכו בקודש כמה דוגמאות מגמ' </w:t>
      </w:r>
      <w:r>
        <w:rPr>
          <w:rFonts w:hint="cs"/>
          <w:rtl/>
        </w:rPr>
        <w:lastRenderedPageBreak/>
        <w:t xml:space="preserve">איך שרואים כל הגיוני בדרז"ל, והאריך, ונציין רק אחת וז"ל "זה ר"ל הך דסנהדרין דף סד ויומא דף סט גבי יצה"ר דעבירה לפלגא לא" עכ"ל כוונתו דאיתא התם "אמרי הואיל ועת רצון הוא נבעי רחמי מיצרא דעבירה כו' איבעי ביעתא בית יומא ולא אשכחו, אמרי היכי נעביד ניבעי פלגא, (שיהא שולט באדם ליזזק לעשותו ולא לאחרת </w:t>
      </w:r>
      <w:r>
        <w:rPr>
          <w:rtl/>
        </w:rPr>
        <w:t>–</w:t>
      </w:r>
      <w:r>
        <w:rPr>
          <w:rFonts w:hint="cs"/>
          <w:rtl/>
        </w:rPr>
        <w:t xml:space="preserve"> רש"י) פלגא מעיקרא לא יהבי כו'" עכ"ל. והיינו דהגאון מבאר דמ"ש בגמ' "פלגא מעיקרא לא יהבי" הוא אותו הכלל שכתב הרמב"ם, שהרי היצ"ר וטבע הנפש המתאוה שבאדם רוצה וחושק לכל דבר תאוה, בלי הבדל ובלי גבול. א"כ א"א במציאות להשאיר לאדם רק התאוה לאשתו, ולבטל כל תאוה זולתו, כי כח התאוה בטבעו רוצה בכל דבר, וא"א לחלק לחלקים, לזה ירצה ולא באחרת.</w:t>
      </w:r>
    </w:p>
    <w:p w14:paraId="3E351EEA" w14:textId="3F95CECE" w:rsidR="00FB5EB2" w:rsidRDefault="00FB5EB2" w:rsidP="00423C6D">
      <w:pPr>
        <w:pStyle w:val="a2"/>
        <w:rPr>
          <w:rtl/>
        </w:rPr>
      </w:pPr>
      <w:r>
        <w:rPr>
          <w:rFonts w:hint="cs"/>
          <w:rtl/>
        </w:rPr>
        <w:t>ולפי כ"ז הי' ק"ל ההבנה במקום אחרת, והוא דאיתא בשבת (סד,א) דלאחר שעשו בנ"י נקמת ה' במדין נתנו שלל לכפרה, כי אמרי אם מידי עבירה יצאנו (שלא זנו אם בני מואב) מידי הרהור לא יצאנו. והק' בתוס' והא אפי' ליקח יפת תואר הותרה להם, ומה הי' אסור בהרהורים, ותי' שמ"מ שייך איסור כדאמרינן (קידושין כב,א) וחשקת בה ולא בחברתה, והיינו שהרהרו בלקיחת שני יפ"ת, וכ"פ המהרם שם כוונתם. והרי כל ההתירה של יפ"ת הוא משום דלא דברה תורה אלא כנגד היצר, שיודע התורה שיתאוה אדם לה וישיאנה באיסור אם לא יתירה תורה, ומש"ה התירה (כדאיתא בקידושין כא,ב וברש"י שם) ושוב מה שייך הגבלה בחשקת האדם, דמאחר שהותרה לו להתאוות, שוב יתאוה אפי' לב' יפ"ת, וזה שדרשינן התם בקידושין (ד"ה ולא בחבירתה) לאסור ב' יפ"ת ניחא, דשייך שפיר איסור התלוי במעשה, אבל איך שייך שהתורה יאסור חשקתו בה ובחבירתה מאחר שבתחילה דברה כו' אלא כנגד היצר.</w:t>
      </w:r>
    </w:p>
    <w:p w14:paraId="6566FED4" w14:textId="77777777" w:rsidR="00BA4997" w:rsidRPr="00347933" w:rsidRDefault="00BA4997" w:rsidP="00BA4997">
      <w:pPr>
        <w:pStyle w:val="a4"/>
        <w:spacing w:before="0" w:after="0"/>
        <w:sectPr w:rsidR="00BA499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B4B01DA" w14:textId="296F9E58" w:rsidR="00BA4997" w:rsidRPr="00682009" w:rsidRDefault="00BA4997" w:rsidP="00BA4997">
      <w:pPr>
        <w:pStyle w:val="a"/>
        <w:spacing w:before="0"/>
        <w:rPr>
          <w:rtl/>
        </w:rPr>
      </w:pPr>
      <w:bookmarkStart w:id="202" w:name="_Toc531140437"/>
      <w:r w:rsidRPr="00682009">
        <w:rPr>
          <w:rFonts w:hint="cs"/>
          <w:rtl/>
        </w:rPr>
        <w:t>שמעון הכופר</w:t>
      </w:r>
      <w:bookmarkEnd w:id="202"/>
    </w:p>
    <w:p w14:paraId="4792E52E" w14:textId="77777777" w:rsidR="00BA4997" w:rsidRPr="008307D7" w:rsidRDefault="00BA4997" w:rsidP="00C40DBA">
      <w:pPr>
        <w:pStyle w:val="a0"/>
        <w:rPr>
          <w:rtl/>
        </w:rPr>
      </w:pPr>
      <w:bookmarkStart w:id="203" w:name="_Toc531140438"/>
      <w:r w:rsidRPr="008307D7">
        <w:rPr>
          <w:rFonts w:hint="cs"/>
          <w:rtl/>
          <w:lang w:bidi="he-IL"/>
        </w:rPr>
        <w:t>הת</w:t>
      </w:r>
      <w:r w:rsidRPr="008307D7">
        <w:rPr>
          <w:rFonts w:hint="cs"/>
          <w:rtl/>
        </w:rPr>
        <w:t xml:space="preserve">' </w:t>
      </w:r>
      <w:r w:rsidRPr="008307D7">
        <w:rPr>
          <w:rFonts w:hint="cs"/>
          <w:rtl/>
          <w:lang w:bidi="he-IL"/>
        </w:rPr>
        <w:t>שמואל יוסף גרינבוים</w:t>
      </w:r>
      <w:bookmarkEnd w:id="203"/>
    </w:p>
    <w:p w14:paraId="696EFF82" w14:textId="77777777" w:rsidR="00BA4997" w:rsidRPr="00682009" w:rsidRDefault="00BA4997" w:rsidP="00BA4997">
      <w:pPr>
        <w:pStyle w:val="a1"/>
        <w:rPr>
          <w:rFonts w:cs="AAd_Livorna"/>
          <w:sz w:val="27"/>
          <w:szCs w:val="27"/>
          <w:rtl/>
          <w:lang w:bidi="ar-SA"/>
        </w:rPr>
      </w:pPr>
      <w:r>
        <w:rPr>
          <w:rFonts w:hint="cs"/>
          <w:rtl/>
        </w:rPr>
        <w:t>תלמיד בישיבה</w:t>
      </w:r>
    </w:p>
    <w:p w14:paraId="624D0A59" w14:textId="77777777" w:rsidR="00BA4997" w:rsidRPr="00B576E5" w:rsidRDefault="00BA4997" w:rsidP="00423C6D">
      <w:pPr>
        <w:pStyle w:val="a2"/>
        <w:rPr>
          <w:rtl/>
        </w:rPr>
      </w:pPr>
      <w:r w:rsidRPr="00B576E5">
        <w:rPr>
          <w:rFonts w:hint="cs"/>
          <w:rtl/>
        </w:rPr>
        <w:t>כותב כ"ק אדמו"ר מהוריי"ץ, ברשימת "שמעון הכופר", אודות פגישת שמעון הכופר אצל כ"ק אדמו"ר הזקן:</w:t>
      </w:r>
    </w:p>
    <w:p w14:paraId="4092D64B" w14:textId="77777777" w:rsidR="00BA4997" w:rsidRPr="00B576E5" w:rsidRDefault="00BA4997" w:rsidP="00423C6D">
      <w:pPr>
        <w:pStyle w:val="a2"/>
        <w:rPr>
          <w:rtl/>
        </w:rPr>
      </w:pPr>
      <w:r w:rsidRPr="00B576E5">
        <w:rPr>
          <w:rFonts w:hint="cs"/>
          <w:rtl/>
        </w:rPr>
        <w:t>"</w:t>
      </w:r>
      <w:r w:rsidRPr="00B576E5">
        <w:rPr>
          <w:rtl/>
        </w:rPr>
        <w:t>כשגמר לדבר שוב נשען על</w:t>
      </w:r>
      <w:r w:rsidRPr="00B576E5">
        <w:rPr>
          <w:rFonts w:hint="cs"/>
          <w:rtl/>
        </w:rPr>
        <w:t xml:space="preserve"> </w:t>
      </w:r>
      <w:r w:rsidRPr="00B576E5">
        <w:rPr>
          <w:rtl/>
        </w:rPr>
        <w:t>זרועותיו כבתחלה. אחר-כך הגביה ראשו ויפקח את</w:t>
      </w:r>
      <w:r w:rsidRPr="00B576E5">
        <w:rPr>
          <w:rFonts w:hint="cs"/>
          <w:rtl/>
        </w:rPr>
        <w:t xml:space="preserve"> </w:t>
      </w:r>
      <w:r w:rsidRPr="00B576E5">
        <w:rPr>
          <w:rtl/>
        </w:rPr>
        <w:t>עיניו וישאלני, איך אני מפרש</w:t>
      </w:r>
      <w:r w:rsidRPr="00B576E5">
        <w:rPr>
          <w:rFonts w:hint="cs"/>
          <w:rtl/>
        </w:rPr>
        <w:t xml:space="preserve"> </w:t>
      </w:r>
      <w:r w:rsidRPr="00B576E5">
        <w:rPr>
          <w:rtl/>
        </w:rPr>
        <w:t>לתלמידי את הפסוק ויחרד יצחק חרדה גדולה עד מאד</w:t>
      </w:r>
      <w:r w:rsidRPr="00B576E5">
        <w:rPr>
          <w:rFonts w:hint="cs"/>
          <w:rtl/>
        </w:rPr>
        <w:t xml:space="preserve">. </w:t>
      </w:r>
      <w:r w:rsidRPr="00B576E5">
        <w:rPr>
          <w:rtl/>
        </w:rPr>
        <w:t>הנני מפרש - עניתי - את הכתוב</w:t>
      </w:r>
      <w:r w:rsidRPr="00B576E5">
        <w:rPr>
          <w:rFonts w:hint="cs"/>
          <w:rtl/>
        </w:rPr>
        <w:t xml:space="preserve"> </w:t>
      </w:r>
      <w:r w:rsidRPr="00B576E5">
        <w:rPr>
          <w:rtl/>
        </w:rPr>
        <w:t>כפירוש הראשון שברש"י שהוא לשון תימה</w:t>
      </w:r>
      <w:r w:rsidRPr="00B576E5">
        <w:rPr>
          <w:rFonts w:hint="cs"/>
          <w:rtl/>
        </w:rPr>
        <w:t xml:space="preserve">. </w:t>
      </w:r>
      <w:r w:rsidRPr="00B576E5">
        <w:rPr>
          <w:rtl/>
        </w:rPr>
        <w:lastRenderedPageBreak/>
        <w:t>ומדוע</w:t>
      </w:r>
      <w:r w:rsidRPr="00B576E5">
        <w:rPr>
          <w:rFonts w:hint="cs"/>
          <w:rtl/>
        </w:rPr>
        <w:t xml:space="preserve"> </w:t>
      </w:r>
      <w:r w:rsidRPr="00B576E5">
        <w:rPr>
          <w:rtl/>
        </w:rPr>
        <w:t>-שאלני-</w:t>
      </w:r>
      <w:r w:rsidRPr="00B576E5">
        <w:rPr>
          <w:rFonts w:hint="cs"/>
          <w:rtl/>
        </w:rPr>
        <w:t xml:space="preserve"> </w:t>
      </w:r>
      <w:r w:rsidRPr="00B576E5">
        <w:rPr>
          <w:rtl/>
        </w:rPr>
        <w:t>אינך</w:t>
      </w:r>
      <w:r w:rsidRPr="00B576E5">
        <w:rPr>
          <w:rFonts w:hint="cs"/>
          <w:rtl/>
        </w:rPr>
        <w:t xml:space="preserve"> </w:t>
      </w:r>
      <w:r w:rsidRPr="00B576E5">
        <w:rPr>
          <w:rtl/>
        </w:rPr>
        <w:t>מפרש לתלמידך</w:t>
      </w:r>
      <w:r w:rsidRPr="00B576E5">
        <w:rPr>
          <w:rFonts w:hint="cs"/>
          <w:rtl/>
        </w:rPr>
        <w:t xml:space="preserve"> </w:t>
      </w:r>
      <w:r w:rsidRPr="00B576E5">
        <w:rPr>
          <w:rtl/>
        </w:rPr>
        <w:t>כפירוש רש"י בשם המדרש שגיהנם פתוחה</w:t>
      </w:r>
      <w:r w:rsidRPr="00B576E5">
        <w:rPr>
          <w:rFonts w:hint="cs"/>
          <w:rtl/>
        </w:rPr>
        <w:t xml:space="preserve"> </w:t>
      </w:r>
      <w:r w:rsidRPr="00B576E5">
        <w:rPr>
          <w:rtl/>
        </w:rPr>
        <w:t>לו מתחתיו?</w:t>
      </w:r>
    </w:p>
    <w:p w14:paraId="5C33CC8B" w14:textId="77777777" w:rsidR="00BA4997" w:rsidRPr="00B576E5" w:rsidRDefault="00BA4997" w:rsidP="00423C6D">
      <w:pPr>
        <w:pStyle w:val="a2"/>
        <w:rPr>
          <w:rtl/>
        </w:rPr>
      </w:pPr>
      <w:r w:rsidRPr="00B576E5">
        <w:rPr>
          <w:rFonts w:hint="cs"/>
          <w:rtl/>
        </w:rPr>
        <w:t>"</w:t>
      </w:r>
      <w:r w:rsidRPr="00B576E5">
        <w:rPr>
          <w:rtl/>
        </w:rPr>
        <w:t>דעתי - השבתי - שאין להלאות</w:t>
      </w:r>
      <w:r w:rsidRPr="00B576E5">
        <w:rPr>
          <w:rFonts w:hint="cs"/>
          <w:rtl/>
        </w:rPr>
        <w:t xml:space="preserve"> </w:t>
      </w:r>
      <w:r w:rsidRPr="00B576E5">
        <w:rPr>
          <w:rtl/>
        </w:rPr>
        <w:t>את מוחות התינוקות הרופפים בדברי אגדה</w:t>
      </w:r>
      <w:r w:rsidRPr="00B576E5">
        <w:rPr>
          <w:rFonts w:hint="cs"/>
          <w:rtl/>
        </w:rPr>
        <w:t xml:space="preserve"> </w:t>
      </w:r>
      <w:r w:rsidRPr="00B576E5">
        <w:rPr>
          <w:rtl/>
        </w:rPr>
        <w:t>בכלל ומה גם בדברים המפחידים כמו גיהנם</w:t>
      </w:r>
      <w:r w:rsidRPr="00B576E5">
        <w:rPr>
          <w:rFonts w:hint="cs"/>
          <w:rtl/>
        </w:rPr>
        <w:t xml:space="preserve"> </w:t>
      </w:r>
      <w:r w:rsidRPr="00B576E5">
        <w:rPr>
          <w:rtl/>
        </w:rPr>
        <w:t>והדומה ועוד יותר במה שלא יוכל</w:t>
      </w:r>
      <w:r w:rsidRPr="00B576E5">
        <w:rPr>
          <w:rFonts w:hint="cs"/>
          <w:rtl/>
        </w:rPr>
        <w:t xml:space="preserve"> </w:t>
      </w:r>
      <w:r w:rsidRPr="00B576E5">
        <w:rPr>
          <w:rtl/>
        </w:rPr>
        <w:t>התינוק גם לשער ויקשה לו איך אפשר שהגיהנם הגדול</w:t>
      </w:r>
      <w:r w:rsidRPr="00B576E5">
        <w:rPr>
          <w:rFonts w:hint="cs"/>
          <w:rtl/>
        </w:rPr>
        <w:t xml:space="preserve"> </w:t>
      </w:r>
      <w:r w:rsidRPr="00B576E5">
        <w:rPr>
          <w:rtl/>
        </w:rPr>
        <w:t>והרחב אשר אש מתלקחת</w:t>
      </w:r>
      <w:r w:rsidRPr="00B576E5">
        <w:rPr>
          <w:rFonts w:hint="cs"/>
          <w:rtl/>
        </w:rPr>
        <w:t xml:space="preserve"> </w:t>
      </w:r>
      <w:r w:rsidRPr="00B576E5">
        <w:rPr>
          <w:rtl/>
        </w:rPr>
        <w:t>בוערה בו תמיד זה יותר מחמשת אלפים חמש מאות חמשים וחמש</w:t>
      </w:r>
      <w:r w:rsidRPr="00B576E5">
        <w:rPr>
          <w:rFonts w:hint="cs"/>
          <w:rtl/>
        </w:rPr>
        <w:t xml:space="preserve"> </w:t>
      </w:r>
      <w:r w:rsidRPr="00B576E5">
        <w:rPr>
          <w:rtl/>
        </w:rPr>
        <w:t>שנה, יכנס בחדרו</w:t>
      </w:r>
      <w:r w:rsidRPr="00B576E5">
        <w:rPr>
          <w:rFonts w:hint="cs"/>
          <w:rtl/>
        </w:rPr>
        <w:t xml:space="preserve"> </w:t>
      </w:r>
      <w:r w:rsidRPr="00B576E5">
        <w:rPr>
          <w:rtl/>
        </w:rPr>
        <w:t>של יצחק, ועשו עם אביו ישארו בחיים אף גם</w:t>
      </w:r>
      <w:r w:rsidRPr="00B576E5">
        <w:rPr>
          <w:rFonts w:hint="cs"/>
          <w:rtl/>
        </w:rPr>
        <w:t xml:space="preserve"> </w:t>
      </w:r>
      <w:r w:rsidRPr="00B576E5">
        <w:rPr>
          <w:rtl/>
        </w:rPr>
        <w:t>בבגדיהם אל יחרף האש</w:t>
      </w:r>
      <w:r w:rsidRPr="00B576E5">
        <w:rPr>
          <w:rFonts w:hint="cs"/>
          <w:rtl/>
        </w:rPr>
        <w:t xml:space="preserve">. </w:t>
      </w:r>
      <w:r w:rsidRPr="00B576E5">
        <w:rPr>
          <w:rtl/>
        </w:rPr>
        <w:t>ומנין לו להמדרש - שאלני עוד - שראה גיהנם פתוחה לו מתחתיו?</w:t>
      </w:r>
      <w:r w:rsidRPr="00B576E5">
        <w:rPr>
          <w:rFonts w:hint="cs"/>
          <w:rtl/>
        </w:rPr>
        <w:t xml:space="preserve"> </w:t>
      </w:r>
      <w:r w:rsidRPr="00B576E5">
        <w:rPr>
          <w:rtl/>
        </w:rPr>
        <w:t>שתקתי ולא</w:t>
      </w:r>
      <w:r w:rsidRPr="00B576E5">
        <w:rPr>
          <w:rFonts w:hint="cs"/>
          <w:rtl/>
        </w:rPr>
        <w:t xml:space="preserve"> </w:t>
      </w:r>
      <w:r w:rsidRPr="00B576E5">
        <w:rPr>
          <w:rtl/>
        </w:rPr>
        <w:t>עניתי מאומה, כי</w:t>
      </w:r>
      <w:r w:rsidRPr="00B576E5">
        <w:rPr>
          <w:rFonts w:hint="cs"/>
          <w:rtl/>
        </w:rPr>
        <w:t xml:space="preserve"> </w:t>
      </w:r>
      <w:r w:rsidRPr="00B576E5">
        <w:rPr>
          <w:rtl/>
        </w:rPr>
        <w:t>כמובן לא יכולתי להשיב, האם הוא מאמר ראשון</w:t>
      </w:r>
      <w:r w:rsidRPr="00B576E5">
        <w:rPr>
          <w:rFonts w:hint="cs"/>
          <w:rtl/>
        </w:rPr>
        <w:t xml:space="preserve"> </w:t>
      </w:r>
      <w:r w:rsidRPr="00B576E5">
        <w:rPr>
          <w:rtl/>
        </w:rPr>
        <w:t>במאמרי ופתגמי הבאי</w:t>
      </w:r>
      <w:r w:rsidRPr="00B576E5">
        <w:rPr>
          <w:rFonts w:hint="cs"/>
          <w:rtl/>
        </w:rPr>
        <w:t xml:space="preserve"> </w:t>
      </w:r>
      <w:r w:rsidRPr="00B576E5">
        <w:rPr>
          <w:rtl/>
        </w:rPr>
        <w:t>של המדרש והתלמוד</w:t>
      </w:r>
      <w:r w:rsidRPr="00B576E5">
        <w:rPr>
          <w:rFonts w:hint="cs"/>
          <w:rtl/>
        </w:rPr>
        <w:t>.</w:t>
      </w:r>
    </w:p>
    <w:p w14:paraId="4A3ACD68" w14:textId="77777777" w:rsidR="00BA4997" w:rsidRPr="00B576E5" w:rsidRDefault="00BA4997" w:rsidP="00423C6D">
      <w:pPr>
        <w:pStyle w:val="a2"/>
        <w:rPr>
          <w:rtl/>
        </w:rPr>
      </w:pPr>
      <w:r w:rsidRPr="00B576E5">
        <w:rPr>
          <w:rFonts w:hint="cs"/>
          <w:rtl/>
        </w:rPr>
        <w:t>"</w:t>
      </w:r>
      <w:r w:rsidRPr="00B576E5">
        <w:rPr>
          <w:rtl/>
        </w:rPr>
        <w:t>כשראה שהנני שותק, אמר: בשעה שנכנס עשיו ליצחק ויצחק</w:t>
      </w:r>
      <w:r w:rsidRPr="00B576E5">
        <w:rPr>
          <w:rFonts w:hint="cs"/>
          <w:rtl/>
        </w:rPr>
        <w:t xml:space="preserve"> </w:t>
      </w:r>
      <w:r w:rsidRPr="00B576E5">
        <w:rPr>
          <w:rtl/>
        </w:rPr>
        <w:t>שאלוהו מי אתה</w:t>
      </w:r>
      <w:r w:rsidRPr="00B576E5">
        <w:rPr>
          <w:rFonts w:hint="cs"/>
          <w:rtl/>
        </w:rPr>
        <w:t xml:space="preserve"> </w:t>
      </w:r>
      <w:r w:rsidRPr="00B576E5">
        <w:rPr>
          <w:rtl/>
        </w:rPr>
        <w:t>ועשיו ענה לאביו אני בנך בכורך עשיו, והוא שקר, כי הלא כבר מכר</w:t>
      </w:r>
      <w:r w:rsidRPr="00B576E5">
        <w:rPr>
          <w:rFonts w:hint="cs"/>
          <w:rtl/>
        </w:rPr>
        <w:t xml:space="preserve"> </w:t>
      </w:r>
      <w:r w:rsidRPr="00B576E5">
        <w:rPr>
          <w:rtl/>
        </w:rPr>
        <w:t>את</w:t>
      </w:r>
      <w:r w:rsidRPr="00B576E5">
        <w:rPr>
          <w:rFonts w:hint="cs"/>
          <w:rtl/>
        </w:rPr>
        <w:t xml:space="preserve"> </w:t>
      </w:r>
      <w:r w:rsidRPr="00B576E5">
        <w:rPr>
          <w:rtl/>
        </w:rPr>
        <w:t xml:space="preserve">הבכורה ליעקב במכירה גמורה כדין בכל תוקף ועוז, ויצחק ידע מזה </w:t>
      </w:r>
      <w:r w:rsidRPr="00B576E5">
        <w:rPr>
          <w:rFonts w:hint="cs"/>
          <w:rtl/>
        </w:rPr>
        <w:t>–</w:t>
      </w:r>
      <w:r w:rsidRPr="00B576E5">
        <w:rPr>
          <w:rtl/>
        </w:rPr>
        <w:t xml:space="preserve"> ויחרד</w:t>
      </w:r>
      <w:r w:rsidRPr="00B576E5">
        <w:rPr>
          <w:rFonts w:hint="cs"/>
          <w:rtl/>
        </w:rPr>
        <w:t xml:space="preserve"> </w:t>
      </w:r>
      <w:r w:rsidRPr="00B576E5">
        <w:rPr>
          <w:rtl/>
        </w:rPr>
        <w:t>יצחק חרדה גדולה על השקר אשר שיקר עשיו ויבטל את דיני התורה, ומזה חרד</w:t>
      </w:r>
      <w:r w:rsidRPr="00B576E5">
        <w:rPr>
          <w:rFonts w:hint="cs"/>
          <w:rtl/>
        </w:rPr>
        <w:t xml:space="preserve"> </w:t>
      </w:r>
      <w:r w:rsidRPr="00B576E5">
        <w:rPr>
          <w:rtl/>
        </w:rPr>
        <w:t>חרדה</w:t>
      </w:r>
      <w:r w:rsidRPr="00B576E5">
        <w:rPr>
          <w:rFonts w:hint="cs"/>
          <w:rtl/>
        </w:rPr>
        <w:t xml:space="preserve"> </w:t>
      </w:r>
      <w:r w:rsidRPr="00B576E5">
        <w:rPr>
          <w:rtl/>
        </w:rPr>
        <w:t>גדולה, ומכיון שהוא שקרן הרי גיהנם פתוחה לו מתחתיו</w:t>
      </w:r>
      <w:r w:rsidRPr="00B576E5">
        <w:rPr>
          <w:rFonts w:hint="cs"/>
          <w:rtl/>
        </w:rPr>
        <w:t>.</w:t>
      </w:r>
    </w:p>
    <w:p w14:paraId="4CE6F19C" w14:textId="77777777" w:rsidR="00BA4997" w:rsidRPr="00B576E5" w:rsidRDefault="00BA4997" w:rsidP="00423C6D">
      <w:pPr>
        <w:pStyle w:val="a2"/>
        <w:rPr>
          <w:rtl/>
        </w:rPr>
      </w:pPr>
      <w:r w:rsidRPr="00B576E5">
        <w:rPr>
          <w:rFonts w:hint="cs"/>
          <w:rtl/>
        </w:rPr>
        <w:t>["</w:t>
      </w:r>
      <w:r w:rsidRPr="00B576E5">
        <w:rPr>
          <w:rtl/>
        </w:rPr>
        <w:t>וכשכלה לדבר, שוב נשען</w:t>
      </w:r>
      <w:r w:rsidRPr="00B576E5">
        <w:rPr>
          <w:rFonts w:hint="cs"/>
          <w:rtl/>
        </w:rPr>
        <w:t xml:space="preserve"> </w:t>
      </w:r>
      <w:r w:rsidRPr="00B576E5">
        <w:rPr>
          <w:rtl/>
        </w:rPr>
        <w:t>על זרועותיו כבתחלה, אחר-כך הגביה את ראשו</w:t>
      </w:r>
      <w:r w:rsidRPr="00B576E5">
        <w:rPr>
          <w:rFonts w:hint="cs"/>
          <w:rtl/>
        </w:rPr>
        <w:t xml:space="preserve"> </w:t>
      </w:r>
      <w:r w:rsidRPr="00B576E5">
        <w:rPr>
          <w:rtl/>
        </w:rPr>
        <w:t>ויפקח את עיניו ויקח נר אחד משני</w:t>
      </w:r>
      <w:r w:rsidRPr="00B576E5">
        <w:rPr>
          <w:rFonts w:hint="cs"/>
          <w:rtl/>
        </w:rPr>
        <w:t xml:space="preserve"> </w:t>
      </w:r>
      <w:r w:rsidRPr="00B576E5">
        <w:rPr>
          <w:rtl/>
        </w:rPr>
        <w:t>הנרות שעמדו על השלחן - כי כן דרכו בשעה</w:t>
      </w:r>
      <w:r w:rsidRPr="00B576E5">
        <w:rPr>
          <w:rFonts w:hint="cs"/>
          <w:rtl/>
        </w:rPr>
        <w:t xml:space="preserve"> </w:t>
      </w:r>
      <w:r w:rsidRPr="00B576E5">
        <w:rPr>
          <w:rtl/>
        </w:rPr>
        <w:t>שהוא מקבל אנשים הנה אפילו ביום</w:t>
      </w:r>
      <w:r w:rsidRPr="00B576E5">
        <w:rPr>
          <w:rFonts w:hint="cs"/>
          <w:rtl/>
        </w:rPr>
        <w:t>,</w:t>
      </w:r>
      <w:r w:rsidRPr="00B576E5">
        <w:t xml:space="preserve"> </w:t>
      </w:r>
      <w:r w:rsidRPr="00B576E5">
        <w:rPr>
          <w:rtl/>
        </w:rPr>
        <w:t>דולקים שני נרות וספר 'חומש' ו'זהר' מונחים</w:t>
      </w:r>
      <w:r w:rsidRPr="00B576E5">
        <w:rPr>
          <w:rFonts w:hint="cs"/>
          <w:rtl/>
        </w:rPr>
        <w:t xml:space="preserve"> </w:t>
      </w:r>
      <w:r w:rsidRPr="00B576E5">
        <w:rPr>
          <w:rtl/>
        </w:rPr>
        <w:t>על השלחן - ויגביה את הנר ויסתכל בי</w:t>
      </w:r>
      <w:r w:rsidRPr="00B576E5">
        <w:rPr>
          <w:rFonts w:hint="cs"/>
          <w:rtl/>
        </w:rPr>
        <w:t xml:space="preserve"> </w:t>
      </w:r>
      <w:r w:rsidRPr="00B576E5">
        <w:rPr>
          <w:rtl/>
        </w:rPr>
        <w:t>ויאמר:</w:t>
      </w:r>
      <w:r w:rsidRPr="00B576E5">
        <w:rPr>
          <w:rFonts w:hint="cs"/>
          <w:rtl/>
        </w:rPr>
        <w:t xml:space="preserve"> </w:t>
      </w:r>
      <w:r w:rsidRPr="00B576E5">
        <w:rPr>
          <w:rtl/>
        </w:rPr>
        <w:t>כשאדם הוא וילנאי ואומר שהוא מזאמוט, כשהוא מעביר בנים למולך ההשכלה</w:t>
      </w:r>
      <w:r>
        <w:rPr>
          <w:rFonts w:hint="cs"/>
          <w:rtl/>
        </w:rPr>
        <w:t xml:space="preserve"> </w:t>
      </w:r>
      <w:r w:rsidRPr="00B576E5">
        <w:rPr>
          <w:rtl/>
        </w:rPr>
        <w:t>והוא אומר שהוא מלמד - הרי גיהנם פתוחה מתחתיו, כמה נפשות אבדת והנך עומד</w:t>
      </w:r>
      <w:r w:rsidRPr="00B576E5">
        <w:rPr>
          <w:rFonts w:hint="cs"/>
          <w:rtl/>
        </w:rPr>
        <w:t xml:space="preserve"> </w:t>
      </w:r>
      <w:r w:rsidRPr="00B576E5">
        <w:rPr>
          <w:rtl/>
        </w:rPr>
        <w:t>במרדך, כן הדבר נתפסת למינות וכל באיה לא ישובון</w:t>
      </w:r>
      <w:r w:rsidRPr="00B576E5">
        <w:rPr>
          <w:rFonts w:hint="cs"/>
          <w:rtl/>
        </w:rPr>
        <w:t>"]. ע"כ תמצית הסיפור.</w:t>
      </w:r>
    </w:p>
    <w:p w14:paraId="52CFDDEA" w14:textId="77777777" w:rsidR="00BA4997" w:rsidRPr="00B576E5" w:rsidRDefault="00BA4997" w:rsidP="00423C6D">
      <w:pPr>
        <w:pStyle w:val="a2"/>
        <w:rPr>
          <w:rtl/>
        </w:rPr>
      </w:pPr>
      <w:r w:rsidRPr="00B576E5">
        <w:rPr>
          <w:rtl/>
        </w:rPr>
        <w:t>זאת אומרת</w:t>
      </w:r>
      <w:r w:rsidRPr="00B576E5">
        <w:rPr>
          <w:rFonts w:hint="cs"/>
          <w:rtl/>
        </w:rPr>
        <w:t xml:space="preserve">, </w:t>
      </w:r>
      <w:r w:rsidRPr="00B576E5">
        <w:rPr>
          <w:rtl/>
        </w:rPr>
        <w:t xml:space="preserve">הסיבה שעכשיו דווקא </w:t>
      </w:r>
      <w:r w:rsidRPr="00B576E5">
        <w:rPr>
          <w:rFonts w:hint="cs"/>
          <w:rtl/>
        </w:rPr>
        <w:t>פתחה גיהנם מתחתיו,</w:t>
      </w:r>
      <w:r w:rsidRPr="00B576E5">
        <w:rPr>
          <w:rtl/>
        </w:rPr>
        <w:t xml:space="preserve"> </w:t>
      </w:r>
      <w:r w:rsidRPr="00B576E5">
        <w:rPr>
          <w:rFonts w:hint="cs"/>
          <w:rtl/>
        </w:rPr>
        <w:t>הי' מפני שענה,</w:t>
      </w:r>
      <w:r w:rsidRPr="00B576E5">
        <w:rPr>
          <w:rtl/>
        </w:rPr>
        <w:t xml:space="preserve"> "אני בנך בכורך עש</w:t>
      </w:r>
      <w:r w:rsidRPr="00B576E5">
        <w:rPr>
          <w:rFonts w:hint="cs"/>
          <w:rtl/>
        </w:rPr>
        <w:t>י</w:t>
      </w:r>
      <w:r w:rsidRPr="00B576E5">
        <w:rPr>
          <w:rtl/>
        </w:rPr>
        <w:t>ו" שהוא שקר כיון שבאמת</w:t>
      </w:r>
      <w:r w:rsidRPr="00B576E5">
        <w:rPr>
          <w:rFonts w:hint="cs"/>
          <w:rtl/>
        </w:rPr>
        <w:t xml:space="preserve"> כבר</w:t>
      </w:r>
      <w:r w:rsidRPr="00B576E5">
        <w:rPr>
          <w:rtl/>
        </w:rPr>
        <w:t xml:space="preserve"> מכר בכורתו ליעקב.</w:t>
      </w:r>
    </w:p>
    <w:p w14:paraId="0B813799" w14:textId="77777777" w:rsidR="00BA4997" w:rsidRPr="00B576E5" w:rsidRDefault="00BA4997" w:rsidP="00423C6D">
      <w:pPr>
        <w:pStyle w:val="a2"/>
        <w:rPr>
          <w:rtl/>
        </w:rPr>
      </w:pPr>
      <w:r w:rsidRPr="00B576E5">
        <w:rPr>
          <w:rFonts w:hint="cs"/>
          <w:rtl/>
        </w:rPr>
        <w:t xml:space="preserve">ולכאור' צ"ב, דהא עפ"ז הו"ל לגיהנם ליפתח מתחתיו עוד לפנ"ז. </w:t>
      </w:r>
    </w:p>
    <w:p w14:paraId="773E9709" w14:textId="0AEFF8A8" w:rsidR="00BA4997" w:rsidRPr="00B576E5" w:rsidRDefault="00BA4997" w:rsidP="00423C6D">
      <w:pPr>
        <w:pStyle w:val="a2"/>
        <w:rPr>
          <w:rtl/>
        </w:rPr>
      </w:pPr>
      <w:r w:rsidRPr="00B576E5">
        <w:rPr>
          <w:rFonts w:hint="cs"/>
          <w:rtl/>
        </w:rPr>
        <w:t xml:space="preserve">דהא עפ"ז, שכל סיבת פתיחת גיהנם הוא השקר שעשיו הוא הבכור, מענת יעקב אבינו אל יצחק אביו </w:t>
      </w:r>
      <w:r w:rsidRPr="00B576E5">
        <w:rPr>
          <w:rtl/>
        </w:rPr>
        <w:t>"אנכי עשיו בכורך"</w:t>
      </w:r>
      <w:r w:rsidRPr="00B576E5">
        <w:rPr>
          <w:rFonts w:hint="cs"/>
          <w:rtl/>
        </w:rPr>
        <w:t xml:space="preserve"> [שפי' הוא כדפירש"י, </w:t>
      </w:r>
      <w:r w:rsidRPr="00B576E5">
        <w:rPr>
          <w:rtl/>
        </w:rPr>
        <w:t>"אנכי מי שאנכי, ועשיו הוא בכורך"</w:t>
      </w:r>
      <w:r w:rsidRPr="00B576E5">
        <w:rPr>
          <w:rFonts w:hint="cs"/>
          <w:rtl/>
        </w:rPr>
        <w:t xml:space="preserve">] הוא ג"כ שקר וכזב. עשיו לא היתה בכורו של יצחק באותו זמן! וא"כ היתכן שיעקב (שהלך עד קצה האחרון לדבר רק דברים אמיתיים, וכמ"ש "תתן אמת ליעקב"), ידבר דברי שקר כאלו ש"עשיו הוא בכורך" – שע"פ פירושו של כ"ק </w:t>
      </w:r>
      <w:r w:rsidRPr="00B576E5">
        <w:rPr>
          <w:rFonts w:hint="cs"/>
          <w:rtl/>
        </w:rPr>
        <w:lastRenderedPageBreak/>
        <w:t>אדמו"ר הזקן הוא גורם שיצחק י</w:t>
      </w:r>
      <w:r w:rsidRPr="00B576E5">
        <w:rPr>
          <w:rtl/>
        </w:rPr>
        <w:t>חרד</w:t>
      </w:r>
      <w:r w:rsidRPr="00B576E5">
        <w:rPr>
          <w:rFonts w:hint="cs"/>
          <w:rtl/>
        </w:rPr>
        <w:t xml:space="preserve"> </w:t>
      </w:r>
      <w:r w:rsidRPr="00B576E5">
        <w:rPr>
          <w:rtl/>
        </w:rPr>
        <w:t>חרדה</w:t>
      </w:r>
      <w:r w:rsidRPr="00B576E5">
        <w:rPr>
          <w:rFonts w:hint="cs"/>
          <w:rtl/>
        </w:rPr>
        <w:t xml:space="preserve"> </w:t>
      </w:r>
      <w:r w:rsidRPr="00B576E5">
        <w:rPr>
          <w:rtl/>
        </w:rPr>
        <w:t>גדולה, מכיון שהוא שקרן הרי גיהנם פתוחה לו מתחתיו</w:t>
      </w:r>
      <w:r w:rsidRPr="00B576E5">
        <w:rPr>
          <w:rFonts w:hint="cs"/>
          <w:rtl/>
        </w:rPr>
        <w:t>"</w:t>
      </w:r>
      <w:r w:rsidRPr="00B576E5">
        <w:rPr>
          <w:vertAlign w:val="superscript"/>
          <w:rtl/>
        </w:rPr>
        <w:footnoteReference w:id="149"/>
      </w:r>
      <w:r w:rsidRPr="00B576E5">
        <w:rPr>
          <w:rFonts w:hint="cs"/>
          <w:rtl/>
        </w:rPr>
        <w:t xml:space="preserve">? </w:t>
      </w:r>
    </w:p>
    <w:p w14:paraId="373525C9" w14:textId="77777777" w:rsidR="00BA4997" w:rsidRPr="00B576E5" w:rsidRDefault="00BA4997" w:rsidP="00423C6D">
      <w:pPr>
        <w:pStyle w:val="a2"/>
        <w:rPr>
          <w:rtl/>
        </w:rPr>
      </w:pPr>
      <w:r w:rsidRPr="00B576E5">
        <w:rPr>
          <w:rtl/>
        </w:rPr>
        <w:t xml:space="preserve">ולכאורה הי' אפשר לתרץ </w:t>
      </w:r>
      <w:r w:rsidRPr="00B576E5">
        <w:rPr>
          <w:rFonts w:hint="cs"/>
          <w:rtl/>
        </w:rPr>
        <w:t>ש</w:t>
      </w:r>
      <w:r w:rsidRPr="00B576E5">
        <w:rPr>
          <w:rtl/>
        </w:rPr>
        <w:t>הדיוק</w:t>
      </w:r>
      <w:r w:rsidRPr="00B576E5">
        <w:rPr>
          <w:rFonts w:hint="cs"/>
          <w:rtl/>
        </w:rPr>
        <w:t xml:space="preserve"> הוא</w:t>
      </w:r>
      <w:r w:rsidRPr="00B576E5">
        <w:rPr>
          <w:rtl/>
        </w:rPr>
        <w:t xml:space="preserve"> "עשיו בכור</w:t>
      </w:r>
      <w:r w:rsidRPr="00B576E5">
        <w:rPr>
          <w:b/>
          <w:bCs/>
          <w:rtl/>
        </w:rPr>
        <w:t>ך</w:t>
      </w:r>
      <w:r w:rsidRPr="00B576E5">
        <w:rPr>
          <w:rtl/>
        </w:rPr>
        <w:t>"</w:t>
      </w:r>
      <w:r w:rsidRPr="00B576E5">
        <w:rPr>
          <w:rFonts w:hint="cs"/>
          <w:rtl/>
        </w:rPr>
        <w:t xml:space="preserve"> - </w:t>
      </w:r>
      <w:r w:rsidRPr="00B576E5">
        <w:rPr>
          <w:rtl/>
        </w:rPr>
        <w:t>היינו שמצד ידיעתו של יצחק</w:t>
      </w:r>
      <w:r w:rsidRPr="00B576E5">
        <w:rPr>
          <w:rFonts w:hint="cs"/>
          <w:rtl/>
        </w:rPr>
        <w:t>,</w:t>
      </w:r>
      <w:r w:rsidRPr="00B576E5">
        <w:rPr>
          <w:rtl/>
        </w:rPr>
        <w:t xml:space="preserve"> הרי עדיין הי' עשיו הבכור</w:t>
      </w:r>
      <w:r w:rsidRPr="00B576E5">
        <w:rPr>
          <w:rFonts w:hint="cs"/>
          <w:rtl/>
        </w:rPr>
        <w:t>,</w:t>
      </w:r>
      <w:r w:rsidRPr="00B576E5">
        <w:rPr>
          <w:rtl/>
        </w:rPr>
        <w:t xml:space="preserve"> וא"כ </w:t>
      </w:r>
      <w:r w:rsidRPr="00B576E5">
        <w:rPr>
          <w:rFonts w:hint="cs"/>
          <w:rtl/>
        </w:rPr>
        <w:t>מה שאמר יעקב</w:t>
      </w:r>
      <w:r w:rsidRPr="00B576E5">
        <w:rPr>
          <w:rtl/>
        </w:rPr>
        <w:t xml:space="preserve"> הוא</w:t>
      </w:r>
      <w:r w:rsidRPr="00B576E5">
        <w:rPr>
          <w:rFonts w:hint="cs"/>
          <w:rtl/>
        </w:rPr>
        <w:t>,</w:t>
      </w:r>
      <w:r w:rsidRPr="00B576E5">
        <w:rPr>
          <w:rtl/>
        </w:rPr>
        <w:t xml:space="preserve"> שהוא בכורך</w:t>
      </w:r>
      <w:r w:rsidRPr="00B576E5">
        <w:rPr>
          <w:rFonts w:hint="cs"/>
          <w:rtl/>
        </w:rPr>
        <w:t xml:space="preserve"> - </w:t>
      </w:r>
      <w:r w:rsidRPr="00B576E5">
        <w:rPr>
          <w:rtl/>
        </w:rPr>
        <w:t>הבכור שלך</w:t>
      </w:r>
      <w:r w:rsidRPr="00B576E5">
        <w:rPr>
          <w:rFonts w:hint="cs"/>
          <w:rtl/>
        </w:rPr>
        <w:t xml:space="preserve"> – (</w:t>
      </w:r>
      <w:r w:rsidRPr="00B576E5">
        <w:rPr>
          <w:rtl/>
        </w:rPr>
        <w:t>ול</w:t>
      </w:r>
      <w:r w:rsidRPr="00B576E5">
        <w:rPr>
          <w:rFonts w:hint="cs"/>
          <w:rtl/>
        </w:rPr>
        <w:t>"ד</w:t>
      </w:r>
      <w:r w:rsidRPr="00B576E5">
        <w:rPr>
          <w:rtl/>
        </w:rPr>
        <w:t xml:space="preserve"> הבכור האמיתי</w:t>
      </w:r>
      <w:r w:rsidRPr="00B576E5">
        <w:rPr>
          <w:rFonts w:hint="cs"/>
          <w:rtl/>
        </w:rPr>
        <w:t>).</w:t>
      </w:r>
    </w:p>
    <w:p w14:paraId="0CF7710E" w14:textId="77777777" w:rsidR="00BA4997" w:rsidRPr="00B576E5" w:rsidRDefault="00BA4997" w:rsidP="00423C6D">
      <w:pPr>
        <w:pStyle w:val="a2"/>
        <w:rPr>
          <w:rtl/>
        </w:rPr>
      </w:pPr>
      <w:r w:rsidRPr="00B576E5">
        <w:rPr>
          <w:rtl/>
        </w:rPr>
        <w:t xml:space="preserve">אבל </w:t>
      </w:r>
      <w:r w:rsidRPr="00B576E5">
        <w:rPr>
          <w:rFonts w:hint="cs"/>
          <w:rtl/>
        </w:rPr>
        <w:t xml:space="preserve">אין לומר כן, שהרי </w:t>
      </w:r>
      <w:r w:rsidRPr="00B576E5">
        <w:rPr>
          <w:rtl/>
        </w:rPr>
        <w:t>גם עשיו ענה "אני בנך בכור</w:t>
      </w:r>
      <w:r w:rsidRPr="00B576E5">
        <w:rPr>
          <w:b/>
          <w:bCs/>
          <w:rtl/>
        </w:rPr>
        <w:t>ך</w:t>
      </w:r>
      <w:r w:rsidRPr="00B576E5">
        <w:rPr>
          <w:rtl/>
        </w:rPr>
        <w:t xml:space="preserve"> עשיו"</w:t>
      </w:r>
      <w:r w:rsidRPr="00B576E5">
        <w:rPr>
          <w:rFonts w:hint="cs"/>
          <w:rtl/>
        </w:rPr>
        <w:t xml:space="preserve"> - ויש לומר אותו דיוק בדבריו, שכוונתו הי' שלפי ידיעת יצחק עשיו הוא הבכור כו'.</w:t>
      </w:r>
    </w:p>
    <w:p w14:paraId="0BB8E22F" w14:textId="77777777" w:rsidR="00BA4997" w:rsidRPr="00B576E5" w:rsidRDefault="00BA4997" w:rsidP="00423C6D">
      <w:pPr>
        <w:pStyle w:val="a2"/>
        <w:rPr>
          <w:rtl/>
        </w:rPr>
      </w:pPr>
      <w:r w:rsidRPr="00B576E5">
        <w:rPr>
          <w:rtl/>
        </w:rPr>
        <w:t>ואולי י"ל שפי</w:t>
      </w:r>
      <w:r w:rsidRPr="00B576E5">
        <w:rPr>
          <w:rFonts w:hint="cs"/>
          <w:rtl/>
        </w:rPr>
        <w:t>רוש של</w:t>
      </w:r>
      <w:r w:rsidRPr="00B576E5">
        <w:rPr>
          <w:rtl/>
        </w:rPr>
        <w:t xml:space="preserve"> אדמו</w:t>
      </w:r>
      <w:r w:rsidRPr="00B576E5">
        <w:rPr>
          <w:rFonts w:hint="cs"/>
          <w:rtl/>
        </w:rPr>
        <w:t>"</w:t>
      </w:r>
      <w:r w:rsidRPr="00B576E5">
        <w:rPr>
          <w:rtl/>
        </w:rPr>
        <w:t>ר הזקן</w:t>
      </w:r>
      <w:r w:rsidRPr="00B576E5">
        <w:rPr>
          <w:rFonts w:hint="cs"/>
          <w:rtl/>
        </w:rPr>
        <w:t>,</w:t>
      </w:r>
      <w:r w:rsidRPr="00B576E5">
        <w:rPr>
          <w:rtl/>
        </w:rPr>
        <w:t xml:space="preserve"> אינו הולך לפי פירוש רש"י הנ"ל על "אנכי עשיו בכורך"</w:t>
      </w:r>
      <w:r w:rsidRPr="00B576E5">
        <w:rPr>
          <w:rFonts w:hint="cs"/>
          <w:rtl/>
        </w:rPr>
        <w:t>,</w:t>
      </w:r>
      <w:r w:rsidRPr="00B576E5">
        <w:rPr>
          <w:rtl/>
        </w:rPr>
        <w:t xml:space="preserve"> </w:t>
      </w:r>
      <w:r w:rsidRPr="00B576E5">
        <w:rPr>
          <w:rFonts w:hint="cs"/>
          <w:rtl/>
        </w:rPr>
        <w:t>(</w:t>
      </w:r>
      <w:r w:rsidRPr="00B576E5">
        <w:rPr>
          <w:rtl/>
        </w:rPr>
        <w:t>שמרש"י משמע שאכן אמר יעקב שעשיו הוא הבכור</w:t>
      </w:r>
      <w:r w:rsidRPr="00B576E5">
        <w:rPr>
          <w:rFonts w:hint="cs"/>
          <w:rtl/>
        </w:rPr>
        <w:t>)</w:t>
      </w:r>
      <w:r w:rsidRPr="00B576E5">
        <w:rPr>
          <w:rtl/>
        </w:rPr>
        <w:t>, אלא על פי מה שכתב האור החיים</w:t>
      </w:r>
      <w:r w:rsidRPr="00B576E5">
        <w:rPr>
          <w:rFonts w:hint="cs"/>
          <w:rtl/>
        </w:rPr>
        <w:t xml:space="preserve">: </w:t>
      </w:r>
      <w:r w:rsidRPr="00B576E5">
        <w:rPr>
          <w:rtl/>
        </w:rPr>
        <w:t>"פירוש להיות שקנה הבכורה מעשו הנה הוא נעשה עשו לצד בחינת הבכורה</w:t>
      </w:r>
      <w:r w:rsidRPr="00B576E5">
        <w:rPr>
          <w:rFonts w:hint="cs"/>
          <w:rtl/>
        </w:rPr>
        <w:t>,</w:t>
      </w:r>
      <w:r w:rsidRPr="00B576E5">
        <w:rPr>
          <w:rtl/>
        </w:rPr>
        <w:t xml:space="preserve"> כי לא יקרא עשו בכורו ואומרו עשיתי כאשר דיברת אלי</w:t>
      </w:r>
      <w:r w:rsidRPr="00B576E5">
        <w:rPr>
          <w:rFonts w:hint="cs"/>
          <w:rtl/>
        </w:rPr>
        <w:t>,</w:t>
      </w:r>
      <w:r w:rsidRPr="00B576E5">
        <w:rPr>
          <w:rtl/>
        </w:rPr>
        <w:t xml:space="preserve"> פירוש כי טעם שציוה לעשו הוא כי הוא בנו הבכור וכיון שנטל הבכורה כאילו בא הדיבור אליו".</w:t>
      </w:r>
    </w:p>
    <w:p w14:paraId="4EC9CC1C" w14:textId="77777777" w:rsidR="00BA4997" w:rsidRPr="00B576E5" w:rsidRDefault="00BA4997" w:rsidP="00423C6D">
      <w:pPr>
        <w:pStyle w:val="a2"/>
        <w:rPr>
          <w:rtl/>
        </w:rPr>
      </w:pPr>
      <w:r w:rsidRPr="00B576E5">
        <w:rPr>
          <w:rtl/>
        </w:rPr>
        <w:t xml:space="preserve">וכעין זה כתב </w:t>
      </w:r>
      <w:r w:rsidRPr="00B576E5">
        <w:rPr>
          <w:rFonts w:hint="cs"/>
          <w:rtl/>
        </w:rPr>
        <w:t>ה</w:t>
      </w:r>
      <w:r w:rsidRPr="00B576E5">
        <w:rPr>
          <w:rtl/>
        </w:rPr>
        <w:t>כלי יקר</w:t>
      </w:r>
      <w:r w:rsidRPr="00B576E5">
        <w:rPr>
          <w:rFonts w:hint="cs"/>
          <w:rtl/>
        </w:rPr>
        <w:t xml:space="preserve"> בפי' על הפסוק (ל"ו)</w:t>
      </w:r>
      <w:r w:rsidRPr="00B576E5">
        <w:rPr>
          <w:rtl/>
        </w:rPr>
        <w:t xml:space="preserve"> את בכורתי לקח</w:t>
      </w:r>
      <w:r w:rsidRPr="00B576E5">
        <w:rPr>
          <w:rFonts w:hint="cs"/>
          <w:rtl/>
        </w:rPr>
        <w:t>:</w:t>
      </w:r>
      <w:r w:rsidRPr="00B576E5">
        <w:rPr>
          <w:rtl/>
        </w:rPr>
        <w:t xml:space="preserve"> "כי כששאלו יצחק מי אתה והשיב לו אנכי עשו בכורך ואיך הוציא דבר שקר מפיו</w:t>
      </w:r>
      <w:r w:rsidRPr="00B576E5">
        <w:rPr>
          <w:rFonts w:hint="cs"/>
          <w:rtl/>
        </w:rPr>
        <w:t>,</w:t>
      </w:r>
      <w:r w:rsidRPr="00B576E5">
        <w:rPr>
          <w:rtl/>
        </w:rPr>
        <w:t xml:space="preserve"> הלא שארית ישראל לא ידברו כזב</w:t>
      </w:r>
      <w:r w:rsidRPr="00B576E5">
        <w:rPr>
          <w:rFonts w:hint="cs"/>
          <w:rtl/>
        </w:rPr>
        <w:t>,</w:t>
      </w:r>
      <w:r w:rsidRPr="00B576E5">
        <w:rPr>
          <w:rtl/>
        </w:rPr>
        <w:t xml:space="preserve"> אלא ודאי שאמר לו אנכי במקום עשו בכורך שהרי קניתי ממנו הבכורה וא"כ אנכי במקומו ואילו לא קנה הבכורה לא היה יכול להשיב אנכי עשו בכורך".</w:t>
      </w:r>
    </w:p>
    <w:p w14:paraId="2EA8405D" w14:textId="77777777" w:rsidR="00BA4997" w:rsidRPr="00B576E5" w:rsidRDefault="00BA4997" w:rsidP="00423C6D">
      <w:pPr>
        <w:pStyle w:val="a2"/>
        <w:rPr>
          <w:rtl/>
        </w:rPr>
      </w:pPr>
      <w:r w:rsidRPr="00B576E5">
        <w:rPr>
          <w:rFonts w:hint="cs"/>
          <w:rtl/>
        </w:rPr>
        <w:t>ועפ"ז,</w:t>
      </w:r>
      <w:r w:rsidRPr="00B576E5">
        <w:rPr>
          <w:rtl/>
        </w:rPr>
        <w:t xml:space="preserve"> הכוונה ב"אנכי עשיו בכורך" </w:t>
      </w:r>
      <w:r w:rsidRPr="00B576E5">
        <w:rPr>
          <w:rFonts w:hint="cs"/>
          <w:rtl/>
        </w:rPr>
        <w:t>אינו כד</w:t>
      </w:r>
      <w:r w:rsidRPr="00B576E5">
        <w:rPr>
          <w:rtl/>
        </w:rPr>
        <w:t>פרש"י</w:t>
      </w:r>
      <w:r w:rsidRPr="00B576E5">
        <w:rPr>
          <w:rFonts w:hint="cs"/>
          <w:rtl/>
        </w:rPr>
        <w:t>,</w:t>
      </w:r>
      <w:r w:rsidRPr="00B576E5">
        <w:rPr>
          <w:rtl/>
        </w:rPr>
        <w:t xml:space="preserve"> אלא שיעקב אמר על עצמו שהוא עשו הבכור </w:t>
      </w:r>
      <w:r>
        <w:rPr>
          <w:rFonts w:hint="cs"/>
          <w:rtl/>
        </w:rPr>
        <w:t xml:space="preserve">- </w:t>
      </w:r>
      <w:r w:rsidRPr="00B576E5">
        <w:rPr>
          <w:rtl/>
        </w:rPr>
        <w:t>שנקרא על שם עשו הבכור</w:t>
      </w:r>
      <w:r w:rsidRPr="00B576E5">
        <w:rPr>
          <w:rFonts w:hint="cs"/>
          <w:rtl/>
        </w:rPr>
        <w:t>,</w:t>
      </w:r>
      <w:r w:rsidRPr="00B576E5">
        <w:rPr>
          <w:rtl/>
        </w:rPr>
        <w:t xml:space="preserve"> כיון שקנה הבכורה</w:t>
      </w:r>
      <w:r w:rsidRPr="00B576E5">
        <w:rPr>
          <w:rFonts w:hint="cs"/>
          <w:rtl/>
        </w:rPr>
        <w:t xml:space="preserve"> מעשיו,</w:t>
      </w:r>
      <w:r w:rsidRPr="00B576E5">
        <w:rPr>
          <w:rtl/>
        </w:rPr>
        <w:t xml:space="preserve"> ולכן כל זכות שמגיע להבכור הוא בעצם אמור להגיע אליו ולכן נקרא בשם עשיו הבכור.</w:t>
      </w:r>
    </w:p>
    <w:p w14:paraId="07BA02BC" w14:textId="77777777" w:rsidR="00BA4997" w:rsidRPr="00B576E5" w:rsidRDefault="00BA4997" w:rsidP="00423C6D">
      <w:pPr>
        <w:pStyle w:val="a2"/>
        <w:rPr>
          <w:rtl/>
        </w:rPr>
      </w:pPr>
      <w:r w:rsidRPr="00B576E5">
        <w:rPr>
          <w:rtl/>
        </w:rPr>
        <w:t xml:space="preserve"> וכיון שמצ</w:t>
      </w:r>
      <w:r w:rsidRPr="00B576E5">
        <w:rPr>
          <w:rFonts w:hint="cs"/>
          <w:rtl/>
        </w:rPr>
        <w:t>ד יצחק</w:t>
      </w:r>
      <w:r w:rsidRPr="00B576E5">
        <w:rPr>
          <w:rtl/>
        </w:rPr>
        <w:t xml:space="preserve"> עדיין עשו הבכור</w:t>
      </w:r>
      <w:r w:rsidRPr="00B576E5">
        <w:rPr>
          <w:rFonts w:hint="cs"/>
          <w:rtl/>
        </w:rPr>
        <w:t>,</w:t>
      </w:r>
      <w:r w:rsidRPr="00B576E5">
        <w:rPr>
          <w:rtl/>
        </w:rPr>
        <w:t xml:space="preserve"> שהרי בפשטות לא </w:t>
      </w:r>
      <w:r w:rsidRPr="00B576E5">
        <w:rPr>
          <w:rFonts w:hint="cs"/>
          <w:rtl/>
        </w:rPr>
        <w:t xml:space="preserve">ידע יצחק ע"ע </w:t>
      </w:r>
      <w:r w:rsidRPr="00B576E5">
        <w:rPr>
          <w:rtl/>
        </w:rPr>
        <w:t>שיעקב קנה הבכורה</w:t>
      </w:r>
      <w:r w:rsidRPr="00B576E5">
        <w:rPr>
          <w:rFonts w:hint="cs"/>
          <w:rtl/>
        </w:rPr>
        <w:t>,</w:t>
      </w:r>
      <w:r w:rsidRPr="00B576E5">
        <w:rPr>
          <w:rtl/>
        </w:rPr>
        <w:t xml:space="preserve"> ועל כן אנכי עשו בכורך</w:t>
      </w:r>
      <w:r w:rsidRPr="00B576E5">
        <w:rPr>
          <w:rFonts w:hint="cs"/>
          <w:rtl/>
        </w:rPr>
        <w:t>,</w:t>
      </w:r>
      <w:r w:rsidRPr="00B576E5">
        <w:rPr>
          <w:rtl/>
        </w:rPr>
        <w:t xml:space="preserve"> דהיינו אני הוא במקום זה שאתה סבור שהוא בכורך דהיינו עשו.</w:t>
      </w:r>
    </w:p>
    <w:p w14:paraId="06079CB3" w14:textId="77777777" w:rsidR="00BA4997" w:rsidRPr="00B576E5" w:rsidRDefault="00BA4997" w:rsidP="00423C6D">
      <w:pPr>
        <w:pStyle w:val="a2"/>
        <w:rPr>
          <w:rtl/>
        </w:rPr>
      </w:pPr>
      <w:r w:rsidRPr="00B576E5">
        <w:rPr>
          <w:rtl/>
        </w:rPr>
        <w:t xml:space="preserve"> וא"כ אין כוונתו לדבר אודות עשו אלא אודות עצמו</w:t>
      </w:r>
      <w:r w:rsidRPr="00B576E5">
        <w:rPr>
          <w:rFonts w:hint="cs"/>
          <w:rtl/>
        </w:rPr>
        <w:t>,</w:t>
      </w:r>
      <w:r w:rsidRPr="00B576E5">
        <w:rPr>
          <w:rtl/>
        </w:rPr>
        <w:t xml:space="preserve"> וקר</w:t>
      </w:r>
      <w:r w:rsidRPr="00B576E5">
        <w:rPr>
          <w:rFonts w:hint="cs"/>
          <w:rtl/>
        </w:rPr>
        <w:t>א</w:t>
      </w:r>
      <w:r w:rsidRPr="00B576E5">
        <w:rPr>
          <w:rtl/>
        </w:rPr>
        <w:t xml:space="preserve"> לעצמו בשם עשו </w:t>
      </w:r>
      <w:r w:rsidRPr="00B576E5">
        <w:rPr>
          <w:rtl/>
        </w:rPr>
        <w:lastRenderedPageBreak/>
        <w:t>הבכור ע"ש שקנה הבכורה ממנו.</w:t>
      </w:r>
    </w:p>
    <w:p w14:paraId="6D132D8E" w14:textId="77777777" w:rsidR="00BA4997" w:rsidRPr="00B576E5" w:rsidRDefault="00BA4997" w:rsidP="00423C6D">
      <w:pPr>
        <w:pStyle w:val="a2"/>
        <w:rPr>
          <w:rtl/>
        </w:rPr>
      </w:pPr>
      <w:r w:rsidRPr="00B576E5">
        <w:rPr>
          <w:rtl/>
        </w:rPr>
        <w:t xml:space="preserve">אבל כל זה הוא </w:t>
      </w:r>
      <w:r w:rsidRPr="00B576E5">
        <w:rPr>
          <w:rFonts w:hint="cs"/>
          <w:rtl/>
        </w:rPr>
        <w:t xml:space="preserve">רק </w:t>
      </w:r>
      <w:r w:rsidRPr="00B576E5">
        <w:rPr>
          <w:rtl/>
        </w:rPr>
        <w:t>בנוגע ליעקב</w:t>
      </w:r>
      <w:r w:rsidRPr="00B576E5">
        <w:rPr>
          <w:rFonts w:hint="cs"/>
          <w:rtl/>
        </w:rPr>
        <w:t>,</w:t>
      </w:r>
      <w:r w:rsidRPr="00B576E5">
        <w:rPr>
          <w:rtl/>
        </w:rPr>
        <w:t xml:space="preserve"> משא"כ עשיו</w:t>
      </w:r>
      <w:r w:rsidRPr="00B576E5">
        <w:rPr>
          <w:rFonts w:hint="cs"/>
          <w:rtl/>
        </w:rPr>
        <w:t xml:space="preserve"> כ</w:t>
      </w:r>
      <w:r w:rsidRPr="00B576E5">
        <w:rPr>
          <w:rtl/>
        </w:rPr>
        <w:t>שאומר על עצמו שהוא הבכור הרי אי</w:t>
      </w:r>
      <w:r w:rsidRPr="00B576E5">
        <w:rPr>
          <w:rFonts w:hint="cs"/>
          <w:rtl/>
        </w:rPr>
        <w:t>"ז</w:t>
      </w:r>
      <w:r w:rsidRPr="00B576E5">
        <w:rPr>
          <w:rtl/>
        </w:rPr>
        <w:t xml:space="preserve"> נכון </w:t>
      </w:r>
      <w:r w:rsidRPr="00B576E5">
        <w:rPr>
          <w:rFonts w:hint="cs"/>
          <w:rtl/>
        </w:rPr>
        <w:t>ב</w:t>
      </w:r>
      <w:r w:rsidRPr="00B576E5">
        <w:rPr>
          <w:rtl/>
        </w:rPr>
        <w:t xml:space="preserve">שום </w:t>
      </w:r>
      <w:r w:rsidRPr="00B576E5">
        <w:rPr>
          <w:rFonts w:hint="cs"/>
          <w:rtl/>
        </w:rPr>
        <w:t>אופן</w:t>
      </w:r>
      <w:r w:rsidRPr="00B576E5">
        <w:rPr>
          <w:rtl/>
        </w:rPr>
        <w:t xml:space="preserve">, שהרי מכר הבכורה ליעקב כדת וכדין, וגם אין לומר </w:t>
      </w:r>
      <w:r w:rsidRPr="00B576E5">
        <w:rPr>
          <w:rFonts w:hint="cs"/>
          <w:rtl/>
        </w:rPr>
        <w:t xml:space="preserve">שהוא מדבר לפי דעתו של </w:t>
      </w:r>
      <w:r w:rsidRPr="00B576E5">
        <w:rPr>
          <w:rtl/>
        </w:rPr>
        <w:t>יצחק</w:t>
      </w:r>
      <w:r w:rsidRPr="00B576E5">
        <w:rPr>
          <w:rFonts w:hint="cs"/>
          <w:rtl/>
        </w:rPr>
        <w:t>,</w:t>
      </w:r>
      <w:r w:rsidRPr="00B576E5">
        <w:rPr>
          <w:rtl/>
        </w:rPr>
        <w:t xml:space="preserve"> של</w:t>
      </w:r>
      <w:r>
        <w:rPr>
          <w:rFonts w:hint="cs"/>
          <w:rtl/>
        </w:rPr>
        <w:t>ידיעתו נשאר</w:t>
      </w:r>
      <w:r w:rsidRPr="00B576E5">
        <w:rPr>
          <w:rFonts w:hint="cs"/>
          <w:rtl/>
        </w:rPr>
        <w:t xml:space="preserve"> עשיו כ</w:t>
      </w:r>
      <w:r w:rsidRPr="00B576E5">
        <w:rPr>
          <w:rtl/>
        </w:rPr>
        <w:t>בכור</w:t>
      </w:r>
      <w:r>
        <w:rPr>
          <w:rFonts w:hint="cs"/>
          <w:rtl/>
        </w:rPr>
        <w:t>;</w:t>
      </w:r>
      <w:r w:rsidRPr="00B576E5">
        <w:rPr>
          <w:rtl/>
        </w:rPr>
        <w:t xml:space="preserve"> שהרי ברור </w:t>
      </w:r>
      <w:r w:rsidRPr="00B576E5">
        <w:rPr>
          <w:rFonts w:hint="cs"/>
          <w:rtl/>
        </w:rPr>
        <w:t>ש</w:t>
      </w:r>
      <w:r w:rsidRPr="00B576E5">
        <w:rPr>
          <w:rtl/>
        </w:rPr>
        <w:t xml:space="preserve">כוונתו </w:t>
      </w:r>
      <w:r w:rsidRPr="00B576E5">
        <w:rPr>
          <w:rFonts w:hint="cs"/>
          <w:rtl/>
        </w:rPr>
        <w:t xml:space="preserve">הוא </w:t>
      </w:r>
      <w:r w:rsidRPr="00B576E5">
        <w:rPr>
          <w:rtl/>
        </w:rPr>
        <w:t>להוכיח ליצחק שמגיע לו הברכות</w:t>
      </w:r>
      <w:r w:rsidRPr="00B576E5">
        <w:rPr>
          <w:rFonts w:hint="cs"/>
          <w:rtl/>
        </w:rPr>
        <w:t>,</w:t>
      </w:r>
      <w:r w:rsidRPr="00B576E5">
        <w:rPr>
          <w:rtl/>
        </w:rPr>
        <w:t xml:space="preserve"> וא"כ בא לומר שהוא הבכור</w:t>
      </w:r>
      <w:r w:rsidRPr="00B576E5">
        <w:rPr>
          <w:rFonts w:hint="cs"/>
          <w:rtl/>
        </w:rPr>
        <w:t xml:space="preserve"> (באמת) - </w:t>
      </w:r>
      <w:r w:rsidRPr="00B576E5">
        <w:rPr>
          <w:rtl/>
        </w:rPr>
        <w:t>והרי זה שקר וכזב ולכן הנה גיהנם פתוחה מתחתיו.</w:t>
      </w:r>
    </w:p>
    <w:p w14:paraId="24D39E27" w14:textId="13C79913" w:rsidR="00BA4997" w:rsidRDefault="00BA4997" w:rsidP="00423C6D">
      <w:pPr>
        <w:pStyle w:val="a2"/>
        <w:rPr>
          <w:rtl/>
        </w:rPr>
      </w:pPr>
      <w:r w:rsidRPr="00B576E5">
        <w:rPr>
          <w:rtl/>
        </w:rPr>
        <w:t xml:space="preserve"> </w:t>
      </w:r>
      <w:r w:rsidRPr="00B576E5">
        <w:rPr>
          <w:rFonts w:hint="cs"/>
          <w:rtl/>
        </w:rPr>
        <w:t xml:space="preserve">אבל באמת </w:t>
      </w:r>
      <w:r w:rsidRPr="00B576E5">
        <w:rPr>
          <w:rtl/>
        </w:rPr>
        <w:t>עדיין צ"ע להתאימו עם פשוטו של מקרא.</w:t>
      </w:r>
    </w:p>
    <w:p w14:paraId="35C3E182" w14:textId="77777777" w:rsidR="00E260A1" w:rsidRPr="00347933" w:rsidRDefault="00E260A1" w:rsidP="00E260A1">
      <w:pPr>
        <w:pStyle w:val="a4"/>
        <w:spacing w:after="0"/>
        <w:sectPr w:rsidR="00E260A1"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FA74E28" w14:textId="02ADACC8" w:rsidR="00E260A1" w:rsidRDefault="00E260A1" w:rsidP="00E260A1">
      <w:pPr>
        <w:pStyle w:val="a"/>
        <w:rPr>
          <w:rFonts w:eastAsia="David"/>
          <w:rtl/>
        </w:rPr>
      </w:pPr>
      <w:bookmarkStart w:id="204" w:name="_Toc531140439"/>
      <w:r>
        <w:rPr>
          <w:rFonts w:eastAsia="David" w:hint="cs"/>
          <w:rtl/>
        </w:rPr>
        <w:t>אהבת התורה בלי אהבת ה' (גליון)</w:t>
      </w:r>
      <w:bookmarkEnd w:id="204"/>
    </w:p>
    <w:p w14:paraId="05947715" w14:textId="32386ACC" w:rsidR="00E260A1" w:rsidRDefault="00E260A1" w:rsidP="00C40DBA">
      <w:pPr>
        <w:pStyle w:val="a0"/>
        <w:rPr>
          <w:rtl/>
        </w:rPr>
      </w:pPr>
      <w:bookmarkStart w:id="205" w:name="_Toc531140440"/>
      <w:r>
        <w:rPr>
          <w:rFonts w:hint="cs"/>
          <w:rtl/>
          <w:lang w:bidi="he-IL"/>
        </w:rPr>
        <w:t>הרב מנחם מענדל מישול</w:t>
      </w:r>
      <w:r w:rsidR="00E86B5D">
        <w:rPr>
          <w:rFonts w:hint="cs"/>
          <w:rtl/>
          <w:lang w:bidi="he-IL"/>
        </w:rPr>
        <w:t>ב</w:t>
      </w:r>
      <w:r>
        <w:rPr>
          <w:rFonts w:hint="cs"/>
          <w:rtl/>
          <w:lang w:bidi="he-IL"/>
        </w:rPr>
        <w:t>ין</w:t>
      </w:r>
      <w:bookmarkEnd w:id="205"/>
    </w:p>
    <w:p w14:paraId="27CC20FF" w14:textId="3218F8D5" w:rsidR="00E260A1" w:rsidRPr="00E260A1" w:rsidRDefault="00C40DBA" w:rsidP="00E86B5D">
      <w:pPr>
        <w:pStyle w:val="a1"/>
        <w:spacing w:after="0"/>
        <w:rPr>
          <w:rtl/>
          <w:lang w:val="en-GB"/>
        </w:rPr>
      </w:pPr>
      <w:r>
        <w:rPr>
          <w:rFonts w:hint="cs"/>
          <w:rtl/>
          <w:lang w:val="en-GB"/>
        </w:rPr>
        <w:t>כולל שע"י בית חב"ד דגרעניטש</w:t>
      </w:r>
    </w:p>
    <w:p w14:paraId="406E32CB" w14:textId="77777777" w:rsidR="00E260A1" w:rsidRPr="00E260A1" w:rsidRDefault="00E260A1" w:rsidP="00423C6D">
      <w:pPr>
        <w:pStyle w:val="a2"/>
        <w:rPr>
          <w:rtl/>
        </w:rPr>
      </w:pPr>
      <w:r w:rsidRPr="00E260A1">
        <w:rPr>
          <w:rFonts w:hint="cs"/>
          <w:rtl/>
        </w:rPr>
        <w:t>בהעו"ב גליון 1071 כתב הרב ש.ה.:</w:t>
      </w:r>
    </w:p>
    <w:p w14:paraId="5E9F5C8D" w14:textId="77777777" w:rsidR="00E260A1" w:rsidRPr="00E260A1" w:rsidRDefault="00E260A1" w:rsidP="00423C6D">
      <w:pPr>
        <w:pStyle w:val="a2"/>
        <w:rPr>
          <w:rtl/>
          <w:lang w:bidi="ar-SA"/>
        </w:rPr>
      </w:pPr>
      <w:r w:rsidRPr="00E260A1">
        <w:rPr>
          <w:rFonts w:hint="cs"/>
          <w:b/>
          <w:bCs/>
          <w:rtl/>
        </w:rPr>
        <w:t>א.</w:t>
      </w:r>
      <w:r w:rsidRPr="00E260A1">
        <w:rPr>
          <w:rFonts w:hint="cs"/>
          <w:rtl/>
        </w:rPr>
        <w:t xml:space="preserve"> בגמ' עבודה זרה (יח ע"א) גרסינן: "כשחלה רבי יוסי בן קיסמא, הלך רבי חנינא בן תרדיון לבקרו. אמר לו: חנינא אחי, אי אתה יודע שאומה זו מן השמים המליכוה? שהחריבה את ביתו ושרפה את היכלו, והרגה את חסידיו ואבדה את טוביו, ועדיין היא קיימת, ואני שמעתי עליך שאתה יושב ועוסק בתורה [ומקהיל קהלות ברבים] וספר מונח לך בחיקך! אמר לו: מן השמים ירחמו. אמר לו: אני אומר לך דברים של טעם, ואתה אומר לי מן השמים ירחמו, תמה אני אם לא ישרפו אותך ואת ספר תורה באש! אמר לו: רבי, מה אני לחיי העולם הבא? אמר לו: כלום מעשה בא לידך? אמר לו: מעות של פורים נתחלפו לי במעות של צדקה וחלקתים לעניים, אמר לו: אם כן, מחלקך יהי חלקי ומגורלך יהי גורלי".</w:t>
      </w:r>
    </w:p>
    <w:p w14:paraId="22AE8004" w14:textId="77777777" w:rsidR="00E260A1" w:rsidRPr="00E260A1" w:rsidRDefault="00E260A1" w:rsidP="00423C6D">
      <w:pPr>
        <w:pStyle w:val="a2"/>
      </w:pPr>
      <w:r w:rsidRPr="00E260A1">
        <w:rPr>
          <w:rFonts w:hint="cs"/>
          <w:rtl/>
        </w:rPr>
        <w:t>ובתורה אור (יט, ב ואילך) תמה על מעשה זה כיצד שאל רבי חנינא בן תרדיון אם זוכה לחיי עוה"ב כיון שמוסר נפשו על הרבצת התורה? ועוד מהו המעלה הגדולה במה שחילק מעות שנתערבו לצדקה?</w:t>
      </w:r>
    </w:p>
    <w:p w14:paraId="1B71D76C" w14:textId="77777777" w:rsidR="00E260A1" w:rsidRPr="00E260A1" w:rsidRDefault="00E260A1" w:rsidP="00423C6D">
      <w:pPr>
        <w:pStyle w:val="a2"/>
        <w:rPr>
          <w:rtl/>
        </w:rPr>
      </w:pPr>
      <w:r w:rsidRPr="00E260A1">
        <w:rPr>
          <w:rFonts w:hint="cs"/>
          <w:rtl/>
        </w:rPr>
        <w:t xml:space="preserve">וביאר רבינו הזקן שאמנם אפשר שמישהו יהי' דבוק בחכמות עד מסי"נ מצד טבעו, ולא לשם שמים, ולכן נסתפק רחב"ת בעצמו אם עושה לשמה א"ל. וע"ז שאלו רבי יוסי בן קיסמא אם עשה איזה מעשה מיוחד שאינה לפי טבעו. ומשהשיב רחב"ת </w:t>
      </w:r>
      <w:r w:rsidRPr="00E260A1">
        <w:rPr>
          <w:rFonts w:hint="cs"/>
          <w:rtl/>
        </w:rPr>
        <w:lastRenderedPageBreak/>
        <w:t>שפיזר מעות לצדקה שהוא היפך טבע בעלי המרה שחורה, אמר לו ריב"ק שזהו סימן שגם לימודו בתורה הוא לש"ש בלי תערובת טבעו. עיי"ש.</w:t>
      </w:r>
    </w:p>
    <w:p w14:paraId="79620606" w14:textId="77777777" w:rsidR="00E260A1" w:rsidRPr="00E260A1" w:rsidRDefault="00E260A1" w:rsidP="00423C6D">
      <w:pPr>
        <w:pStyle w:val="a2"/>
        <w:rPr>
          <w:rtl/>
        </w:rPr>
      </w:pPr>
      <w:r w:rsidRPr="00E260A1">
        <w:rPr>
          <w:rFonts w:hint="cs"/>
          <w:b/>
          <w:bCs/>
          <w:rtl/>
        </w:rPr>
        <w:t>ב.</w:t>
      </w:r>
      <w:r w:rsidRPr="00E260A1">
        <w:rPr>
          <w:rFonts w:hint="cs"/>
          <w:rtl/>
        </w:rPr>
        <w:t xml:space="preserve"> בדרך חיים לאדמוה״א (פא, א ואילך) הביא פירוש זה ופירט שחששו של רחב"ת היתה מפני נפשו הטבעית אם נתבררה בבירור גמור. אך רבינו (בלקו"ש ח"כ ע' 306) פירש שה"פירוש הפנימי" בתורה אור הוא שחשש מצד טבע נפש האלקית בלבד, בלי שינוי הטבע (וראה סה"ש תנש"א ח"ב ע' 179 הע' 47 שהיציאה מטבע נה"א הוא רק ע"ד מ"ש בתו"א).</w:t>
      </w:r>
    </w:p>
    <w:p w14:paraId="408E126F" w14:textId="77777777" w:rsidR="00E260A1" w:rsidRPr="00E260A1" w:rsidRDefault="00E260A1" w:rsidP="00423C6D">
      <w:pPr>
        <w:pStyle w:val="a2"/>
        <w:rPr>
          <w:rtl/>
        </w:rPr>
      </w:pPr>
      <w:r w:rsidRPr="00E260A1">
        <w:rPr>
          <w:rFonts w:hint="cs"/>
          <w:b/>
          <w:bCs/>
          <w:rtl/>
        </w:rPr>
        <w:t>ג.</w:t>
      </w:r>
      <w:r w:rsidRPr="00E260A1">
        <w:rPr>
          <w:rFonts w:hint="cs"/>
          <w:rtl/>
        </w:rPr>
        <w:t xml:space="preserve"> עוד כתב בדרך חיים שמלבד האוהבים לימוד התורה מצד היותה חכמה יש ג"כ "אהבת התורה מצד עצם התורה לבד בלי אהבת מקורה באלקים חיים שהוא בעל הלבוש כו' . . ורבים היו מגדולי דור האחרון שאהבו את התורה באמת רק מצד עצמה לבד ושכחו על המקור." משמע שמדובר גם באהבת מעלתה וקדושתה, רק ללא הדביקות במקורה. ויל"ע.</w:t>
      </w:r>
    </w:p>
    <w:p w14:paraId="256608B6" w14:textId="77777777" w:rsidR="00E260A1" w:rsidRDefault="00E260A1" w:rsidP="00423C6D">
      <w:pPr>
        <w:pStyle w:val="11"/>
        <w:bidi/>
        <w:rPr>
          <w:rtl/>
        </w:rPr>
      </w:pPr>
      <w:r>
        <w:rPr>
          <w:rFonts w:hint="cs"/>
          <w:rtl/>
        </w:rPr>
        <w:t>טבע נפש הבהמית וטבע נפש האלקית חד הוא</w:t>
      </w:r>
    </w:p>
    <w:p w14:paraId="56690688" w14:textId="77777777" w:rsidR="00E260A1" w:rsidRPr="00E260A1" w:rsidRDefault="00E260A1" w:rsidP="00423C6D">
      <w:pPr>
        <w:pStyle w:val="a2"/>
        <w:rPr>
          <w:rtl/>
        </w:rPr>
      </w:pPr>
      <w:r w:rsidRPr="00E260A1">
        <w:rPr>
          <w:rtl/>
        </w:rPr>
        <w:t>ויש להעיר בדבריו:</w:t>
      </w:r>
    </w:p>
    <w:p w14:paraId="162C7623" w14:textId="77777777" w:rsidR="00E260A1" w:rsidRPr="00E260A1" w:rsidRDefault="00E260A1" w:rsidP="00423C6D">
      <w:pPr>
        <w:pStyle w:val="a2"/>
        <w:rPr>
          <w:rtl/>
        </w:rPr>
      </w:pPr>
      <w:r w:rsidRPr="00E260A1">
        <w:rPr>
          <w:rtl/>
        </w:rPr>
        <w:t xml:space="preserve">באות ב' מה שמחלק שבד"ח מסביר החשש דרחב"ת הוא שמא נוטה לאהלה של תורה מפני טבע נפשו </w:t>
      </w:r>
      <w:r w:rsidRPr="00E260A1">
        <w:rPr>
          <w:b/>
          <w:bCs/>
          <w:rtl/>
        </w:rPr>
        <w:t>הטבעית</w:t>
      </w:r>
      <w:r w:rsidRPr="00E260A1">
        <w:rPr>
          <w:rtl/>
        </w:rPr>
        <w:t xml:space="preserve"> ובלקו"ש מסביר שרחב"ת חשש דוקא שמא טבע </w:t>
      </w:r>
      <w:r w:rsidRPr="00E260A1">
        <w:rPr>
          <w:b/>
          <w:bCs/>
          <w:rtl/>
        </w:rPr>
        <w:t xml:space="preserve">הנפש האלקית </w:t>
      </w:r>
      <w:r w:rsidRPr="00E260A1">
        <w:rPr>
          <w:rtl/>
        </w:rPr>
        <w:t>מטה אותו ללמוד תורה.</w:t>
      </w:r>
    </w:p>
    <w:p w14:paraId="42BCD151" w14:textId="77777777" w:rsidR="00E260A1" w:rsidRPr="00E260A1" w:rsidRDefault="00E260A1" w:rsidP="00423C6D">
      <w:pPr>
        <w:pStyle w:val="a2"/>
        <w:rPr>
          <w:rtl/>
        </w:rPr>
      </w:pPr>
      <w:r w:rsidRPr="00E260A1">
        <w:rPr>
          <w:rtl/>
        </w:rPr>
        <w:t>הנה צ"ע בחילוק זה, כי כמבואר בדא"ח בכ"מ אין לנה"א טבע מיוחד אלא מתלבשת בנה"ב "און נעמט אן" את טבע הנה"ב, וכמו שכותב בפירוש בדרך חיים עצמו בפרק עב (עח, ד): "וכך</w:t>
      </w:r>
      <w:r w:rsidRPr="00E260A1">
        <w:t xml:space="preserve"> </w:t>
      </w:r>
      <w:r w:rsidRPr="00E260A1">
        <w:rPr>
          <w:rtl/>
        </w:rPr>
        <w:t xml:space="preserve">יובן במדות דאוי"ר ושכל דנה"א, כאשר מלובשים במדות ושכל דנה"ט, </w:t>
      </w:r>
      <w:r w:rsidRPr="00E260A1">
        <w:rPr>
          <w:b/>
          <w:bCs/>
          <w:rtl/>
        </w:rPr>
        <w:t>הכל הוא באופן ההטבעה דנה"ט</w:t>
      </w:r>
      <w:r w:rsidRPr="00E260A1">
        <w:rPr>
          <w:rtl/>
        </w:rPr>
        <w:t>, ולא ישונה כלל מן הטבע אפי' כקוש"י, אם הטבע בתערובות טו"ר באופן שהוא כך יהי' אופן עבודה שבלב באוי"ר ושכל האלקי, ולא נשתנה מן הטבעיות שלו כלל וכלל".</w:t>
      </w:r>
      <w:r w:rsidRPr="00E260A1">
        <w:rPr>
          <w:rStyle w:val="FootnoteReference"/>
          <w:rFonts w:eastAsia="David"/>
          <w:rtl/>
        </w:rPr>
        <w:footnoteReference w:id="150"/>
      </w:r>
    </w:p>
    <w:p w14:paraId="60B6D788" w14:textId="77777777" w:rsidR="00E260A1" w:rsidRPr="00E260A1" w:rsidRDefault="00E260A1" w:rsidP="00423C6D">
      <w:pPr>
        <w:pStyle w:val="a2"/>
        <w:rPr>
          <w:rtl/>
        </w:rPr>
      </w:pPr>
      <w:r w:rsidRPr="00E260A1">
        <w:rPr>
          <w:rtl/>
        </w:rPr>
        <w:lastRenderedPageBreak/>
        <w:t>ואם האדם נמצא בדרגא ששינה טבע הנה"א שלו, הרי זו הוכחה גמורה ששינה את טבע הנה"ב, כי אי אפשר לשנות טבע הנפש האלקית מבלי לשנות טבע הנפש הבהמית. וראה סה"מ תרע"ח ס"ע לד בביאור יותר.</w:t>
      </w:r>
    </w:p>
    <w:p w14:paraId="617764B4" w14:textId="77777777" w:rsidR="00E260A1" w:rsidRPr="00E260A1" w:rsidRDefault="00E260A1" w:rsidP="00423C6D">
      <w:pPr>
        <w:pStyle w:val="a2"/>
        <w:rPr>
          <w:rtl/>
        </w:rPr>
      </w:pPr>
      <w:r w:rsidRPr="00E260A1">
        <w:rPr>
          <w:rtl/>
        </w:rPr>
        <w:t xml:space="preserve">עכ"פ כשנתברר שרחב"ת הי' מרה לבנה בטבע, ממילא הוכח שכל תורתו הי' מצד האלקות שבו, היפך טבע הנה"ב </w:t>
      </w:r>
      <w:r w:rsidRPr="00E260A1">
        <w:rPr>
          <w:b/>
          <w:bCs/>
          <w:rtl/>
        </w:rPr>
        <w:t>וכן היפך טבע הנה"א שלו</w:t>
      </w:r>
      <w:r w:rsidRPr="00E260A1">
        <w:rPr>
          <w:rtl/>
        </w:rPr>
        <w:t>. כי גם נה"א של מרה לבנה אינו יושב ולומד כל היום, אלא עוסק במצוות או ענינים אחרים המתאימים יותר למרה לבנה, ומה שרחב"ת ישב ולמד הרי זה הוכחה שכבש גם טבע נפש האלקית שלו, כי כאמור טבע נפשו האלקית הי' מרה לבנה כדמוכח ממעות פורים.</w:t>
      </w:r>
    </w:p>
    <w:p w14:paraId="3C5F4799" w14:textId="77777777" w:rsidR="00E260A1" w:rsidRDefault="00E260A1" w:rsidP="00423C6D">
      <w:pPr>
        <w:pStyle w:val="11"/>
        <w:rPr>
          <w:rtl/>
        </w:rPr>
      </w:pPr>
      <w:r>
        <w:rPr>
          <w:rFonts w:hint="cs"/>
          <w:rtl/>
        </w:rPr>
        <w:t>אהבת התורה בלי אהבת השם</w:t>
      </w:r>
    </w:p>
    <w:p w14:paraId="2E4A9C3D" w14:textId="77777777" w:rsidR="00E260A1" w:rsidRDefault="00E260A1" w:rsidP="00423C6D">
      <w:pPr>
        <w:pStyle w:val="a2"/>
        <w:rPr>
          <w:rtl/>
        </w:rPr>
      </w:pPr>
      <w:r>
        <w:rPr>
          <w:rFonts w:hint="cs"/>
          <w:rtl/>
        </w:rPr>
        <w:t xml:space="preserve">באות ג', מה שהשאיר לעיון בענין אהבת התורה בלי אהבת השם, וכותב שהוא אוהב את התורה מפני קדושתה, כמדומה שלא דק, ואהבה זו אינו לא לנותן התורה וגם לא מפני קדושת התורה. </w:t>
      </w:r>
    </w:p>
    <w:p w14:paraId="7F5899F6" w14:textId="77777777" w:rsidR="00E260A1" w:rsidRDefault="00E260A1" w:rsidP="00423C6D">
      <w:pPr>
        <w:pStyle w:val="a2"/>
        <w:rPr>
          <w:rtl/>
        </w:rPr>
      </w:pPr>
      <w:r>
        <w:rPr>
          <w:rFonts w:hint="cs"/>
          <w:rtl/>
        </w:rPr>
        <w:t xml:space="preserve">ונבאר דרגא זו בלימוד ואהבת התורה ע"פ המבואר בדרך חיים כאן. </w:t>
      </w:r>
    </w:p>
    <w:p w14:paraId="05176F5A" w14:textId="77777777" w:rsidR="00E260A1" w:rsidRDefault="00E260A1" w:rsidP="00423C6D">
      <w:pPr>
        <w:pStyle w:val="a2"/>
        <w:rPr>
          <w:rtl/>
        </w:rPr>
      </w:pPr>
      <w:r>
        <w:rPr>
          <w:rFonts w:hint="cs"/>
          <w:rtl/>
        </w:rPr>
        <w:lastRenderedPageBreak/>
        <w:t>דהנה לעיל בפע"ד דיבר בדרגות של לומדי תורה שלא לשמה, וכתב "אבל מדרגה הב</w:t>
      </w:r>
      <w:r>
        <w:rPr>
          <w:rFonts w:cs="Times New Roman" w:hint="cs"/>
          <w:rtl/>
        </w:rPr>
        <w:t xml:space="preserve">' </w:t>
      </w:r>
      <w:r>
        <w:rPr>
          <w:rFonts w:hint="cs"/>
          <w:rtl/>
        </w:rPr>
        <w:t>[בלימוד שלא לשמה] מעורב בזה קצת טוב</w:t>
      </w:r>
      <w:r>
        <w:rPr>
          <w:rFonts w:cs="Times New Roman" w:hint="cs"/>
          <w:rtl/>
        </w:rPr>
        <w:t xml:space="preserve">, </w:t>
      </w:r>
      <w:r>
        <w:rPr>
          <w:rFonts w:hint="cs"/>
          <w:rtl/>
        </w:rPr>
        <w:t>והוא שערב לנפשו ונהנה מאשר יודע ההלכות על בוריין</w:t>
      </w:r>
      <w:r>
        <w:rPr>
          <w:rFonts w:cs="Times New Roman" w:hint="cs"/>
          <w:rtl/>
        </w:rPr>
        <w:t xml:space="preserve">, </w:t>
      </w:r>
      <w:r>
        <w:rPr>
          <w:rFonts w:hint="cs"/>
          <w:rtl/>
        </w:rPr>
        <w:t>ושוקד עליהם יום ולילה</w:t>
      </w:r>
      <w:r>
        <w:rPr>
          <w:rFonts w:cs="Times New Roman" w:hint="cs"/>
          <w:rtl/>
        </w:rPr>
        <w:t xml:space="preserve">, </w:t>
      </w:r>
      <w:r>
        <w:rPr>
          <w:rFonts w:hint="cs"/>
          <w:rtl/>
        </w:rPr>
        <w:t>והיו לו לחיות גשמי כתענוג וחיות העוסק בשאר לימודי חכמות חיצוניות</w:t>
      </w:r>
      <w:r>
        <w:rPr>
          <w:rFonts w:cs="Times New Roman" w:hint="cs"/>
          <w:rtl/>
        </w:rPr>
        <w:t xml:space="preserve">, </w:t>
      </w:r>
      <w:r>
        <w:rPr>
          <w:rFonts w:hint="cs"/>
          <w:rtl/>
        </w:rPr>
        <w:t>הגם שאין כוונתו לש</w:t>
      </w:r>
      <w:r>
        <w:rPr>
          <w:rFonts w:cs="Times New Roman" w:hint="cs"/>
          <w:rtl/>
        </w:rPr>
        <w:t>"</w:t>
      </w:r>
      <w:r>
        <w:rPr>
          <w:rFonts w:hint="cs"/>
          <w:rtl/>
        </w:rPr>
        <w:t>ש כלל</w:t>
      </w:r>
      <w:r>
        <w:rPr>
          <w:rFonts w:cs="Times New Roman" w:hint="cs"/>
          <w:rtl/>
        </w:rPr>
        <w:t xml:space="preserve">, </w:t>
      </w:r>
      <w:r>
        <w:rPr>
          <w:rFonts w:hint="cs"/>
          <w:b/>
          <w:bCs/>
          <w:rtl/>
        </w:rPr>
        <w:t>ולא מצד אלקות שבחכמה שבתורה כלל וכלל</w:t>
      </w:r>
      <w:r>
        <w:rPr>
          <w:rFonts w:cs="Times New Roman" w:hint="cs"/>
          <w:rtl/>
        </w:rPr>
        <w:t xml:space="preserve">, </w:t>
      </w:r>
      <w:r>
        <w:rPr>
          <w:rFonts w:hint="cs"/>
          <w:rtl/>
        </w:rPr>
        <w:t>מ</w:t>
      </w:r>
      <w:r>
        <w:rPr>
          <w:rFonts w:cs="Times New Roman" w:hint="cs"/>
          <w:rtl/>
        </w:rPr>
        <w:t>"</w:t>
      </w:r>
      <w:r>
        <w:rPr>
          <w:rFonts w:hint="cs"/>
          <w:rtl/>
        </w:rPr>
        <w:t>מ הרי אוהב את התורה בכל לבו</w:t>
      </w:r>
      <w:r>
        <w:rPr>
          <w:rFonts w:cs="Times New Roman" w:hint="cs"/>
          <w:rtl/>
        </w:rPr>
        <w:t xml:space="preserve">, </w:t>
      </w:r>
      <w:r>
        <w:rPr>
          <w:rFonts w:hint="cs"/>
          <w:rtl/>
        </w:rPr>
        <w:t>וכלא חשיב שארי לימודי חכמות זולתה</w:t>
      </w:r>
      <w:r>
        <w:rPr>
          <w:rFonts w:cs="Times New Roman" w:hint="cs"/>
          <w:rtl/>
        </w:rPr>
        <w:t xml:space="preserve">, </w:t>
      </w:r>
      <w:r>
        <w:rPr>
          <w:rFonts w:hint="cs"/>
          <w:rtl/>
        </w:rPr>
        <w:t>הרי עכ</w:t>
      </w:r>
      <w:r>
        <w:rPr>
          <w:rFonts w:cs="Times New Roman" w:hint="cs"/>
          <w:rtl/>
        </w:rPr>
        <w:t>"</w:t>
      </w:r>
      <w:r>
        <w:rPr>
          <w:rFonts w:hint="cs"/>
          <w:rtl/>
        </w:rPr>
        <w:t>פ מלובש בנפשו כל דבר ה</w:t>
      </w:r>
      <w:r>
        <w:rPr>
          <w:rFonts w:cs="Times New Roman" w:hint="cs"/>
          <w:rtl/>
        </w:rPr>
        <w:t xml:space="preserve">' </w:t>
      </w:r>
      <w:r>
        <w:rPr>
          <w:rFonts w:hint="cs"/>
          <w:rtl/>
        </w:rPr>
        <w:t>זו הלכה שבכל הש</w:t>
      </w:r>
      <w:r>
        <w:rPr>
          <w:rFonts w:cs="Times New Roman" w:hint="cs"/>
          <w:rtl/>
        </w:rPr>
        <w:t>"</w:t>
      </w:r>
      <w:r>
        <w:rPr>
          <w:rFonts w:hint="cs"/>
          <w:rtl/>
        </w:rPr>
        <w:t>ס</w:t>
      </w:r>
      <w:r>
        <w:rPr>
          <w:rFonts w:cs="Times New Roman" w:hint="cs"/>
          <w:rtl/>
        </w:rPr>
        <w:t xml:space="preserve">, </w:t>
      </w:r>
      <w:r>
        <w:rPr>
          <w:rFonts w:hint="cs"/>
          <w:rtl/>
        </w:rPr>
        <w:t>מאחר שקשור בה</w:t>
      </w:r>
      <w:r>
        <w:rPr>
          <w:rFonts w:cs="Times New Roman" w:hint="cs"/>
          <w:rtl/>
        </w:rPr>
        <w:t>.</w:t>
      </w:r>
      <w:r>
        <w:rPr>
          <w:rFonts w:hint="cs"/>
          <w:rtl/>
        </w:rPr>
        <w:t xml:space="preserve"> וע</w:t>
      </w:r>
      <w:r>
        <w:rPr>
          <w:rFonts w:cs="Times New Roman" w:hint="cs"/>
          <w:rtl/>
        </w:rPr>
        <w:t>"</w:t>
      </w:r>
      <w:r>
        <w:rPr>
          <w:rFonts w:hint="cs"/>
          <w:rtl/>
        </w:rPr>
        <w:t>ז אמר</w:t>
      </w:r>
      <w:r>
        <w:rPr>
          <w:vertAlign w:val="superscript"/>
        </w:rPr>
        <w:footnoteReference w:id="151"/>
      </w:r>
      <w:r>
        <w:rPr>
          <w:rFonts w:hint="cs"/>
          <w:rtl/>
        </w:rPr>
        <w:t xml:space="preserve"> התורה חוגרת שק</w:t>
      </w:r>
      <w:r>
        <w:rPr>
          <w:rFonts w:cs="Times New Roman" w:hint="cs"/>
          <w:rtl/>
        </w:rPr>
        <w:t xml:space="preserve">, </w:t>
      </w:r>
      <w:r>
        <w:rPr>
          <w:rFonts w:hint="cs"/>
          <w:rtl/>
        </w:rPr>
        <w:t>שקשורה בשק דקליפה דרע שבנגה שבנפש זאת</w:t>
      </w:r>
      <w:r>
        <w:rPr>
          <w:rFonts w:cs="Times New Roman" w:hint="cs"/>
          <w:rtl/>
        </w:rPr>
        <w:t xml:space="preserve">, </w:t>
      </w:r>
      <w:r>
        <w:rPr>
          <w:rFonts w:hint="cs"/>
          <w:rtl/>
        </w:rPr>
        <w:t>שריקן מכל י</w:t>
      </w:r>
      <w:r>
        <w:rPr>
          <w:rFonts w:cs="Times New Roman" w:hint="cs"/>
          <w:rtl/>
        </w:rPr>
        <w:t>"</w:t>
      </w:r>
      <w:r>
        <w:rPr>
          <w:rFonts w:hint="cs"/>
          <w:rtl/>
        </w:rPr>
        <w:t>ש כו</w:t>
      </w:r>
      <w:r>
        <w:rPr>
          <w:rFonts w:cs="Times New Roman" w:hint="cs"/>
          <w:rtl/>
        </w:rPr>
        <w:t xml:space="preserve">', </w:t>
      </w:r>
      <w:r>
        <w:rPr>
          <w:rFonts w:hint="cs"/>
          <w:rtl/>
        </w:rPr>
        <w:t>רק להתגדל כו</w:t>
      </w:r>
      <w:r>
        <w:rPr>
          <w:rFonts w:cs="Times New Roman" w:hint="cs"/>
          <w:rtl/>
        </w:rPr>
        <w:t xml:space="preserve">', </w:t>
      </w:r>
      <w:r>
        <w:rPr>
          <w:rFonts w:hint="cs"/>
          <w:rtl/>
        </w:rPr>
        <w:t>וחייבים לכבדו ולקום מפניו</w:t>
      </w:r>
      <w:r>
        <w:rPr>
          <w:rFonts w:cs="Times New Roman" w:hint="cs"/>
          <w:rtl/>
        </w:rPr>
        <w:t xml:space="preserve">, </w:t>
      </w:r>
      <w:r>
        <w:rPr>
          <w:rFonts w:hint="cs"/>
          <w:rtl/>
        </w:rPr>
        <w:t>והיינו מצד דבר ה</w:t>
      </w:r>
      <w:r>
        <w:rPr>
          <w:rFonts w:cs="Times New Roman" w:hint="cs"/>
          <w:rtl/>
        </w:rPr>
        <w:t xml:space="preserve">' </w:t>
      </w:r>
      <w:r>
        <w:rPr>
          <w:rFonts w:hint="cs"/>
          <w:rtl/>
        </w:rPr>
        <w:t>וחכמתו שיש בנפשו". ע"כ.</w:t>
      </w:r>
    </w:p>
    <w:p w14:paraId="6F178245" w14:textId="77777777" w:rsidR="00E260A1" w:rsidRDefault="00E260A1" w:rsidP="00423C6D">
      <w:pPr>
        <w:pStyle w:val="a2"/>
        <w:rPr>
          <w:rtl/>
        </w:rPr>
      </w:pPr>
      <w:r>
        <w:rPr>
          <w:rFonts w:hint="cs"/>
          <w:rtl/>
        </w:rPr>
        <w:t xml:space="preserve">מכאן משמע כוונתו שמדובר בא' שאוהב את </w:t>
      </w:r>
      <w:r>
        <w:rPr>
          <w:rFonts w:hint="cs"/>
          <w:b/>
          <w:bCs/>
          <w:rtl/>
        </w:rPr>
        <w:t>חכמת התורה</w:t>
      </w:r>
      <w:r>
        <w:rPr>
          <w:rFonts w:hint="cs"/>
          <w:rtl/>
        </w:rPr>
        <w:t xml:space="preserve"> יותר משאר כל החכמות, דהיינו שאדם זה מתענג מלימוד חכמות, ואצלו כל תענוגו הוא חכמת התורה, והוא כמו כל חכם שיש לו </w:t>
      </w:r>
      <w:r>
        <w:rPr>
          <w:rFonts w:hint="cs"/>
          <w:b/>
          <w:bCs/>
          <w:rtl/>
        </w:rPr>
        <w:t>תחום מסויים</w:t>
      </w:r>
      <w:r>
        <w:rPr>
          <w:rFonts w:hint="cs"/>
          <w:rtl/>
        </w:rPr>
        <w:t xml:space="preserve"> בו הוא עיקר או כל עסקו ושם הוא חי ובו הוא מתענג. וחכם זה כל תענוגו הוא חכמת התורה.</w:t>
      </w:r>
    </w:p>
    <w:p w14:paraId="73ED8235" w14:textId="77777777" w:rsidR="00E260A1" w:rsidRDefault="00E260A1" w:rsidP="00423C6D">
      <w:pPr>
        <w:pStyle w:val="a2"/>
        <w:rPr>
          <w:rtl/>
        </w:rPr>
      </w:pPr>
      <w:r>
        <w:rPr>
          <w:rFonts w:hint="cs"/>
          <w:rtl/>
        </w:rPr>
        <w:t>אך לקמן מחלק בין אהבת חכמת התורה ואהבת התורה. וז"ל: "בעסקו בתורה בחשק הנפלא תערובת מבחי</w:t>
      </w:r>
      <w:r>
        <w:rPr>
          <w:rFonts w:cs="Times New Roman" w:hint="cs"/>
          <w:rtl/>
        </w:rPr>
        <w:t xml:space="preserve">' </w:t>
      </w:r>
      <w:r>
        <w:rPr>
          <w:rFonts w:hint="cs"/>
          <w:rtl/>
        </w:rPr>
        <w:t>תאוה ותשוקה טבעית כאהב</w:t>
      </w:r>
      <w:r>
        <w:rPr>
          <w:rFonts w:cs="Times New Roman" w:hint="cs"/>
          <w:rtl/>
        </w:rPr>
        <w:t xml:space="preserve">' </w:t>
      </w:r>
      <w:r>
        <w:rPr>
          <w:rFonts w:hint="cs"/>
          <w:rtl/>
        </w:rPr>
        <w:t>ותשוקת הלמודים הזרים</w:t>
      </w:r>
      <w:r>
        <w:rPr>
          <w:rFonts w:cs="Times New Roman" w:hint="cs"/>
          <w:rtl/>
        </w:rPr>
        <w:t xml:space="preserve">, </w:t>
      </w:r>
      <w:r>
        <w:rPr>
          <w:rFonts w:hint="cs"/>
          <w:rtl/>
        </w:rPr>
        <w:t xml:space="preserve">או גם באהבת התורה </w:t>
      </w:r>
      <w:r>
        <w:rPr>
          <w:rFonts w:hint="cs"/>
          <w:b/>
          <w:bCs/>
          <w:rtl/>
        </w:rPr>
        <w:t>מצד עצם התורה לבד</w:t>
      </w:r>
      <w:r>
        <w:rPr>
          <w:rFonts w:hint="cs"/>
          <w:rtl/>
        </w:rPr>
        <w:t xml:space="preserve"> בלי אהבת מקורה באלקים חיים שהוא בעל הלבוש . . ורבים היו מגדולי דור האחרון שאהבו את התורה באמת רק מצד עצמם</w:t>
      </w:r>
      <w:r>
        <w:rPr>
          <w:vertAlign w:val="superscript"/>
        </w:rPr>
        <w:footnoteReference w:id="152"/>
      </w:r>
      <w:r>
        <w:rPr>
          <w:rFonts w:hint="cs"/>
          <w:rtl/>
        </w:rPr>
        <w:t xml:space="preserve"> לבד ושכחו על המקור".</w:t>
      </w:r>
    </w:p>
    <w:p w14:paraId="79A90FE1" w14:textId="77777777" w:rsidR="00E260A1" w:rsidRDefault="00E260A1" w:rsidP="00423C6D">
      <w:pPr>
        <w:pStyle w:val="a2"/>
        <w:rPr>
          <w:rtl/>
        </w:rPr>
      </w:pPr>
      <w:r>
        <w:rPr>
          <w:rFonts w:hint="cs"/>
          <w:rtl/>
        </w:rPr>
        <w:t xml:space="preserve">ועפ"ז יש ב' סוגים באהבת התורה </w:t>
      </w:r>
      <w:r>
        <w:rPr>
          <w:rFonts w:hint="cs"/>
          <w:b/>
          <w:bCs/>
          <w:rtl/>
        </w:rPr>
        <w:t>בלי</w:t>
      </w:r>
      <w:r>
        <w:rPr>
          <w:rFonts w:hint="cs"/>
          <w:rtl/>
        </w:rPr>
        <w:t xml:space="preserve"> אהבת ה'</w:t>
      </w:r>
      <w:r>
        <w:rPr>
          <w:rFonts w:hint="cs"/>
        </w:rPr>
        <w:t>:</w:t>
      </w:r>
    </w:p>
    <w:p w14:paraId="65D328D7" w14:textId="77777777" w:rsidR="00E260A1" w:rsidRDefault="00E260A1" w:rsidP="00423C6D">
      <w:pPr>
        <w:pStyle w:val="a2"/>
      </w:pPr>
      <w:r>
        <w:rPr>
          <w:rFonts w:hint="cs"/>
          <w:rtl/>
        </w:rPr>
        <w:t xml:space="preserve">הא', שחושק בחכמת תורה כמו שחכם אחר חושק </w:t>
      </w:r>
      <w:r>
        <w:rPr>
          <w:rFonts w:hint="cs"/>
          <w:b/>
          <w:bCs/>
          <w:rtl/>
        </w:rPr>
        <w:t>בחכמה</w:t>
      </w:r>
      <w:r>
        <w:rPr>
          <w:rFonts w:hint="cs"/>
          <w:rtl/>
        </w:rPr>
        <w:t xml:space="preserve"> אחרת ואהבת התורה שלו הוא כמו שאריסטו למשל אהב את החכמה שלמד במסירה ונתינה וכנ"ל. </w:t>
      </w:r>
    </w:p>
    <w:p w14:paraId="70D2B4EB" w14:textId="77777777" w:rsidR="00E260A1" w:rsidRDefault="00E260A1" w:rsidP="00423C6D">
      <w:pPr>
        <w:pStyle w:val="a2"/>
        <w:rPr>
          <w:rtl/>
        </w:rPr>
      </w:pPr>
      <w:r>
        <w:rPr>
          <w:rFonts w:hint="cs"/>
          <w:rtl/>
        </w:rPr>
        <w:t xml:space="preserve">הב', אהבת התורה </w:t>
      </w:r>
      <w:r>
        <w:rPr>
          <w:rFonts w:hint="cs"/>
          <w:b/>
          <w:bCs/>
          <w:rtl/>
        </w:rPr>
        <w:t>לא מפני החכמה</w:t>
      </w:r>
      <w:r>
        <w:rPr>
          <w:rFonts w:hint="cs"/>
          <w:rtl/>
        </w:rPr>
        <w:t xml:space="preserve"> שבה, כי הוא אינו איש שאוהב חכמות, ואינו אוהב את התורה בגלל שהיא חכמה נפלאה, אלא </w:t>
      </w:r>
      <w:r>
        <w:rPr>
          <w:rFonts w:hint="cs"/>
          <w:b/>
          <w:bCs/>
          <w:rtl/>
        </w:rPr>
        <w:t>"מצד עצם התורה לבד</w:t>
      </w:r>
      <w:r>
        <w:rPr>
          <w:rFonts w:hint="cs"/>
          <w:rtl/>
        </w:rPr>
        <w:t xml:space="preserve">" לא מפני החכמה שבה. והחידוש כאן בד"ח הוא שגם אהבה זו מצד עצם התורה, </w:t>
      </w:r>
      <w:r>
        <w:rPr>
          <w:rFonts w:hint="cs"/>
          <w:b/>
          <w:bCs/>
          <w:rtl/>
        </w:rPr>
        <w:t xml:space="preserve">אינו </w:t>
      </w:r>
      <w:r>
        <w:rPr>
          <w:rFonts w:hint="cs"/>
          <w:rtl/>
        </w:rPr>
        <w:t xml:space="preserve">מצד האלקות שבתורה,  והראי', </w:t>
      </w:r>
      <w:r>
        <w:rPr>
          <w:rFonts w:hint="cs"/>
          <w:b/>
          <w:bCs/>
          <w:rtl/>
        </w:rPr>
        <w:t>ששכחו על המקור</w:t>
      </w:r>
      <w:r>
        <w:rPr>
          <w:rFonts w:hint="cs"/>
          <w:rtl/>
        </w:rPr>
        <w:t>, ואיך יאהוב דבר שאינו זוכר, ואינו במחשבתו כלל, דהיינו איך יאהוב את האלקות שבתורה אם שכח עליה לגמרי.</w:t>
      </w:r>
    </w:p>
    <w:p w14:paraId="5E737C07" w14:textId="77777777" w:rsidR="00E260A1" w:rsidRDefault="00E260A1" w:rsidP="00423C6D">
      <w:pPr>
        <w:pStyle w:val="a2"/>
        <w:rPr>
          <w:rtl/>
        </w:rPr>
      </w:pPr>
      <w:r>
        <w:rPr>
          <w:rFonts w:hint="cs"/>
          <w:rtl/>
        </w:rPr>
        <w:t xml:space="preserve">ואם ישאל השואל מהו באמת סיבת אהבת התורה של איש כזה, דהלא אם אינו </w:t>
      </w:r>
      <w:r>
        <w:rPr>
          <w:rFonts w:hint="cs"/>
          <w:rtl/>
        </w:rPr>
        <w:lastRenderedPageBreak/>
        <w:t>אוהב חכמת התורה מצד חכמתה, ואינו אוהב את התורה מפני האלקות שבה. א"כ מפני מה אוהב אותה?</w:t>
      </w:r>
    </w:p>
    <w:p w14:paraId="0F69FEAC" w14:textId="77777777" w:rsidR="00E260A1" w:rsidRDefault="00E260A1" w:rsidP="00423C6D">
      <w:pPr>
        <w:pStyle w:val="a2"/>
        <w:rPr>
          <w:rtl/>
        </w:rPr>
      </w:pPr>
      <w:r>
        <w:rPr>
          <w:rFonts w:hint="cs"/>
          <w:rtl/>
        </w:rPr>
        <w:t>הביאור בזה י"ל בפשטות ע"פ המבואר בתניא ספל"ט: "היינו אפי</w:t>
      </w:r>
      <w:r>
        <w:rPr>
          <w:rFonts w:cs="Times New Roman" w:hint="cs"/>
          <w:rtl/>
        </w:rPr>
        <w:t xml:space="preserve">' </w:t>
      </w:r>
      <w:r>
        <w:rPr>
          <w:rFonts w:hint="cs"/>
          <w:rtl/>
        </w:rPr>
        <w:t>אם אינו עוסק שלא לשמה ממש לשום איזו פניה ח</w:t>
      </w:r>
      <w:r>
        <w:rPr>
          <w:rFonts w:cs="Times New Roman" w:hint="cs"/>
          <w:rtl/>
        </w:rPr>
        <w:t>"</w:t>
      </w:r>
      <w:r>
        <w:rPr>
          <w:rFonts w:hint="cs"/>
          <w:rtl/>
        </w:rPr>
        <w:t>ו אלא כמ</w:t>
      </w:r>
      <w:r>
        <w:rPr>
          <w:rFonts w:cs="Times New Roman" w:hint="cs"/>
          <w:rtl/>
        </w:rPr>
        <w:t>"</w:t>
      </w:r>
      <w:r>
        <w:rPr>
          <w:rFonts w:hint="cs"/>
          <w:rtl/>
        </w:rPr>
        <w:t>ש ותהי יראתם אותי מצות אנשי</w:t>
      </w:r>
      <w:r>
        <w:rPr>
          <w:rFonts w:cs="Times New Roman" w:hint="cs"/>
          <w:rtl/>
        </w:rPr>
        <w:t xml:space="preserve">' </w:t>
      </w:r>
      <w:r>
        <w:rPr>
          <w:rFonts w:hint="cs"/>
          <w:rtl/>
        </w:rPr>
        <w:t>מלומדה פי</w:t>
      </w:r>
      <w:r>
        <w:rPr>
          <w:rFonts w:cs="Times New Roman" w:hint="cs"/>
          <w:rtl/>
        </w:rPr>
        <w:t xml:space="preserve">' </w:t>
      </w:r>
      <w:r>
        <w:rPr>
          <w:rFonts w:hint="cs"/>
          <w:rtl/>
        </w:rPr>
        <w:t xml:space="preserve">מחמת הרגל שהורגל מקטנותו </w:t>
      </w:r>
      <w:r>
        <w:rPr>
          <w:rFonts w:hint="cs"/>
          <w:b/>
          <w:bCs/>
          <w:rtl/>
        </w:rPr>
        <w:t>שהרגילו ולימדו אביו ורבו לירא את ה</w:t>
      </w:r>
      <w:r>
        <w:rPr>
          <w:rFonts w:cs="Times New Roman" w:hint="cs"/>
          <w:b/>
          <w:bCs/>
          <w:rtl/>
        </w:rPr>
        <w:t xml:space="preserve">' </w:t>
      </w:r>
      <w:r>
        <w:rPr>
          <w:rFonts w:hint="cs"/>
          <w:b/>
          <w:bCs/>
          <w:rtl/>
        </w:rPr>
        <w:t>ולעבדו</w:t>
      </w:r>
      <w:r>
        <w:rPr>
          <w:rFonts w:hint="cs"/>
          <w:rtl/>
        </w:rPr>
        <w:t>, ואינו עוסק לשמה ממש, כי לשמה ממש אי אפשר בלא התעוררות דחילו ורחימו הטבעיים עכ</w:t>
      </w:r>
      <w:r>
        <w:rPr>
          <w:rFonts w:cs="Times New Roman" w:hint="cs"/>
          <w:rtl/>
        </w:rPr>
        <w:t>"</w:t>
      </w:r>
      <w:r>
        <w:rPr>
          <w:rFonts w:hint="cs"/>
          <w:rtl/>
        </w:rPr>
        <w:t>פ להוציאן מהסתר הלב אל הגילוי במוח ותעלומות לבו עכ</w:t>
      </w:r>
      <w:r>
        <w:rPr>
          <w:rFonts w:cs="Times New Roman" w:hint="cs"/>
          <w:rtl/>
        </w:rPr>
        <w:t>"</w:t>
      </w:r>
      <w:r>
        <w:rPr>
          <w:rFonts w:hint="cs"/>
          <w:rtl/>
        </w:rPr>
        <w:t>פ, כי כמו שאין אדם עושה דבר בשביל חבירו למלאת רצונו אא</w:t>
      </w:r>
      <w:r>
        <w:rPr>
          <w:rFonts w:cs="Times New Roman" w:hint="cs"/>
          <w:rtl/>
        </w:rPr>
        <w:t>"</w:t>
      </w:r>
      <w:r>
        <w:rPr>
          <w:rFonts w:hint="cs"/>
          <w:rtl/>
        </w:rPr>
        <w:t>כ אוהבו או ירא ממנו כך אי אפשר לעשות לשמו ית</w:t>
      </w:r>
      <w:r>
        <w:rPr>
          <w:rFonts w:cs="Times New Roman" w:hint="cs"/>
          <w:rtl/>
        </w:rPr>
        <w:t xml:space="preserve">' </w:t>
      </w:r>
      <w:r>
        <w:rPr>
          <w:rFonts w:hint="cs"/>
          <w:rtl/>
        </w:rPr>
        <w:t>באמת למלאת רצונו לבד בלי זכרון והתעוררות אהבתו ויראתו כלל במוחו ומחשבתו ותעלומות לבו עכ</w:t>
      </w:r>
      <w:r>
        <w:rPr>
          <w:rFonts w:cs="Times New Roman" w:hint="cs"/>
          <w:rtl/>
        </w:rPr>
        <w:t>"</w:t>
      </w:r>
      <w:r>
        <w:rPr>
          <w:rFonts w:hint="cs"/>
          <w:rtl/>
        </w:rPr>
        <w:t>פ".</w:t>
      </w:r>
    </w:p>
    <w:p w14:paraId="705BD610" w14:textId="77777777" w:rsidR="00E260A1" w:rsidRDefault="00E260A1" w:rsidP="00423C6D">
      <w:pPr>
        <w:pStyle w:val="a2"/>
        <w:rPr>
          <w:rtl/>
        </w:rPr>
      </w:pPr>
      <w:r>
        <w:rPr>
          <w:rFonts w:hint="cs"/>
          <w:rtl/>
        </w:rPr>
        <w:t>וכן יש לומר כאן במדת האהבה, שאהבתו ועסקו בתורה אינו "שלא לשמה ממש לשום איזו פניה ח</w:t>
      </w:r>
      <w:r>
        <w:rPr>
          <w:rFonts w:cs="Times New Roman" w:hint="cs"/>
          <w:rtl/>
        </w:rPr>
        <w:t>"</w:t>
      </w:r>
      <w:r>
        <w:rPr>
          <w:rFonts w:hint="cs"/>
          <w:rtl/>
        </w:rPr>
        <w:t>ו" כמו להתגדל או לקנטר, אלא "מחמת הרגל שהורגל מקטנותו שהרגילו ולימדו אביו ורבו" לאהוב את התורה, אבל לפועל אינו זוכר וחושב כלל על נותן התורה, והרי זה תורה שלא לשמה, וחוגרת שק וכו'.</w:t>
      </w:r>
    </w:p>
    <w:p w14:paraId="36AF1AAF" w14:textId="4F18EC34" w:rsidR="00E260A1" w:rsidRPr="00E260A1" w:rsidRDefault="00E260A1" w:rsidP="00423C6D">
      <w:pPr>
        <w:pStyle w:val="a2"/>
        <w:bidi w:val="0"/>
        <w:rPr>
          <w:rFonts w:ascii="Times New Roman" w:hAnsi="Times New Roman" w:cs="Times New Roman"/>
          <w:rtl/>
        </w:rPr>
      </w:pPr>
      <w:r>
        <w:rPr>
          <w:rFonts w:hint="cs"/>
          <w:rtl/>
        </w:rPr>
        <w:t>ועפ"ז יתכן שיהי' אדם שאינו חכם במהותו ואינו משתוקק כלל ללימוד, ואעפ"כ אוהב את התורה ומתייגע בה יומם ולילה מתוך אהבה רבה, אבל לא אהבה לה' - דהרי "שכחו על המקור" – אלא אהבה טבעית שהרגילו אביו לאהוב את התורה.</w:t>
      </w:r>
      <w:r>
        <w:rPr>
          <w:rFonts w:ascii="Times New Roman" w:hAnsi="Times New Roman" w:cs="Times New Roman"/>
          <w:rtl/>
        </w:rPr>
        <w:t xml:space="preserve"> </w:t>
      </w:r>
    </w:p>
    <w:p w14:paraId="53F84E7E" w14:textId="77777777" w:rsidR="00423C6D" w:rsidRPr="00347933" w:rsidRDefault="00423C6D" w:rsidP="00423C6D">
      <w:pPr>
        <w:pStyle w:val="a4"/>
        <w:spacing w:after="0"/>
        <w:sectPr w:rsidR="00423C6D"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9BA88C9" w14:textId="1A6066E0" w:rsidR="00423C6D" w:rsidRPr="00D16EEE" w:rsidRDefault="00423C6D" w:rsidP="00C40DBA">
      <w:pPr>
        <w:pStyle w:val="a"/>
        <w:bidi w:val="0"/>
        <w:rPr>
          <w:rtl/>
        </w:rPr>
      </w:pPr>
      <w:bookmarkStart w:id="206" w:name="_Toc531140441"/>
      <w:r>
        <w:rPr>
          <w:rFonts w:hint="cs"/>
          <w:rtl/>
        </w:rPr>
        <w:t>דרך</w:t>
      </w:r>
      <w:r w:rsidRPr="00D16EEE">
        <w:rPr>
          <w:rFonts w:hint="cs"/>
          <w:rtl/>
        </w:rPr>
        <w:t xml:space="preserve"> ביאור</w:t>
      </w:r>
      <w:r>
        <w:rPr>
          <w:rFonts w:hint="cs"/>
          <w:rtl/>
        </w:rPr>
        <w:t>י</w:t>
      </w:r>
      <w:r w:rsidRPr="00D16EEE">
        <w:rPr>
          <w:rFonts w:hint="cs"/>
          <w:rtl/>
        </w:rPr>
        <w:t xml:space="preserve"> הכתובים, בספר "תורה אור"</w:t>
      </w:r>
      <w:bookmarkEnd w:id="206"/>
    </w:p>
    <w:p w14:paraId="141E6090" w14:textId="77777777" w:rsidR="00423C6D" w:rsidRPr="00D16EEE" w:rsidRDefault="00423C6D" w:rsidP="00C40DBA">
      <w:pPr>
        <w:pStyle w:val="a0"/>
        <w:rPr>
          <w:rtl/>
        </w:rPr>
      </w:pPr>
      <w:bookmarkStart w:id="207" w:name="_Toc531140442"/>
      <w:r w:rsidRPr="00D16EEE">
        <w:rPr>
          <w:rFonts w:hint="cs"/>
          <w:rtl/>
          <w:lang w:bidi="he-IL"/>
        </w:rPr>
        <w:t>הרב אליהו מטוסוב</w:t>
      </w:r>
      <w:bookmarkEnd w:id="207"/>
    </w:p>
    <w:p w14:paraId="6C6B2A1C" w14:textId="77777777" w:rsidR="00423C6D" w:rsidRPr="00D16EEE" w:rsidRDefault="00423C6D" w:rsidP="00C40DBA">
      <w:pPr>
        <w:pStyle w:val="a1"/>
        <w:rPr>
          <w:rtl/>
        </w:rPr>
      </w:pPr>
      <w:r w:rsidRPr="00D16EEE">
        <w:rPr>
          <w:rFonts w:hint="cs"/>
          <w:rtl/>
        </w:rPr>
        <w:t>מערכת "אוצר החסידים"</w:t>
      </w:r>
    </w:p>
    <w:p w14:paraId="663B5E0B" w14:textId="77777777" w:rsidR="00423C6D" w:rsidRDefault="00423C6D" w:rsidP="00C40DBA">
      <w:pPr>
        <w:pStyle w:val="a2"/>
        <w:rPr>
          <w:rtl/>
        </w:rPr>
      </w:pPr>
      <w:r>
        <w:rPr>
          <w:rFonts w:hint="cs"/>
          <w:rtl/>
        </w:rPr>
        <w:t>בתו"א דרושים למג"א צג, א, ז"ל:</w:t>
      </w:r>
      <w:r w:rsidRPr="00F81328">
        <w:rPr>
          <w:rFonts w:ascii="Arial" w:hAnsi="Arial"/>
        </w:rPr>
        <w:t xml:space="preserve"> </w:t>
      </w:r>
      <w:r w:rsidRPr="00746103">
        <w:rPr>
          <w:rtl/>
        </w:rPr>
        <w:t>ומרדכי יצא מלפני המלך בלבוש היינו על ידי ש"ס</w:t>
      </w:r>
      <w:r w:rsidRPr="00746103">
        <w:rPr>
          <w:rFonts w:hint="cs"/>
          <w:rtl/>
        </w:rPr>
        <w:t xml:space="preserve"> [ששה סדרים],</w:t>
      </w:r>
      <w:r w:rsidRPr="00746103">
        <w:rPr>
          <w:rtl/>
        </w:rPr>
        <w:t xml:space="preserve"> מלכות זה סדר זרעים כמ"ש כי כארץ תוציא צמחה וכתיב אמת מארץ תצמח</w:t>
      </w:r>
      <w:r>
        <w:rPr>
          <w:rFonts w:hint="cs"/>
          <w:rtl/>
        </w:rPr>
        <w:t xml:space="preserve"> [וארץ הוא בחינת המלכות]</w:t>
      </w:r>
      <w:r w:rsidRPr="00746103">
        <w:rPr>
          <w:rFonts w:hint="cs"/>
          <w:rtl/>
        </w:rPr>
        <w:t xml:space="preserve">, </w:t>
      </w:r>
      <w:r w:rsidRPr="00746103">
        <w:rPr>
          <w:rtl/>
        </w:rPr>
        <w:t>תכלת זה סדר מועד לשון זמן</w:t>
      </w:r>
      <w:r w:rsidRPr="00746103">
        <w:rPr>
          <w:rFonts w:hint="cs"/>
          <w:rtl/>
        </w:rPr>
        <w:t>,</w:t>
      </w:r>
      <w:r w:rsidRPr="00746103">
        <w:rPr>
          <w:rtl/>
        </w:rPr>
        <w:t xml:space="preserve"> וחור זה סדר נשים</w:t>
      </w:r>
      <w:r w:rsidRPr="00746103">
        <w:rPr>
          <w:rFonts w:hint="cs"/>
          <w:rtl/>
        </w:rPr>
        <w:t>,</w:t>
      </w:r>
      <w:r w:rsidRPr="00746103">
        <w:rPr>
          <w:rtl/>
        </w:rPr>
        <w:t xml:space="preserve"> ועטרת זהב גדולה זה סדר נזיקין</w:t>
      </w:r>
      <w:r w:rsidRPr="00746103">
        <w:rPr>
          <w:rFonts w:hint="cs"/>
          <w:rtl/>
        </w:rPr>
        <w:t>,</w:t>
      </w:r>
      <w:r w:rsidRPr="00746103">
        <w:rPr>
          <w:rtl/>
        </w:rPr>
        <w:t xml:space="preserve"> ותכריך בוץ לשון בד זה סדר קדשים</w:t>
      </w:r>
      <w:r w:rsidRPr="00746103">
        <w:rPr>
          <w:rFonts w:hint="cs"/>
          <w:rtl/>
        </w:rPr>
        <w:t>,</w:t>
      </w:r>
      <w:r w:rsidRPr="00746103">
        <w:rPr>
          <w:rtl/>
        </w:rPr>
        <w:t xml:space="preserve"> וארגמן זה סדר טהרות שלפי שיש בה כמה גוונים</w:t>
      </w:r>
      <w:r>
        <w:rPr>
          <w:rFonts w:hint="cs"/>
          <w:rtl/>
        </w:rPr>
        <w:t>.</w:t>
      </w:r>
    </w:p>
    <w:p w14:paraId="0E93BF2A" w14:textId="77777777" w:rsidR="00423C6D" w:rsidRDefault="00423C6D" w:rsidP="00C40DBA">
      <w:pPr>
        <w:pStyle w:val="a2"/>
        <w:rPr>
          <w:rtl/>
        </w:rPr>
      </w:pPr>
      <w:r>
        <w:rPr>
          <w:rFonts w:hint="cs"/>
          <w:rtl/>
        </w:rPr>
        <w:t xml:space="preserve">הנה יש כאן חידוש מאדמו"ר הזקן, בפירוש הכתוב "ומרדכי יצא מלפני מלך בלבוש מלכות תכלת וחור ועטרת זהב גדולה ותכריך בוץ וארגמן", שהוא רומז על </w:t>
      </w:r>
      <w:r>
        <w:rPr>
          <w:rFonts w:hint="cs"/>
          <w:rtl/>
        </w:rPr>
        <w:lastRenderedPageBreak/>
        <w:t>ששה סדרי משנה.</w:t>
      </w:r>
    </w:p>
    <w:p w14:paraId="551968B3" w14:textId="77777777" w:rsidR="00423C6D" w:rsidRPr="00FE22C5" w:rsidRDefault="00423C6D" w:rsidP="00C40DBA">
      <w:pPr>
        <w:pStyle w:val="11"/>
        <w:bidi/>
        <w:rPr>
          <w:rtl/>
        </w:rPr>
      </w:pPr>
      <w:r w:rsidRPr="00FE22C5">
        <w:rPr>
          <w:rFonts w:hint="cs"/>
          <w:rtl/>
        </w:rPr>
        <w:t>ומרדכי יצא, חמשה או ששה לבושים</w:t>
      </w:r>
    </w:p>
    <w:p w14:paraId="4AD28EF1" w14:textId="77777777" w:rsidR="00423C6D" w:rsidRDefault="00423C6D" w:rsidP="00C40DBA">
      <w:pPr>
        <w:pStyle w:val="a2"/>
        <w:rPr>
          <w:rtl/>
        </w:rPr>
      </w:pPr>
      <w:r>
        <w:rPr>
          <w:rFonts w:hint="cs"/>
          <w:rtl/>
        </w:rPr>
        <w:t>ושאלני על זה חכם אחד (ידידי הרי"ר שי' מהיכל מנחם בארא פארק): בתו"א סד"ה ומרדכי יצא גו' שהם ששה סדרי משנה. נשאלתי שהרי ארז"ל במגילה שהם נגד חמש חליפות שמלות דבנימין, שע"פ זה לבוש מלכות הוא כלל (ולא מפרטי חמשת הלבושים).</w:t>
      </w:r>
    </w:p>
    <w:p w14:paraId="0AC28D52" w14:textId="77777777" w:rsidR="00423C6D" w:rsidRPr="006538DC" w:rsidRDefault="00423C6D" w:rsidP="00C40DBA">
      <w:pPr>
        <w:pStyle w:val="11"/>
        <w:bidi/>
        <w:rPr>
          <w:rtl/>
        </w:rPr>
      </w:pPr>
      <w:r w:rsidRPr="006538DC">
        <w:rPr>
          <w:rFonts w:hint="cs"/>
          <w:rtl/>
        </w:rPr>
        <w:t>אם "לבוש מלכות" הוא ענין בפני עצמו</w:t>
      </w:r>
    </w:p>
    <w:p w14:paraId="64B42721" w14:textId="77777777" w:rsidR="00423C6D" w:rsidRDefault="00423C6D" w:rsidP="00C40DBA">
      <w:pPr>
        <w:pStyle w:val="a2"/>
        <w:rPr>
          <w:rtl/>
        </w:rPr>
      </w:pPr>
      <w:r>
        <w:rPr>
          <w:rFonts w:hint="cs"/>
          <w:rtl/>
        </w:rPr>
        <w:t>והתירוץ ע"ז הוא פשוט לענ"ד, כי בפשטות הפסוקים אכן נמנו רק חמשה לבושים (החל מן תכלת וחור כו'), ובזה קאי בגמ' מגילה ובמדרשים כו'.</w:t>
      </w:r>
    </w:p>
    <w:p w14:paraId="6E4DFA7F" w14:textId="77777777" w:rsidR="00423C6D" w:rsidRDefault="00423C6D" w:rsidP="00C40DBA">
      <w:pPr>
        <w:pStyle w:val="a2"/>
        <w:rPr>
          <w:rtl/>
        </w:rPr>
      </w:pPr>
      <w:r>
        <w:rPr>
          <w:rFonts w:hint="cs"/>
          <w:rtl/>
        </w:rPr>
        <w:t>אולם במאמר שמפרש את הכתוב בדרך רמז דרוש וסוד, ושם נמנה גם "לבוש מלכות" כענין בפני עצמו, שאינו בא רק בתור הקדמה כללית לחמשת הלבושים שלאחריו.</w:t>
      </w:r>
    </w:p>
    <w:p w14:paraId="408FCE5A" w14:textId="5CBA9C96" w:rsidR="00423C6D" w:rsidRDefault="00C40DBA" w:rsidP="001E75C9">
      <w:pPr>
        <w:pStyle w:val="11"/>
        <w:spacing w:before="0" w:after="0"/>
        <w:rPr>
          <w:rtl/>
        </w:rPr>
      </w:pPr>
      <w:r>
        <w:t>*</w:t>
      </w:r>
    </w:p>
    <w:p w14:paraId="67EC220B" w14:textId="77777777" w:rsidR="00423C6D" w:rsidRPr="00FE22C5" w:rsidRDefault="00423C6D" w:rsidP="001E75C9">
      <w:pPr>
        <w:pStyle w:val="11"/>
        <w:bidi/>
        <w:spacing w:before="0"/>
        <w:rPr>
          <w:rtl/>
        </w:rPr>
      </w:pPr>
      <w:r w:rsidRPr="00FE22C5">
        <w:rPr>
          <w:rFonts w:hint="cs"/>
          <w:rtl/>
        </w:rPr>
        <w:t>בתו"א: ועטרת זהב גדולה זה סדר נזיקין</w:t>
      </w:r>
    </w:p>
    <w:p w14:paraId="68E2E78B" w14:textId="77777777" w:rsidR="00423C6D" w:rsidRDefault="00423C6D" w:rsidP="00C40DBA">
      <w:pPr>
        <w:pStyle w:val="a2"/>
        <w:rPr>
          <w:rtl/>
        </w:rPr>
      </w:pPr>
      <w:r>
        <w:rPr>
          <w:rFonts w:hint="cs"/>
          <w:rtl/>
        </w:rPr>
        <w:t>מה שיש לעיין, הוא בפרטי הדברים שפירש רבינו הזקן על פסוק זה, שהלבושים הנזכרים כאן הם לפי סדר הששה סדרים. ונעמוד כאן על אחת מהם.</w:t>
      </w:r>
    </w:p>
    <w:p w14:paraId="63D9C0BF" w14:textId="77777777" w:rsidR="00423C6D" w:rsidRDefault="00423C6D" w:rsidP="00C40DBA">
      <w:pPr>
        <w:pStyle w:val="a2"/>
        <w:rPr>
          <w:rtl/>
        </w:rPr>
      </w:pPr>
      <w:r>
        <w:rPr>
          <w:rFonts w:hint="cs"/>
          <w:rtl/>
        </w:rPr>
        <w:t>בתו"א כותב בקיצור "</w:t>
      </w:r>
      <w:r w:rsidRPr="00294BB7">
        <w:rPr>
          <w:rFonts w:hint="cs"/>
          <w:b/>
          <w:bCs/>
          <w:rtl/>
        </w:rPr>
        <w:t>ועטרת זהב גדולה זה סדר נזיקין</w:t>
      </w:r>
      <w:r>
        <w:rPr>
          <w:rFonts w:hint="cs"/>
          <w:rtl/>
        </w:rPr>
        <w:t>", ואינו מפרש מהו הקשר ד"עטרת זהב גדולה" לסדר נזיקין.</w:t>
      </w:r>
    </w:p>
    <w:p w14:paraId="33C445E4" w14:textId="77777777" w:rsidR="00423C6D" w:rsidRDefault="00423C6D" w:rsidP="00C40DBA">
      <w:pPr>
        <w:pStyle w:val="a2"/>
        <w:rPr>
          <w:rtl/>
        </w:rPr>
      </w:pPr>
      <w:r>
        <w:rPr>
          <w:rFonts w:hint="cs"/>
          <w:rtl/>
        </w:rPr>
        <w:t>ובד"ה ומרדכי יצא תשכ"ט (סה"מ תורת מנחם תשכ"ט ע' קמה) מוסיף ביאור על זה:</w:t>
      </w:r>
      <w:r w:rsidRPr="006859C6">
        <w:rPr>
          <w:rtl/>
        </w:rPr>
        <w:t xml:space="preserve"> </w:t>
      </w:r>
      <w:r>
        <w:rPr>
          <w:rFonts w:hint="cs"/>
          <w:rtl/>
        </w:rPr>
        <w:t>"</w:t>
      </w:r>
      <w:r w:rsidRPr="00294BB7">
        <w:rPr>
          <w:rFonts w:hint="cs"/>
          <w:b/>
          <w:bCs/>
          <w:rtl/>
        </w:rPr>
        <w:t xml:space="preserve">ועטרת זהב גדולה (ענין הכתר) זה סדר נזיקין, כמארז"ל </w:t>
      </w:r>
      <w:r w:rsidRPr="00294BB7">
        <w:rPr>
          <w:rFonts w:hint="cs"/>
          <w:rtl/>
        </w:rPr>
        <w:t>[ב"ב קעה, ב במשנה. ברכות סג, ב]</w:t>
      </w:r>
      <w:r w:rsidRPr="00294BB7">
        <w:rPr>
          <w:rFonts w:hint="cs"/>
          <w:b/>
          <w:bCs/>
          <w:rtl/>
        </w:rPr>
        <w:t xml:space="preserve"> הרוצה שיחכים יעסוק בדיני ממונות</w:t>
      </w:r>
      <w:r>
        <w:rPr>
          <w:rFonts w:hint="cs"/>
          <w:rtl/>
        </w:rPr>
        <w:t>. ע"כ בתשכ"ט.</w:t>
      </w:r>
    </w:p>
    <w:p w14:paraId="0BBA01E4" w14:textId="77777777" w:rsidR="00423C6D" w:rsidRDefault="00423C6D" w:rsidP="00C40DBA">
      <w:pPr>
        <w:pStyle w:val="a2"/>
        <w:rPr>
          <w:rtl/>
        </w:rPr>
      </w:pPr>
      <w:r>
        <w:rPr>
          <w:rFonts w:hint="cs"/>
          <w:rtl/>
        </w:rPr>
        <w:t>[כאן נרשם בקיצור, ואינו מפרש הקשר של הרוצה שיחכים כו' לענין הכתר.</w:t>
      </w:r>
    </w:p>
    <w:p w14:paraId="79E734EF" w14:textId="77777777" w:rsidR="00423C6D" w:rsidRDefault="00423C6D" w:rsidP="00C40DBA">
      <w:pPr>
        <w:pStyle w:val="a2"/>
        <w:rPr>
          <w:rtl/>
        </w:rPr>
      </w:pPr>
      <w:r>
        <w:rPr>
          <w:rFonts w:hint="cs"/>
          <w:rtl/>
        </w:rPr>
        <w:t>ואפשר הפי' כי פנימיות החכמה קשורה עם ספירת הכתר, ועל כן חכמה דסדר נזיקין קשורה עם עטרת זהב גדולה].</w:t>
      </w:r>
    </w:p>
    <w:p w14:paraId="35E69C00" w14:textId="77777777" w:rsidR="00423C6D" w:rsidRDefault="00423C6D" w:rsidP="00C40DBA">
      <w:pPr>
        <w:pStyle w:val="a2"/>
        <w:rPr>
          <w:rtl/>
        </w:rPr>
      </w:pPr>
      <w:r>
        <w:rPr>
          <w:rFonts w:hint="cs"/>
          <w:rtl/>
        </w:rPr>
        <w:t>וראה סה"מ תקס"ב ח"ב ע' תקמט (בענין ר' יהודה דכל תנויי הוה בנזיקין</w:t>
      </w:r>
      <w:r w:rsidRPr="00D24667">
        <w:rPr>
          <w:rtl/>
        </w:rPr>
        <w:t xml:space="preserve"> כו'</w:t>
      </w:r>
      <w:r>
        <w:rPr>
          <w:rFonts w:hint="cs"/>
          <w:rtl/>
        </w:rPr>
        <w:t>, ברכות כ, א):</w:t>
      </w:r>
      <w:r w:rsidRPr="00D24667">
        <w:rPr>
          <w:rtl/>
        </w:rPr>
        <w:t xml:space="preserve"> </w:t>
      </w:r>
      <w:r w:rsidRPr="00FF37EE">
        <w:rPr>
          <w:b/>
          <w:bCs/>
          <w:rtl/>
        </w:rPr>
        <w:t xml:space="preserve">שהי' תורתו אומנתו וכל עסקו הי' בסדר נזיקין שהיא בחי' נצח ענף של </w:t>
      </w:r>
      <w:r w:rsidRPr="00FF37EE">
        <w:rPr>
          <w:b/>
          <w:bCs/>
          <w:rtl/>
        </w:rPr>
        <w:lastRenderedPageBreak/>
        <w:t>חכמה כמארז"ל הרוצה שיחכים יעסוק בדיני ממונות כי בחכמ</w:t>
      </w:r>
      <w:r w:rsidRPr="00FF37EE">
        <w:rPr>
          <w:rFonts w:hint="cs"/>
          <w:b/>
          <w:bCs/>
          <w:rtl/>
        </w:rPr>
        <w:t>ה</w:t>
      </w:r>
      <w:r w:rsidRPr="00FF37EE">
        <w:rPr>
          <w:b/>
          <w:bCs/>
          <w:rtl/>
        </w:rPr>
        <w:t xml:space="preserve"> אתברירו כו' ולכך לא שלט בי' יצה"ר מפני שהי' מרכב</w:t>
      </w:r>
      <w:r w:rsidRPr="00FF37EE">
        <w:rPr>
          <w:rFonts w:hint="cs"/>
          <w:b/>
          <w:bCs/>
          <w:rtl/>
        </w:rPr>
        <w:t>ה</w:t>
      </w:r>
      <w:r w:rsidRPr="00FF37EE">
        <w:rPr>
          <w:b/>
          <w:bCs/>
          <w:rtl/>
        </w:rPr>
        <w:t xml:space="preserve"> לחכמ</w:t>
      </w:r>
      <w:r w:rsidRPr="00FF37EE">
        <w:rPr>
          <w:rFonts w:hint="cs"/>
          <w:b/>
          <w:bCs/>
          <w:rtl/>
        </w:rPr>
        <w:t>ה</w:t>
      </w:r>
      <w:r w:rsidRPr="00FF37EE">
        <w:rPr>
          <w:b/>
          <w:bCs/>
          <w:rtl/>
        </w:rPr>
        <w:t xml:space="preserve"> עילאה </w:t>
      </w:r>
      <w:r w:rsidRPr="00FF37EE">
        <w:rPr>
          <w:rFonts w:hint="cs"/>
          <w:b/>
          <w:bCs/>
          <w:rtl/>
        </w:rPr>
        <w:t xml:space="preserve">כו' ענין יראה עילאה כו', </w:t>
      </w:r>
      <w:r w:rsidRPr="00FF37EE">
        <w:rPr>
          <w:b/>
          <w:bCs/>
          <w:rtl/>
        </w:rPr>
        <w:t>מפני שהכת"ר הוא למעלה מן הי"ס לכך הוא משיג יותר הביטול איך שאין ערך אליו</w:t>
      </w:r>
      <w:r>
        <w:rPr>
          <w:rFonts w:hint="cs"/>
          <w:rtl/>
        </w:rPr>
        <w:t xml:space="preserve"> כו'. וע"ש סה"מ תקס"ב ח"א ע' ל.</w:t>
      </w:r>
    </w:p>
    <w:p w14:paraId="6AFB8A7B" w14:textId="77777777" w:rsidR="00423C6D" w:rsidRDefault="00423C6D" w:rsidP="00C40DBA">
      <w:pPr>
        <w:pStyle w:val="a2"/>
        <w:rPr>
          <w:rtl/>
        </w:rPr>
      </w:pPr>
      <w:r>
        <w:rPr>
          <w:rFonts w:hint="cs"/>
          <w:rtl/>
        </w:rPr>
        <w:t xml:space="preserve">ובסה"מ תרל"ט ח"א ע' לז: </w:t>
      </w:r>
      <w:r w:rsidRPr="00B0130F">
        <w:rPr>
          <w:rtl/>
        </w:rPr>
        <w:t>וכן דיני ממונות הם בסדר נזיקין שהרוצה שיחכם יעסוק בדיני ממונות וע"י היותו מחכים הנה בחכ' אתברירו להציל העשוק מיד עושקו שזהו עיקר ענין דיני ממונות להיות עושה משפט לעשוקים כו'</w:t>
      </w:r>
      <w:r>
        <w:rPr>
          <w:rFonts w:hint="cs"/>
          <w:rtl/>
        </w:rPr>
        <w:t>.</w:t>
      </w:r>
    </w:p>
    <w:p w14:paraId="4EFC92C2" w14:textId="77777777" w:rsidR="00423C6D" w:rsidRDefault="00423C6D" w:rsidP="00C40DBA">
      <w:pPr>
        <w:pStyle w:val="a2"/>
        <w:rPr>
          <w:rtl/>
        </w:rPr>
      </w:pPr>
      <w:r>
        <w:rPr>
          <w:rFonts w:hint="cs"/>
          <w:rtl/>
        </w:rPr>
        <w:t>[ובכללות הענין, ראה מאמרי אדהאמ"צ בראשית ע' כג דעטרת זהב הוא בחי' תורה שבע"פ והוא פנימיות כתר עליון כו'. ובאוה"ת מגלת אסתר ע' קמט: וענין ועטרת זהב גדולה זהו ענין ועטרותיהם בראשיהם כו' הנמשכים מבחי' כתר מלכות בראשו כו'].</w:t>
      </w:r>
    </w:p>
    <w:p w14:paraId="4A9702E7" w14:textId="77777777" w:rsidR="00423C6D" w:rsidRPr="00FE22C5" w:rsidRDefault="00423C6D" w:rsidP="00C40DBA">
      <w:pPr>
        <w:pStyle w:val="11"/>
        <w:bidi/>
        <w:rPr>
          <w:rtl/>
        </w:rPr>
      </w:pPr>
      <w:r w:rsidRPr="00FE22C5">
        <w:rPr>
          <w:rFonts w:hint="cs"/>
          <w:rtl/>
        </w:rPr>
        <w:t>עטרת זהב גדולה, תיקון אבות נזיקין</w:t>
      </w:r>
    </w:p>
    <w:p w14:paraId="1E573D60" w14:textId="77777777" w:rsidR="00423C6D" w:rsidRDefault="00423C6D" w:rsidP="00C40DBA">
      <w:pPr>
        <w:pStyle w:val="a2"/>
        <w:rPr>
          <w:rtl/>
        </w:rPr>
      </w:pPr>
      <w:r>
        <w:rPr>
          <w:rFonts w:hint="cs"/>
          <w:rtl/>
        </w:rPr>
        <w:t>אמנם לכאורה יש בכל זה עוד ענין, שאפשר מחמת הקיצור לא נזכר בד"ה ומרדכי יצא תשכ"ט, והוא מה שמבואר במקומות רבים בדרושי אדה"ז כו', בענין אבות נזיקין (כתר דקליפה) שבירורם הוא ע"י התורה בחי' תפארת (שעולה עד הכתר כו'),</w:t>
      </w:r>
    </w:p>
    <w:p w14:paraId="13DA3D1B" w14:textId="77777777" w:rsidR="00423C6D" w:rsidRDefault="00423C6D" w:rsidP="00C40DBA">
      <w:pPr>
        <w:pStyle w:val="a2"/>
        <w:rPr>
          <w:rtl/>
        </w:rPr>
      </w:pPr>
      <w:r>
        <w:rPr>
          <w:rFonts w:hint="cs"/>
          <w:rtl/>
        </w:rPr>
        <w:t xml:space="preserve">וז"ל באוה"ת משפטים ע' א'פג: </w:t>
      </w:r>
      <w:r w:rsidRPr="00AE2166">
        <w:rPr>
          <w:b/>
          <w:bCs/>
          <w:rtl/>
        </w:rPr>
        <w:t>ועוד י"ל בענין מאן דבעי למהוי חסידא כו' כי עי"ז נעשה לאכללא שמאלא בימינא שהרי ארבעה אבות נזיקין השור כו' כולם נשתלשלו מסיגי הגבורות מב</w:t>
      </w:r>
      <w:r w:rsidRPr="00AE2166">
        <w:rPr>
          <w:rFonts w:hint="cs"/>
          <w:b/>
          <w:bCs/>
          <w:rtl/>
        </w:rPr>
        <w:t>חי</w:t>
      </w:r>
      <w:r w:rsidRPr="00AE2166">
        <w:rPr>
          <w:b/>
          <w:bCs/>
          <w:rtl/>
        </w:rPr>
        <w:t>' פני שור מהשמאל וכשמקיים מילי דנזיקין נעשה לאכללא שמאלא בימינא</w:t>
      </w:r>
      <w:r w:rsidRPr="00AE2166">
        <w:rPr>
          <w:rFonts w:hint="cs"/>
          <w:b/>
          <w:bCs/>
          <w:rtl/>
        </w:rPr>
        <w:t>,</w:t>
      </w:r>
      <w:r w:rsidRPr="00AE2166">
        <w:rPr>
          <w:b/>
          <w:bCs/>
          <w:rtl/>
        </w:rPr>
        <w:t xml:space="preserve"> וע' מענין ד' אבות נזיקין ברע"מ פ' משפטים דקי"</w:t>
      </w:r>
      <w:r w:rsidRPr="00AE2166">
        <w:rPr>
          <w:rFonts w:hint="cs"/>
          <w:b/>
          <w:bCs/>
          <w:rtl/>
        </w:rPr>
        <w:t>ח,</w:t>
      </w:r>
      <w:r w:rsidRPr="00AE2166">
        <w:rPr>
          <w:b/>
          <w:bCs/>
          <w:rtl/>
        </w:rPr>
        <w:t xml:space="preserve"> ובמא"א אות ד' סל"ב כ' שהם ח</w:t>
      </w:r>
      <w:r w:rsidRPr="00AE2166">
        <w:rPr>
          <w:rFonts w:hint="cs"/>
          <w:b/>
          <w:bCs/>
          <w:rtl/>
        </w:rPr>
        <w:t>כמה ובינה תפארת ומלכות</w:t>
      </w:r>
      <w:r w:rsidRPr="00AE2166">
        <w:rPr>
          <w:b/>
          <w:bCs/>
          <w:rtl/>
        </w:rPr>
        <w:t xml:space="preserve"> דקליפה עון משחית אף וחימה עכ"ל</w:t>
      </w:r>
      <w:r w:rsidRPr="00AE2166">
        <w:rPr>
          <w:rFonts w:hint="cs"/>
          <w:b/>
          <w:bCs/>
          <w:rtl/>
        </w:rPr>
        <w:t>,</w:t>
      </w:r>
      <w:r w:rsidRPr="00AE2166">
        <w:rPr>
          <w:b/>
          <w:bCs/>
          <w:rtl/>
        </w:rPr>
        <w:t xml:space="preserve"> וכ"כ בשל"ה ס"פ משפטים</w:t>
      </w:r>
      <w:r w:rsidRPr="00AE2166">
        <w:rPr>
          <w:rFonts w:hint="cs"/>
          <w:b/>
          <w:bCs/>
          <w:rtl/>
        </w:rPr>
        <w:t>,</w:t>
      </w:r>
      <w:r w:rsidRPr="00AE2166">
        <w:rPr>
          <w:b/>
          <w:bCs/>
          <w:rtl/>
        </w:rPr>
        <w:t xml:space="preserve"> והנה ע"י מה נעשה לאכללא שמאלא כו' זהו ע"י ת</w:t>
      </w:r>
      <w:r w:rsidRPr="00AE2166">
        <w:rPr>
          <w:rFonts w:hint="cs"/>
          <w:b/>
          <w:bCs/>
          <w:rtl/>
        </w:rPr>
        <w:t>פארת</w:t>
      </w:r>
      <w:r w:rsidRPr="00AE2166">
        <w:rPr>
          <w:b/>
          <w:bCs/>
          <w:rtl/>
        </w:rPr>
        <w:t xml:space="preserve"> קו האמצעי</w:t>
      </w:r>
      <w:r w:rsidRPr="00AE2166">
        <w:rPr>
          <w:rFonts w:hint="cs"/>
          <w:b/>
          <w:bCs/>
          <w:rtl/>
        </w:rPr>
        <w:t>...</w:t>
      </w:r>
      <w:r w:rsidRPr="00AE2166">
        <w:rPr>
          <w:b/>
          <w:bCs/>
          <w:rtl/>
        </w:rPr>
        <w:t xml:space="preserve"> ולכן נק' התורה שלום </w:t>
      </w:r>
      <w:r w:rsidRPr="00AE2166">
        <w:rPr>
          <w:rFonts w:hint="cs"/>
          <w:b/>
          <w:bCs/>
          <w:rtl/>
        </w:rPr>
        <w:t>וזהו</w:t>
      </w:r>
      <w:r w:rsidRPr="00AE2166">
        <w:rPr>
          <w:b/>
          <w:bCs/>
          <w:rtl/>
        </w:rPr>
        <w:t xml:space="preserve"> פדה בשלום נפשי שהיא התו</w:t>
      </w:r>
      <w:r w:rsidRPr="00AE2166">
        <w:rPr>
          <w:rFonts w:hint="cs"/>
          <w:b/>
          <w:bCs/>
          <w:rtl/>
        </w:rPr>
        <w:t>ר</w:t>
      </w:r>
      <w:r w:rsidRPr="00AE2166">
        <w:rPr>
          <w:b/>
          <w:bCs/>
          <w:rtl/>
        </w:rPr>
        <w:t>ה מקרב לי</w:t>
      </w:r>
      <w:r w:rsidRPr="00AE2166">
        <w:rPr>
          <w:rFonts w:hint="cs"/>
          <w:b/>
          <w:bCs/>
          <w:rtl/>
        </w:rPr>
        <w:t>...</w:t>
      </w:r>
      <w:r w:rsidRPr="00AE2166">
        <w:rPr>
          <w:b/>
          <w:bCs/>
          <w:rtl/>
        </w:rPr>
        <w:t xml:space="preserve"> גם ארז"ל ע"פ והי' אמונת עתך חוסן ישועות</w:t>
      </w:r>
      <w:r w:rsidRPr="00AE2166">
        <w:rPr>
          <w:rFonts w:hint="cs"/>
          <w:b/>
          <w:bCs/>
          <w:rtl/>
        </w:rPr>
        <w:t>,</w:t>
      </w:r>
      <w:r w:rsidRPr="00AE2166">
        <w:rPr>
          <w:b/>
          <w:bCs/>
          <w:rtl/>
        </w:rPr>
        <w:t xml:space="preserve"> ישועות זה סדר נזיקין כו'</w:t>
      </w:r>
      <w:r w:rsidRPr="00AE2166">
        <w:rPr>
          <w:rFonts w:hint="cs"/>
          <w:b/>
          <w:bCs/>
          <w:rtl/>
        </w:rPr>
        <w:t>,</w:t>
      </w:r>
      <w:r w:rsidRPr="00AE2166">
        <w:rPr>
          <w:b/>
          <w:bCs/>
          <w:rtl/>
        </w:rPr>
        <w:t xml:space="preserve"> וזהו שמרו משפט כו' כי קרובה ישועתי לבוא אשר ישועות ה</w:t>
      </w:r>
      <w:r w:rsidRPr="00AE2166">
        <w:rPr>
          <w:rFonts w:hint="cs"/>
          <w:b/>
          <w:bCs/>
          <w:rtl/>
        </w:rPr>
        <w:t>' גבורות</w:t>
      </w:r>
      <w:r w:rsidRPr="00AE2166">
        <w:rPr>
          <w:b/>
          <w:bCs/>
          <w:rtl/>
        </w:rPr>
        <w:t xml:space="preserve"> ממותקות נמשכי' ע"י המשפט כו' והיינו כי כדי להיות ויתן עוז למלכו צ"ל תחלה יחתו מריביו</w:t>
      </w:r>
      <w:r w:rsidRPr="00E14403">
        <w:rPr>
          <w:rtl/>
        </w:rPr>
        <w:t xml:space="preserve"> </w:t>
      </w:r>
      <w:r>
        <w:rPr>
          <w:rFonts w:hint="cs"/>
          <w:rtl/>
        </w:rPr>
        <w:t>כו'.</w:t>
      </w:r>
    </w:p>
    <w:p w14:paraId="3666F53F" w14:textId="77777777" w:rsidR="00423C6D" w:rsidRDefault="00423C6D" w:rsidP="00C40DBA">
      <w:pPr>
        <w:pStyle w:val="a2"/>
        <w:rPr>
          <w:rtl/>
        </w:rPr>
      </w:pPr>
      <w:r>
        <w:rPr>
          <w:rFonts w:hint="cs"/>
          <w:rtl/>
        </w:rPr>
        <w:t xml:space="preserve">ובאוה"ת שם ע' א'צג: </w:t>
      </w:r>
      <w:r w:rsidRPr="00AE2166">
        <w:rPr>
          <w:b/>
          <w:bCs/>
          <w:rtl/>
        </w:rPr>
        <w:t>והענין דחנה בתו"א בד"ה מי כה' אלקינו בענין רב יהודה רכולי תנויי בנזיקין הוה לזכות את הזכאי ולחייב את החייב להפריד ביניהם בכדי להפריד החיצונים מהקדושה ויתפרדו כל פועלי און כו' ע"ש ובהביאור</w:t>
      </w:r>
      <w:r w:rsidRPr="00AE2166">
        <w:rPr>
          <w:rFonts w:hint="cs"/>
          <w:b/>
          <w:bCs/>
          <w:rtl/>
        </w:rPr>
        <w:t>,</w:t>
      </w:r>
      <w:r w:rsidRPr="00AE2166">
        <w:rPr>
          <w:b/>
          <w:bCs/>
          <w:rtl/>
        </w:rPr>
        <w:t xml:space="preserve"> ורצה להמשיך גם בנזיקין שהם מקום הקליפות שהם ארבעה אבות נזיקין שיהיה בלע המות לנצח </w:t>
      </w:r>
      <w:r w:rsidRPr="00AE2166">
        <w:rPr>
          <w:b/>
          <w:bCs/>
          <w:rtl/>
        </w:rPr>
        <w:lastRenderedPageBreak/>
        <w:t>וכמו שיהי' לע"ל</w:t>
      </w:r>
      <w:r w:rsidRPr="00DD3616">
        <w:rPr>
          <w:rtl/>
        </w:rPr>
        <w:t xml:space="preserve"> כו'</w:t>
      </w:r>
      <w:r>
        <w:rPr>
          <w:rFonts w:hint="cs"/>
          <w:rtl/>
        </w:rPr>
        <w:t>.</w:t>
      </w:r>
    </w:p>
    <w:p w14:paraId="26DB53D2" w14:textId="77777777" w:rsidR="00423C6D" w:rsidRDefault="00423C6D" w:rsidP="00C40DBA">
      <w:pPr>
        <w:pStyle w:val="a2"/>
        <w:rPr>
          <w:rtl/>
        </w:rPr>
      </w:pPr>
      <w:r>
        <w:rPr>
          <w:rFonts w:hint="cs"/>
          <w:rtl/>
        </w:rPr>
        <w:t xml:space="preserve">ובסה"מ תרכ"ז ע' תו: </w:t>
      </w:r>
      <w:r w:rsidRPr="00AE2166">
        <w:rPr>
          <w:rFonts w:hint="cs"/>
          <w:b/>
          <w:bCs/>
          <w:rtl/>
        </w:rPr>
        <w:t>ו</w:t>
      </w:r>
      <w:r w:rsidRPr="00AE2166">
        <w:rPr>
          <w:b/>
          <w:bCs/>
          <w:rtl/>
        </w:rPr>
        <w:t>לכן איתא בת"ז על כל דבר פשע על שור ועל חמור דא בבא קמא</w:t>
      </w:r>
      <w:r w:rsidRPr="00AE2166">
        <w:rPr>
          <w:rFonts w:hint="cs"/>
          <w:b/>
          <w:bCs/>
          <w:rtl/>
        </w:rPr>
        <w:t>,</w:t>
      </w:r>
      <w:r w:rsidRPr="00AE2166">
        <w:rPr>
          <w:b/>
          <w:bCs/>
          <w:rtl/>
        </w:rPr>
        <w:t xml:space="preserve"> על שה ועל שלמה דא בבא מציעא</w:t>
      </w:r>
      <w:r w:rsidRPr="00AE2166">
        <w:rPr>
          <w:rFonts w:hint="cs"/>
          <w:b/>
          <w:bCs/>
          <w:rtl/>
        </w:rPr>
        <w:t>,</w:t>
      </w:r>
      <w:r w:rsidRPr="00AE2166">
        <w:rPr>
          <w:b/>
          <w:bCs/>
          <w:rtl/>
        </w:rPr>
        <w:t xml:space="preserve"> על כל אבידה דא בבא ב</w:t>
      </w:r>
      <w:r w:rsidRPr="00AE2166">
        <w:rPr>
          <w:rFonts w:hint="cs"/>
          <w:b/>
          <w:bCs/>
          <w:rtl/>
        </w:rPr>
        <w:t>תר</w:t>
      </w:r>
      <w:r w:rsidRPr="00AE2166">
        <w:rPr>
          <w:b/>
          <w:bCs/>
          <w:rtl/>
        </w:rPr>
        <w:t>א</w:t>
      </w:r>
      <w:r w:rsidRPr="00AE2166">
        <w:rPr>
          <w:rFonts w:hint="cs"/>
          <w:b/>
          <w:bCs/>
          <w:rtl/>
        </w:rPr>
        <w:t>,</w:t>
      </w:r>
      <w:r w:rsidRPr="00AE2166">
        <w:rPr>
          <w:b/>
          <w:bCs/>
          <w:rtl/>
        </w:rPr>
        <w:t xml:space="preserve"> והיינו כי ע"י לימוד דינים עי"ז מציל העשוק מיד עשקו ולכן רב יהודה כולא תנויי בנזיקין הוה שע"י שלמד סדר נזיקין עי"ז הפריד והבדיל ביניהם להציל העשוק מיד עשקו להיות ויתפרדו כל פועלי און</w:t>
      </w:r>
      <w:r>
        <w:rPr>
          <w:rFonts w:hint="cs"/>
          <w:rtl/>
        </w:rPr>
        <w:t>. [ומציין שם לעוד מקומות בזה, וראה ס' השיחות תשנ"ב ח"ב ע' 370].</w:t>
      </w:r>
    </w:p>
    <w:p w14:paraId="472B6246" w14:textId="77777777" w:rsidR="00423C6D" w:rsidRDefault="00423C6D" w:rsidP="00C40DBA">
      <w:pPr>
        <w:pStyle w:val="a2"/>
        <w:rPr>
          <w:rtl/>
        </w:rPr>
      </w:pPr>
      <w:r>
        <w:rPr>
          <w:rFonts w:hint="cs"/>
          <w:rtl/>
        </w:rPr>
        <w:t xml:space="preserve">ועיין מזה עוד בתקו"ז בהקדמה (ה, ב): </w:t>
      </w:r>
      <w:r w:rsidRPr="00675863">
        <w:rPr>
          <w:rFonts w:hint="cs"/>
          <w:b/>
          <w:bCs/>
          <w:rtl/>
        </w:rPr>
        <w:t>ישועות איהי סדר נזיקין מסטרא דגבורה</w:t>
      </w:r>
      <w:r>
        <w:rPr>
          <w:rFonts w:hint="cs"/>
          <w:rtl/>
        </w:rPr>
        <w:t xml:space="preserve">. שער מאמרי רז"ל להאריז"ל ריש מס' ב"ק (ד"ה כיצד משלמת מה שנהנית): </w:t>
      </w:r>
      <w:r w:rsidRPr="00675863">
        <w:rPr>
          <w:rFonts w:hint="cs"/>
          <w:b/>
          <w:bCs/>
          <w:rtl/>
        </w:rPr>
        <w:t>ה</w:t>
      </w:r>
      <w:r w:rsidRPr="00675863">
        <w:rPr>
          <w:b/>
          <w:bCs/>
          <w:rtl/>
        </w:rPr>
        <w:t>נה הד' אבות נזיקין הם בקליפות והם כנגד אבות העליונים שהם בטהרה כי שור כנגד גבורה כדכתיב ופני שור מהשמאל</w:t>
      </w:r>
      <w:r>
        <w:rPr>
          <w:rFonts w:hint="cs"/>
          <w:rtl/>
        </w:rPr>
        <w:t xml:space="preserve"> כו'. אוה"ת חנוכה (כרך ה) תתקלג, ב (שם קשר דארבעה אבות נזיקין לחנוכה בענין כתבו לכם על קרן השור כו'). אוה"ת משפטים שם ע' א'קסה. אוה"ת דרושים לחגה"ש ע' פ (שם באורך על הגמ' שבת דל"א ישועות זה סדר נזיקין). וראה במובא ביהל אור להצ"צ ע' רלז.</w:t>
      </w:r>
      <w:r w:rsidRPr="000F65AB">
        <w:rPr>
          <w:rFonts w:hint="cs"/>
          <w:rtl/>
        </w:rPr>
        <w:t xml:space="preserve"> </w:t>
      </w:r>
      <w:r>
        <w:rPr>
          <w:rFonts w:hint="cs"/>
          <w:rtl/>
        </w:rPr>
        <w:t>סה"מ תרל"ט ח"א ע' לז שם. תר"מ ח"ב ע' תרפד. תורת מנחם חמ"ו ע' 260. ועוד.</w:t>
      </w:r>
    </w:p>
    <w:p w14:paraId="6666001A" w14:textId="77777777" w:rsidR="00423C6D" w:rsidRDefault="00423C6D" w:rsidP="00C40DBA">
      <w:pPr>
        <w:pStyle w:val="a2"/>
        <w:rPr>
          <w:rtl/>
        </w:rPr>
      </w:pPr>
      <w:r>
        <w:rPr>
          <w:rFonts w:hint="cs"/>
          <w:rtl/>
        </w:rPr>
        <w:t>וענין הזהב (עטרת זהב) הלא הוא קשור עם בירור הגבורות, עיין תניא פ"נ ובכ"מ [והוא מתקו"ז תיקון כ"ד (סד, ב) ועוד, ונדרש גם בזוהר ומובא הרבה ע"פ מצפון זהב יאתה].</w:t>
      </w:r>
    </w:p>
    <w:p w14:paraId="721EDC21" w14:textId="0541D523" w:rsidR="00423C6D" w:rsidRPr="00FE22C5" w:rsidRDefault="00423C6D" w:rsidP="00423C6D">
      <w:pPr>
        <w:pStyle w:val="11"/>
        <w:spacing w:before="0"/>
        <w:rPr>
          <w:rtl/>
        </w:rPr>
      </w:pPr>
      <w:r>
        <w:t>*</w:t>
      </w:r>
    </w:p>
    <w:p w14:paraId="24EFD367" w14:textId="77777777" w:rsidR="00423C6D" w:rsidRPr="00E05E38" w:rsidRDefault="00423C6D" w:rsidP="00C40DBA">
      <w:pPr>
        <w:pStyle w:val="11"/>
        <w:bidi/>
        <w:spacing w:before="0"/>
        <w:rPr>
          <w:rtl/>
        </w:rPr>
      </w:pPr>
      <w:r>
        <w:rPr>
          <w:rFonts w:hint="cs"/>
          <w:rtl/>
        </w:rPr>
        <w:t>חידושו של אדמו"ר הזקן, בפירוש הפסוקים ומאמרי חז"ל</w:t>
      </w:r>
    </w:p>
    <w:p w14:paraId="1F8DE22C" w14:textId="77777777" w:rsidR="00423C6D" w:rsidRPr="00E05E38" w:rsidRDefault="00423C6D" w:rsidP="00423C6D">
      <w:pPr>
        <w:pStyle w:val="a2"/>
        <w:rPr>
          <w:rtl/>
        </w:rPr>
      </w:pPr>
      <w:r w:rsidRPr="00E05E38">
        <w:rPr>
          <w:rFonts w:hint="cs"/>
          <w:rtl/>
        </w:rPr>
        <w:t xml:space="preserve">בכלל בתו"א ולקו"ת, הלא הוא כולו חידוש של רבינו הזקן של ביאור עניני פנימיות התורה ועבודת ה' בדרך חב"ד, </w:t>
      </w:r>
      <w:r>
        <w:rPr>
          <w:rFonts w:hint="cs"/>
          <w:rtl/>
        </w:rPr>
        <w:t>ו</w:t>
      </w:r>
      <w:r w:rsidRPr="00E05E38">
        <w:rPr>
          <w:rFonts w:hint="cs"/>
          <w:rtl/>
        </w:rPr>
        <w:t>הוא אמנם כולו מיוסד על פי ספרי האריז"ל ושאר ספרים קדמונים כו' אך כל זה בא בתוספת מרובה על העיקר.</w:t>
      </w:r>
    </w:p>
    <w:p w14:paraId="212A7DF7" w14:textId="77777777" w:rsidR="00423C6D" w:rsidRDefault="00423C6D" w:rsidP="00423C6D">
      <w:pPr>
        <w:pStyle w:val="a2"/>
        <w:rPr>
          <w:rtl/>
        </w:rPr>
      </w:pPr>
      <w:r w:rsidRPr="00E05E38">
        <w:rPr>
          <w:rFonts w:hint="cs"/>
          <w:rtl/>
        </w:rPr>
        <w:t>אך בענין פירושי הפסוקים ומארז"ל שבתו"א ולקו"ת שנמצא בכל דרוש ובכל פיסקא, יש בזה שני סוגים:</w:t>
      </w:r>
    </w:p>
    <w:p w14:paraId="762F273F" w14:textId="77777777" w:rsidR="00423C6D" w:rsidRDefault="00423C6D" w:rsidP="00423C6D">
      <w:pPr>
        <w:pStyle w:val="a2"/>
        <w:rPr>
          <w:rtl/>
        </w:rPr>
      </w:pPr>
      <w:r>
        <w:rPr>
          <w:rFonts w:hint="cs"/>
          <w:rtl/>
        </w:rPr>
        <w:t>א</w:t>
      </w:r>
      <w:r w:rsidRPr="00E05E38">
        <w:rPr>
          <w:rFonts w:hint="cs"/>
          <w:rtl/>
        </w:rPr>
        <w:t>) יש פעמים רבות שכל הפירוש הוא דרך חדש</w:t>
      </w:r>
      <w:r>
        <w:rPr>
          <w:rFonts w:hint="cs"/>
          <w:rtl/>
        </w:rPr>
        <w:t xml:space="preserve"> בעיקרו (אף שתוכן הדברים והמכוון הוא תואם אל תורת חכמי האמת)</w:t>
      </w:r>
      <w:r w:rsidRPr="00E05E38">
        <w:rPr>
          <w:rFonts w:hint="cs"/>
          <w:rtl/>
        </w:rPr>
        <w:t>.</w:t>
      </w:r>
    </w:p>
    <w:p w14:paraId="0A0196C6" w14:textId="77777777" w:rsidR="00423C6D" w:rsidRPr="00E05E38" w:rsidRDefault="00423C6D" w:rsidP="00423C6D">
      <w:pPr>
        <w:pStyle w:val="a2"/>
        <w:rPr>
          <w:rtl/>
        </w:rPr>
      </w:pPr>
      <w:r>
        <w:rPr>
          <w:rFonts w:hint="cs"/>
          <w:rtl/>
        </w:rPr>
        <w:t>ב</w:t>
      </w:r>
      <w:r w:rsidRPr="00E05E38">
        <w:rPr>
          <w:rFonts w:hint="cs"/>
          <w:rtl/>
        </w:rPr>
        <w:t>) יש שפירוש הפסוק באופן זה כבר נתפרש על ידי מי מהקדמונים</w:t>
      </w:r>
      <w:r>
        <w:rPr>
          <w:rFonts w:hint="cs"/>
          <w:rtl/>
        </w:rPr>
        <w:t>,</w:t>
      </w:r>
      <w:r w:rsidRPr="00E05E38">
        <w:rPr>
          <w:rFonts w:hint="cs"/>
          <w:rtl/>
        </w:rPr>
        <w:t xml:space="preserve"> ורבינו הזקן רק מוסיף בו נופך להסברת הענין ע"ד חב"ד,</w:t>
      </w:r>
    </w:p>
    <w:p w14:paraId="7A01D935" w14:textId="77777777" w:rsidR="00423C6D" w:rsidRPr="00A6592C" w:rsidRDefault="00423C6D" w:rsidP="00C40DBA">
      <w:pPr>
        <w:pStyle w:val="11"/>
        <w:bidi/>
        <w:rPr>
          <w:rtl/>
        </w:rPr>
      </w:pPr>
      <w:r w:rsidRPr="00A6592C">
        <w:rPr>
          <w:rFonts w:hint="cs"/>
          <w:rtl/>
        </w:rPr>
        <w:lastRenderedPageBreak/>
        <w:t>פירוש מחודש על פסוק "ומרדכי יצא"</w:t>
      </w:r>
    </w:p>
    <w:p w14:paraId="33F6B7B2" w14:textId="77777777" w:rsidR="00423C6D" w:rsidRPr="00E05E38" w:rsidRDefault="00423C6D" w:rsidP="00423C6D">
      <w:pPr>
        <w:pStyle w:val="a2"/>
        <w:rPr>
          <w:rtl/>
        </w:rPr>
      </w:pPr>
      <w:r w:rsidRPr="00E05E38">
        <w:rPr>
          <w:rFonts w:hint="cs"/>
          <w:rtl/>
        </w:rPr>
        <w:t xml:space="preserve">והנה הפיסקא שהבאנו כאן בתחילת דברינו מן התו"א, שמפרש את הפסוק ומרדכי יצא בלבוש מלכות גו' </w:t>
      </w:r>
      <w:r>
        <w:rPr>
          <w:rFonts w:hint="cs"/>
          <w:rtl/>
        </w:rPr>
        <w:t>אשר</w:t>
      </w:r>
      <w:r w:rsidRPr="00E05E38">
        <w:rPr>
          <w:rFonts w:hint="cs"/>
          <w:rtl/>
        </w:rPr>
        <w:t xml:space="preserve"> ששה דברים המנויים בכתוב רומזים על סדר השית סדרי משנה, </w:t>
      </w:r>
      <w:r>
        <w:rPr>
          <w:rFonts w:hint="cs"/>
          <w:rtl/>
        </w:rPr>
        <w:t xml:space="preserve">נראה שזהו </w:t>
      </w:r>
      <w:r w:rsidRPr="00E05E38">
        <w:rPr>
          <w:rFonts w:hint="cs"/>
          <w:rtl/>
        </w:rPr>
        <w:t>חידושו של רבינו</w:t>
      </w:r>
      <w:r>
        <w:rPr>
          <w:rFonts w:hint="cs"/>
          <w:rtl/>
        </w:rPr>
        <w:t xml:space="preserve"> הזקן</w:t>
      </w:r>
      <w:r w:rsidRPr="00E05E38">
        <w:rPr>
          <w:rFonts w:hint="cs"/>
          <w:rtl/>
        </w:rPr>
        <w:t xml:space="preserve"> בתו"א כאן, ולא נזכר מזה </w:t>
      </w:r>
      <w:r>
        <w:rPr>
          <w:rFonts w:hint="cs"/>
          <w:rtl/>
        </w:rPr>
        <w:t xml:space="preserve">בכתבי האריז"ל או </w:t>
      </w:r>
      <w:r w:rsidRPr="00E05E38">
        <w:rPr>
          <w:rFonts w:hint="cs"/>
          <w:rtl/>
        </w:rPr>
        <w:t>בשום מהקדמונים [</w:t>
      </w:r>
      <w:r>
        <w:rPr>
          <w:rFonts w:hint="cs"/>
          <w:rtl/>
        </w:rPr>
        <w:t>ו</w:t>
      </w:r>
      <w:r w:rsidRPr="00E05E38">
        <w:rPr>
          <w:rFonts w:hint="cs"/>
          <w:rtl/>
        </w:rPr>
        <w:t>לא בדקתי בפירושי המחיר יין ויוסף לקח ועוד מקובלים על מג</w:t>
      </w:r>
      <w:r>
        <w:rPr>
          <w:rFonts w:hint="cs"/>
          <w:rtl/>
        </w:rPr>
        <w:t>ילת אסתר</w:t>
      </w:r>
      <w:r w:rsidRPr="00E05E38">
        <w:rPr>
          <w:rFonts w:hint="cs"/>
          <w:rtl/>
        </w:rPr>
        <w:t>, גם לא בדקתי</w:t>
      </w:r>
      <w:r>
        <w:rPr>
          <w:rFonts w:hint="cs"/>
          <w:rtl/>
        </w:rPr>
        <w:t xml:space="preserve"> עדיין</w:t>
      </w:r>
      <w:r w:rsidRPr="00E05E38">
        <w:rPr>
          <w:rFonts w:hint="cs"/>
          <w:rtl/>
        </w:rPr>
        <w:t xml:space="preserve"> במערכת "אוצר החכמה"</w:t>
      </w:r>
      <w:r w:rsidRPr="001E75C9">
        <w:rPr>
          <w:rFonts w:hint="cs"/>
          <w:rtl/>
        </w:rPr>
        <w:t>]</w:t>
      </w:r>
      <w:r w:rsidRPr="00E05E38">
        <w:rPr>
          <w:rFonts w:hint="cs"/>
          <w:rtl/>
        </w:rPr>
        <w:t>.</w:t>
      </w:r>
    </w:p>
    <w:p w14:paraId="1AF201CE" w14:textId="77777777" w:rsidR="00423C6D" w:rsidRPr="00A6592C" w:rsidRDefault="00423C6D" w:rsidP="00C40DBA">
      <w:pPr>
        <w:pStyle w:val="11"/>
        <w:bidi/>
        <w:rPr>
          <w:rtl/>
        </w:rPr>
      </w:pPr>
      <w:r w:rsidRPr="00A6592C">
        <w:rPr>
          <w:rFonts w:hint="cs"/>
          <w:rtl/>
        </w:rPr>
        <w:t>פירוש חדש בפסוק "לה' לחטאת"</w:t>
      </w:r>
    </w:p>
    <w:p w14:paraId="513C0304" w14:textId="77777777" w:rsidR="00423C6D" w:rsidRPr="00E05E38" w:rsidRDefault="00423C6D" w:rsidP="00423C6D">
      <w:pPr>
        <w:pStyle w:val="a2"/>
        <w:rPr>
          <w:rtl/>
        </w:rPr>
      </w:pPr>
      <w:r w:rsidRPr="00E05E38">
        <w:rPr>
          <w:rFonts w:hint="cs"/>
          <w:rtl/>
        </w:rPr>
        <w:t xml:space="preserve">ויש בדרוש זה עוד פירושים שלכאורה הם חידושו של רבינו הזקן, ואציין </w:t>
      </w:r>
      <w:r>
        <w:rPr>
          <w:rFonts w:hint="cs"/>
          <w:rtl/>
        </w:rPr>
        <w:t xml:space="preserve">לדוגמא </w:t>
      </w:r>
      <w:r w:rsidRPr="00E05E38">
        <w:rPr>
          <w:rFonts w:hint="cs"/>
          <w:rtl/>
        </w:rPr>
        <w:t>עוד אחד מזה:</w:t>
      </w:r>
    </w:p>
    <w:p w14:paraId="064C9FBA" w14:textId="77777777" w:rsidR="00423C6D" w:rsidRDefault="00423C6D" w:rsidP="00423C6D">
      <w:pPr>
        <w:pStyle w:val="a2"/>
        <w:rPr>
          <w:rtl/>
        </w:rPr>
      </w:pPr>
      <w:r w:rsidRPr="00E05E38">
        <w:rPr>
          <w:rFonts w:hint="cs"/>
          <w:rtl/>
        </w:rPr>
        <w:t>בתחילת המאמר בתו"א (ד"ה ומרדכי יצא, צב, ד</w:t>
      </w:r>
      <w:r>
        <w:rPr>
          <w:rFonts w:hint="cs"/>
          <w:rtl/>
        </w:rPr>
        <w:t>. והוא מדרושי לאזניא</w:t>
      </w:r>
      <w:r w:rsidRPr="00E05E38">
        <w:rPr>
          <w:rFonts w:hint="cs"/>
          <w:rtl/>
        </w:rPr>
        <w:t>), ז"ל:</w:t>
      </w:r>
    </w:p>
    <w:p w14:paraId="44984BEE" w14:textId="77777777" w:rsidR="00423C6D" w:rsidRPr="00E05E38" w:rsidRDefault="00423C6D" w:rsidP="00423C6D">
      <w:pPr>
        <w:pStyle w:val="a2"/>
        <w:rPr>
          <w:rtl/>
        </w:rPr>
      </w:pPr>
      <w:r w:rsidRPr="00E05E38">
        <w:rPr>
          <w:rFonts w:hint="cs"/>
          <w:rtl/>
        </w:rPr>
        <w:t>"אך איך אפשר לעלות למעלה הלא יש עונות המבדילין ומעכבין, לזה אמר לה' חטאת שאפי' החטאת לה' הוא</w:t>
      </w:r>
      <w:r>
        <w:rPr>
          <w:rFonts w:hint="cs"/>
          <w:rtl/>
        </w:rPr>
        <w:t>,</w:t>
      </w:r>
      <w:r w:rsidRPr="00E05E38">
        <w:rPr>
          <w:rFonts w:hint="cs"/>
          <w:rtl/>
        </w:rPr>
        <w:t xml:space="preserve"> כי למעלה גם חשך לא יחשיך ששם אין חשך שהכל אחד שם".</w:t>
      </w:r>
    </w:p>
    <w:p w14:paraId="21A5CD7E" w14:textId="77777777" w:rsidR="00423C6D" w:rsidRDefault="00423C6D" w:rsidP="00423C6D">
      <w:pPr>
        <w:pStyle w:val="a2"/>
        <w:rPr>
          <w:rtl/>
        </w:rPr>
      </w:pPr>
      <w:r w:rsidRPr="00E05E38">
        <w:rPr>
          <w:rFonts w:hint="cs"/>
          <w:rtl/>
        </w:rPr>
        <w:t xml:space="preserve">הנה בפיסקא זו </w:t>
      </w:r>
      <w:r>
        <w:rPr>
          <w:rFonts w:hint="cs"/>
          <w:rtl/>
        </w:rPr>
        <w:t>יש לפנינו משתי הדוגמאות:</w:t>
      </w:r>
    </w:p>
    <w:p w14:paraId="70C9210E" w14:textId="77777777" w:rsidR="00423C6D" w:rsidRDefault="00423C6D" w:rsidP="00423C6D">
      <w:pPr>
        <w:pStyle w:val="a2"/>
        <w:rPr>
          <w:rtl/>
        </w:rPr>
      </w:pPr>
      <w:r>
        <w:rPr>
          <w:rFonts w:hint="cs"/>
          <w:rtl/>
        </w:rPr>
        <w:t xml:space="preserve">א) הוא מביא פסוק "לה' חטאת", וזהו בפ' ויקרא ד, ג: </w:t>
      </w:r>
      <w:r w:rsidRPr="00E05E38">
        <w:rPr>
          <w:rFonts w:hint="cs"/>
          <w:b/>
          <w:bCs/>
          <w:rtl/>
        </w:rPr>
        <w:t>והקריב על חטאתו אשר חטא פר בן בקר תמים לה' לחטאת</w:t>
      </w:r>
      <w:r>
        <w:rPr>
          <w:rFonts w:hint="cs"/>
          <w:rtl/>
        </w:rPr>
        <w:t xml:space="preserve">. ובפ' פינחס כח, טו: </w:t>
      </w:r>
      <w:r w:rsidRPr="00E05E38">
        <w:rPr>
          <w:rFonts w:hint="cs"/>
          <w:b/>
          <w:bCs/>
          <w:rtl/>
        </w:rPr>
        <w:t>ושעיר עזים אחד לחטאת לה'</w:t>
      </w:r>
      <w:r>
        <w:rPr>
          <w:rFonts w:hint="cs"/>
          <w:rtl/>
        </w:rPr>
        <w:t xml:space="preserve"> [וראה שבועות ט, א-ב].</w:t>
      </w:r>
    </w:p>
    <w:p w14:paraId="6F05FE75" w14:textId="77777777" w:rsidR="00423C6D" w:rsidRDefault="00423C6D" w:rsidP="00423C6D">
      <w:pPr>
        <w:pStyle w:val="a2"/>
        <w:rPr>
          <w:rtl/>
        </w:rPr>
      </w:pPr>
      <w:r>
        <w:rPr>
          <w:rFonts w:hint="cs"/>
          <w:rtl/>
        </w:rPr>
        <w:t>והנה במפרשי המקרא ובדברי חז"ל בגמ' ומדרשים, יש כמה פירושים עה"פ: לשם ה', חטא שאין מכיר בו אלא ה', שזהו כמו "אשר עלה עליו הגורל לה' ועשהו חטאת", אמר הקב"ה הביאו כפרה עלי על שמיעטתי את הירח, ועיין עוד בגמ' שבועות ט, א-ב.</w:t>
      </w:r>
    </w:p>
    <w:p w14:paraId="53FFCFC1" w14:textId="77777777" w:rsidR="00423C6D" w:rsidRDefault="00423C6D" w:rsidP="00423C6D">
      <w:pPr>
        <w:pStyle w:val="a2"/>
        <w:rPr>
          <w:rtl/>
        </w:rPr>
      </w:pPr>
      <w:r>
        <w:rPr>
          <w:rFonts w:hint="cs"/>
          <w:rtl/>
        </w:rPr>
        <w:t>אולם בתו"א כאן יש לפנינו פירוש חדש בכתוב: "</w:t>
      </w:r>
      <w:r w:rsidRPr="00345D69">
        <w:rPr>
          <w:rFonts w:hint="cs"/>
          <w:b/>
          <w:bCs/>
          <w:rtl/>
        </w:rPr>
        <w:t>לה' לחטאת, שאפילו החטאת לה' הוא</w:t>
      </w:r>
      <w:r>
        <w:rPr>
          <w:rFonts w:hint="cs"/>
          <w:rtl/>
        </w:rPr>
        <w:t>" (כי שם אין חושך).</w:t>
      </w:r>
    </w:p>
    <w:p w14:paraId="17D205B1" w14:textId="77777777" w:rsidR="00423C6D" w:rsidRPr="00A6592C" w:rsidRDefault="00423C6D" w:rsidP="00C40DBA">
      <w:pPr>
        <w:pStyle w:val="11"/>
        <w:bidi/>
        <w:rPr>
          <w:rtl/>
        </w:rPr>
      </w:pPr>
      <w:r w:rsidRPr="00A6592C">
        <w:rPr>
          <w:rFonts w:hint="cs"/>
          <w:rtl/>
        </w:rPr>
        <w:t>מכוון חדש בפסוק "גם חשך לא יחשיך"</w:t>
      </w:r>
    </w:p>
    <w:p w14:paraId="6F312453" w14:textId="77777777" w:rsidR="00423C6D" w:rsidRDefault="00423C6D" w:rsidP="00423C6D">
      <w:pPr>
        <w:pStyle w:val="a2"/>
        <w:rPr>
          <w:rtl/>
        </w:rPr>
      </w:pPr>
      <w:r>
        <w:rPr>
          <w:rFonts w:hint="cs"/>
          <w:rtl/>
        </w:rPr>
        <w:t>ב) בפיסקא זו של תו"א שציטטנו כאן, הוא גם מביא הכתוב "</w:t>
      </w:r>
      <w:r w:rsidRPr="00C67534">
        <w:rPr>
          <w:rFonts w:hint="cs"/>
          <w:b/>
          <w:bCs/>
          <w:rtl/>
        </w:rPr>
        <w:t>גם חשך לא יחשיך</w:t>
      </w:r>
      <w:r>
        <w:rPr>
          <w:rFonts w:hint="cs"/>
          <w:rtl/>
        </w:rPr>
        <w:t>" (תהלים קלט, יב).</w:t>
      </w:r>
    </w:p>
    <w:p w14:paraId="4B4B79DD" w14:textId="77777777" w:rsidR="00423C6D" w:rsidRDefault="00423C6D" w:rsidP="00423C6D">
      <w:pPr>
        <w:pStyle w:val="a2"/>
        <w:rPr>
          <w:rtl/>
        </w:rPr>
      </w:pPr>
      <w:r>
        <w:rPr>
          <w:rFonts w:hint="cs"/>
          <w:rtl/>
        </w:rPr>
        <w:lastRenderedPageBreak/>
        <w:t>הנה כאן אין חידוש בפירוש המקרא, שהוא אשר לפניו ית' הכל גלוי ולילה כיום יאיר כחשכה כאורה כו',</w:t>
      </w:r>
    </w:p>
    <w:p w14:paraId="298EFAEA" w14:textId="77777777" w:rsidR="00423C6D" w:rsidRDefault="00423C6D" w:rsidP="00423C6D">
      <w:pPr>
        <w:pStyle w:val="a2"/>
        <w:rPr>
          <w:rtl/>
        </w:rPr>
      </w:pPr>
      <w:r>
        <w:rPr>
          <w:rFonts w:hint="cs"/>
          <w:rtl/>
        </w:rPr>
        <w:t>אך רבינו מוסיף נופך והפלאה בפירוש הכתוב, אשר בדרגא עליונה זו "</w:t>
      </w:r>
      <w:r w:rsidRPr="00C67534">
        <w:rPr>
          <w:rFonts w:hint="cs"/>
          <w:b/>
          <w:bCs/>
          <w:rtl/>
        </w:rPr>
        <w:t>גם חשך לא יחשיך ממך, שהכל אחד שם</w:t>
      </w:r>
      <w:r>
        <w:rPr>
          <w:rFonts w:hint="cs"/>
          <w:rtl/>
        </w:rPr>
        <w:t>", והפירוש: כי שם הוא ע"ד אור וחושך משמשין בערבוביא, ובמילא הבא להתקרב לדרך ה' הוא יוכל לדלג ולעלות למעלה גם אם הוא לא עשה עדיין תשובה נכונה על עונות המבדילין (וממשיך בתו"א, שמ"מ זהו אם הוא מתעלה עתה בדרגא שהוא פורש לגמרי מכל תאוות הגופניות, עיי"ש באריכות).</w:t>
      </w:r>
    </w:p>
    <w:p w14:paraId="77E81AFA" w14:textId="6D3C9E80" w:rsidR="00423C6D" w:rsidRDefault="00423C6D" w:rsidP="00423C6D">
      <w:pPr>
        <w:pStyle w:val="a2"/>
      </w:pPr>
      <w:r>
        <w:rPr>
          <w:rFonts w:hint="cs"/>
          <w:rtl/>
        </w:rPr>
        <w:t>ועד"ז נמצא בכל דרוש בתו"א ולקו"ת, משני סוגים האמורים בפירושי הכתובים ומארז"ל.</w:t>
      </w:r>
    </w:p>
    <w:p w14:paraId="118DCB52" w14:textId="77777777" w:rsidR="00B133D6" w:rsidRPr="00347933" w:rsidRDefault="00B133D6" w:rsidP="000B6EE8">
      <w:pPr>
        <w:pStyle w:val="a4"/>
        <w:spacing w:after="0"/>
        <w:sectPr w:rsidR="00B133D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bookmarkEnd w:id="97"/>
    <w:p w14:paraId="76D8BE0D" w14:textId="77777777" w:rsidR="00F06928" w:rsidRDefault="00F06928" w:rsidP="00F06928">
      <w:pPr>
        <w:pStyle w:val="NormalComplexNarkisim"/>
        <w:spacing w:after="120" w:line="240" w:lineRule="auto"/>
        <w:rPr>
          <w:rFonts w:cs="1ShefaClassic"/>
          <w:sz w:val="27"/>
          <w:szCs w:val="27"/>
          <w:rtl/>
        </w:rPr>
      </w:pPr>
    </w:p>
    <w:p w14:paraId="18248408" w14:textId="77777777" w:rsidR="00F21F8C" w:rsidRDefault="00F21F8C" w:rsidP="00F06928">
      <w:pPr>
        <w:pStyle w:val="NormalComplexNarkisim"/>
        <w:spacing w:after="120" w:line="240" w:lineRule="auto"/>
        <w:rPr>
          <w:rFonts w:cs="1ShefaClassic"/>
          <w:sz w:val="27"/>
          <w:szCs w:val="27"/>
          <w:rtl/>
        </w:rPr>
      </w:pPr>
    </w:p>
    <w:p w14:paraId="2A54FB14" w14:textId="77777777" w:rsidR="001E75C9" w:rsidRDefault="001E75C9" w:rsidP="00F06928">
      <w:pPr>
        <w:pStyle w:val="NormalComplexNarkisim"/>
        <w:spacing w:after="120" w:line="240" w:lineRule="auto"/>
        <w:rPr>
          <w:rFonts w:cs="1ShefaClassic"/>
          <w:sz w:val="27"/>
          <w:szCs w:val="27"/>
          <w:rtl/>
        </w:rPr>
      </w:pPr>
    </w:p>
    <w:p w14:paraId="1930EBB6" w14:textId="77777777" w:rsidR="001E75C9" w:rsidRDefault="001E75C9" w:rsidP="00F06928">
      <w:pPr>
        <w:pStyle w:val="NormalComplexNarkisim"/>
        <w:spacing w:after="120" w:line="240" w:lineRule="auto"/>
        <w:rPr>
          <w:rFonts w:cs="1ShefaClassic"/>
          <w:sz w:val="27"/>
          <w:szCs w:val="27"/>
          <w:rtl/>
        </w:rPr>
      </w:pPr>
    </w:p>
    <w:p w14:paraId="04CF5680" w14:textId="77777777" w:rsidR="001E75C9" w:rsidRDefault="001E75C9" w:rsidP="00F06928">
      <w:pPr>
        <w:pStyle w:val="NormalComplexNarkisim"/>
        <w:spacing w:after="120" w:line="240" w:lineRule="auto"/>
        <w:rPr>
          <w:rFonts w:cs="1ShefaClassic"/>
          <w:sz w:val="27"/>
          <w:szCs w:val="27"/>
          <w:rtl/>
        </w:rPr>
      </w:pPr>
    </w:p>
    <w:p w14:paraId="21361484" w14:textId="77777777" w:rsidR="001E75C9" w:rsidRDefault="001E75C9" w:rsidP="00F06928">
      <w:pPr>
        <w:pStyle w:val="NormalComplexNarkisim"/>
        <w:spacing w:after="120" w:line="240" w:lineRule="auto"/>
        <w:rPr>
          <w:rFonts w:cs="1ShefaClassic"/>
          <w:sz w:val="27"/>
          <w:szCs w:val="27"/>
          <w:rtl/>
        </w:rPr>
      </w:pPr>
    </w:p>
    <w:p w14:paraId="32BDBF48" w14:textId="77777777" w:rsidR="001E75C9" w:rsidRDefault="001E75C9" w:rsidP="00F06928">
      <w:pPr>
        <w:pStyle w:val="NormalComplexNarkisim"/>
        <w:spacing w:after="120" w:line="240" w:lineRule="auto"/>
        <w:rPr>
          <w:rFonts w:cs="1ShefaClassic"/>
          <w:sz w:val="27"/>
          <w:szCs w:val="27"/>
          <w:rtl/>
        </w:rPr>
      </w:pPr>
    </w:p>
    <w:p w14:paraId="345FF0E4" w14:textId="77777777" w:rsidR="001E75C9" w:rsidRDefault="001E75C9" w:rsidP="00F06928">
      <w:pPr>
        <w:pStyle w:val="NormalComplexNarkisim"/>
        <w:spacing w:after="120" w:line="240" w:lineRule="auto"/>
        <w:rPr>
          <w:rFonts w:cs="1ShefaClassic"/>
          <w:sz w:val="27"/>
          <w:szCs w:val="27"/>
          <w:rtl/>
        </w:rPr>
      </w:pPr>
    </w:p>
    <w:p w14:paraId="5FA93C75" w14:textId="77777777" w:rsidR="001E75C9" w:rsidRDefault="001E75C9" w:rsidP="00F06928">
      <w:pPr>
        <w:pStyle w:val="NormalComplexNarkisim"/>
        <w:spacing w:after="120" w:line="240" w:lineRule="auto"/>
        <w:rPr>
          <w:rFonts w:cs="1ShefaClassic"/>
          <w:sz w:val="27"/>
          <w:szCs w:val="27"/>
          <w:rtl/>
        </w:rPr>
      </w:pPr>
    </w:p>
    <w:p w14:paraId="7A814857" w14:textId="77777777" w:rsidR="001E75C9" w:rsidRDefault="001E75C9" w:rsidP="00F06928">
      <w:pPr>
        <w:pStyle w:val="NormalComplexNarkisim"/>
        <w:spacing w:after="120" w:line="240" w:lineRule="auto"/>
        <w:rPr>
          <w:rFonts w:cs="1ShefaClassic"/>
          <w:sz w:val="27"/>
          <w:szCs w:val="27"/>
          <w:rtl/>
        </w:rPr>
      </w:pPr>
    </w:p>
    <w:p w14:paraId="4CC12AC4" w14:textId="77777777" w:rsidR="001E75C9" w:rsidRDefault="001E75C9" w:rsidP="00F06928">
      <w:pPr>
        <w:pStyle w:val="NormalComplexNarkisim"/>
        <w:spacing w:after="120" w:line="240" w:lineRule="auto"/>
        <w:rPr>
          <w:rFonts w:cs="1ShefaClassic"/>
          <w:sz w:val="27"/>
          <w:szCs w:val="27"/>
          <w:rtl/>
        </w:rPr>
      </w:pPr>
    </w:p>
    <w:p w14:paraId="2992701B" w14:textId="77777777" w:rsidR="001E75C9" w:rsidRDefault="001E75C9" w:rsidP="00F06928">
      <w:pPr>
        <w:pStyle w:val="NormalComplexNarkisim"/>
        <w:spacing w:after="120" w:line="240" w:lineRule="auto"/>
        <w:rPr>
          <w:rFonts w:cs="1ShefaClassic"/>
          <w:sz w:val="27"/>
          <w:szCs w:val="27"/>
          <w:rtl/>
        </w:rPr>
      </w:pPr>
    </w:p>
    <w:p w14:paraId="71E3798C" w14:textId="77777777" w:rsidR="001E75C9" w:rsidRDefault="001E75C9" w:rsidP="00F06928">
      <w:pPr>
        <w:pStyle w:val="NormalComplexNarkisim"/>
        <w:spacing w:after="120" w:line="240" w:lineRule="auto"/>
        <w:rPr>
          <w:rFonts w:cs="1ShefaClassic"/>
          <w:sz w:val="27"/>
          <w:szCs w:val="27"/>
          <w:rtl/>
        </w:rPr>
      </w:pPr>
    </w:p>
    <w:p w14:paraId="3EBAE379" w14:textId="77777777" w:rsidR="001E75C9" w:rsidRDefault="001E75C9" w:rsidP="00F06928">
      <w:pPr>
        <w:pStyle w:val="NormalComplexNarkisim"/>
        <w:spacing w:after="120" w:line="240" w:lineRule="auto"/>
        <w:rPr>
          <w:rFonts w:cs="1ShefaClassic"/>
          <w:sz w:val="27"/>
          <w:szCs w:val="27"/>
          <w:rtl/>
        </w:rPr>
      </w:pPr>
    </w:p>
    <w:p w14:paraId="22B57D4A" w14:textId="77777777" w:rsidR="001E75C9" w:rsidRDefault="001E75C9" w:rsidP="00F06928">
      <w:pPr>
        <w:pStyle w:val="NormalComplexNarkisim"/>
        <w:spacing w:after="120" w:line="240" w:lineRule="auto"/>
        <w:rPr>
          <w:rFonts w:cs="1ShefaClassic"/>
          <w:sz w:val="27"/>
          <w:szCs w:val="27"/>
          <w:rtl/>
        </w:rPr>
      </w:pPr>
    </w:p>
    <w:p w14:paraId="27943BAD" w14:textId="77777777" w:rsidR="001E75C9" w:rsidRDefault="001E75C9" w:rsidP="00F06928">
      <w:pPr>
        <w:pStyle w:val="NormalComplexNarkisim"/>
        <w:spacing w:after="120" w:line="240" w:lineRule="auto"/>
        <w:rPr>
          <w:rFonts w:cs="1ShefaClassic"/>
          <w:sz w:val="27"/>
          <w:szCs w:val="27"/>
          <w:rtl/>
        </w:rPr>
      </w:pPr>
    </w:p>
    <w:p w14:paraId="7CC233BC" w14:textId="77777777" w:rsidR="001E75C9" w:rsidRDefault="001E75C9" w:rsidP="00F06928">
      <w:pPr>
        <w:pStyle w:val="NormalComplexNarkisim"/>
        <w:spacing w:after="120" w:line="240" w:lineRule="auto"/>
        <w:rPr>
          <w:rFonts w:cs="1ShefaClassic"/>
          <w:sz w:val="27"/>
          <w:szCs w:val="27"/>
          <w:rtl/>
        </w:rPr>
      </w:pPr>
    </w:p>
    <w:p w14:paraId="4147B5F9" w14:textId="77777777" w:rsidR="001E75C9" w:rsidRDefault="001E75C9" w:rsidP="00F06928">
      <w:pPr>
        <w:pStyle w:val="NormalComplexNarkisim"/>
        <w:spacing w:after="120" w:line="240" w:lineRule="auto"/>
        <w:rPr>
          <w:rFonts w:cs="1ShefaClassic"/>
          <w:sz w:val="27"/>
          <w:szCs w:val="27"/>
          <w:rtl/>
        </w:rPr>
      </w:pPr>
    </w:p>
    <w:p w14:paraId="5211ACBD" w14:textId="77777777" w:rsidR="004D06EF" w:rsidRDefault="004D06EF" w:rsidP="00F06928">
      <w:pPr>
        <w:pStyle w:val="NormalComplexNarkisim"/>
        <w:spacing w:after="120" w:line="240" w:lineRule="auto"/>
        <w:rPr>
          <w:rFonts w:cs="1ShefaClassic"/>
          <w:sz w:val="27"/>
          <w:szCs w:val="27"/>
          <w:rtl/>
        </w:rPr>
      </w:pPr>
    </w:p>
    <w:p w14:paraId="63589789" w14:textId="77777777" w:rsidR="00F06928" w:rsidRPr="00EB5CE2" w:rsidRDefault="00F06928" w:rsidP="00EB5CE2">
      <w:pPr>
        <w:pStyle w:val="af3"/>
        <w:rPr>
          <w:sz w:val="27"/>
          <w:szCs w:val="27"/>
        </w:rPr>
      </w:pPr>
      <w:r w:rsidRPr="00EB5CE2">
        <w:rPr>
          <w:rFonts w:hint="cs"/>
          <w:sz w:val="27"/>
          <w:szCs w:val="27"/>
          <w:rtl/>
        </w:rPr>
        <w:t>לזכות</w:t>
      </w:r>
    </w:p>
    <w:p w14:paraId="58BA5C4D" w14:textId="77777777" w:rsidR="00F06928" w:rsidRPr="00EB5CE2" w:rsidRDefault="00F06928" w:rsidP="00EB5CE2">
      <w:pPr>
        <w:pStyle w:val="af3"/>
        <w:rPr>
          <w:sz w:val="27"/>
          <w:szCs w:val="27"/>
          <w:rtl/>
        </w:rPr>
      </w:pPr>
      <w:r w:rsidRPr="00EB5CE2">
        <w:rPr>
          <w:rFonts w:hint="cs"/>
          <w:sz w:val="27"/>
          <w:szCs w:val="27"/>
          <w:rtl/>
        </w:rPr>
        <w:t xml:space="preserve">החתן התמים </w:t>
      </w:r>
      <w:r w:rsidRPr="00EB5CE2">
        <w:rPr>
          <w:rFonts w:hint="cs"/>
          <w:b/>
          <w:bCs/>
          <w:sz w:val="27"/>
          <w:szCs w:val="27"/>
          <w:rtl/>
        </w:rPr>
        <w:t>הלל</w:t>
      </w:r>
      <w:r w:rsidRPr="00EB5CE2">
        <w:rPr>
          <w:rFonts w:hint="cs"/>
          <w:sz w:val="27"/>
          <w:szCs w:val="27"/>
          <w:rtl/>
        </w:rPr>
        <w:t xml:space="preserve"> שיחי' </w:t>
      </w:r>
      <w:r w:rsidRPr="00EB5CE2">
        <w:rPr>
          <w:rFonts w:hint="cs"/>
          <w:b/>
          <w:bCs/>
          <w:sz w:val="27"/>
          <w:szCs w:val="27"/>
          <w:rtl/>
        </w:rPr>
        <w:t>רסקין</w:t>
      </w:r>
    </w:p>
    <w:p w14:paraId="0073E7A5" w14:textId="77777777" w:rsidR="00F06928" w:rsidRPr="00EB5CE2" w:rsidRDefault="00F06928" w:rsidP="00EB5CE2">
      <w:pPr>
        <w:pStyle w:val="af3"/>
        <w:rPr>
          <w:sz w:val="27"/>
          <w:szCs w:val="27"/>
        </w:rPr>
      </w:pPr>
      <w:r w:rsidRPr="00EB5CE2">
        <w:rPr>
          <w:rFonts w:hint="cs"/>
          <w:sz w:val="27"/>
          <w:szCs w:val="27"/>
          <w:rtl/>
        </w:rPr>
        <w:t xml:space="preserve">והכלה מרת </w:t>
      </w:r>
      <w:r w:rsidRPr="00EB5CE2">
        <w:rPr>
          <w:rFonts w:hint="cs"/>
          <w:b/>
          <w:bCs/>
          <w:sz w:val="27"/>
          <w:szCs w:val="27"/>
          <w:rtl/>
        </w:rPr>
        <w:t>לאה</w:t>
      </w:r>
      <w:r w:rsidRPr="00EB5CE2">
        <w:rPr>
          <w:rFonts w:hint="cs"/>
          <w:b/>
          <w:bCs/>
          <w:sz w:val="27"/>
          <w:szCs w:val="27"/>
        </w:rPr>
        <w:t xml:space="preserve"> </w:t>
      </w:r>
      <w:r w:rsidRPr="00EB5CE2">
        <w:rPr>
          <w:rFonts w:hint="cs"/>
          <w:sz w:val="27"/>
          <w:szCs w:val="27"/>
          <w:rtl/>
        </w:rPr>
        <w:t xml:space="preserve">שתחי' </w:t>
      </w:r>
      <w:r w:rsidRPr="00EB5CE2">
        <w:rPr>
          <w:rFonts w:hint="cs"/>
          <w:b/>
          <w:bCs/>
          <w:sz w:val="27"/>
          <w:szCs w:val="27"/>
          <w:rtl/>
        </w:rPr>
        <w:t>שם טוב</w:t>
      </w:r>
    </w:p>
    <w:p w14:paraId="798A471B" w14:textId="77777777" w:rsidR="00F06928" w:rsidRPr="00EB5CE2" w:rsidRDefault="00F06928" w:rsidP="00EB5CE2">
      <w:pPr>
        <w:pStyle w:val="af3"/>
        <w:rPr>
          <w:sz w:val="27"/>
          <w:szCs w:val="27"/>
          <w:rtl/>
        </w:rPr>
      </w:pPr>
      <w:r w:rsidRPr="00EB5CE2">
        <w:rPr>
          <w:rFonts w:hint="cs"/>
          <w:sz w:val="27"/>
          <w:szCs w:val="27"/>
          <w:rtl/>
        </w:rPr>
        <w:t>לרגל בואם בקשרי השידוכין בשעטומ"צ</w:t>
      </w:r>
    </w:p>
    <w:p w14:paraId="48D6D06B" w14:textId="77777777" w:rsidR="00F06928" w:rsidRPr="00EB5CE2" w:rsidRDefault="00F06928" w:rsidP="00EB5CE2">
      <w:pPr>
        <w:pStyle w:val="af3"/>
        <w:rPr>
          <w:sz w:val="27"/>
          <w:szCs w:val="27"/>
          <w:rtl/>
        </w:rPr>
      </w:pPr>
      <w:r w:rsidRPr="00EB5CE2">
        <w:rPr>
          <w:rFonts w:hint="cs"/>
          <w:sz w:val="27"/>
          <w:szCs w:val="27"/>
          <w:rtl/>
        </w:rPr>
        <w:t>יה"ר שיזכו לבנות בית נאמן בישראל בנין עדי עד</w:t>
      </w:r>
    </w:p>
    <w:p w14:paraId="740676C1" w14:textId="77777777" w:rsidR="00F06928" w:rsidRPr="00EB5CE2" w:rsidRDefault="00F06928" w:rsidP="00EB5CE2">
      <w:pPr>
        <w:pStyle w:val="af3"/>
        <w:rPr>
          <w:sz w:val="27"/>
          <w:szCs w:val="27"/>
          <w:rtl/>
        </w:rPr>
      </w:pPr>
      <w:r w:rsidRPr="00EB5CE2">
        <w:rPr>
          <w:rFonts w:hint="cs"/>
          <w:sz w:val="27"/>
          <w:szCs w:val="27"/>
          <w:rtl/>
        </w:rPr>
        <w:t>כרצוה"ק ולנח"ר כ"ק אדמו"ר</w:t>
      </w:r>
      <w:r w:rsidRPr="00EB5CE2">
        <w:rPr>
          <w:rFonts w:hint="cs"/>
          <w:sz w:val="27"/>
          <w:szCs w:val="27"/>
          <w:rtl/>
          <w:lang w:val="es-ES_tradnl"/>
        </w:rPr>
        <w:t xml:space="preserve"> זי״ע</w:t>
      </w:r>
      <w:r w:rsidRPr="00EB5CE2">
        <w:rPr>
          <w:rFonts w:hint="cs"/>
          <w:sz w:val="27"/>
          <w:szCs w:val="27"/>
          <w:rtl/>
        </w:rPr>
        <w:t xml:space="preserve"> </w:t>
      </w:r>
    </w:p>
    <w:p w14:paraId="3706BACE" w14:textId="77777777" w:rsidR="00F06928" w:rsidRPr="00EB5CE2" w:rsidRDefault="00F06928" w:rsidP="00EB5CE2">
      <w:pPr>
        <w:pStyle w:val="af3"/>
        <w:rPr>
          <w:sz w:val="27"/>
          <w:szCs w:val="27"/>
          <w:rtl/>
        </w:rPr>
      </w:pPr>
      <w:r w:rsidRPr="00EB5CE2">
        <w:rPr>
          <w:rFonts w:hint="cs"/>
          <w:sz w:val="27"/>
          <w:szCs w:val="27"/>
          <w:rtl/>
        </w:rPr>
        <w:t>מתוך ברכה והצלחה בגו"ר אושר ושמחה תמיד כה"י</w:t>
      </w:r>
    </w:p>
    <w:p w14:paraId="183951DF" w14:textId="77777777" w:rsidR="00F06928" w:rsidRPr="00EB5CE2" w:rsidRDefault="00F06928" w:rsidP="00EB5CE2">
      <w:pPr>
        <w:pStyle w:val="af3"/>
        <w:rPr>
          <w:sz w:val="27"/>
          <w:szCs w:val="27"/>
        </w:rPr>
      </w:pPr>
      <w:r w:rsidRPr="00EB5CE2">
        <w:rPr>
          <w:sz w:val="27"/>
          <w:szCs w:val="27"/>
        </w:rPr>
        <w:sym w:font="Wingdings 2" w:char="F0B2"/>
      </w:r>
    </w:p>
    <w:p w14:paraId="42B1CFFE" w14:textId="76D7EC71" w:rsidR="00860713" w:rsidRPr="00EB5CE2" w:rsidRDefault="00F06928" w:rsidP="00EB5CE2">
      <w:pPr>
        <w:pStyle w:val="af3"/>
        <w:rPr>
          <w:b/>
          <w:sz w:val="27"/>
          <w:szCs w:val="27"/>
          <w:rtl/>
        </w:rPr>
      </w:pPr>
      <w:r w:rsidRPr="00EB5CE2">
        <w:rPr>
          <w:rFonts w:hint="cs"/>
          <w:b/>
          <w:sz w:val="27"/>
          <w:szCs w:val="27"/>
          <w:rtl/>
        </w:rPr>
        <w:t>נדפס ע"י ולזכות הוריהם</w:t>
      </w:r>
    </w:p>
    <w:p w14:paraId="2455F31C" w14:textId="77777777" w:rsidR="00F06928" w:rsidRPr="00347933" w:rsidRDefault="00F06928" w:rsidP="00571D4C">
      <w:pPr>
        <w:pStyle w:val="a4"/>
        <w:sectPr w:rsidR="00F06928"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8FFC4AC" w14:textId="77777777" w:rsidR="00F06928" w:rsidRPr="00EB5CE2" w:rsidRDefault="00F06928" w:rsidP="00EB5CE2">
      <w:pPr>
        <w:pStyle w:val="af3"/>
        <w:rPr>
          <w:sz w:val="27"/>
          <w:szCs w:val="27"/>
        </w:rPr>
      </w:pPr>
      <w:r w:rsidRPr="00EB5CE2">
        <w:rPr>
          <w:rFonts w:hint="cs"/>
          <w:sz w:val="27"/>
          <w:szCs w:val="27"/>
          <w:rtl/>
        </w:rPr>
        <w:t>לזכות</w:t>
      </w:r>
    </w:p>
    <w:p w14:paraId="2728B95A" w14:textId="77777777" w:rsidR="00F06928" w:rsidRPr="00EB5CE2" w:rsidRDefault="00F06928" w:rsidP="00EB5CE2">
      <w:pPr>
        <w:pStyle w:val="af3"/>
        <w:rPr>
          <w:sz w:val="27"/>
          <w:szCs w:val="27"/>
          <w:rtl/>
        </w:rPr>
      </w:pPr>
      <w:r w:rsidRPr="00EB5CE2">
        <w:rPr>
          <w:rFonts w:hint="cs"/>
          <w:sz w:val="27"/>
          <w:szCs w:val="27"/>
          <w:rtl/>
        </w:rPr>
        <w:t xml:space="preserve">החתן התמים </w:t>
      </w:r>
      <w:r w:rsidRPr="00EB5CE2">
        <w:rPr>
          <w:rFonts w:hint="cs"/>
          <w:b/>
          <w:bCs/>
          <w:sz w:val="27"/>
          <w:szCs w:val="27"/>
          <w:rtl/>
        </w:rPr>
        <w:t xml:space="preserve">מנחם מענדל </w:t>
      </w:r>
      <w:r w:rsidRPr="00EB5CE2">
        <w:rPr>
          <w:rFonts w:hint="cs"/>
          <w:sz w:val="27"/>
          <w:szCs w:val="27"/>
          <w:rtl/>
        </w:rPr>
        <w:t xml:space="preserve">שיחי' </w:t>
      </w:r>
      <w:r w:rsidRPr="00EB5CE2">
        <w:rPr>
          <w:rFonts w:hint="cs"/>
          <w:b/>
          <w:bCs/>
          <w:sz w:val="27"/>
          <w:szCs w:val="27"/>
          <w:rtl/>
        </w:rPr>
        <w:t>הארליג</w:t>
      </w:r>
    </w:p>
    <w:p w14:paraId="605B7461" w14:textId="77777777" w:rsidR="00F06928" w:rsidRPr="00EB5CE2" w:rsidRDefault="00F06928" w:rsidP="00EB5CE2">
      <w:pPr>
        <w:pStyle w:val="af3"/>
        <w:rPr>
          <w:b/>
          <w:bCs/>
          <w:sz w:val="27"/>
          <w:szCs w:val="27"/>
        </w:rPr>
      </w:pPr>
      <w:r w:rsidRPr="00EB5CE2">
        <w:rPr>
          <w:rFonts w:hint="cs"/>
          <w:sz w:val="27"/>
          <w:szCs w:val="27"/>
          <w:rtl/>
        </w:rPr>
        <w:t xml:space="preserve">והכלה מרת </w:t>
      </w:r>
      <w:r w:rsidRPr="00EB5CE2">
        <w:rPr>
          <w:rFonts w:hint="cs"/>
          <w:b/>
          <w:bCs/>
          <w:sz w:val="27"/>
          <w:szCs w:val="27"/>
          <w:rtl/>
        </w:rPr>
        <w:t xml:space="preserve">גיטל </w:t>
      </w:r>
      <w:r w:rsidRPr="00EB5CE2">
        <w:rPr>
          <w:rFonts w:hint="cs"/>
          <w:b/>
          <w:bCs/>
          <w:sz w:val="27"/>
          <w:szCs w:val="27"/>
        </w:rPr>
        <w:t xml:space="preserve"> </w:t>
      </w:r>
      <w:r w:rsidRPr="00EB5CE2">
        <w:rPr>
          <w:rFonts w:hint="cs"/>
          <w:sz w:val="27"/>
          <w:szCs w:val="27"/>
          <w:rtl/>
        </w:rPr>
        <w:t xml:space="preserve">שתחי' </w:t>
      </w:r>
      <w:r w:rsidRPr="00EB5CE2">
        <w:rPr>
          <w:rFonts w:hint="cs"/>
          <w:b/>
          <w:bCs/>
          <w:sz w:val="27"/>
          <w:szCs w:val="27"/>
          <w:rtl/>
        </w:rPr>
        <w:t>וילהלם</w:t>
      </w:r>
    </w:p>
    <w:p w14:paraId="2F8CA068" w14:textId="77777777" w:rsidR="00F06928" w:rsidRPr="00EB5CE2" w:rsidRDefault="00F06928" w:rsidP="00EB5CE2">
      <w:pPr>
        <w:pStyle w:val="af3"/>
        <w:rPr>
          <w:sz w:val="27"/>
          <w:szCs w:val="27"/>
          <w:rtl/>
        </w:rPr>
      </w:pPr>
      <w:r w:rsidRPr="00EB5CE2">
        <w:rPr>
          <w:rFonts w:hint="cs"/>
          <w:sz w:val="27"/>
          <w:szCs w:val="27"/>
          <w:rtl/>
        </w:rPr>
        <w:t>לרגל בואם בקשרי השידוכין בשעטומ"צ</w:t>
      </w:r>
    </w:p>
    <w:p w14:paraId="40F2703A" w14:textId="77777777" w:rsidR="00F06928" w:rsidRPr="00EB5CE2" w:rsidRDefault="00F06928" w:rsidP="00EB5CE2">
      <w:pPr>
        <w:pStyle w:val="af3"/>
        <w:rPr>
          <w:sz w:val="27"/>
          <w:szCs w:val="27"/>
          <w:rtl/>
        </w:rPr>
      </w:pPr>
      <w:r w:rsidRPr="00EB5CE2">
        <w:rPr>
          <w:rFonts w:hint="cs"/>
          <w:sz w:val="27"/>
          <w:szCs w:val="27"/>
          <w:rtl/>
        </w:rPr>
        <w:t>יה"ר שיזכו לבנות בית נאמן בישראל בנין עדי עד</w:t>
      </w:r>
    </w:p>
    <w:p w14:paraId="2FC82E9F" w14:textId="77777777" w:rsidR="00F06928" w:rsidRPr="00EB5CE2" w:rsidRDefault="00F06928" w:rsidP="00EB5CE2">
      <w:pPr>
        <w:pStyle w:val="af3"/>
        <w:rPr>
          <w:sz w:val="27"/>
          <w:szCs w:val="27"/>
          <w:rtl/>
        </w:rPr>
      </w:pPr>
      <w:r w:rsidRPr="00EB5CE2">
        <w:rPr>
          <w:rFonts w:hint="cs"/>
          <w:sz w:val="27"/>
          <w:szCs w:val="27"/>
          <w:rtl/>
        </w:rPr>
        <w:t xml:space="preserve">כרצוה"ק ולנח"ר כ"ק אדמו"ר </w:t>
      </w:r>
    </w:p>
    <w:p w14:paraId="2DB16387" w14:textId="77777777" w:rsidR="00F06928" w:rsidRPr="00EB5CE2" w:rsidRDefault="00F06928" w:rsidP="00EB5CE2">
      <w:pPr>
        <w:pStyle w:val="af3"/>
        <w:rPr>
          <w:sz w:val="27"/>
          <w:szCs w:val="27"/>
          <w:rtl/>
        </w:rPr>
      </w:pPr>
      <w:r w:rsidRPr="00EB5CE2">
        <w:rPr>
          <w:rFonts w:hint="cs"/>
          <w:sz w:val="27"/>
          <w:szCs w:val="27"/>
          <w:rtl/>
        </w:rPr>
        <w:t>מתוך ברכה והצלחה בגו"ר אושר ושמחה תמיד כה"י</w:t>
      </w:r>
    </w:p>
    <w:p w14:paraId="0943FCC0" w14:textId="77777777" w:rsidR="00F06928" w:rsidRPr="00EB5CE2" w:rsidRDefault="00F06928" w:rsidP="00EB5CE2">
      <w:pPr>
        <w:pStyle w:val="af3"/>
        <w:rPr>
          <w:sz w:val="27"/>
          <w:szCs w:val="27"/>
        </w:rPr>
      </w:pPr>
      <w:r w:rsidRPr="00EB5CE2">
        <w:rPr>
          <w:sz w:val="27"/>
          <w:szCs w:val="27"/>
        </w:rPr>
        <w:sym w:font="Wingdings 2" w:char="F0B2"/>
      </w:r>
    </w:p>
    <w:p w14:paraId="6A648D8A" w14:textId="77777777" w:rsidR="004D06EF" w:rsidRDefault="00F06928" w:rsidP="0083553B">
      <w:pPr>
        <w:pStyle w:val="af3"/>
        <w:rPr>
          <w:b/>
          <w:sz w:val="27"/>
          <w:szCs w:val="27"/>
          <w:rtl/>
        </w:rPr>
      </w:pPr>
      <w:r w:rsidRPr="00EB5CE2">
        <w:rPr>
          <w:rFonts w:hint="cs"/>
          <w:b/>
          <w:sz w:val="27"/>
          <w:szCs w:val="27"/>
          <w:rtl/>
        </w:rPr>
        <w:t xml:space="preserve">נדפס ע"י ולזכות </w:t>
      </w:r>
      <w:r w:rsidR="004D06EF">
        <w:rPr>
          <w:rFonts w:hint="cs"/>
          <w:b/>
          <w:sz w:val="27"/>
          <w:szCs w:val="27"/>
          <w:rtl/>
        </w:rPr>
        <w:t xml:space="preserve"> זקניו</w:t>
      </w:r>
    </w:p>
    <w:p w14:paraId="04FB8961" w14:textId="77777777" w:rsidR="004D06EF" w:rsidRDefault="0083553B" w:rsidP="004D06EF">
      <w:pPr>
        <w:pStyle w:val="af3"/>
        <w:rPr>
          <w:b/>
          <w:sz w:val="27"/>
          <w:szCs w:val="27"/>
          <w:rtl/>
        </w:rPr>
      </w:pPr>
      <w:r>
        <w:rPr>
          <w:rFonts w:hint="cs"/>
          <w:b/>
          <w:sz w:val="27"/>
          <w:szCs w:val="27"/>
          <w:rtl/>
        </w:rPr>
        <w:t>הרה"ח ר'</w:t>
      </w:r>
      <w:r w:rsidR="00F06928" w:rsidRPr="00EB5CE2">
        <w:rPr>
          <w:rFonts w:hint="cs"/>
          <w:b/>
          <w:sz w:val="27"/>
          <w:szCs w:val="27"/>
          <w:rtl/>
        </w:rPr>
        <w:t xml:space="preserve"> </w:t>
      </w:r>
      <w:r w:rsidR="00F06928" w:rsidRPr="0083553B">
        <w:rPr>
          <w:rFonts w:hint="cs"/>
          <w:bCs/>
          <w:sz w:val="27"/>
          <w:szCs w:val="27"/>
          <w:rtl/>
        </w:rPr>
        <w:t>מאיר</w:t>
      </w:r>
      <w:r w:rsidR="00F06928" w:rsidRPr="00EB5CE2">
        <w:rPr>
          <w:rFonts w:hint="cs"/>
          <w:b/>
          <w:sz w:val="27"/>
          <w:szCs w:val="27"/>
          <w:rtl/>
        </w:rPr>
        <w:t xml:space="preserve"> שיחי'</w:t>
      </w:r>
      <w:r>
        <w:rPr>
          <w:rFonts w:hint="cs"/>
          <w:b/>
          <w:sz w:val="27"/>
          <w:szCs w:val="27"/>
          <w:rtl/>
        </w:rPr>
        <w:t xml:space="preserve"> וזוגתו מרת </w:t>
      </w:r>
      <w:r w:rsidRPr="0083553B">
        <w:rPr>
          <w:rFonts w:hint="cs"/>
          <w:bCs/>
          <w:sz w:val="27"/>
          <w:szCs w:val="27"/>
          <w:rtl/>
        </w:rPr>
        <w:t>צפורה</w:t>
      </w:r>
      <w:r>
        <w:rPr>
          <w:rFonts w:hint="cs"/>
          <w:b/>
          <w:sz w:val="27"/>
          <w:szCs w:val="27"/>
          <w:rtl/>
        </w:rPr>
        <w:t xml:space="preserve"> </w:t>
      </w:r>
      <w:r w:rsidR="004D06EF">
        <w:rPr>
          <w:rFonts w:hint="cs"/>
          <w:b/>
          <w:sz w:val="27"/>
          <w:szCs w:val="27"/>
          <w:rtl/>
        </w:rPr>
        <w:t>תחי'</w:t>
      </w:r>
    </w:p>
    <w:p w14:paraId="65C3D1D6" w14:textId="40D1F786" w:rsidR="00F06928" w:rsidRPr="00EB5CE2" w:rsidRDefault="00F06928" w:rsidP="004D06EF">
      <w:pPr>
        <w:pStyle w:val="af3"/>
        <w:rPr>
          <w:b/>
          <w:sz w:val="27"/>
          <w:szCs w:val="27"/>
          <w:rtl/>
        </w:rPr>
      </w:pPr>
      <w:r w:rsidRPr="0083553B">
        <w:rPr>
          <w:rFonts w:hint="cs"/>
          <w:bCs/>
          <w:sz w:val="27"/>
          <w:szCs w:val="27"/>
          <w:rtl/>
        </w:rPr>
        <w:t>הארליג</w:t>
      </w:r>
    </w:p>
    <w:p w14:paraId="3CC17929" w14:textId="77777777" w:rsidR="00F06928" w:rsidRDefault="00F06928" w:rsidP="00F06928">
      <w:pPr>
        <w:pStyle w:val="NormalComplexNarkisim"/>
        <w:spacing w:after="120" w:line="288" w:lineRule="auto"/>
        <w:rPr>
          <w:rFonts w:cs="1ShefaClassic"/>
          <w:b/>
          <w:sz w:val="27"/>
          <w:szCs w:val="27"/>
          <w:rtl/>
        </w:rPr>
      </w:pPr>
    </w:p>
    <w:p w14:paraId="15DD6F81" w14:textId="77777777" w:rsidR="00F06928" w:rsidRDefault="00F06928" w:rsidP="00F06928">
      <w:pPr>
        <w:pStyle w:val="NormalComplexNarkisim"/>
        <w:spacing w:after="120" w:line="288" w:lineRule="auto"/>
        <w:rPr>
          <w:rFonts w:cs="1ShefaClassic"/>
          <w:b/>
          <w:sz w:val="27"/>
          <w:szCs w:val="27"/>
          <w:rtl/>
        </w:rPr>
      </w:pPr>
    </w:p>
    <w:p w14:paraId="79E3D89E" w14:textId="77777777" w:rsidR="00571D4C" w:rsidRPr="00EB5CE2" w:rsidRDefault="00571D4C" w:rsidP="00EB5CE2">
      <w:pPr>
        <w:pStyle w:val="af3"/>
        <w:rPr>
          <w:sz w:val="27"/>
          <w:szCs w:val="27"/>
        </w:rPr>
      </w:pPr>
      <w:r w:rsidRPr="00EB5CE2">
        <w:rPr>
          <w:rFonts w:hint="cs"/>
          <w:sz w:val="27"/>
          <w:szCs w:val="27"/>
          <w:rtl/>
        </w:rPr>
        <w:t>לזכות</w:t>
      </w:r>
    </w:p>
    <w:p w14:paraId="34FA20A8" w14:textId="77777777" w:rsidR="00571D4C" w:rsidRPr="00EB5CE2" w:rsidRDefault="00571D4C" w:rsidP="00EB5CE2">
      <w:pPr>
        <w:pStyle w:val="af3"/>
        <w:rPr>
          <w:sz w:val="27"/>
          <w:szCs w:val="27"/>
        </w:rPr>
      </w:pPr>
      <w:r w:rsidRPr="00EB5CE2">
        <w:rPr>
          <w:rFonts w:hint="cs"/>
          <w:sz w:val="27"/>
          <w:szCs w:val="27"/>
          <w:rtl/>
        </w:rPr>
        <w:t>הילדים – חיילים בצבאות ה</w:t>
      </w:r>
      <w:r w:rsidRPr="00EB5CE2">
        <w:rPr>
          <w:sz w:val="27"/>
          <w:szCs w:val="27"/>
        </w:rPr>
        <w:t>'</w:t>
      </w:r>
    </w:p>
    <w:p w14:paraId="7AC39F39" w14:textId="77777777" w:rsidR="00571D4C" w:rsidRPr="00EB5CE2" w:rsidRDefault="00571D4C" w:rsidP="00EB5CE2">
      <w:pPr>
        <w:pStyle w:val="af3"/>
        <w:rPr>
          <w:sz w:val="27"/>
          <w:szCs w:val="27"/>
        </w:rPr>
      </w:pPr>
      <w:r w:rsidRPr="00EB5CE2">
        <w:rPr>
          <w:rFonts w:hint="cs"/>
          <w:b/>
          <w:bCs/>
          <w:sz w:val="27"/>
          <w:szCs w:val="27"/>
          <w:rtl/>
        </w:rPr>
        <w:t>צמח</w:t>
      </w:r>
      <w:r w:rsidRPr="00EB5CE2">
        <w:rPr>
          <w:rFonts w:hint="cs"/>
          <w:sz w:val="27"/>
          <w:szCs w:val="27"/>
          <w:rtl/>
        </w:rPr>
        <w:t xml:space="preserve"> </w:t>
      </w:r>
      <w:r w:rsidRPr="00EB5CE2">
        <w:rPr>
          <w:rFonts w:hint="cs"/>
          <w:b/>
          <w:bCs/>
          <w:sz w:val="27"/>
          <w:szCs w:val="27"/>
          <w:rtl/>
        </w:rPr>
        <w:t>משה</w:t>
      </w:r>
      <w:r w:rsidRPr="00EB5CE2">
        <w:rPr>
          <w:rFonts w:hint="cs"/>
          <w:sz w:val="27"/>
          <w:szCs w:val="27"/>
          <w:rtl/>
        </w:rPr>
        <w:t xml:space="preserve"> </w:t>
      </w:r>
      <w:r w:rsidRPr="00EB5CE2">
        <w:rPr>
          <w:rFonts w:hint="cs"/>
          <w:b/>
          <w:bCs/>
          <w:sz w:val="27"/>
          <w:szCs w:val="27"/>
          <w:rtl/>
        </w:rPr>
        <w:t>וחי'</w:t>
      </w:r>
      <w:r w:rsidRPr="00EB5CE2">
        <w:rPr>
          <w:rFonts w:hint="cs"/>
          <w:sz w:val="27"/>
          <w:szCs w:val="27"/>
          <w:rtl/>
        </w:rPr>
        <w:t xml:space="preserve"> </w:t>
      </w:r>
      <w:r w:rsidRPr="00EB5CE2">
        <w:rPr>
          <w:rFonts w:hint="cs"/>
          <w:b/>
          <w:bCs/>
          <w:sz w:val="27"/>
          <w:szCs w:val="27"/>
          <w:rtl/>
        </w:rPr>
        <w:t>מושקא</w:t>
      </w:r>
      <w:r w:rsidRPr="00EB5CE2">
        <w:rPr>
          <w:rFonts w:hint="cs"/>
          <w:sz w:val="27"/>
          <w:szCs w:val="27"/>
          <w:rtl/>
        </w:rPr>
        <w:t xml:space="preserve"> שיחיו</w:t>
      </w:r>
    </w:p>
    <w:p w14:paraId="3DC057E0" w14:textId="77777777" w:rsidR="00571D4C" w:rsidRPr="00EB5CE2" w:rsidRDefault="00571D4C" w:rsidP="00EB5CE2">
      <w:pPr>
        <w:pStyle w:val="af3"/>
        <w:rPr>
          <w:sz w:val="27"/>
          <w:szCs w:val="27"/>
        </w:rPr>
      </w:pPr>
      <w:r w:rsidRPr="00EB5CE2">
        <w:rPr>
          <w:rFonts w:hint="cs"/>
          <w:sz w:val="27"/>
          <w:szCs w:val="27"/>
          <w:rtl/>
        </w:rPr>
        <w:t>לרגל יום הולדתם ביום י"ז כסלו</w:t>
      </w:r>
    </w:p>
    <w:p w14:paraId="16F8041E" w14:textId="77777777" w:rsidR="00571D4C" w:rsidRPr="00EB5CE2" w:rsidRDefault="00571D4C" w:rsidP="00EB5CE2">
      <w:pPr>
        <w:pStyle w:val="af3"/>
        <w:rPr>
          <w:sz w:val="27"/>
          <w:szCs w:val="27"/>
        </w:rPr>
      </w:pPr>
      <w:r w:rsidRPr="00EB5CE2">
        <w:rPr>
          <w:rFonts w:hint="cs"/>
          <w:sz w:val="27"/>
          <w:szCs w:val="27"/>
          <w:rtl/>
        </w:rPr>
        <w:t>שיזכו לגרום נח"ר רב לכ"ק אדמו"ר נשיא דורנו</w:t>
      </w:r>
    </w:p>
    <w:p w14:paraId="43C2C146" w14:textId="01DE5DE9" w:rsidR="00571D4C" w:rsidRPr="00395CEE" w:rsidRDefault="00395CEE" w:rsidP="00395CEE">
      <w:pPr>
        <w:bidi/>
        <w:spacing w:line="240" w:lineRule="auto"/>
        <w:jc w:val="center"/>
        <w:rPr>
          <w:rFonts w:cs="1ShefaClassic"/>
          <w:sz w:val="27"/>
          <w:szCs w:val="27"/>
        </w:rPr>
      </w:pPr>
      <w:r>
        <w:rPr>
          <w:rFonts w:cs="1ShefaClassic"/>
          <w:sz w:val="27"/>
          <w:szCs w:val="27"/>
        </w:rPr>
        <w:sym w:font="Wingdings 2" w:char="F0B2"/>
      </w:r>
    </w:p>
    <w:p w14:paraId="217D741F" w14:textId="77777777" w:rsidR="00571D4C" w:rsidRPr="00EB5CE2" w:rsidRDefault="00571D4C" w:rsidP="00EB5CE2">
      <w:pPr>
        <w:pStyle w:val="af3"/>
        <w:rPr>
          <w:sz w:val="27"/>
          <w:szCs w:val="27"/>
        </w:rPr>
      </w:pPr>
      <w:r w:rsidRPr="00EB5CE2">
        <w:rPr>
          <w:rFonts w:hint="cs"/>
          <w:sz w:val="27"/>
          <w:szCs w:val="27"/>
          <w:rtl/>
        </w:rPr>
        <w:t>נדפס ע"י ולזכות הוריהם</w:t>
      </w:r>
    </w:p>
    <w:p w14:paraId="64DC8CFF" w14:textId="77777777" w:rsidR="00571D4C" w:rsidRPr="00EB5CE2" w:rsidRDefault="00571D4C" w:rsidP="00EB5CE2">
      <w:pPr>
        <w:pStyle w:val="af3"/>
        <w:rPr>
          <w:sz w:val="27"/>
          <w:szCs w:val="27"/>
        </w:rPr>
      </w:pPr>
      <w:r w:rsidRPr="00EB5CE2">
        <w:rPr>
          <w:rFonts w:hint="cs"/>
          <w:sz w:val="27"/>
          <w:szCs w:val="27"/>
          <w:rtl/>
        </w:rPr>
        <w:t xml:space="preserve">הרה"ת ר' </w:t>
      </w:r>
      <w:r w:rsidRPr="00EB5CE2">
        <w:rPr>
          <w:rFonts w:hint="cs"/>
          <w:b/>
          <w:bCs/>
          <w:sz w:val="27"/>
          <w:szCs w:val="27"/>
          <w:rtl/>
        </w:rPr>
        <w:t>יוסף</w:t>
      </w:r>
      <w:r w:rsidRPr="00EB5CE2">
        <w:rPr>
          <w:rFonts w:hint="cs"/>
          <w:sz w:val="27"/>
          <w:szCs w:val="27"/>
          <w:rtl/>
        </w:rPr>
        <w:t xml:space="preserve"> </w:t>
      </w:r>
      <w:r w:rsidRPr="00EB5CE2">
        <w:rPr>
          <w:rFonts w:hint="cs"/>
          <w:b/>
          <w:bCs/>
          <w:sz w:val="27"/>
          <w:szCs w:val="27"/>
          <w:rtl/>
        </w:rPr>
        <w:t>יצחק</w:t>
      </w:r>
      <w:r w:rsidRPr="00EB5CE2">
        <w:rPr>
          <w:rFonts w:hint="cs"/>
          <w:sz w:val="27"/>
          <w:szCs w:val="27"/>
          <w:rtl/>
        </w:rPr>
        <w:t xml:space="preserve"> וזוגתו </w:t>
      </w:r>
      <w:r w:rsidRPr="00EB5CE2">
        <w:rPr>
          <w:rFonts w:hint="cs"/>
          <w:b/>
          <w:bCs/>
          <w:sz w:val="27"/>
          <w:szCs w:val="27"/>
          <w:rtl/>
        </w:rPr>
        <w:t>שטערנא</w:t>
      </w:r>
      <w:r w:rsidRPr="00EB5CE2">
        <w:rPr>
          <w:rFonts w:hint="cs"/>
          <w:sz w:val="27"/>
          <w:szCs w:val="27"/>
          <w:rtl/>
        </w:rPr>
        <w:t xml:space="preserve"> </w:t>
      </w:r>
      <w:r w:rsidRPr="00EB5CE2">
        <w:rPr>
          <w:rFonts w:hint="cs"/>
          <w:b/>
          <w:bCs/>
          <w:sz w:val="27"/>
          <w:szCs w:val="27"/>
          <w:rtl/>
        </w:rPr>
        <w:t>שרה</w:t>
      </w:r>
      <w:r w:rsidRPr="00EB5CE2">
        <w:rPr>
          <w:rFonts w:hint="cs"/>
          <w:sz w:val="27"/>
          <w:szCs w:val="27"/>
          <w:rtl/>
        </w:rPr>
        <w:t xml:space="preserve"> שיחיו</w:t>
      </w:r>
    </w:p>
    <w:p w14:paraId="7C19F444" w14:textId="77777777" w:rsidR="00571D4C" w:rsidRPr="00EB5CE2" w:rsidRDefault="00571D4C" w:rsidP="00EB5CE2">
      <w:pPr>
        <w:pStyle w:val="af3"/>
        <w:rPr>
          <w:b/>
          <w:bCs/>
          <w:sz w:val="27"/>
          <w:szCs w:val="27"/>
        </w:rPr>
      </w:pPr>
      <w:r w:rsidRPr="00EB5CE2">
        <w:rPr>
          <w:rFonts w:hint="cs"/>
          <w:b/>
          <w:bCs/>
          <w:sz w:val="27"/>
          <w:szCs w:val="27"/>
          <w:rtl/>
        </w:rPr>
        <w:t>מינץ</w:t>
      </w:r>
    </w:p>
    <w:p w14:paraId="0ABCC88C" w14:textId="77777777" w:rsidR="00571D4C" w:rsidRPr="00EB5CE2" w:rsidRDefault="00571D4C" w:rsidP="00EB5CE2">
      <w:pPr>
        <w:pStyle w:val="af3"/>
        <w:rPr>
          <w:sz w:val="27"/>
          <w:szCs w:val="27"/>
        </w:rPr>
      </w:pPr>
      <w:r w:rsidRPr="00EB5CE2">
        <w:rPr>
          <w:rFonts w:hint="cs"/>
          <w:sz w:val="27"/>
          <w:szCs w:val="27"/>
          <w:rtl/>
        </w:rPr>
        <w:t>שלוחי כ"ק אדמו"ר נשיא דורנו</w:t>
      </w:r>
    </w:p>
    <w:p w14:paraId="6B0B6155" w14:textId="7B027ECF" w:rsidR="00F06928" w:rsidRPr="00EB5CE2" w:rsidRDefault="00571D4C" w:rsidP="00EB5CE2">
      <w:pPr>
        <w:pStyle w:val="af3"/>
        <w:rPr>
          <w:sz w:val="27"/>
          <w:szCs w:val="27"/>
          <w:rtl/>
        </w:rPr>
      </w:pPr>
      <w:r w:rsidRPr="00EB5CE2">
        <w:rPr>
          <w:rFonts w:hint="cs"/>
          <w:sz w:val="27"/>
          <w:szCs w:val="27"/>
          <w:rtl/>
        </w:rPr>
        <w:t>רדונדו ביטש, קאליפורניא</w:t>
      </w:r>
    </w:p>
    <w:p w14:paraId="304FC62E" w14:textId="77777777" w:rsidR="00571D4C" w:rsidRPr="00347933" w:rsidRDefault="00571D4C" w:rsidP="00571D4C">
      <w:pPr>
        <w:pStyle w:val="a4"/>
        <w:sectPr w:rsidR="00571D4C"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FE5D87A" w14:textId="77777777" w:rsidR="00571D4C" w:rsidRPr="00EB5CE2" w:rsidRDefault="00571D4C" w:rsidP="00571D4C">
      <w:pPr>
        <w:bidi/>
        <w:jc w:val="center"/>
        <w:rPr>
          <w:rFonts w:ascii="FbFrankReal" w:hAnsi="FbFrankReal" w:cs="1ShefaClassic"/>
          <w:sz w:val="27"/>
          <w:szCs w:val="27"/>
        </w:rPr>
      </w:pPr>
      <w:r w:rsidRPr="00EB5CE2">
        <w:rPr>
          <w:rFonts w:ascii="FbFrankReal" w:hAnsi="FbFrankReal" w:cs="1ShefaClassic"/>
          <w:sz w:val="27"/>
          <w:szCs w:val="27"/>
          <w:rtl/>
        </w:rPr>
        <w:t>לע"נ</w:t>
      </w:r>
    </w:p>
    <w:p w14:paraId="4FAE7405" w14:textId="77777777" w:rsidR="00571D4C" w:rsidRPr="00EB5CE2" w:rsidRDefault="00571D4C" w:rsidP="00571D4C">
      <w:pPr>
        <w:bidi/>
        <w:jc w:val="center"/>
        <w:rPr>
          <w:rFonts w:ascii="FbFrankReal" w:hAnsi="FbFrankReal" w:cs="1ShefaClassic"/>
          <w:sz w:val="27"/>
          <w:szCs w:val="27"/>
        </w:rPr>
      </w:pPr>
      <w:r w:rsidRPr="00EB5CE2">
        <w:rPr>
          <w:rFonts w:ascii="FbFrankReal" w:hAnsi="FbFrankReal" w:cs="1ShefaClassic"/>
          <w:sz w:val="27"/>
          <w:szCs w:val="27"/>
          <w:rtl/>
        </w:rPr>
        <w:t xml:space="preserve">הרה"ח ר' </w:t>
      </w:r>
      <w:r w:rsidRPr="00EB5CE2">
        <w:rPr>
          <w:rFonts w:ascii="FbFrankReal" w:hAnsi="FbFrankReal" w:cs="1ShefaClassic"/>
          <w:b/>
          <w:bCs/>
          <w:sz w:val="27"/>
          <w:szCs w:val="27"/>
          <w:rtl/>
        </w:rPr>
        <w:t>קלונימוס</w:t>
      </w:r>
      <w:r w:rsidRPr="00EB5CE2">
        <w:rPr>
          <w:rFonts w:ascii="FbFrankReal" w:hAnsi="FbFrankReal" w:cs="1ShefaClassic"/>
          <w:sz w:val="27"/>
          <w:szCs w:val="27"/>
          <w:rtl/>
        </w:rPr>
        <w:t xml:space="preserve"> </w:t>
      </w:r>
      <w:r w:rsidRPr="00EB5CE2">
        <w:rPr>
          <w:rFonts w:ascii="FbFrankReal" w:hAnsi="FbFrankReal" w:cs="1ShefaClassic"/>
          <w:b/>
          <w:bCs/>
          <w:sz w:val="27"/>
          <w:szCs w:val="27"/>
          <w:rtl/>
        </w:rPr>
        <w:t>קלמן</w:t>
      </w:r>
      <w:r w:rsidRPr="00EB5CE2">
        <w:rPr>
          <w:rFonts w:ascii="FbFrankReal" w:hAnsi="FbFrankReal" w:cs="1ShefaClassic"/>
          <w:sz w:val="27"/>
          <w:szCs w:val="27"/>
          <w:rtl/>
        </w:rPr>
        <w:t xml:space="preserve"> בן הרה"ח ר' </w:t>
      </w:r>
      <w:r w:rsidRPr="00EB5CE2">
        <w:rPr>
          <w:rFonts w:ascii="FbFrankReal" w:hAnsi="FbFrankReal" w:cs="1ShefaClassic"/>
          <w:b/>
          <w:bCs/>
          <w:sz w:val="27"/>
          <w:szCs w:val="27"/>
          <w:rtl/>
        </w:rPr>
        <w:t>שלמה</w:t>
      </w:r>
      <w:r w:rsidRPr="00EB5CE2">
        <w:rPr>
          <w:rFonts w:ascii="FbFrankReal" w:hAnsi="FbFrankReal" w:cs="1ShefaClassic"/>
          <w:sz w:val="27"/>
          <w:szCs w:val="27"/>
          <w:rtl/>
        </w:rPr>
        <w:t xml:space="preserve"> ע"ה</w:t>
      </w:r>
    </w:p>
    <w:p w14:paraId="72A5CA64" w14:textId="77777777" w:rsidR="00571D4C" w:rsidRPr="00EB5CE2" w:rsidRDefault="00571D4C" w:rsidP="00571D4C">
      <w:pPr>
        <w:bidi/>
        <w:spacing w:line="276" w:lineRule="auto"/>
        <w:jc w:val="center"/>
        <w:rPr>
          <w:rFonts w:ascii="FbFrankReal" w:hAnsi="FbFrankReal" w:cs="1ShefaClassic"/>
          <w:sz w:val="27"/>
          <w:szCs w:val="27"/>
        </w:rPr>
      </w:pPr>
      <w:r w:rsidRPr="00EB5CE2">
        <w:rPr>
          <w:rFonts w:ascii="FbFrankReal" w:hAnsi="FbFrankReal" w:cs="1ShefaClassic" w:hint="cs"/>
          <w:sz w:val="27"/>
          <w:szCs w:val="27"/>
          <w:rtl/>
        </w:rPr>
        <w:t xml:space="preserve">נלב"ע </w:t>
      </w:r>
      <w:r w:rsidRPr="00EB5CE2">
        <w:rPr>
          <w:rFonts w:ascii="FbFrankReal" w:hAnsi="FbFrankReal" w:cs="1ShefaClassic"/>
          <w:sz w:val="27"/>
          <w:szCs w:val="27"/>
          <w:rtl/>
        </w:rPr>
        <w:br/>
        <w:t xml:space="preserve">כ' </w:t>
      </w:r>
      <w:r w:rsidRPr="00EB5CE2">
        <w:rPr>
          <w:rFonts w:ascii="FbFrankReal" w:hAnsi="FbFrankReal" w:cs="1ShefaClassic" w:hint="cs"/>
          <w:sz w:val="27"/>
          <w:szCs w:val="27"/>
          <w:rtl/>
        </w:rPr>
        <w:t>חשון</w:t>
      </w:r>
      <w:r w:rsidRPr="00EB5CE2">
        <w:rPr>
          <w:rFonts w:ascii="FbFrankReal" w:hAnsi="FbFrankReal" w:cs="1ShefaClassic"/>
          <w:sz w:val="27"/>
          <w:szCs w:val="27"/>
          <w:rtl/>
        </w:rPr>
        <w:t xml:space="preserve"> </w:t>
      </w:r>
      <w:r w:rsidRPr="00EB5CE2">
        <w:rPr>
          <w:rFonts w:ascii="FbFrankReal" w:hAnsi="FbFrankReal" w:cs="1ShefaClassic" w:hint="cs"/>
          <w:sz w:val="27"/>
          <w:szCs w:val="27"/>
          <w:rtl/>
        </w:rPr>
        <w:t>ה"</w:t>
      </w:r>
      <w:r w:rsidRPr="00EB5CE2">
        <w:rPr>
          <w:rFonts w:ascii="FbFrankReal" w:hAnsi="FbFrankReal" w:cs="1ShefaClassic"/>
          <w:sz w:val="27"/>
          <w:szCs w:val="27"/>
          <w:rtl/>
        </w:rPr>
        <w:t>תשע"</w:t>
      </w:r>
      <w:r w:rsidRPr="00EB5CE2">
        <w:rPr>
          <w:rFonts w:ascii="FbFrankReal" w:hAnsi="FbFrankReal" w:cs="1ShefaClassic" w:hint="cs"/>
          <w:sz w:val="27"/>
          <w:szCs w:val="27"/>
          <w:rtl/>
        </w:rPr>
        <w:t>ה</w:t>
      </w:r>
    </w:p>
    <w:p w14:paraId="5D5251B7" w14:textId="294F24CD" w:rsidR="00571D4C" w:rsidRPr="00395CEE" w:rsidRDefault="00395CEE" w:rsidP="00395CEE">
      <w:pPr>
        <w:bidi/>
        <w:spacing w:line="240" w:lineRule="auto"/>
        <w:jc w:val="center"/>
        <w:rPr>
          <w:rFonts w:cs="1ShefaClassic"/>
          <w:sz w:val="27"/>
          <w:szCs w:val="27"/>
        </w:rPr>
      </w:pPr>
      <w:r>
        <w:rPr>
          <w:rFonts w:cs="1ShefaClassic"/>
          <w:sz w:val="27"/>
          <w:szCs w:val="27"/>
        </w:rPr>
        <w:sym w:font="Wingdings 2" w:char="F0B2"/>
      </w:r>
    </w:p>
    <w:p w14:paraId="3A15CF32" w14:textId="77777777" w:rsidR="00571D4C" w:rsidRPr="00EB5CE2" w:rsidRDefault="00571D4C" w:rsidP="00571D4C">
      <w:pPr>
        <w:bidi/>
        <w:jc w:val="center"/>
        <w:rPr>
          <w:rFonts w:ascii="FbFrankReal" w:hAnsi="FbFrankReal" w:cs="1ShefaClassic"/>
          <w:sz w:val="27"/>
          <w:szCs w:val="27"/>
        </w:rPr>
      </w:pPr>
      <w:r w:rsidRPr="00EB5CE2">
        <w:rPr>
          <w:rFonts w:ascii="FbFrankReal" w:hAnsi="FbFrankReal" w:cs="1ShefaClassic"/>
          <w:sz w:val="27"/>
          <w:szCs w:val="27"/>
          <w:rtl/>
        </w:rPr>
        <w:t>נדפס ע"י ולזכות בנו</w:t>
      </w:r>
    </w:p>
    <w:p w14:paraId="71BA7259" w14:textId="77777777" w:rsidR="00571D4C" w:rsidRPr="00EB5CE2" w:rsidRDefault="00571D4C" w:rsidP="00571D4C">
      <w:pPr>
        <w:bidi/>
        <w:jc w:val="center"/>
        <w:rPr>
          <w:rFonts w:ascii="FbFrankReal" w:hAnsi="FbFrankReal" w:cs="1ShefaClassic"/>
          <w:sz w:val="27"/>
          <w:szCs w:val="27"/>
        </w:rPr>
      </w:pPr>
      <w:r w:rsidRPr="00EB5CE2">
        <w:rPr>
          <w:rFonts w:ascii="FbFrankReal" w:hAnsi="FbFrankReal" w:cs="1ShefaClassic"/>
          <w:sz w:val="27"/>
          <w:szCs w:val="27"/>
          <w:rtl/>
        </w:rPr>
        <w:t xml:space="preserve">הרה"ח ר' </w:t>
      </w:r>
      <w:r w:rsidRPr="00EB5CE2">
        <w:rPr>
          <w:rFonts w:ascii="FbFrankReal" w:hAnsi="FbFrankReal" w:cs="1ShefaClassic"/>
          <w:b/>
          <w:bCs/>
          <w:sz w:val="27"/>
          <w:szCs w:val="27"/>
          <w:rtl/>
        </w:rPr>
        <w:t>רפאל</w:t>
      </w:r>
      <w:r w:rsidRPr="00EB5CE2">
        <w:rPr>
          <w:rFonts w:ascii="FbFrankReal" w:hAnsi="FbFrankReal" w:cs="1ShefaClassic"/>
          <w:sz w:val="27"/>
          <w:szCs w:val="27"/>
          <w:rtl/>
        </w:rPr>
        <w:t xml:space="preserve"> </w:t>
      </w:r>
      <w:r w:rsidRPr="00EB5CE2">
        <w:rPr>
          <w:rFonts w:ascii="FbFrankReal" w:hAnsi="FbFrankReal" w:cs="1ShefaClassic"/>
          <w:b/>
          <w:bCs/>
          <w:sz w:val="27"/>
          <w:szCs w:val="27"/>
          <w:rtl/>
        </w:rPr>
        <w:t>שלמה</w:t>
      </w:r>
      <w:r w:rsidRPr="00EB5CE2">
        <w:rPr>
          <w:rFonts w:ascii="FbFrankReal" w:hAnsi="FbFrankReal" w:cs="1ShefaClassic"/>
          <w:sz w:val="27"/>
          <w:szCs w:val="27"/>
          <w:rtl/>
        </w:rPr>
        <w:t xml:space="preserve"> וזוגתו מרת </w:t>
      </w:r>
      <w:r w:rsidRPr="00EB5CE2">
        <w:rPr>
          <w:rFonts w:ascii="FbFrankReal" w:hAnsi="FbFrankReal" w:cs="1ShefaClassic"/>
          <w:b/>
          <w:bCs/>
          <w:sz w:val="27"/>
          <w:szCs w:val="27"/>
          <w:rtl/>
        </w:rPr>
        <w:t>חי'</w:t>
      </w:r>
      <w:r w:rsidRPr="00EB5CE2">
        <w:rPr>
          <w:rFonts w:ascii="FbFrankReal" w:hAnsi="FbFrankReal" w:cs="1ShefaClassic"/>
          <w:sz w:val="27"/>
          <w:szCs w:val="27"/>
          <w:rtl/>
        </w:rPr>
        <w:t xml:space="preserve"> שיחיו</w:t>
      </w:r>
    </w:p>
    <w:p w14:paraId="18C1C196" w14:textId="77777777" w:rsidR="00571D4C" w:rsidRPr="00EB5CE2" w:rsidRDefault="00571D4C" w:rsidP="00571D4C">
      <w:pPr>
        <w:bidi/>
        <w:jc w:val="center"/>
        <w:rPr>
          <w:rFonts w:ascii="FbFrankReal" w:hAnsi="FbFrankReal" w:cs="1ShefaClassic"/>
          <w:b/>
          <w:bCs/>
          <w:sz w:val="27"/>
          <w:szCs w:val="27"/>
        </w:rPr>
      </w:pPr>
      <w:r w:rsidRPr="00EB5CE2">
        <w:rPr>
          <w:rFonts w:ascii="FbFrankReal" w:hAnsi="FbFrankReal" w:cs="1ShefaClassic"/>
          <w:b/>
          <w:bCs/>
          <w:sz w:val="27"/>
          <w:szCs w:val="27"/>
          <w:rtl/>
        </w:rPr>
        <w:t>דרימער</w:t>
      </w:r>
    </w:p>
    <w:p w14:paraId="77A9782E" w14:textId="77777777" w:rsidR="006833A2" w:rsidRDefault="006833A2" w:rsidP="006833A2">
      <w:pPr>
        <w:bidi/>
        <w:spacing w:after="200" w:line="276" w:lineRule="auto"/>
        <w:jc w:val="center"/>
        <w:rPr>
          <w:rFonts w:ascii="Calibri" w:eastAsia="Calibri" w:hAnsi="Calibri" w:cs="1ShefaClassic"/>
          <w:sz w:val="27"/>
          <w:szCs w:val="27"/>
          <w:rtl/>
        </w:rPr>
      </w:pPr>
    </w:p>
    <w:p w14:paraId="3B747DE3" w14:textId="77777777" w:rsidR="006833A2" w:rsidRDefault="006833A2" w:rsidP="006833A2">
      <w:pPr>
        <w:bidi/>
        <w:spacing w:after="200" w:line="276" w:lineRule="auto"/>
        <w:jc w:val="center"/>
        <w:rPr>
          <w:rFonts w:ascii="Calibri" w:eastAsia="Calibri" w:hAnsi="Calibri" w:cs="1ShefaClassic"/>
          <w:sz w:val="27"/>
          <w:szCs w:val="27"/>
          <w:rtl/>
        </w:rPr>
      </w:pPr>
    </w:p>
    <w:p w14:paraId="3F65EBEB" w14:textId="77777777" w:rsidR="004D06EF" w:rsidRDefault="004D06EF" w:rsidP="004D06EF">
      <w:pPr>
        <w:bidi/>
        <w:spacing w:after="200" w:line="276" w:lineRule="auto"/>
        <w:jc w:val="center"/>
        <w:rPr>
          <w:rFonts w:ascii="Calibri" w:eastAsia="Calibri" w:hAnsi="Calibri" w:cs="1ShefaClassic"/>
          <w:sz w:val="27"/>
          <w:szCs w:val="27"/>
          <w:rtl/>
        </w:rPr>
      </w:pPr>
    </w:p>
    <w:p w14:paraId="7B2C30C0" w14:textId="77777777" w:rsidR="006833A2" w:rsidRDefault="006833A2" w:rsidP="006833A2">
      <w:pPr>
        <w:bidi/>
        <w:spacing w:line="240" w:lineRule="auto"/>
        <w:jc w:val="center"/>
        <w:rPr>
          <w:rFonts w:ascii="Narkisim" w:eastAsia="Calibri" w:hAnsi="Narkisim" w:cs="1ShefaClassic"/>
          <w:sz w:val="27"/>
          <w:szCs w:val="27"/>
        </w:rPr>
      </w:pPr>
      <w:r>
        <w:rPr>
          <w:rFonts w:ascii="Narkisim" w:eastAsia="Calibri" w:hAnsi="Narkisim" w:cs="1ShefaClassic" w:hint="cs"/>
          <w:sz w:val="27"/>
          <w:szCs w:val="27"/>
          <w:rtl/>
        </w:rPr>
        <w:t>לזכות</w:t>
      </w:r>
    </w:p>
    <w:p w14:paraId="69573760" w14:textId="77777777" w:rsidR="006833A2" w:rsidRDefault="006833A2" w:rsidP="006833A2">
      <w:pPr>
        <w:bidi/>
        <w:spacing w:line="240" w:lineRule="auto"/>
        <w:jc w:val="center"/>
        <w:rPr>
          <w:rFonts w:cs="1ShefaClassic"/>
          <w:sz w:val="27"/>
          <w:szCs w:val="27"/>
          <w:rtl/>
        </w:rPr>
      </w:pPr>
      <w:r>
        <w:rPr>
          <w:rFonts w:cs="1ShefaClassic" w:hint="cs"/>
          <w:sz w:val="27"/>
          <w:szCs w:val="27"/>
          <w:rtl/>
        </w:rPr>
        <w:t xml:space="preserve">התמים </w:t>
      </w:r>
      <w:r>
        <w:rPr>
          <w:rFonts w:cs="1ShefaClassic" w:hint="cs"/>
          <w:b/>
          <w:bCs/>
          <w:sz w:val="27"/>
          <w:szCs w:val="27"/>
          <w:rtl/>
        </w:rPr>
        <w:t xml:space="preserve">מנחם מענדל </w:t>
      </w:r>
      <w:r>
        <w:rPr>
          <w:rFonts w:cs="1ShefaClassic" w:hint="cs"/>
          <w:sz w:val="27"/>
          <w:szCs w:val="27"/>
          <w:rtl/>
        </w:rPr>
        <w:t xml:space="preserve">שיחי' </w:t>
      </w:r>
      <w:r>
        <w:rPr>
          <w:rFonts w:cs="1ShefaClassic" w:hint="cs"/>
          <w:b/>
          <w:bCs/>
          <w:sz w:val="27"/>
          <w:szCs w:val="27"/>
          <w:rtl/>
        </w:rPr>
        <w:t>ברוק</w:t>
      </w:r>
    </w:p>
    <w:p w14:paraId="51F44101" w14:textId="77777777" w:rsidR="006833A2" w:rsidRDefault="006833A2" w:rsidP="006833A2">
      <w:pPr>
        <w:bidi/>
        <w:spacing w:line="240" w:lineRule="auto"/>
        <w:jc w:val="center"/>
        <w:rPr>
          <w:rFonts w:cs="1ShefaClassic"/>
          <w:sz w:val="27"/>
          <w:szCs w:val="27"/>
          <w:rtl/>
        </w:rPr>
      </w:pPr>
      <w:r>
        <w:rPr>
          <w:rFonts w:cs="1ShefaClassic" w:hint="cs"/>
          <w:sz w:val="27"/>
          <w:szCs w:val="27"/>
          <w:rtl/>
        </w:rPr>
        <w:t>לרגל חגיגת הבר מצוה</w:t>
      </w:r>
    </w:p>
    <w:p w14:paraId="226EA91E" w14:textId="77777777" w:rsidR="006833A2" w:rsidRDefault="006833A2" w:rsidP="006833A2">
      <w:pPr>
        <w:bidi/>
        <w:spacing w:line="240" w:lineRule="auto"/>
        <w:jc w:val="center"/>
        <w:rPr>
          <w:rFonts w:cs="1ShefaClassic"/>
          <w:sz w:val="27"/>
          <w:szCs w:val="27"/>
          <w:rtl/>
        </w:rPr>
      </w:pPr>
      <w:r>
        <w:rPr>
          <w:rFonts w:cs="1ShefaClassic" w:hint="cs"/>
          <w:sz w:val="27"/>
          <w:szCs w:val="27"/>
          <w:rtl/>
        </w:rPr>
        <w:t>ביום ט"ו כסלו ה’תשע”ט</w:t>
      </w:r>
    </w:p>
    <w:p w14:paraId="0A5AB101" w14:textId="77777777" w:rsidR="006833A2" w:rsidRDefault="006833A2" w:rsidP="006833A2">
      <w:pPr>
        <w:bidi/>
        <w:spacing w:line="240" w:lineRule="auto"/>
        <w:jc w:val="center"/>
        <w:rPr>
          <w:rFonts w:cs="1ShefaClassic"/>
          <w:sz w:val="27"/>
          <w:szCs w:val="27"/>
          <w:rtl/>
        </w:rPr>
      </w:pPr>
      <w:r>
        <w:rPr>
          <w:rFonts w:cs="1ShefaClassic" w:hint="cs"/>
          <w:sz w:val="27"/>
          <w:szCs w:val="27"/>
          <w:rtl/>
        </w:rPr>
        <w:t>יה"ר מהשי"ת שיגדל להיות חסיד ירא-שמים ולמדן</w:t>
      </w:r>
    </w:p>
    <w:p w14:paraId="54452351" w14:textId="77777777" w:rsidR="006833A2" w:rsidRDefault="006833A2" w:rsidP="006833A2">
      <w:pPr>
        <w:bidi/>
        <w:spacing w:line="240" w:lineRule="auto"/>
        <w:jc w:val="center"/>
        <w:rPr>
          <w:rFonts w:cs="1ShefaClassic"/>
          <w:sz w:val="27"/>
          <w:szCs w:val="27"/>
          <w:rtl/>
        </w:rPr>
      </w:pPr>
      <w:r>
        <w:rPr>
          <w:rFonts w:cs="1ShefaClassic" w:hint="cs"/>
          <w:sz w:val="27"/>
          <w:szCs w:val="27"/>
          <w:rtl/>
        </w:rPr>
        <w:t>ויעלה מעלה מעלה בתורה וחסידות</w:t>
      </w:r>
    </w:p>
    <w:p w14:paraId="7B68BDDA" w14:textId="77777777" w:rsidR="006833A2" w:rsidRDefault="006833A2" w:rsidP="006833A2">
      <w:pPr>
        <w:bidi/>
        <w:spacing w:line="240" w:lineRule="auto"/>
        <w:jc w:val="center"/>
        <w:rPr>
          <w:rFonts w:cs="1ShefaClassic"/>
          <w:sz w:val="27"/>
          <w:szCs w:val="27"/>
          <w:rtl/>
        </w:rPr>
      </w:pPr>
      <w:r>
        <w:rPr>
          <w:rFonts w:cs="1ShefaClassic" w:hint="cs"/>
          <w:sz w:val="27"/>
          <w:szCs w:val="27"/>
          <w:rtl/>
        </w:rPr>
        <w:t>ויצליח בלימוד התורה בהתמדה ושקידה</w:t>
      </w:r>
    </w:p>
    <w:p w14:paraId="7C4855D1" w14:textId="77777777" w:rsidR="006833A2" w:rsidRDefault="006833A2" w:rsidP="006833A2">
      <w:pPr>
        <w:bidi/>
        <w:spacing w:line="240" w:lineRule="auto"/>
        <w:jc w:val="center"/>
        <w:rPr>
          <w:rFonts w:cs="1ShefaClassic"/>
          <w:sz w:val="27"/>
          <w:szCs w:val="27"/>
          <w:rtl/>
        </w:rPr>
      </w:pPr>
      <w:r>
        <w:rPr>
          <w:rFonts w:cs="1ShefaClassic" w:hint="cs"/>
          <w:sz w:val="27"/>
          <w:szCs w:val="27"/>
          <w:rtl/>
        </w:rPr>
        <w:t>כרצוה"ק ולנח"ר כ"ק אדמו"ר נשיא דורנו</w:t>
      </w:r>
    </w:p>
    <w:p w14:paraId="7E113C6A" w14:textId="77777777" w:rsidR="006833A2" w:rsidRDefault="006833A2" w:rsidP="006833A2">
      <w:pPr>
        <w:bidi/>
        <w:spacing w:line="240" w:lineRule="auto"/>
        <w:jc w:val="center"/>
        <w:rPr>
          <w:rFonts w:cs="1ShefaClassic"/>
          <w:sz w:val="27"/>
          <w:szCs w:val="27"/>
          <w:rtl/>
        </w:rPr>
      </w:pPr>
      <w:r>
        <w:rPr>
          <w:rFonts w:cs="1ShefaClassic" w:hint="cs"/>
          <w:sz w:val="27"/>
          <w:szCs w:val="27"/>
          <w:rtl/>
        </w:rPr>
        <w:t>ויזכו הוריו שיחיו לרוות ממנו רוב נחת חסידי בגו"ר לאויו"ט</w:t>
      </w:r>
    </w:p>
    <w:p w14:paraId="7647BAB2" w14:textId="77777777" w:rsidR="006833A2" w:rsidRDefault="006833A2" w:rsidP="006833A2">
      <w:pPr>
        <w:bidi/>
        <w:spacing w:line="240" w:lineRule="auto"/>
        <w:jc w:val="center"/>
        <w:rPr>
          <w:rFonts w:cs="1ShefaClassic"/>
          <w:sz w:val="27"/>
          <w:szCs w:val="27"/>
          <w:rtl/>
        </w:rPr>
      </w:pPr>
      <w:r>
        <w:rPr>
          <w:rFonts w:cs="1ShefaClassic"/>
          <w:sz w:val="27"/>
          <w:szCs w:val="27"/>
        </w:rPr>
        <w:sym w:font="Wingdings 2" w:char="F0B2"/>
      </w:r>
    </w:p>
    <w:p w14:paraId="38D2392C" w14:textId="77777777" w:rsidR="006833A2" w:rsidRDefault="006833A2" w:rsidP="006833A2">
      <w:pPr>
        <w:bidi/>
        <w:spacing w:after="40" w:line="240" w:lineRule="auto"/>
        <w:jc w:val="center"/>
        <w:rPr>
          <w:rFonts w:cs="1ShefaClassic"/>
          <w:sz w:val="27"/>
          <w:szCs w:val="27"/>
          <w:rtl/>
        </w:rPr>
      </w:pPr>
      <w:r>
        <w:rPr>
          <w:rFonts w:cs="1ShefaClassic" w:hint="cs"/>
          <w:sz w:val="27"/>
          <w:szCs w:val="27"/>
          <w:rtl/>
        </w:rPr>
        <w:t>נדפס ע"י משפחתו שיחיו</w:t>
      </w:r>
    </w:p>
    <w:p w14:paraId="736A890C" w14:textId="77777777" w:rsidR="006833A2" w:rsidRPr="00347933" w:rsidRDefault="006833A2" w:rsidP="006833A2">
      <w:pPr>
        <w:pStyle w:val="a4"/>
        <w:sectPr w:rsidR="006833A2"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9DEEA3F" w14:textId="77777777" w:rsidR="006833A2" w:rsidRDefault="006833A2" w:rsidP="006833A2">
      <w:pPr>
        <w:pStyle w:val="af2"/>
        <w:spacing w:after="20" w:line="276" w:lineRule="auto"/>
        <w:rPr>
          <w:rFonts w:ascii="Wingdings 2" w:hAnsi="Wingdings 2" w:cs="1ShefaClassic"/>
        </w:rPr>
      </w:pPr>
      <w:r>
        <w:rPr>
          <w:rFonts w:ascii="Wingdings 2" w:hAnsi="Wingdings 2" w:cs="1ShefaClassic" w:hint="cs"/>
          <w:rtl/>
        </w:rPr>
        <w:t>לעילוי נשמת</w:t>
      </w:r>
    </w:p>
    <w:p w14:paraId="67CD4D06" w14:textId="77777777" w:rsidR="006833A2" w:rsidRDefault="006833A2" w:rsidP="006833A2">
      <w:pPr>
        <w:pStyle w:val="af2"/>
        <w:spacing w:after="20" w:line="276" w:lineRule="auto"/>
        <w:rPr>
          <w:rFonts w:ascii="Wingdings 2" w:hAnsi="Wingdings 2" w:cs="1ShefaClassic"/>
          <w:rtl/>
        </w:rPr>
      </w:pPr>
      <w:r>
        <w:rPr>
          <w:rFonts w:ascii="Wingdings 2" w:hAnsi="Wingdings 2" w:cs="1ShefaClassic" w:hint="cs"/>
          <w:rtl/>
        </w:rPr>
        <w:t xml:space="preserve">הרה"ח הרה"ת ר' </w:t>
      </w:r>
      <w:r>
        <w:rPr>
          <w:rFonts w:ascii="Wingdings 2" w:hAnsi="Wingdings 2" w:cs="1ShefaClassic" w:hint="cs"/>
          <w:b/>
          <w:bCs/>
          <w:rtl/>
        </w:rPr>
        <w:t xml:space="preserve">זוסיא בן ציון </w:t>
      </w:r>
      <w:r>
        <w:rPr>
          <w:rFonts w:ascii="Wingdings 2" w:hAnsi="Wingdings 2" w:cs="1ShefaClassic" w:hint="cs"/>
          <w:rtl/>
        </w:rPr>
        <w:t>ע"ה</w:t>
      </w:r>
    </w:p>
    <w:p w14:paraId="4A10CCB9" w14:textId="77777777" w:rsidR="006833A2" w:rsidRDefault="006833A2" w:rsidP="006833A2">
      <w:pPr>
        <w:pStyle w:val="af2"/>
        <w:spacing w:after="20" w:line="276" w:lineRule="auto"/>
        <w:rPr>
          <w:rFonts w:ascii="Wingdings 2" w:hAnsi="Wingdings 2" w:cs="1ShefaClassic"/>
        </w:rPr>
      </w:pPr>
      <w:r>
        <w:rPr>
          <w:rFonts w:ascii="Wingdings 2" w:hAnsi="Wingdings 2" w:cs="1ShefaClassic" w:hint="cs"/>
          <w:rtl/>
        </w:rPr>
        <w:t xml:space="preserve">בן הרה"ח הרה"ת ר' </w:t>
      </w:r>
      <w:r>
        <w:rPr>
          <w:rFonts w:ascii="Wingdings 2" w:hAnsi="Wingdings 2" w:cs="1ShefaClassic" w:hint="cs"/>
          <w:b/>
          <w:bCs/>
          <w:rtl/>
        </w:rPr>
        <w:t xml:space="preserve">לוי </w:t>
      </w:r>
      <w:r>
        <w:rPr>
          <w:rFonts w:ascii="Wingdings 2" w:hAnsi="Wingdings 2" w:cs="1ShefaClassic" w:hint="cs"/>
          <w:rtl/>
        </w:rPr>
        <w:t>ע"ה</w:t>
      </w:r>
    </w:p>
    <w:p w14:paraId="018AC47B" w14:textId="77777777" w:rsidR="006833A2" w:rsidRDefault="006833A2" w:rsidP="006833A2">
      <w:pPr>
        <w:pStyle w:val="af2"/>
        <w:spacing w:after="20" w:line="276" w:lineRule="auto"/>
        <w:rPr>
          <w:rFonts w:ascii="Wingdings 2" w:hAnsi="Wingdings 2" w:cs="1ShefaClassic"/>
          <w:b/>
          <w:bCs/>
          <w:rtl/>
        </w:rPr>
      </w:pPr>
      <w:r>
        <w:rPr>
          <w:rFonts w:ascii="Wingdings 2" w:hAnsi="Wingdings 2" w:cs="1ShefaClassic" w:hint="cs"/>
          <w:b/>
          <w:bCs/>
          <w:rtl/>
        </w:rPr>
        <w:t>ליברמן</w:t>
      </w:r>
    </w:p>
    <w:p w14:paraId="43A04C0B" w14:textId="77777777" w:rsidR="006833A2" w:rsidRDefault="006833A2" w:rsidP="006833A2">
      <w:pPr>
        <w:pStyle w:val="af2"/>
        <w:spacing w:before="120" w:after="20" w:line="276" w:lineRule="auto"/>
        <w:rPr>
          <w:rFonts w:ascii="Wingdings 2" w:hAnsi="Wingdings 2" w:cs="1ShefaClassic"/>
          <w:rtl/>
        </w:rPr>
      </w:pPr>
      <w:r>
        <w:rPr>
          <w:rFonts w:ascii="Wingdings 2" w:hAnsi="Wingdings 2" w:cs="1ShefaClassic" w:hint="cs"/>
          <w:rtl/>
        </w:rPr>
        <w:t>נפטר ביום ח"י כסלו ה'תשע"ג</w:t>
      </w:r>
    </w:p>
    <w:p w14:paraId="77922606" w14:textId="77777777" w:rsidR="006833A2" w:rsidRDefault="006833A2" w:rsidP="006833A2">
      <w:pPr>
        <w:pStyle w:val="af2"/>
        <w:spacing w:before="120" w:after="20" w:line="276" w:lineRule="auto"/>
        <w:rPr>
          <w:rFonts w:ascii="Wingdings 2" w:hAnsi="Wingdings 2" w:cs="1ShefaClassic"/>
          <w:b/>
          <w:bCs/>
          <w:rtl/>
        </w:rPr>
      </w:pPr>
      <w:r>
        <w:rPr>
          <w:rFonts w:ascii="Wingdings 2" w:hAnsi="Wingdings 2" w:cs="1ShefaClassic" w:hint="cs"/>
          <w:b/>
          <w:bCs/>
          <w:rtl/>
        </w:rPr>
        <w:t>ת.נ.צ.ב.ה.</w:t>
      </w:r>
    </w:p>
    <w:p w14:paraId="3CC9AC4A" w14:textId="77777777" w:rsidR="006833A2" w:rsidRDefault="006833A2" w:rsidP="006833A2">
      <w:pPr>
        <w:pStyle w:val="divider"/>
        <w:spacing w:before="240" w:after="20" w:line="276" w:lineRule="auto"/>
        <w:rPr>
          <w:rFonts w:ascii="Times New Roman" w:hAnsi="Times New Roman" w:cs="1ShefaClassic"/>
          <w:rtl/>
        </w:rPr>
      </w:pPr>
      <w:r>
        <w:rPr>
          <w:rFonts w:cs="1ShefaClassic"/>
        </w:rPr>
        <w:sym w:font="Wingdings 2" w:char="F0B2"/>
      </w:r>
    </w:p>
    <w:p w14:paraId="1FE37351" w14:textId="77777777" w:rsidR="006833A2" w:rsidRDefault="006833A2" w:rsidP="006833A2">
      <w:pPr>
        <w:pStyle w:val="af2"/>
        <w:spacing w:after="20" w:line="276" w:lineRule="auto"/>
        <w:rPr>
          <w:rFonts w:ascii="Wingdings 2" w:hAnsi="Wingdings 2" w:cs="1ShefaClassic"/>
          <w:b/>
          <w:bCs/>
          <w:rtl/>
        </w:rPr>
      </w:pPr>
      <w:r>
        <w:rPr>
          <w:rFonts w:ascii="Wingdings 2" w:hAnsi="Wingdings 2" w:cs="1ShefaClassic" w:hint="cs"/>
          <w:rtl/>
        </w:rPr>
        <w:t>נדפס ע"י משפחתו שיחיו</w:t>
      </w:r>
    </w:p>
    <w:p w14:paraId="49294284" w14:textId="77777777" w:rsidR="00571D4C" w:rsidRPr="006833A2" w:rsidRDefault="00571D4C" w:rsidP="00571D4C">
      <w:pPr>
        <w:bidi/>
        <w:spacing w:after="200" w:line="276" w:lineRule="auto"/>
        <w:jc w:val="center"/>
        <w:rPr>
          <w:rFonts w:ascii="Calibri" w:eastAsia="Calibri" w:hAnsi="Calibri" w:cs="1ShefaClassic"/>
          <w:sz w:val="27"/>
          <w:szCs w:val="27"/>
          <w:rtl/>
        </w:rPr>
      </w:pPr>
    </w:p>
    <w:p w14:paraId="4BE9DD27" w14:textId="77777777" w:rsidR="00F21F8C" w:rsidRDefault="00F21F8C" w:rsidP="00F21F8C">
      <w:pPr>
        <w:bidi/>
        <w:spacing w:after="200" w:line="276" w:lineRule="auto"/>
        <w:jc w:val="center"/>
        <w:rPr>
          <w:rFonts w:ascii="Calibri" w:eastAsia="Calibri" w:hAnsi="Calibri" w:cs="1ShefaClassic"/>
          <w:sz w:val="27"/>
          <w:szCs w:val="27"/>
          <w:rtl/>
        </w:rPr>
      </w:pPr>
    </w:p>
    <w:p w14:paraId="6B17620E" w14:textId="77777777" w:rsidR="006833A2" w:rsidRDefault="006833A2" w:rsidP="001C63CD">
      <w:pPr>
        <w:pStyle w:val="af3"/>
        <w:rPr>
          <w:sz w:val="27"/>
          <w:szCs w:val="27"/>
          <w:rtl/>
        </w:rPr>
      </w:pPr>
    </w:p>
    <w:p w14:paraId="68E8A099" w14:textId="77777777" w:rsidR="004D06EF" w:rsidRDefault="004D06EF" w:rsidP="001C63CD">
      <w:pPr>
        <w:pStyle w:val="af3"/>
        <w:rPr>
          <w:sz w:val="27"/>
          <w:szCs w:val="27"/>
          <w:rtl/>
        </w:rPr>
      </w:pPr>
    </w:p>
    <w:p w14:paraId="74288B0D" w14:textId="77777777" w:rsidR="00571D4C" w:rsidRPr="001C63CD" w:rsidRDefault="00571D4C" w:rsidP="001C63CD">
      <w:pPr>
        <w:pStyle w:val="af3"/>
        <w:rPr>
          <w:sz w:val="27"/>
          <w:szCs w:val="27"/>
          <w:lang w:bidi="ar-SA"/>
        </w:rPr>
      </w:pPr>
      <w:r w:rsidRPr="001C63CD">
        <w:rPr>
          <w:rFonts w:hint="cs"/>
          <w:sz w:val="27"/>
          <w:szCs w:val="27"/>
          <w:rtl/>
        </w:rPr>
        <w:t>לעילוי נשמת</w:t>
      </w:r>
    </w:p>
    <w:p w14:paraId="526B5DB2" w14:textId="77777777" w:rsidR="00571D4C" w:rsidRPr="001C63CD" w:rsidRDefault="00571D4C" w:rsidP="001C63CD">
      <w:pPr>
        <w:pStyle w:val="af3"/>
        <w:rPr>
          <w:sz w:val="27"/>
          <w:szCs w:val="27"/>
          <w:lang w:bidi="ar-SA"/>
        </w:rPr>
      </w:pPr>
      <w:r w:rsidRPr="001C63CD">
        <w:rPr>
          <w:rFonts w:hint="cs"/>
          <w:sz w:val="27"/>
          <w:szCs w:val="27"/>
          <w:rtl/>
        </w:rPr>
        <w:t xml:space="preserve">האשה החשובה מרת </w:t>
      </w:r>
      <w:r w:rsidRPr="001C63CD">
        <w:rPr>
          <w:rFonts w:hint="cs"/>
          <w:bCs/>
          <w:sz w:val="27"/>
          <w:szCs w:val="27"/>
          <w:rtl/>
        </w:rPr>
        <w:t>בתי'</w:t>
      </w:r>
      <w:r w:rsidRPr="001C63CD">
        <w:rPr>
          <w:rFonts w:hint="cs"/>
          <w:sz w:val="27"/>
          <w:szCs w:val="27"/>
          <w:rtl/>
        </w:rPr>
        <w:t xml:space="preserve"> </w:t>
      </w:r>
      <w:r w:rsidRPr="001C63CD">
        <w:rPr>
          <w:rFonts w:hint="cs"/>
          <w:bCs/>
          <w:sz w:val="27"/>
          <w:szCs w:val="27"/>
          <w:rtl/>
        </w:rPr>
        <w:t>דבורה</w:t>
      </w:r>
    </w:p>
    <w:p w14:paraId="7BF645C2" w14:textId="77777777" w:rsidR="00571D4C" w:rsidRPr="001C63CD" w:rsidRDefault="00571D4C" w:rsidP="001C63CD">
      <w:pPr>
        <w:pStyle w:val="af3"/>
        <w:rPr>
          <w:sz w:val="27"/>
          <w:szCs w:val="27"/>
          <w:lang w:bidi="ar-SA"/>
        </w:rPr>
      </w:pPr>
      <w:r w:rsidRPr="001C63CD">
        <w:rPr>
          <w:rFonts w:hint="cs"/>
          <w:sz w:val="27"/>
          <w:szCs w:val="27"/>
          <w:rtl/>
        </w:rPr>
        <w:t xml:space="preserve">בת הרה"ח ר' </w:t>
      </w:r>
      <w:r w:rsidRPr="001C63CD">
        <w:rPr>
          <w:rFonts w:hint="cs"/>
          <w:bCs/>
          <w:sz w:val="27"/>
          <w:szCs w:val="27"/>
          <w:rtl/>
        </w:rPr>
        <w:t>אבא</w:t>
      </w:r>
      <w:r w:rsidRPr="001C63CD">
        <w:rPr>
          <w:rFonts w:hint="cs"/>
          <w:sz w:val="27"/>
          <w:szCs w:val="27"/>
          <w:rtl/>
        </w:rPr>
        <w:t xml:space="preserve"> הלוי ע"ה</w:t>
      </w:r>
    </w:p>
    <w:p w14:paraId="31DF2A59" w14:textId="77777777" w:rsidR="00571D4C" w:rsidRPr="001C63CD" w:rsidRDefault="00571D4C" w:rsidP="001C63CD">
      <w:pPr>
        <w:pStyle w:val="af3"/>
        <w:rPr>
          <w:sz w:val="27"/>
          <w:szCs w:val="27"/>
          <w:lang w:bidi="ar-SA"/>
        </w:rPr>
      </w:pPr>
      <w:r w:rsidRPr="001C63CD">
        <w:rPr>
          <w:rFonts w:hint="cs"/>
          <w:sz w:val="27"/>
          <w:szCs w:val="27"/>
          <w:rtl/>
        </w:rPr>
        <w:t>נפטרה ביום ח"י כסלו ה'תשס"א</w:t>
      </w:r>
    </w:p>
    <w:p w14:paraId="5968705F" w14:textId="77777777" w:rsidR="00571D4C" w:rsidRPr="001C63CD" w:rsidRDefault="00571D4C" w:rsidP="001C63CD">
      <w:pPr>
        <w:pStyle w:val="af3"/>
        <w:rPr>
          <w:sz w:val="27"/>
          <w:szCs w:val="27"/>
          <w:lang w:bidi="ar-SA"/>
        </w:rPr>
      </w:pPr>
      <w:r w:rsidRPr="001C63CD">
        <w:rPr>
          <w:rFonts w:hint="cs"/>
          <w:sz w:val="27"/>
          <w:szCs w:val="27"/>
          <w:rtl/>
        </w:rPr>
        <w:t>ת.נ.צ.ב.ה</w:t>
      </w:r>
      <w:r w:rsidRPr="001C63CD">
        <w:rPr>
          <w:sz w:val="27"/>
          <w:szCs w:val="27"/>
          <w:lang w:bidi="ar-SA"/>
        </w:rPr>
        <w:t>.</w:t>
      </w:r>
    </w:p>
    <w:p w14:paraId="16ABD6C3" w14:textId="77777777" w:rsidR="00571D4C" w:rsidRPr="00571D4C" w:rsidRDefault="00571D4C" w:rsidP="00571D4C">
      <w:pPr>
        <w:bidi/>
        <w:jc w:val="center"/>
        <w:rPr>
          <w:rFonts w:ascii="FbFrankReal" w:hAnsi="FbFrankReal" w:cs="1ShefaClassic"/>
          <w:b/>
          <w:sz w:val="27"/>
          <w:szCs w:val="27"/>
          <w:lang w:bidi="ar-SA"/>
        </w:rPr>
      </w:pPr>
      <w:r w:rsidRPr="00571D4C">
        <w:rPr>
          <w:rFonts w:ascii="FbFrankReal" w:hAnsi="FbFrankReal" w:cs="1ShefaClassic"/>
          <w:b/>
          <w:sz w:val="27"/>
          <w:szCs w:val="27"/>
          <w:lang w:bidi="ar-SA"/>
        </w:rPr>
        <w:sym w:font="Wingdings 2" w:char="F0B2"/>
      </w:r>
    </w:p>
    <w:p w14:paraId="595AC00B" w14:textId="77777777" w:rsidR="00571D4C" w:rsidRPr="001C63CD" w:rsidRDefault="00571D4C" w:rsidP="001C63CD">
      <w:pPr>
        <w:pStyle w:val="af3"/>
        <w:rPr>
          <w:sz w:val="27"/>
          <w:szCs w:val="27"/>
          <w:lang w:bidi="ar-SA"/>
        </w:rPr>
      </w:pPr>
      <w:r w:rsidRPr="001C63CD">
        <w:rPr>
          <w:rFonts w:hint="cs"/>
          <w:sz w:val="27"/>
          <w:szCs w:val="27"/>
          <w:rtl/>
        </w:rPr>
        <w:t>נדפס ע"י ולזכות</w:t>
      </w:r>
    </w:p>
    <w:p w14:paraId="09865199" w14:textId="77777777" w:rsidR="00571D4C" w:rsidRPr="001C63CD" w:rsidRDefault="00571D4C" w:rsidP="001C63CD">
      <w:pPr>
        <w:pStyle w:val="af3"/>
        <w:rPr>
          <w:sz w:val="27"/>
          <w:szCs w:val="27"/>
          <w:lang w:bidi="ar-SA"/>
        </w:rPr>
      </w:pPr>
      <w:r w:rsidRPr="001C63CD">
        <w:rPr>
          <w:rFonts w:hint="cs"/>
          <w:sz w:val="27"/>
          <w:szCs w:val="27"/>
          <w:rtl/>
        </w:rPr>
        <w:t xml:space="preserve">הרה"ח ר' </w:t>
      </w:r>
      <w:r w:rsidRPr="001C63CD">
        <w:rPr>
          <w:rFonts w:hint="cs"/>
          <w:bCs/>
          <w:sz w:val="27"/>
          <w:szCs w:val="27"/>
          <w:rtl/>
        </w:rPr>
        <w:t>ברוך</w:t>
      </w:r>
      <w:r w:rsidRPr="001C63CD">
        <w:rPr>
          <w:rFonts w:hint="cs"/>
          <w:sz w:val="27"/>
          <w:szCs w:val="27"/>
          <w:rtl/>
        </w:rPr>
        <w:t xml:space="preserve"> וזוגתו מרת </w:t>
      </w:r>
      <w:r w:rsidRPr="001C63CD">
        <w:rPr>
          <w:rFonts w:hint="cs"/>
          <w:bCs/>
          <w:sz w:val="27"/>
          <w:szCs w:val="27"/>
          <w:rtl/>
        </w:rPr>
        <w:t>בריינא</w:t>
      </w:r>
      <w:r w:rsidRPr="001C63CD">
        <w:rPr>
          <w:rFonts w:hint="cs"/>
          <w:sz w:val="27"/>
          <w:szCs w:val="27"/>
          <w:rtl/>
        </w:rPr>
        <w:t xml:space="preserve"> ומשפחתם שיחיו</w:t>
      </w:r>
    </w:p>
    <w:p w14:paraId="00F507C5" w14:textId="77777777" w:rsidR="00571D4C" w:rsidRPr="001C63CD" w:rsidRDefault="00571D4C" w:rsidP="001C63CD">
      <w:pPr>
        <w:pStyle w:val="af3"/>
        <w:rPr>
          <w:bCs/>
          <w:sz w:val="27"/>
          <w:szCs w:val="27"/>
          <w:lang w:bidi="ar-SA"/>
        </w:rPr>
      </w:pPr>
      <w:r w:rsidRPr="001C63CD">
        <w:rPr>
          <w:rFonts w:hint="cs"/>
          <w:bCs/>
          <w:sz w:val="27"/>
          <w:szCs w:val="27"/>
          <w:rtl/>
        </w:rPr>
        <w:t>נפרסטק</w:t>
      </w:r>
    </w:p>
    <w:p w14:paraId="74F7FA88" w14:textId="77777777" w:rsidR="00571D4C" w:rsidRPr="00347933" w:rsidRDefault="00571D4C" w:rsidP="00571D4C">
      <w:pPr>
        <w:pStyle w:val="a4"/>
        <w:sectPr w:rsidR="00571D4C"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4DC9FA5" w14:textId="77777777" w:rsidR="00571D4C" w:rsidRPr="001C63CD" w:rsidRDefault="00571D4C" w:rsidP="001C63CD">
      <w:pPr>
        <w:pStyle w:val="af3"/>
        <w:rPr>
          <w:sz w:val="27"/>
          <w:szCs w:val="27"/>
        </w:rPr>
      </w:pPr>
      <w:r w:rsidRPr="001C63CD">
        <w:rPr>
          <w:rFonts w:hint="cs"/>
          <w:sz w:val="27"/>
          <w:szCs w:val="27"/>
          <w:rtl/>
        </w:rPr>
        <w:t>מוקדש</w:t>
      </w:r>
    </w:p>
    <w:p w14:paraId="7EE566BD" w14:textId="77777777" w:rsidR="00571D4C" w:rsidRPr="001C63CD" w:rsidRDefault="00571D4C" w:rsidP="001C63CD">
      <w:pPr>
        <w:pStyle w:val="af3"/>
        <w:rPr>
          <w:sz w:val="27"/>
          <w:szCs w:val="27"/>
        </w:rPr>
      </w:pPr>
      <w:r w:rsidRPr="001C63CD">
        <w:rPr>
          <w:rFonts w:hint="cs"/>
          <w:sz w:val="27"/>
          <w:szCs w:val="27"/>
          <w:rtl/>
        </w:rPr>
        <w:t>לחיזוק</w:t>
      </w:r>
      <w:r w:rsidRPr="001C63CD">
        <w:rPr>
          <w:sz w:val="27"/>
          <w:szCs w:val="27"/>
          <w:rtl/>
        </w:rPr>
        <w:t xml:space="preserve"> </w:t>
      </w:r>
      <w:r w:rsidRPr="001C63CD">
        <w:rPr>
          <w:rFonts w:hint="cs"/>
          <w:sz w:val="27"/>
          <w:szCs w:val="27"/>
          <w:rtl/>
        </w:rPr>
        <w:t>ההתקשרות</w:t>
      </w:r>
    </w:p>
    <w:p w14:paraId="41A34CC8" w14:textId="77777777" w:rsidR="00571D4C" w:rsidRPr="001C63CD" w:rsidRDefault="00571D4C" w:rsidP="001C63CD">
      <w:pPr>
        <w:pStyle w:val="af3"/>
        <w:rPr>
          <w:b/>
          <w:bCs/>
          <w:sz w:val="27"/>
          <w:szCs w:val="27"/>
        </w:rPr>
      </w:pPr>
      <w:r w:rsidRPr="001C63CD">
        <w:rPr>
          <w:rFonts w:hint="cs"/>
          <w:b/>
          <w:bCs/>
          <w:sz w:val="27"/>
          <w:szCs w:val="27"/>
          <w:rtl/>
        </w:rPr>
        <w:t>לכ</w:t>
      </w:r>
      <w:r w:rsidRPr="001C63CD">
        <w:rPr>
          <w:b/>
          <w:bCs/>
          <w:sz w:val="27"/>
          <w:szCs w:val="27"/>
          <w:rtl/>
        </w:rPr>
        <w:t>"</w:t>
      </w:r>
      <w:r w:rsidRPr="001C63CD">
        <w:rPr>
          <w:rFonts w:hint="cs"/>
          <w:b/>
          <w:bCs/>
          <w:sz w:val="27"/>
          <w:szCs w:val="27"/>
          <w:rtl/>
        </w:rPr>
        <w:t>ק</w:t>
      </w:r>
      <w:r w:rsidRPr="001C63CD">
        <w:rPr>
          <w:b/>
          <w:bCs/>
          <w:sz w:val="27"/>
          <w:szCs w:val="27"/>
          <w:rtl/>
        </w:rPr>
        <w:t xml:space="preserve"> </w:t>
      </w:r>
      <w:r w:rsidRPr="001C63CD">
        <w:rPr>
          <w:rFonts w:hint="cs"/>
          <w:b/>
          <w:bCs/>
          <w:sz w:val="27"/>
          <w:szCs w:val="27"/>
          <w:rtl/>
        </w:rPr>
        <w:t>אדמו</w:t>
      </w:r>
      <w:r w:rsidRPr="001C63CD">
        <w:rPr>
          <w:b/>
          <w:bCs/>
          <w:sz w:val="27"/>
          <w:szCs w:val="27"/>
          <w:rtl/>
        </w:rPr>
        <w:t>"</w:t>
      </w:r>
      <w:r w:rsidRPr="001C63CD">
        <w:rPr>
          <w:rFonts w:hint="cs"/>
          <w:b/>
          <w:bCs/>
          <w:sz w:val="27"/>
          <w:szCs w:val="27"/>
          <w:rtl/>
        </w:rPr>
        <w:t>ר</w:t>
      </w:r>
      <w:r w:rsidRPr="001C63CD">
        <w:rPr>
          <w:b/>
          <w:bCs/>
          <w:sz w:val="27"/>
          <w:szCs w:val="27"/>
          <w:rtl/>
        </w:rPr>
        <w:t xml:space="preserve"> </w:t>
      </w:r>
      <w:r w:rsidRPr="001C63CD">
        <w:rPr>
          <w:rFonts w:hint="cs"/>
          <w:b/>
          <w:bCs/>
          <w:sz w:val="27"/>
          <w:szCs w:val="27"/>
          <w:rtl/>
        </w:rPr>
        <w:t>נשיא</w:t>
      </w:r>
      <w:r w:rsidRPr="001C63CD">
        <w:rPr>
          <w:b/>
          <w:bCs/>
          <w:sz w:val="27"/>
          <w:szCs w:val="27"/>
          <w:rtl/>
        </w:rPr>
        <w:t xml:space="preserve"> </w:t>
      </w:r>
      <w:r w:rsidRPr="001C63CD">
        <w:rPr>
          <w:rFonts w:hint="cs"/>
          <w:b/>
          <w:bCs/>
          <w:sz w:val="27"/>
          <w:szCs w:val="27"/>
          <w:rtl/>
        </w:rPr>
        <w:t>דורנו</w:t>
      </w:r>
    </w:p>
    <w:p w14:paraId="30C572B1" w14:textId="77777777" w:rsidR="00571D4C" w:rsidRPr="001C63CD" w:rsidRDefault="00571D4C" w:rsidP="001C63CD">
      <w:pPr>
        <w:pStyle w:val="af3"/>
        <w:rPr>
          <w:sz w:val="27"/>
          <w:szCs w:val="27"/>
        </w:rPr>
      </w:pPr>
      <w:r w:rsidRPr="001C63CD">
        <w:rPr>
          <w:rFonts w:hint="cs"/>
          <w:sz w:val="27"/>
          <w:szCs w:val="27"/>
          <w:rtl/>
        </w:rPr>
        <w:t>בקשר</w:t>
      </w:r>
      <w:r w:rsidRPr="001C63CD">
        <w:rPr>
          <w:sz w:val="27"/>
          <w:szCs w:val="27"/>
          <w:rtl/>
        </w:rPr>
        <w:t xml:space="preserve"> </w:t>
      </w:r>
      <w:r w:rsidRPr="001C63CD">
        <w:rPr>
          <w:rFonts w:hint="cs"/>
          <w:sz w:val="27"/>
          <w:szCs w:val="27"/>
          <w:rtl/>
        </w:rPr>
        <w:t>עם</w:t>
      </w:r>
      <w:r w:rsidRPr="001C63CD">
        <w:rPr>
          <w:sz w:val="27"/>
          <w:szCs w:val="27"/>
          <w:rtl/>
        </w:rPr>
        <w:t xml:space="preserve"> </w:t>
      </w:r>
      <w:r w:rsidRPr="001C63CD">
        <w:rPr>
          <w:rFonts w:hint="cs"/>
          <w:sz w:val="27"/>
          <w:szCs w:val="27"/>
          <w:rtl/>
        </w:rPr>
        <w:t>יום</w:t>
      </w:r>
      <w:r w:rsidRPr="001C63CD">
        <w:rPr>
          <w:sz w:val="27"/>
          <w:szCs w:val="27"/>
          <w:rtl/>
        </w:rPr>
        <w:t xml:space="preserve"> </w:t>
      </w:r>
      <w:r w:rsidRPr="001C63CD">
        <w:rPr>
          <w:rFonts w:hint="cs"/>
          <w:sz w:val="27"/>
          <w:szCs w:val="27"/>
          <w:rtl/>
        </w:rPr>
        <w:t>הבהיר</w:t>
      </w:r>
    </w:p>
    <w:p w14:paraId="21CDC892" w14:textId="77777777" w:rsidR="00571D4C" w:rsidRPr="001C63CD" w:rsidRDefault="00571D4C" w:rsidP="001C63CD">
      <w:pPr>
        <w:pStyle w:val="af3"/>
        <w:rPr>
          <w:sz w:val="27"/>
          <w:szCs w:val="27"/>
        </w:rPr>
      </w:pPr>
      <w:r w:rsidRPr="001C63CD">
        <w:rPr>
          <w:rFonts w:hint="cs"/>
          <w:sz w:val="27"/>
          <w:szCs w:val="27"/>
          <w:rtl/>
        </w:rPr>
        <w:t>י"ד כסלו</w:t>
      </w:r>
      <w:r w:rsidRPr="001C63CD">
        <w:rPr>
          <w:sz w:val="27"/>
          <w:szCs w:val="27"/>
          <w:rtl/>
        </w:rPr>
        <w:t xml:space="preserve"> – </w:t>
      </w:r>
      <w:r w:rsidRPr="001C63CD">
        <w:rPr>
          <w:rFonts w:hint="cs"/>
          <w:sz w:val="27"/>
          <w:szCs w:val="27"/>
          <w:rtl/>
        </w:rPr>
        <w:t>צ' שנה לנישואי כ"ק אדמו"ר עם הרבנית הצדקנית</w:t>
      </w:r>
    </w:p>
    <w:p w14:paraId="6E943B77" w14:textId="77777777" w:rsidR="00571D4C" w:rsidRPr="001C63CD" w:rsidRDefault="00571D4C" w:rsidP="001C63CD">
      <w:pPr>
        <w:pStyle w:val="af3"/>
        <w:rPr>
          <w:sz w:val="27"/>
          <w:szCs w:val="27"/>
          <w:rtl/>
          <w:lang w:bidi="ar-SA"/>
        </w:rPr>
      </w:pPr>
      <w:r w:rsidRPr="001C63CD">
        <w:rPr>
          <w:sz w:val="27"/>
          <w:szCs w:val="27"/>
        </w:rPr>
        <w:sym w:font="Wingdings 2" w:char="F0B2"/>
      </w:r>
    </w:p>
    <w:p w14:paraId="47BA276F" w14:textId="77777777" w:rsidR="00571D4C" w:rsidRPr="001C63CD" w:rsidRDefault="00571D4C" w:rsidP="001C63CD">
      <w:pPr>
        <w:pStyle w:val="af3"/>
        <w:rPr>
          <w:sz w:val="27"/>
          <w:szCs w:val="27"/>
        </w:rPr>
      </w:pPr>
      <w:r w:rsidRPr="001C63CD">
        <w:rPr>
          <w:rFonts w:hint="cs"/>
          <w:sz w:val="27"/>
          <w:szCs w:val="27"/>
          <w:rtl/>
        </w:rPr>
        <w:t>נדפס</w:t>
      </w:r>
      <w:r w:rsidRPr="001C63CD">
        <w:rPr>
          <w:sz w:val="27"/>
          <w:szCs w:val="27"/>
          <w:rtl/>
        </w:rPr>
        <w:t xml:space="preserve"> </w:t>
      </w:r>
      <w:r w:rsidRPr="001C63CD">
        <w:rPr>
          <w:rFonts w:hint="cs"/>
          <w:sz w:val="27"/>
          <w:szCs w:val="27"/>
          <w:rtl/>
        </w:rPr>
        <w:t>ע</w:t>
      </w:r>
      <w:r w:rsidRPr="001C63CD">
        <w:rPr>
          <w:sz w:val="27"/>
          <w:szCs w:val="27"/>
          <w:rtl/>
        </w:rPr>
        <w:t>"</w:t>
      </w:r>
      <w:r w:rsidRPr="001C63CD">
        <w:rPr>
          <w:rFonts w:hint="cs"/>
          <w:sz w:val="27"/>
          <w:szCs w:val="27"/>
          <w:rtl/>
        </w:rPr>
        <w:t>י</w:t>
      </w:r>
      <w:r w:rsidRPr="001C63CD">
        <w:rPr>
          <w:sz w:val="27"/>
          <w:szCs w:val="27"/>
          <w:rtl/>
        </w:rPr>
        <w:t xml:space="preserve"> </w:t>
      </w:r>
      <w:r w:rsidRPr="001C63CD">
        <w:rPr>
          <w:rFonts w:hint="cs"/>
          <w:sz w:val="27"/>
          <w:szCs w:val="27"/>
          <w:rtl/>
        </w:rPr>
        <w:t>ולזכות</w:t>
      </w:r>
    </w:p>
    <w:p w14:paraId="4B87BA0B" w14:textId="77777777" w:rsidR="00571D4C" w:rsidRPr="001C63CD" w:rsidRDefault="00571D4C" w:rsidP="001C63CD">
      <w:pPr>
        <w:pStyle w:val="af3"/>
        <w:rPr>
          <w:sz w:val="27"/>
          <w:szCs w:val="27"/>
        </w:rPr>
      </w:pPr>
      <w:r w:rsidRPr="001C63CD">
        <w:rPr>
          <w:rFonts w:hint="cs"/>
          <w:sz w:val="27"/>
          <w:szCs w:val="27"/>
          <w:rtl/>
        </w:rPr>
        <w:t>הרה</w:t>
      </w:r>
      <w:r w:rsidRPr="001C63CD">
        <w:rPr>
          <w:sz w:val="27"/>
          <w:szCs w:val="27"/>
          <w:rtl/>
        </w:rPr>
        <w:t>"</w:t>
      </w:r>
      <w:r w:rsidRPr="001C63CD">
        <w:rPr>
          <w:rFonts w:hint="cs"/>
          <w:sz w:val="27"/>
          <w:szCs w:val="27"/>
          <w:rtl/>
        </w:rPr>
        <w:t>ח</w:t>
      </w:r>
      <w:r w:rsidRPr="001C63CD">
        <w:rPr>
          <w:sz w:val="27"/>
          <w:szCs w:val="27"/>
          <w:rtl/>
        </w:rPr>
        <w:t xml:space="preserve"> </w:t>
      </w:r>
      <w:r w:rsidRPr="001C63CD">
        <w:rPr>
          <w:rFonts w:hint="cs"/>
          <w:b/>
          <w:bCs/>
          <w:sz w:val="27"/>
          <w:szCs w:val="27"/>
          <w:rtl/>
        </w:rPr>
        <w:t>יוסף</w:t>
      </w:r>
      <w:r w:rsidRPr="001C63CD">
        <w:rPr>
          <w:sz w:val="27"/>
          <w:szCs w:val="27"/>
          <w:rtl/>
        </w:rPr>
        <w:t xml:space="preserve"> </w:t>
      </w:r>
      <w:r w:rsidRPr="001C63CD">
        <w:rPr>
          <w:rFonts w:hint="cs"/>
          <w:b/>
          <w:bCs/>
          <w:sz w:val="27"/>
          <w:szCs w:val="27"/>
          <w:rtl/>
        </w:rPr>
        <w:t>יצחק</w:t>
      </w:r>
      <w:r w:rsidRPr="001C63CD">
        <w:rPr>
          <w:sz w:val="27"/>
          <w:szCs w:val="27"/>
          <w:rtl/>
        </w:rPr>
        <w:t xml:space="preserve"> </w:t>
      </w:r>
      <w:r w:rsidRPr="001C63CD">
        <w:rPr>
          <w:rFonts w:hint="cs"/>
          <w:sz w:val="27"/>
          <w:szCs w:val="27"/>
          <w:rtl/>
        </w:rPr>
        <w:t>שיחי</w:t>
      </w:r>
      <w:r w:rsidRPr="001C63CD">
        <w:rPr>
          <w:sz w:val="27"/>
          <w:szCs w:val="27"/>
          <w:rtl/>
        </w:rPr>
        <w:t xml:space="preserve">' </w:t>
      </w:r>
      <w:r w:rsidRPr="001C63CD">
        <w:rPr>
          <w:rFonts w:hint="cs"/>
          <w:sz w:val="27"/>
          <w:szCs w:val="27"/>
          <w:rtl/>
        </w:rPr>
        <w:t>וזוגתו</w:t>
      </w:r>
      <w:r w:rsidRPr="001C63CD">
        <w:rPr>
          <w:sz w:val="27"/>
          <w:szCs w:val="27"/>
          <w:rtl/>
        </w:rPr>
        <w:t xml:space="preserve"> </w:t>
      </w:r>
      <w:r w:rsidRPr="001C63CD">
        <w:rPr>
          <w:rFonts w:hint="cs"/>
          <w:sz w:val="27"/>
          <w:szCs w:val="27"/>
          <w:rtl/>
        </w:rPr>
        <w:t>מרת</w:t>
      </w:r>
      <w:r w:rsidRPr="001C63CD">
        <w:rPr>
          <w:sz w:val="27"/>
          <w:szCs w:val="27"/>
          <w:rtl/>
        </w:rPr>
        <w:t xml:space="preserve"> </w:t>
      </w:r>
      <w:r w:rsidRPr="001C63CD">
        <w:rPr>
          <w:rFonts w:hint="cs"/>
          <w:b/>
          <w:bCs/>
          <w:sz w:val="27"/>
          <w:szCs w:val="27"/>
          <w:rtl/>
        </w:rPr>
        <w:t>מרים</w:t>
      </w:r>
      <w:r w:rsidRPr="001C63CD">
        <w:rPr>
          <w:sz w:val="27"/>
          <w:szCs w:val="27"/>
          <w:rtl/>
        </w:rPr>
        <w:t xml:space="preserve"> </w:t>
      </w:r>
      <w:r w:rsidRPr="001C63CD">
        <w:rPr>
          <w:rFonts w:hint="cs"/>
          <w:sz w:val="27"/>
          <w:szCs w:val="27"/>
          <w:rtl/>
        </w:rPr>
        <w:t>שתחי'</w:t>
      </w:r>
    </w:p>
    <w:p w14:paraId="5C2C57B4" w14:textId="61670B4C" w:rsidR="00571D4C" w:rsidRPr="001C63CD" w:rsidRDefault="00571D4C" w:rsidP="001C63CD">
      <w:pPr>
        <w:pStyle w:val="af3"/>
        <w:rPr>
          <w:b/>
          <w:bCs/>
          <w:sz w:val="27"/>
          <w:szCs w:val="27"/>
          <w:rtl/>
        </w:rPr>
      </w:pPr>
      <w:r w:rsidRPr="001C63CD">
        <w:rPr>
          <w:rFonts w:hint="cs"/>
          <w:b/>
          <w:bCs/>
          <w:sz w:val="27"/>
          <w:szCs w:val="27"/>
          <w:rtl/>
        </w:rPr>
        <w:t>גורארי'</w:t>
      </w:r>
    </w:p>
    <w:p w14:paraId="4EE9AEF9" w14:textId="77777777" w:rsidR="00571D4C" w:rsidRDefault="00571D4C" w:rsidP="00571D4C">
      <w:pPr>
        <w:bidi/>
        <w:spacing w:line="240" w:lineRule="auto"/>
        <w:jc w:val="center"/>
        <w:rPr>
          <w:rFonts w:cs="1ShefaClassic"/>
          <w:b/>
          <w:bCs/>
          <w:sz w:val="27"/>
          <w:szCs w:val="27"/>
          <w:rtl/>
        </w:rPr>
      </w:pPr>
    </w:p>
    <w:p w14:paraId="70DFB1C2" w14:textId="77777777" w:rsidR="00571D4C" w:rsidRDefault="00571D4C" w:rsidP="00571D4C">
      <w:pPr>
        <w:tabs>
          <w:tab w:val="left" w:pos="4224"/>
        </w:tabs>
        <w:bidi/>
        <w:spacing w:line="240" w:lineRule="auto"/>
        <w:jc w:val="center"/>
        <w:rPr>
          <w:rFonts w:ascii="Calibri" w:eastAsia="Calibri" w:hAnsi="Calibri" w:cs="1ShefaClassic"/>
          <w:sz w:val="28"/>
          <w:szCs w:val="28"/>
          <w:rtl/>
        </w:rPr>
      </w:pPr>
    </w:p>
    <w:p w14:paraId="0B1CBF6E" w14:textId="77777777" w:rsidR="004D06EF" w:rsidRDefault="004D06EF" w:rsidP="004D06EF">
      <w:pPr>
        <w:tabs>
          <w:tab w:val="left" w:pos="4224"/>
        </w:tabs>
        <w:bidi/>
        <w:spacing w:line="240" w:lineRule="auto"/>
        <w:jc w:val="center"/>
        <w:rPr>
          <w:rFonts w:ascii="Calibri" w:eastAsia="Calibri" w:hAnsi="Calibri" w:cs="1ShefaClassic"/>
          <w:sz w:val="28"/>
          <w:szCs w:val="28"/>
          <w:rtl/>
        </w:rPr>
      </w:pPr>
    </w:p>
    <w:p w14:paraId="61262E5E" w14:textId="77777777" w:rsidR="00571D4C" w:rsidRPr="001C63CD" w:rsidRDefault="00571D4C" w:rsidP="001C63CD">
      <w:pPr>
        <w:pStyle w:val="af3"/>
        <w:rPr>
          <w:sz w:val="27"/>
          <w:szCs w:val="27"/>
          <w:lang w:bidi="ar-SA"/>
        </w:rPr>
      </w:pPr>
      <w:r w:rsidRPr="001C63CD">
        <w:rPr>
          <w:rFonts w:hint="cs"/>
          <w:sz w:val="27"/>
          <w:szCs w:val="27"/>
          <w:rtl/>
        </w:rPr>
        <w:t>לעלוי נשמת</w:t>
      </w:r>
    </w:p>
    <w:p w14:paraId="10CDAD7C" w14:textId="77777777" w:rsidR="00571D4C" w:rsidRPr="001C63CD" w:rsidRDefault="00571D4C" w:rsidP="001C63CD">
      <w:pPr>
        <w:pStyle w:val="af3"/>
        <w:rPr>
          <w:sz w:val="27"/>
          <w:szCs w:val="27"/>
          <w:rtl/>
          <w:lang w:bidi="ar-SA"/>
        </w:rPr>
      </w:pPr>
      <w:r w:rsidRPr="001C63CD">
        <w:rPr>
          <w:rFonts w:hint="cs"/>
          <w:sz w:val="27"/>
          <w:szCs w:val="27"/>
          <w:rtl/>
        </w:rPr>
        <w:t>אבינו מורינו הוו"ח אי"א</w:t>
      </w:r>
    </w:p>
    <w:p w14:paraId="3D851FA6" w14:textId="77777777" w:rsidR="00571D4C" w:rsidRPr="001C63CD" w:rsidRDefault="00571D4C" w:rsidP="001C63CD">
      <w:pPr>
        <w:pStyle w:val="af3"/>
        <w:rPr>
          <w:sz w:val="27"/>
          <w:szCs w:val="27"/>
          <w:rtl/>
          <w:lang w:bidi="ar-SA"/>
        </w:rPr>
      </w:pPr>
      <w:r w:rsidRPr="001C63CD">
        <w:rPr>
          <w:rFonts w:hint="cs"/>
          <w:sz w:val="27"/>
          <w:szCs w:val="27"/>
          <w:rtl/>
        </w:rPr>
        <w:t xml:space="preserve">הרה"ח ר' </w:t>
      </w:r>
      <w:r w:rsidRPr="001C63CD">
        <w:rPr>
          <w:rFonts w:hint="cs"/>
          <w:b/>
          <w:bCs/>
          <w:sz w:val="27"/>
          <w:szCs w:val="27"/>
          <w:rtl/>
        </w:rPr>
        <w:t xml:space="preserve">משה אהרן </w:t>
      </w:r>
      <w:r w:rsidRPr="001C63CD">
        <w:rPr>
          <w:rFonts w:hint="cs"/>
          <w:sz w:val="27"/>
          <w:szCs w:val="27"/>
          <w:rtl/>
        </w:rPr>
        <w:t>ע"ה</w:t>
      </w:r>
    </w:p>
    <w:p w14:paraId="371C0696" w14:textId="77777777" w:rsidR="00571D4C" w:rsidRPr="001C63CD" w:rsidRDefault="00571D4C" w:rsidP="001C63CD">
      <w:pPr>
        <w:pStyle w:val="af3"/>
        <w:rPr>
          <w:sz w:val="27"/>
          <w:szCs w:val="27"/>
          <w:rtl/>
          <w:lang w:bidi="ar-SA"/>
        </w:rPr>
      </w:pPr>
      <w:r w:rsidRPr="001C63CD">
        <w:rPr>
          <w:rFonts w:hint="cs"/>
          <w:sz w:val="27"/>
          <w:szCs w:val="27"/>
          <w:rtl/>
        </w:rPr>
        <w:t xml:space="preserve">בן הרה"ח ר' </w:t>
      </w:r>
      <w:r w:rsidRPr="001C63CD">
        <w:rPr>
          <w:rFonts w:hint="cs"/>
          <w:b/>
          <w:bCs/>
          <w:sz w:val="27"/>
          <w:szCs w:val="27"/>
          <w:rtl/>
        </w:rPr>
        <w:t>בן ציון</w:t>
      </w:r>
      <w:r w:rsidRPr="001C63CD">
        <w:rPr>
          <w:rFonts w:hint="cs"/>
          <w:sz w:val="27"/>
          <w:szCs w:val="27"/>
          <w:rtl/>
        </w:rPr>
        <w:t xml:space="preserve"> שו"ב ע"ה</w:t>
      </w:r>
    </w:p>
    <w:p w14:paraId="493575D1" w14:textId="77777777" w:rsidR="00571D4C" w:rsidRPr="001C63CD" w:rsidRDefault="00571D4C" w:rsidP="001C63CD">
      <w:pPr>
        <w:pStyle w:val="af3"/>
        <w:rPr>
          <w:b/>
          <w:bCs/>
          <w:sz w:val="27"/>
          <w:szCs w:val="27"/>
          <w:rtl/>
          <w:lang w:bidi="ar-SA"/>
        </w:rPr>
      </w:pPr>
      <w:r w:rsidRPr="001C63CD">
        <w:rPr>
          <w:rFonts w:hint="cs"/>
          <w:b/>
          <w:bCs/>
          <w:sz w:val="27"/>
          <w:szCs w:val="27"/>
          <w:rtl/>
        </w:rPr>
        <w:t>גייסינסקי</w:t>
      </w:r>
    </w:p>
    <w:p w14:paraId="22F5BE26" w14:textId="77777777" w:rsidR="00571D4C" w:rsidRPr="001C63CD" w:rsidRDefault="00571D4C" w:rsidP="001C63CD">
      <w:pPr>
        <w:pStyle w:val="af3"/>
        <w:rPr>
          <w:sz w:val="27"/>
          <w:szCs w:val="27"/>
          <w:rtl/>
          <w:lang w:bidi="ar-SA"/>
        </w:rPr>
      </w:pPr>
      <w:r w:rsidRPr="001C63CD">
        <w:rPr>
          <w:rFonts w:hint="cs"/>
          <w:sz w:val="27"/>
          <w:szCs w:val="27"/>
          <w:rtl/>
        </w:rPr>
        <w:t>נפטר ג' טבת ה'תשנ"ב</w:t>
      </w:r>
    </w:p>
    <w:p w14:paraId="488C8EDF" w14:textId="77777777" w:rsidR="00571D4C" w:rsidRPr="001C63CD" w:rsidRDefault="00571D4C" w:rsidP="001C63CD">
      <w:pPr>
        <w:pStyle w:val="af3"/>
        <w:rPr>
          <w:sz w:val="27"/>
          <w:szCs w:val="27"/>
          <w:rtl/>
          <w:lang w:bidi="ar-SA"/>
        </w:rPr>
      </w:pPr>
      <w:r w:rsidRPr="001C63CD">
        <w:rPr>
          <w:rFonts w:hint="cs"/>
          <w:sz w:val="27"/>
          <w:szCs w:val="27"/>
          <w:rtl/>
        </w:rPr>
        <w:t>ת.נ.צ.ב.ה.</w:t>
      </w:r>
    </w:p>
    <w:p w14:paraId="5351DD66" w14:textId="77777777" w:rsidR="00571D4C" w:rsidRPr="001C63CD" w:rsidRDefault="00571D4C" w:rsidP="001C63CD">
      <w:pPr>
        <w:pStyle w:val="af3"/>
        <w:rPr>
          <w:b/>
          <w:sz w:val="27"/>
          <w:szCs w:val="27"/>
          <w:rtl/>
          <w:lang w:bidi="ar-SA"/>
        </w:rPr>
      </w:pPr>
      <w:r w:rsidRPr="001C63CD">
        <w:rPr>
          <w:b/>
          <w:sz w:val="27"/>
          <w:szCs w:val="27"/>
          <w:lang w:bidi="ar-SA"/>
        </w:rPr>
        <w:sym w:font="Wingdings 2" w:char="F0B2"/>
      </w:r>
    </w:p>
    <w:p w14:paraId="06A76A79" w14:textId="77777777" w:rsidR="00571D4C" w:rsidRPr="001C63CD" w:rsidRDefault="00571D4C" w:rsidP="001C63CD">
      <w:pPr>
        <w:pStyle w:val="af3"/>
        <w:rPr>
          <w:sz w:val="27"/>
          <w:szCs w:val="27"/>
          <w:lang w:bidi="ar-SA"/>
        </w:rPr>
      </w:pPr>
      <w:r w:rsidRPr="001C63CD">
        <w:rPr>
          <w:rFonts w:hint="cs"/>
          <w:sz w:val="27"/>
          <w:szCs w:val="27"/>
          <w:rtl/>
        </w:rPr>
        <w:t>נדפס ע"י בנו</w:t>
      </w:r>
    </w:p>
    <w:p w14:paraId="5FAC6452" w14:textId="77777777" w:rsidR="00571D4C" w:rsidRPr="001C63CD" w:rsidRDefault="00571D4C" w:rsidP="001C63CD">
      <w:pPr>
        <w:pStyle w:val="af3"/>
        <w:rPr>
          <w:sz w:val="27"/>
          <w:szCs w:val="27"/>
          <w:rtl/>
          <w:lang w:bidi="ar-SA"/>
        </w:rPr>
      </w:pPr>
      <w:r w:rsidRPr="001C63CD">
        <w:rPr>
          <w:rFonts w:hint="cs"/>
          <w:sz w:val="27"/>
          <w:szCs w:val="27"/>
          <w:rtl/>
        </w:rPr>
        <w:t xml:space="preserve">הרה"ח </w:t>
      </w:r>
      <w:r w:rsidRPr="001C63CD">
        <w:rPr>
          <w:rFonts w:hint="cs"/>
          <w:b/>
          <w:bCs/>
          <w:sz w:val="27"/>
          <w:szCs w:val="27"/>
          <w:rtl/>
        </w:rPr>
        <w:t>אלחנן</w:t>
      </w:r>
      <w:r w:rsidRPr="001C63CD">
        <w:rPr>
          <w:rFonts w:hint="cs"/>
          <w:sz w:val="27"/>
          <w:szCs w:val="27"/>
          <w:rtl/>
        </w:rPr>
        <w:t xml:space="preserve"> שיחי' וזוגתו מרת </w:t>
      </w:r>
      <w:r w:rsidRPr="001C63CD">
        <w:rPr>
          <w:rFonts w:hint="cs"/>
          <w:b/>
          <w:bCs/>
          <w:sz w:val="27"/>
          <w:szCs w:val="27"/>
          <w:rtl/>
        </w:rPr>
        <w:t>רבקה</w:t>
      </w:r>
      <w:r w:rsidRPr="001C63CD">
        <w:rPr>
          <w:rFonts w:hint="cs"/>
          <w:sz w:val="27"/>
          <w:szCs w:val="27"/>
          <w:rtl/>
        </w:rPr>
        <w:t xml:space="preserve"> </w:t>
      </w:r>
      <w:r w:rsidRPr="001C63CD">
        <w:rPr>
          <w:rFonts w:hint="cs"/>
          <w:b/>
          <w:bCs/>
          <w:sz w:val="27"/>
          <w:szCs w:val="27"/>
          <w:rtl/>
        </w:rPr>
        <w:t>מלכה</w:t>
      </w:r>
      <w:r w:rsidRPr="001C63CD">
        <w:rPr>
          <w:rFonts w:hint="cs"/>
          <w:sz w:val="27"/>
          <w:szCs w:val="27"/>
          <w:rtl/>
        </w:rPr>
        <w:t xml:space="preserve"> תחי'</w:t>
      </w:r>
    </w:p>
    <w:p w14:paraId="739178C0" w14:textId="77777777" w:rsidR="00571D4C" w:rsidRPr="001C63CD" w:rsidRDefault="00571D4C" w:rsidP="001C63CD">
      <w:pPr>
        <w:pStyle w:val="af3"/>
        <w:rPr>
          <w:sz w:val="27"/>
          <w:szCs w:val="27"/>
          <w:rtl/>
          <w:lang w:bidi="ar-SA"/>
        </w:rPr>
      </w:pPr>
      <w:r w:rsidRPr="001C63CD">
        <w:rPr>
          <w:rFonts w:hint="cs"/>
          <w:sz w:val="27"/>
          <w:szCs w:val="27"/>
          <w:rtl/>
        </w:rPr>
        <w:t>ומשפחתם שיחיו</w:t>
      </w:r>
    </w:p>
    <w:p w14:paraId="2ED24B39" w14:textId="77777777" w:rsidR="00571D4C" w:rsidRPr="001C63CD" w:rsidRDefault="00571D4C" w:rsidP="001C63CD">
      <w:pPr>
        <w:pStyle w:val="af3"/>
        <w:rPr>
          <w:b/>
          <w:bCs/>
          <w:sz w:val="27"/>
          <w:szCs w:val="27"/>
          <w:rtl/>
          <w:lang w:bidi="ar-SA"/>
        </w:rPr>
      </w:pPr>
      <w:r w:rsidRPr="001C63CD">
        <w:rPr>
          <w:rFonts w:hint="cs"/>
          <w:b/>
          <w:bCs/>
          <w:sz w:val="27"/>
          <w:szCs w:val="27"/>
          <w:rtl/>
        </w:rPr>
        <w:t>גייסינסקי</w:t>
      </w:r>
    </w:p>
    <w:p w14:paraId="2F8BC891" w14:textId="77777777" w:rsidR="00571D4C" w:rsidRPr="00347933" w:rsidRDefault="00571D4C" w:rsidP="00571D4C">
      <w:pPr>
        <w:pStyle w:val="a4"/>
        <w:sectPr w:rsidR="00571D4C"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0EA0E4F6" w14:textId="77777777" w:rsidR="00571D4C" w:rsidRPr="001C63CD" w:rsidRDefault="00571D4C" w:rsidP="001C63CD">
      <w:pPr>
        <w:pStyle w:val="af3"/>
        <w:rPr>
          <w:sz w:val="27"/>
          <w:szCs w:val="27"/>
          <w:rtl/>
        </w:rPr>
      </w:pPr>
      <w:r w:rsidRPr="001C63CD">
        <w:rPr>
          <w:rFonts w:hint="cs"/>
          <w:sz w:val="27"/>
          <w:szCs w:val="27"/>
          <w:rtl/>
        </w:rPr>
        <w:t>לזכות הרה"ג הרה"ת</w:t>
      </w:r>
    </w:p>
    <w:p w14:paraId="4D7C6C56" w14:textId="77777777" w:rsidR="00571D4C" w:rsidRPr="001C63CD" w:rsidRDefault="00571D4C" w:rsidP="001C63CD">
      <w:pPr>
        <w:pStyle w:val="af3"/>
        <w:rPr>
          <w:sz w:val="27"/>
          <w:szCs w:val="27"/>
          <w:rtl/>
        </w:rPr>
      </w:pPr>
      <w:r w:rsidRPr="001C63CD">
        <w:rPr>
          <w:rFonts w:hint="cs"/>
          <w:sz w:val="27"/>
          <w:szCs w:val="27"/>
          <w:rtl/>
        </w:rPr>
        <w:t xml:space="preserve">הרב </w:t>
      </w:r>
      <w:r w:rsidRPr="001C63CD">
        <w:rPr>
          <w:rFonts w:hint="cs"/>
          <w:b/>
          <w:bCs/>
          <w:sz w:val="27"/>
          <w:szCs w:val="27"/>
          <w:rtl/>
        </w:rPr>
        <w:t>אברהם יצחק ברוך גערליצקי</w:t>
      </w:r>
      <w:r w:rsidRPr="001C63CD">
        <w:rPr>
          <w:rFonts w:hint="cs"/>
          <w:sz w:val="27"/>
          <w:szCs w:val="27"/>
          <w:rtl/>
        </w:rPr>
        <w:t xml:space="preserve"> שליט"א</w:t>
      </w:r>
    </w:p>
    <w:p w14:paraId="3954F735" w14:textId="77777777" w:rsidR="00571D4C" w:rsidRPr="001C63CD" w:rsidRDefault="00571D4C" w:rsidP="001C63CD">
      <w:pPr>
        <w:pStyle w:val="af3"/>
        <w:rPr>
          <w:sz w:val="27"/>
          <w:szCs w:val="27"/>
          <w:rtl/>
        </w:rPr>
      </w:pPr>
      <w:r w:rsidRPr="001C63CD">
        <w:rPr>
          <w:rFonts w:hint="cs"/>
          <w:sz w:val="27"/>
          <w:szCs w:val="27"/>
          <w:rtl/>
        </w:rPr>
        <w:t>לברכה</w:t>
      </w:r>
      <w:r w:rsidRPr="001C63CD">
        <w:rPr>
          <w:sz w:val="27"/>
          <w:szCs w:val="27"/>
          <w:rtl/>
        </w:rPr>
        <w:t xml:space="preserve"> </w:t>
      </w:r>
      <w:r w:rsidRPr="001C63CD">
        <w:rPr>
          <w:rFonts w:hint="cs"/>
          <w:sz w:val="27"/>
          <w:szCs w:val="27"/>
          <w:rtl/>
        </w:rPr>
        <w:t>והצלחה</w:t>
      </w:r>
      <w:r w:rsidRPr="001C63CD">
        <w:rPr>
          <w:sz w:val="27"/>
          <w:szCs w:val="27"/>
          <w:rtl/>
        </w:rPr>
        <w:t xml:space="preserve"> </w:t>
      </w:r>
      <w:r w:rsidRPr="001C63CD">
        <w:rPr>
          <w:rFonts w:hint="cs"/>
          <w:sz w:val="27"/>
          <w:szCs w:val="27"/>
          <w:rtl/>
        </w:rPr>
        <w:t>בכל</w:t>
      </w:r>
      <w:r w:rsidRPr="001C63CD">
        <w:rPr>
          <w:sz w:val="27"/>
          <w:szCs w:val="27"/>
          <w:rtl/>
        </w:rPr>
        <w:t xml:space="preserve"> </w:t>
      </w:r>
      <w:r w:rsidRPr="001C63CD">
        <w:rPr>
          <w:rFonts w:hint="cs"/>
          <w:sz w:val="27"/>
          <w:szCs w:val="27"/>
          <w:rtl/>
        </w:rPr>
        <w:t>עניניו</w:t>
      </w:r>
      <w:r w:rsidRPr="001C63CD">
        <w:rPr>
          <w:sz w:val="27"/>
          <w:szCs w:val="27"/>
          <w:rtl/>
        </w:rPr>
        <w:t xml:space="preserve"> </w:t>
      </w:r>
      <w:r w:rsidRPr="001C63CD">
        <w:rPr>
          <w:rFonts w:hint="cs"/>
          <w:sz w:val="27"/>
          <w:szCs w:val="27"/>
          <w:rtl/>
        </w:rPr>
        <w:t>בגו</w:t>
      </w:r>
      <w:r w:rsidRPr="001C63CD">
        <w:rPr>
          <w:sz w:val="27"/>
          <w:szCs w:val="27"/>
          <w:rtl/>
        </w:rPr>
        <w:t>"</w:t>
      </w:r>
      <w:r w:rsidRPr="001C63CD">
        <w:rPr>
          <w:rFonts w:hint="cs"/>
          <w:sz w:val="27"/>
          <w:szCs w:val="27"/>
          <w:rtl/>
        </w:rPr>
        <w:t>ר</w:t>
      </w:r>
    </w:p>
    <w:p w14:paraId="0B9C8F8A" w14:textId="77777777" w:rsidR="00571D4C" w:rsidRPr="001C63CD" w:rsidRDefault="00571D4C" w:rsidP="001C63CD">
      <w:pPr>
        <w:pStyle w:val="af3"/>
        <w:rPr>
          <w:sz w:val="27"/>
          <w:szCs w:val="27"/>
          <w:rtl/>
        </w:rPr>
      </w:pPr>
      <w:r w:rsidRPr="001C63CD">
        <w:rPr>
          <w:rFonts w:hint="cs"/>
          <w:sz w:val="27"/>
          <w:szCs w:val="27"/>
          <w:rtl/>
        </w:rPr>
        <w:t>ולבריאות איתנה</w:t>
      </w:r>
    </w:p>
    <w:p w14:paraId="103B4819" w14:textId="77777777" w:rsidR="00571D4C" w:rsidRPr="001C63CD" w:rsidRDefault="00571D4C" w:rsidP="001C63CD">
      <w:pPr>
        <w:pStyle w:val="af3"/>
        <w:rPr>
          <w:sz w:val="27"/>
          <w:szCs w:val="27"/>
          <w:rtl/>
        </w:rPr>
      </w:pPr>
      <w:r w:rsidRPr="001C63CD">
        <w:rPr>
          <w:rFonts w:hint="cs"/>
          <w:sz w:val="27"/>
          <w:szCs w:val="27"/>
          <w:rtl/>
        </w:rPr>
        <w:t xml:space="preserve"> חיים של שמחה ואושר</w:t>
      </w:r>
    </w:p>
    <w:p w14:paraId="4D49ABF1" w14:textId="77777777" w:rsidR="00571D4C" w:rsidRPr="001C63CD" w:rsidRDefault="00571D4C" w:rsidP="001C63CD">
      <w:pPr>
        <w:pStyle w:val="af3"/>
        <w:rPr>
          <w:sz w:val="27"/>
          <w:szCs w:val="27"/>
        </w:rPr>
      </w:pPr>
      <w:r w:rsidRPr="001C63CD">
        <w:rPr>
          <w:rFonts w:hint="cs"/>
          <w:sz w:val="27"/>
          <w:szCs w:val="27"/>
          <w:rtl/>
        </w:rPr>
        <w:t>ויזכה לקבל פני משיח צדקינו בקרוב ממש</w:t>
      </w:r>
    </w:p>
    <w:p w14:paraId="1E56139F" w14:textId="77777777" w:rsidR="00571D4C" w:rsidRPr="001C63CD" w:rsidRDefault="00571D4C" w:rsidP="001C63CD">
      <w:pPr>
        <w:pStyle w:val="af3"/>
        <w:bidi w:val="0"/>
        <w:rPr>
          <w:sz w:val="27"/>
          <w:szCs w:val="27"/>
          <w:rtl/>
          <w:lang w:bidi="ar-SA"/>
        </w:rPr>
      </w:pPr>
      <w:r w:rsidRPr="001C63CD">
        <w:rPr>
          <w:sz w:val="27"/>
          <w:szCs w:val="27"/>
        </w:rPr>
        <w:sym w:font="Wingdings 2" w:char="F0B2"/>
      </w:r>
    </w:p>
    <w:p w14:paraId="673B70C8" w14:textId="77777777" w:rsidR="00571D4C" w:rsidRPr="001C63CD" w:rsidRDefault="00571D4C" w:rsidP="001C63CD">
      <w:pPr>
        <w:pStyle w:val="af3"/>
        <w:rPr>
          <w:sz w:val="27"/>
          <w:szCs w:val="27"/>
        </w:rPr>
      </w:pPr>
      <w:r w:rsidRPr="001C63CD">
        <w:rPr>
          <w:rFonts w:hint="cs"/>
          <w:sz w:val="27"/>
          <w:szCs w:val="27"/>
          <w:rtl/>
        </w:rPr>
        <w:t>נדפס</w:t>
      </w:r>
      <w:r w:rsidRPr="001C63CD">
        <w:rPr>
          <w:sz w:val="27"/>
          <w:szCs w:val="27"/>
          <w:rtl/>
        </w:rPr>
        <w:t xml:space="preserve"> </w:t>
      </w:r>
      <w:r w:rsidRPr="001C63CD">
        <w:rPr>
          <w:rFonts w:hint="cs"/>
          <w:sz w:val="27"/>
          <w:szCs w:val="27"/>
          <w:rtl/>
        </w:rPr>
        <w:t>ע</w:t>
      </w:r>
      <w:r w:rsidRPr="001C63CD">
        <w:rPr>
          <w:sz w:val="27"/>
          <w:szCs w:val="27"/>
          <w:rtl/>
        </w:rPr>
        <w:t>"</w:t>
      </w:r>
      <w:r w:rsidRPr="001C63CD">
        <w:rPr>
          <w:rFonts w:hint="cs"/>
          <w:sz w:val="27"/>
          <w:szCs w:val="27"/>
          <w:rtl/>
        </w:rPr>
        <w:t>י</w:t>
      </w:r>
    </w:p>
    <w:p w14:paraId="1B15128D" w14:textId="3EA24BD3" w:rsidR="00571D4C" w:rsidRPr="001C63CD" w:rsidRDefault="004C43CB" w:rsidP="00E260A1">
      <w:pPr>
        <w:pStyle w:val="af3"/>
        <w:rPr>
          <w:sz w:val="27"/>
          <w:szCs w:val="27"/>
          <w:rtl/>
        </w:rPr>
      </w:pPr>
      <w:r>
        <w:rPr>
          <w:rFonts w:hint="cs"/>
          <w:sz w:val="27"/>
          <w:szCs w:val="27"/>
          <w:rtl/>
        </w:rPr>
        <w:t>הת</w:t>
      </w:r>
      <w:r w:rsidR="00E260A1">
        <w:rPr>
          <w:rFonts w:hint="cs"/>
          <w:sz w:val="27"/>
          <w:szCs w:val="27"/>
          <w:rtl/>
        </w:rPr>
        <w:t>מים</w:t>
      </w:r>
      <w:r w:rsidR="00571D4C" w:rsidRPr="001C63CD">
        <w:rPr>
          <w:sz w:val="27"/>
          <w:szCs w:val="27"/>
          <w:rtl/>
        </w:rPr>
        <w:t xml:space="preserve"> </w:t>
      </w:r>
      <w:r w:rsidR="00571D4C" w:rsidRPr="001C63CD">
        <w:rPr>
          <w:rFonts w:hint="cs"/>
          <w:sz w:val="27"/>
          <w:szCs w:val="27"/>
          <w:rtl/>
        </w:rPr>
        <w:t>ר</w:t>
      </w:r>
      <w:r w:rsidR="00571D4C" w:rsidRPr="001C63CD">
        <w:rPr>
          <w:sz w:val="27"/>
          <w:szCs w:val="27"/>
          <w:rtl/>
        </w:rPr>
        <w:t xml:space="preserve">' </w:t>
      </w:r>
      <w:r w:rsidR="00571D4C" w:rsidRPr="001C63CD">
        <w:rPr>
          <w:rFonts w:hint="cs"/>
          <w:b/>
          <w:bCs/>
          <w:sz w:val="27"/>
          <w:szCs w:val="27"/>
          <w:rtl/>
        </w:rPr>
        <w:t xml:space="preserve">זלמן </w:t>
      </w:r>
      <w:r w:rsidRPr="004C43CB">
        <w:rPr>
          <w:rFonts w:hint="cs"/>
          <w:sz w:val="27"/>
          <w:szCs w:val="27"/>
          <w:rtl/>
        </w:rPr>
        <w:t>שיחי'</w:t>
      </w:r>
      <w:r>
        <w:rPr>
          <w:rFonts w:hint="cs"/>
          <w:b/>
          <w:bCs/>
          <w:sz w:val="27"/>
          <w:szCs w:val="27"/>
          <w:rtl/>
        </w:rPr>
        <w:t xml:space="preserve"> </w:t>
      </w:r>
      <w:r w:rsidR="00571D4C" w:rsidRPr="001C63CD">
        <w:rPr>
          <w:rFonts w:hint="cs"/>
          <w:b/>
          <w:bCs/>
          <w:sz w:val="27"/>
          <w:szCs w:val="27"/>
          <w:rtl/>
        </w:rPr>
        <w:t>מרוזוב</w:t>
      </w:r>
    </w:p>
    <w:p w14:paraId="4FD62AAC" w14:textId="77777777" w:rsidR="00395CEE" w:rsidRDefault="00395CEE" w:rsidP="0085101C">
      <w:pPr>
        <w:bidi/>
        <w:jc w:val="center"/>
        <w:rPr>
          <w:rFonts w:cs="1ShefaClassic"/>
          <w:sz w:val="27"/>
          <w:szCs w:val="27"/>
          <w:rtl/>
        </w:rPr>
      </w:pPr>
    </w:p>
    <w:p w14:paraId="662FD762" w14:textId="77777777" w:rsidR="00395CEE" w:rsidRDefault="00395CEE" w:rsidP="00395CEE">
      <w:pPr>
        <w:bidi/>
        <w:jc w:val="center"/>
        <w:rPr>
          <w:rFonts w:cs="1ShefaClassic"/>
          <w:sz w:val="27"/>
          <w:szCs w:val="27"/>
          <w:rtl/>
        </w:rPr>
      </w:pPr>
    </w:p>
    <w:p w14:paraId="5466AEB4" w14:textId="77777777" w:rsidR="00395CEE" w:rsidRDefault="00395CEE" w:rsidP="00395CEE">
      <w:pPr>
        <w:bidi/>
        <w:jc w:val="center"/>
        <w:rPr>
          <w:rFonts w:cs="1ShefaClassic"/>
          <w:sz w:val="27"/>
          <w:szCs w:val="27"/>
          <w:rtl/>
        </w:rPr>
      </w:pPr>
    </w:p>
    <w:p w14:paraId="02492302" w14:textId="77777777" w:rsidR="00395CEE" w:rsidRDefault="00395CEE" w:rsidP="00395CEE">
      <w:pPr>
        <w:bidi/>
        <w:jc w:val="center"/>
        <w:rPr>
          <w:rFonts w:cs="1ShefaClassic"/>
          <w:sz w:val="27"/>
          <w:szCs w:val="27"/>
          <w:rtl/>
        </w:rPr>
      </w:pPr>
    </w:p>
    <w:p w14:paraId="13841933" w14:textId="77777777" w:rsidR="0085101C" w:rsidRPr="0085101C" w:rsidRDefault="0085101C" w:rsidP="00395CEE">
      <w:pPr>
        <w:bidi/>
        <w:jc w:val="center"/>
        <w:rPr>
          <w:rFonts w:cs="1ShefaClassic"/>
          <w:sz w:val="27"/>
          <w:szCs w:val="27"/>
          <w:rtl/>
        </w:rPr>
      </w:pPr>
      <w:r w:rsidRPr="0085101C">
        <w:rPr>
          <w:rFonts w:cs="1ShefaClassic" w:hint="cs"/>
          <w:sz w:val="27"/>
          <w:szCs w:val="27"/>
          <w:rtl/>
        </w:rPr>
        <w:t>לזכות</w:t>
      </w:r>
    </w:p>
    <w:p w14:paraId="4DC786DA" w14:textId="77777777" w:rsidR="0085101C" w:rsidRPr="0085101C" w:rsidRDefault="0085101C" w:rsidP="0085101C">
      <w:pPr>
        <w:bidi/>
        <w:jc w:val="center"/>
        <w:rPr>
          <w:rFonts w:cs="1ShefaClassic"/>
          <w:sz w:val="27"/>
          <w:szCs w:val="27"/>
          <w:rtl/>
        </w:rPr>
      </w:pPr>
      <w:r w:rsidRPr="0085101C">
        <w:rPr>
          <w:rFonts w:cs="1ShefaClassic" w:hint="cs"/>
          <w:b/>
          <w:bCs/>
          <w:sz w:val="27"/>
          <w:szCs w:val="27"/>
          <w:rtl/>
        </w:rPr>
        <w:t>חי' שרה מלכה</w:t>
      </w:r>
      <w:r w:rsidRPr="0085101C">
        <w:rPr>
          <w:rFonts w:cs="1ShefaClassic" w:hint="cs"/>
          <w:sz w:val="27"/>
          <w:szCs w:val="27"/>
          <w:rtl/>
        </w:rPr>
        <w:t xml:space="preserve"> בת </w:t>
      </w:r>
      <w:r w:rsidRPr="0085101C">
        <w:rPr>
          <w:rFonts w:cs="1ShefaClassic" w:hint="cs"/>
          <w:b/>
          <w:bCs/>
          <w:sz w:val="27"/>
          <w:szCs w:val="27"/>
          <w:rtl/>
        </w:rPr>
        <w:t>ברכה לאה חוה</w:t>
      </w:r>
    </w:p>
    <w:p w14:paraId="7A8D446A" w14:textId="77777777" w:rsidR="0085101C" w:rsidRPr="0085101C" w:rsidRDefault="0085101C" w:rsidP="0085101C">
      <w:pPr>
        <w:bidi/>
        <w:jc w:val="center"/>
        <w:rPr>
          <w:rFonts w:cs="1ShefaClassic"/>
          <w:sz w:val="27"/>
          <w:szCs w:val="27"/>
          <w:rtl/>
        </w:rPr>
      </w:pPr>
      <w:r w:rsidRPr="0085101C">
        <w:rPr>
          <w:rFonts w:cs="1ShefaClassic" w:hint="cs"/>
          <w:sz w:val="27"/>
          <w:szCs w:val="27"/>
          <w:rtl/>
        </w:rPr>
        <w:t xml:space="preserve">שיהי' לה רפואה שלמה וקרובה </w:t>
      </w:r>
    </w:p>
    <w:p w14:paraId="188693F1" w14:textId="77777777" w:rsidR="0085101C" w:rsidRPr="0085101C" w:rsidRDefault="0085101C" w:rsidP="0085101C">
      <w:pPr>
        <w:bidi/>
        <w:jc w:val="center"/>
        <w:rPr>
          <w:rFonts w:cs="1ShefaClassic"/>
          <w:sz w:val="27"/>
          <w:szCs w:val="27"/>
          <w:rtl/>
        </w:rPr>
      </w:pPr>
      <w:r w:rsidRPr="0085101C">
        <w:rPr>
          <w:rFonts w:cs="1ShefaClassic" w:hint="cs"/>
          <w:sz w:val="27"/>
          <w:szCs w:val="27"/>
          <w:rtl/>
        </w:rPr>
        <w:t xml:space="preserve"> בכל רמ"ח אבריה ושס"ה גידיה</w:t>
      </w:r>
    </w:p>
    <w:p w14:paraId="7DE63AB8" w14:textId="77777777" w:rsidR="0085101C" w:rsidRPr="0085101C" w:rsidRDefault="0085101C" w:rsidP="0085101C">
      <w:pPr>
        <w:bidi/>
        <w:jc w:val="center"/>
        <w:rPr>
          <w:rFonts w:cs="1ShefaClassic"/>
          <w:sz w:val="27"/>
          <w:szCs w:val="27"/>
          <w:rtl/>
        </w:rPr>
      </w:pPr>
      <w:r w:rsidRPr="0085101C">
        <w:rPr>
          <w:rFonts w:cs="1ShefaClassic" w:hint="cs"/>
          <w:sz w:val="27"/>
          <w:szCs w:val="27"/>
          <w:rtl/>
        </w:rPr>
        <w:t xml:space="preserve"> אריכות ימים ושנים טובות</w:t>
      </w:r>
    </w:p>
    <w:p w14:paraId="0467B190" w14:textId="77777777" w:rsidR="0085101C" w:rsidRPr="0085101C" w:rsidRDefault="0085101C" w:rsidP="0085101C">
      <w:pPr>
        <w:bidi/>
        <w:jc w:val="center"/>
        <w:rPr>
          <w:rFonts w:cs="1ShefaClassic"/>
          <w:sz w:val="27"/>
          <w:szCs w:val="27"/>
          <w:rtl/>
        </w:rPr>
      </w:pPr>
      <w:r w:rsidRPr="0085101C">
        <w:rPr>
          <w:rFonts w:cs="1ShefaClassic" w:hint="cs"/>
          <w:sz w:val="27"/>
          <w:szCs w:val="27"/>
          <w:rtl/>
        </w:rPr>
        <w:t>מתוך בריאות נכונה אושר ושמחה תכה"י</w:t>
      </w:r>
    </w:p>
    <w:p w14:paraId="19139996" w14:textId="77777777" w:rsidR="0085101C" w:rsidRPr="0085101C" w:rsidRDefault="0085101C" w:rsidP="0085101C">
      <w:pPr>
        <w:pStyle w:val="divider"/>
        <w:spacing w:before="240" w:after="20"/>
        <w:rPr>
          <w:rFonts w:ascii="Times New Roman" w:hAnsi="Times New Roman" w:cs="1ShefaClassic"/>
          <w:rtl/>
        </w:rPr>
      </w:pPr>
      <w:r w:rsidRPr="0085101C">
        <w:rPr>
          <w:rFonts w:cs="1ShefaClassic"/>
        </w:rPr>
        <w:sym w:font="Wingdings 2" w:char="F0B2"/>
      </w:r>
    </w:p>
    <w:p w14:paraId="1FF7D2C8" w14:textId="77777777" w:rsidR="0085101C" w:rsidRPr="00003CBB" w:rsidRDefault="0085101C" w:rsidP="0085101C">
      <w:pPr>
        <w:bidi/>
        <w:jc w:val="center"/>
        <w:rPr>
          <w:rFonts w:cs="1ShefaClassic"/>
          <w:sz w:val="32"/>
          <w:szCs w:val="32"/>
          <w:rtl/>
        </w:rPr>
      </w:pPr>
      <w:r w:rsidRPr="0085101C">
        <w:rPr>
          <w:rFonts w:cs="1ShefaClassic" w:hint="cs"/>
          <w:sz w:val="27"/>
          <w:szCs w:val="27"/>
          <w:rtl/>
        </w:rPr>
        <w:t xml:space="preserve"> נדפס ע"י משפחתה שיחיו</w:t>
      </w:r>
    </w:p>
    <w:p w14:paraId="0810B386" w14:textId="77777777" w:rsidR="0085101C" w:rsidRPr="00347933" w:rsidRDefault="0085101C" w:rsidP="0085101C">
      <w:pPr>
        <w:pStyle w:val="a4"/>
        <w:sectPr w:rsidR="0085101C"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C303E40" w14:textId="77777777" w:rsidR="00395CEE" w:rsidRPr="00395CEE" w:rsidRDefault="00395CEE" w:rsidP="00395CEE">
      <w:pPr>
        <w:bidi/>
        <w:spacing w:after="0" w:line="360" w:lineRule="auto"/>
        <w:jc w:val="center"/>
        <w:rPr>
          <w:rFonts w:ascii="1ShefaClassic" w:eastAsia="Calibri" w:hAnsi="1ShefaClassic" w:cs="1ShefaClassic"/>
          <w:sz w:val="27"/>
          <w:szCs w:val="27"/>
          <w:rtl/>
        </w:rPr>
      </w:pPr>
      <w:r w:rsidRPr="00395CEE">
        <w:rPr>
          <w:rFonts w:ascii="1ShefaClassic" w:eastAsia="Calibri" w:hAnsi="1ShefaClassic" w:cs="1ShefaClassic" w:hint="cs"/>
          <w:sz w:val="27"/>
          <w:szCs w:val="27"/>
          <w:rtl/>
        </w:rPr>
        <w:t>ל</w:t>
      </w:r>
      <w:r w:rsidRPr="00395CEE">
        <w:rPr>
          <w:rFonts w:ascii="1ShefaClassic" w:eastAsia="Calibri" w:hAnsi="1ShefaClassic" w:cs="1ShefaClassic"/>
          <w:sz w:val="27"/>
          <w:szCs w:val="27"/>
          <w:rtl/>
        </w:rPr>
        <w:t>זכות</w:t>
      </w:r>
    </w:p>
    <w:p w14:paraId="51D0F7FD" w14:textId="77777777" w:rsidR="00395CEE" w:rsidRPr="00395CEE" w:rsidRDefault="00395CEE" w:rsidP="00395CEE">
      <w:pPr>
        <w:bidi/>
        <w:spacing w:after="0" w:line="360" w:lineRule="auto"/>
        <w:jc w:val="center"/>
        <w:rPr>
          <w:rFonts w:ascii="1ShefaClassic" w:eastAsia="Calibri" w:hAnsi="1ShefaClassic" w:cs="1ShefaClassic"/>
          <w:sz w:val="27"/>
          <w:szCs w:val="27"/>
          <w:rtl/>
        </w:rPr>
      </w:pPr>
      <w:r w:rsidRPr="00395CEE">
        <w:rPr>
          <w:rFonts w:ascii="1ShefaClassic" w:eastAsia="Calibri" w:hAnsi="1ShefaClassic" w:cs="1ShefaClassic" w:hint="cs"/>
          <w:sz w:val="27"/>
          <w:szCs w:val="27"/>
          <w:rtl/>
        </w:rPr>
        <w:t xml:space="preserve">ידידנו היקר </w:t>
      </w:r>
    </w:p>
    <w:p w14:paraId="58C67D79" w14:textId="77777777" w:rsidR="00395CEE" w:rsidRPr="00395CEE" w:rsidRDefault="00395CEE" w:rsidP="00395CEE">
      <w:pPr>
        <w:bidi/>
        <w:spacing w:after="0" w:line="360" w:lineRule="auto"/>
        <w:jc w:val="center"/>
        <w:rPr>
          <w:rFonts w:ascii="1ShefaClassic" w:eastAsia="Calibri" w:hAnsi="1ShefaClassic" w:cs="1ShefaClassic"/>
          <w:sz w:val="27"/>
          <w:szCs w:val="27"/>
          <w:rtl/>
        </w:rPr>
      </w:pPr>
      <w:r w:rsidRPr="00395CEE">
        <w:rPr>
          <w:rFonts w:ascii="1ShefaClassic" w:eastAsia="Calibri" w:hAnsi="1ShefaClassic" w:cs="1ShefaClassic" w:hint="cs"/>
          <w:sz w:val="27"/>
          <w:szCs w:val="27"/>
          <w:rtl/>
        </w:rPr>
        <w:t xml:space="preserve">התמים </w:t>
      </w:r>
      <w:r w:rsidRPr="00395CEE">
        <w:rPr>
          <w:rFonts w:ascii="1ShefaClassic" w:eastAsia="Calibri" w:hAnsi="1ShefaClassic" w:cs="1ShefaClassic" w:hint="cs"/>
          <w:b/>
          <w:bCs/>
          <w:sz w:val="27"/>
          <w:szCs w:val="27"/>
          <w:rtl/>
        </w:rPr>
        <w:t>שלום דובער</w:t>
      </w:r>
      <w:r w:rsidRPr="00395CEE">
        <w:rPr>
          <w:rFonts w:ascii="1ShefaClassic" w:eastAsia="Calibri" w:hAnsi="1ShefaClassic" w:cs="1ShefaClassic" w:hint="cs"/>
          <w:sz w:val="27"/>
          <w:szCs w:val="27"/>
          <w:rtl/>
        </w:rPr>
        <w:t xml:space="preserve"> בן </w:t>
      </w:r>
      <w:r w:rsidRPr="00395CEE">
        <w:rPr>
          <w:rFonts w:ascii="1ShefaClassic" w:eastAsia="Calibri" w:hAnsi="1ShefaClassic" w:cs="1ShefaClassic" w:hint="cs"/>
          <w:b/>
          <w:bCs/>
          <w:sz w:val="27"/>
          <w:szCs w:val="27"/>
          <w:rtl/>
        </w:rPr>
        <w:t xml:space="preserve">מרים </w:t>
      </w:r>
      <w:r w:rsidRPr="00395CEE">
        <w:rPr>
          <w:rFonts w:ascii="1ShefaClassic" w:eastAsia="Calibri" w:hAnsi="1ShefaClassic" w:cs="1ShefaClassic" w:hint="cs"/>
          <w:sz w:val="27"/>
          <w:szCs w:val="27"/>
          <w:rtl/>
        </w:rPr>
        <w:t>שיחי'</w:t>
      </w:r>
    </w:p>
    <w:p w14:paraId="2AB25A9E" w14:textId="3EB2BC2D" w:rsidR="00EB5CE2" w:rsidRPr="00395CEE" w:rsidRDefault="00395CEE" w:rsidP="00395CEE">
      <w:pPr>
        <w:bidi/>
        <w:spacing w:line="360" w:lineRule="auto"/>
        <w:jc w:val="center"/>
        <w:rPr>
          <w:rFonts w:ascii="1ShefaClassic" w:eastAsia="Calibri" w:hAnsi="1ShefaClassic" w:cs="1ShefaClassic"/>
          <w:b/>
          <w:bCs/>
          <w:sz w:val="27"/>
          <w:szCs w:val="27"/>
          <w:rtl/>
        </w:rPr>
      </w:pPr>
      <w:r w:rsidRPr="00395CEE">
        <w:rPr>
          <w:rFonts w:ascii="1ShefaClassic" w:eastAsia="Calibri" w:hAnsi="1ShefaClassic" w:cs="1ShefaClassic" w:hint="cs"/>
          <w:sz w:val="27"/>
          <w:szCs w:val="27"/>
          <w:rtl/>
        </w:rPr>
        <w:t>שיהי' לו רפואה שלימה וקרובה</w:t>
      </w:r>
      <w:r w:rsidRPr="00395CEE">
        <w:rPr>
          <w:rFonts w:ascii="1ShefaClassic" w:eastAsia="Calibri" w:hAnsi="1ShefaClassic" w:cs="1ShefaClassic"/>
          <w:sz w:val="27"/>
          <w:szCs w:val="27"/>
          <w:rtl/>
        </w:rPr>
        <w:br/>
      </w:r>
      <w:r w:rsidRPr="00395CEE">
        <w:rPr>
          <w:rFonts w:ascii="1ShefaClassic" w:eastAsia="Calibri" w:hAnsi="1ShefaClassic" w:cs="1ShefaClassic" w:hint="cs"/>
          <w:sz w:val="27"/>
          <w:szCs w:val="27"/>
          <w:rtl/>
        </w:rPr>
        <w:t>ובריאות איתנה תכה"י</w:t>
      </w:r>
      <w:r w:rsidRPr="00395CEE">
        <w:rPr>
          <w:rFonts w:ascii="1ShefaClassic" w:eastAsia="Calibri" w:hAnsi="1ShefaClassic" w:cs="1ShefaClassic"/>
          <w:sz w:val="27"/>
          <w:szCs w:val="27"/>
          <w:rtl/>
        </w:rPr>
        <w:br/>
      </w:r>
      <w:r w:rsidRPr="00395CEE">
        <w:rPr>
          <w:rFonts w:ascii="1ShefaClassic" w:eastAsia="Calibri" w:hAnsi="1ShefaClassic" w:cs="1ShefaClassic" w:hint="cs"/>
          <w:sz w:val="27"/>
          <w:szCs w:val="27"/>
          <w:rtl/>
        </w:rPr>
        <w:t>נדפס ע"י ולזכות חבריו שיחיו מכל רחבי תבל</w:t>
      </w:r>
    </w:p>
    <w:p w14:paraId="174B199F" w14:textId="77777777" w:rsidR="00EB5CE2" w:rsidRDefault="00EB5CE2" w:rsidP="00571D4C">
      <w:pPr>
        <w:pStyle w:val="NormalComplexNarkisim"/>
        <w:spacing w:after="120" w:line="288" w:lineRule="auto"/>
        <w:rPr>
          <w:rFonts w:cs="1ShefaClassic"/>
          <w:bCs/>
          <w:sz w:val="27"/>
          <w:szCs w:val="27"/>
          <w:rtl/>
        </w:rPr>
      </w:pPr>
    </w:p>
    <w:p w14:paraId="2CF8F8E9" w14:textId="77777777" w:rsidR="001C63CD" w:rsidRDefault="001C63CD" w:rsidP="00F21F8C">
      <w:pPr>
        <w:pStyle w:val="NormalComplexNarkisim"/>
        <w:spacing w:after="120" w:line="288" w:lineRule="auto"/>
        <w:jc w:val="left"/>
        <w:rPr>
          <w:rFonts w:cs="1ShefaClassic"/>
          <w:bCs/>
          <w:sz w:val="27"/>
          <w:szCs w:val="27"/>
          <w:rtl/>
        </w:rPr>
      </w:pPr>
    </w:p>
    <w:p w14:paraId="4AD0C19E" w14:textId="77777777" w:rsidR="00395CEE" w:rsidRDefault="00395CEE" w:rsidP="00F21F8C">
      <w:pPr>
        <w:pStyle w:val="NormalComplexNarkisim"/>
        <w:spacing w:after="120" w:line="288" w:lineRule="auto"/>
        <w:jc w:val="left"/>
        <w:rPr>
          <w:rFonts w:cs="1ShefaClassic"/>
          <w:bCs/>
          <w:sz w:val="27"/>
          <w:szCs w:val="27"/>
          <w:rtl/>
        </w:rPr>
      </w:pPr>
    </w:p>
    <w:p w14:paraId="45A0A597" w14:textId="77777777" w:rsidR="00395CEE" w:rsidRDefault="00395CEE" w:rsidP="00F21F8C">
      <w:pPr>
        <w:pStyle w:val="NormalComplexNarkisim"/>
        <w:spacing w:after="120" w:line="288" w:lineRule="auto"/>
        <w:jc w:val="left"/>
        <w:rPr>
          <w:rFonts w:cs="1ShefaClassic"/>
          <w:bCs/>
          <w:sz w:val="27"/>
          <w:szCs w:val="27"/>
          <w:rtl/>
        </w:rPr>
      </w:pPr>
    </w:p>
    <w:p w14:paraId="3EFD5E82" w14:textId="77777777" w:rsidR="00395CEE" w:rsidRDefault="00395CEE" w:rsidP="00F21F8C">
      <w:pPr>
        <w:pStyle w:val="NormalComplexNarkisim"/>
        <w:spacing w:after="120" w:line="288" w:lineRule="auto"/>
        <w:jc w:val="left"/>
        <w:rPr>
          <w:rFonts w:cs="1ShefaClassic"/>
          <w:bCs/>
          <w:sz w:val="27"/>
          <w:szCs w:val="27"/>
          <w:rtl/>
        </w:rPr>
      </w:pPr>
    </w:p>
    <w:p w14:paraId="191F741A" w14:textId="77777777" w:rsidR="00395CEE" w:rsidRDefault="00395CEE" w:rsidP="00F21F8C">
      <w:pPr>
        <w:pStyle w:val="NormalComplexNarkisim"/>
        <w:spacing w:after="120" w:line="288" w:lineRule="auto"/>
        <w:jc w:val="left"/>
        <w:rPr>
          <w:rFonts w:cs="1ShefaClassic"/>
          <w:bCs/>
          <w:sz w:val="27"/>
          <w:szCs w:val="27"/>
          <w:rtl/>
        </w:rPr>
      </w:pPr>
    </w:p>
    <w:p w14:paraId="66B5B8DF" w14:textId="77777777" w:rsidR="00395CEE" w:rsidRDefault="00395CEE" w:rsidP="00F21F8C">
      <w:pPr>
        <w:pStyle w:val="NormalComplexNarkisim"/>
        <w:spacing w:after="120" w:line="288" w:lineRule="auto"/>
        <w:jc w:val="left"/>
        <w:rPr>
          <w:rFonts w:cs="1ShefaClassic"/>
          <w:bCs/>
          <w:sz w:val="27"/>
          <w:szCs w:val="27"/>
          <w:rtl/>
        </w:rPr>
      </w:pPr>
    </w:p>
    <w:p w14:paraId="6F084B4D" w14:textId="77777777" w:rsidR="001C63CD" w:rsidRDefault="001C63CD" w:rsidP="00571D4C">
      <w:pPr>
        <w:pStyle w:val="NormalComplexNarkisim"/>
        <w:spacing w:after="120" w:line="288" w:lineRule="auto"/>
        <w:rPr>
          <w:rFonts w:cs="1ShefaClassic"/>
          <w:bCs/>
          <w:sz w:val="27"/>
          <w:szCs w:val="27"/>
          <w:rtl/>
        </w:rPr>
      </w:pPr>
    </w:p>
    <w:p w14:paraId="367DCF0A" w14:textId="77777777" w:rsidR="001C63CD" w:rsidRPr="001C63CD" w:rsidRDefault="001C63CD" w:rsidP="001C63CD">
      <w:pPr>
        <w:pStyle w:val="af3"/>
        <w:rPr>
          <w:sz w:val="27"/>
          <w:szCs w:val="27"/>
          <w:lang w:bidi="ar-SA"/>
        </w:rPr>
      </w:pPr>
      <w:r w:rsidRPr="001C63CD">
        <w:rPr>
          <w:rFonts w:hint="cs"/>
          <w:sz w:val="27"/>
          <w:szCs w:val="27"/>
          <w:rtl/>
        </w:rPr>
        <w:t>לעילוי נשמת</w:t>
      </w:r>
    </w:p>
    <w:p w14:paraId="137C7CAA" w14:textId="77777777" w:rsidR="001C63CD" w:rsidRPr="001C63CD" w:rsidRDefault="001C63CD" w:rsidP="001C63CD">
      <w:pPr>
        <w:pStyle w:val="af3"/>
        <w:rPr>
          <w:sz w:val="27"/>
          <w:szCs w:val="27"/>
          <w:rtl/>
          <w:lang w:bidi="ar-SA"/>
        </w:rPr>
      </w:pPr>
      <w:r w:rsidRPr="001C63CD">
        <w:rPr>
          <w:rFonts w:hint="cs"/>
          <w:sz w:val="27"/>
          <w:szCs w:val="27"/>
          <w:rtl/>
        </w:rPr>
        <w:t>אי"א נו"נ עוסק בצ"צ רב פעלים</w:t>
      </w:r>
    </w:p>
    <w:p w14:paraId="29C74AEB" w14:textId="77777777" w:rsidR="001C63CD" w:rsidRPr="001C63CD" w:rsidRDefault="001C63CD" w:rsidP="001C63CD">
      <w:pPr>
        <w:pStyle w:val="af3"/>
        <w:rPr>
          <w:sz w:val="27"/>
          <w:szCs w:val="27"/>
          <w:rtl/>
          <w:lang w:bidi="ar-SA"/>
        </w:rPr>
      </w:pPr>
      <w:r w:rsidRPr="001C63CD">
        <w:rPr>
          <w:rFonts w:hint="cs"/>
          <w:sz w:val="27"/>
          <w:szCs w:val="27"/>
          <w:rtl/>
        </w:rPr>
        <w:t xml:space="preserve">הרה"ת הרה"ח ר' </w:t>
      </w:r>
      <w:r w:rsidRPr="001C63CD">
        <w:rPr>
          <w:rFonts w:hint="cs"/>
          <w:b/>
          <w:bCs/>
          <w:sz w:val="27"/>
          <w:szCs w:val="27"/>
          <w:rtl/>
        </w:rPr>
        <w:t>ישעי'</w:t>
      </w:r>
      <w:r w:rsidRPr="001C63CD">
        <w:rPr>
          <w:rFonts w:hint="cs"/>
          <w:sz w:val="27"/>
          <w:szCs w:val="27"/>
          <w:rtl/>
        </w:rPr>
        <w:t xml:space="preserve"> ע"ה</w:t>
      </w:r>
    </w:p>
    <w:p w14:paraId="5D91E5F2" w14:textId="77777777" w:rsidR="001C63CD" w:rsidRPr="001C63CD" w:rsidRDefault="001C63CD" w:rsidP="001C63CD">
      <w:pPr>
        <w:pStyle w:val="af3"/>
        <w:rPr>
          <w:sz w:val="27"/>
          <w:szCs w:val="27"/>
          <w:rtl/>
          <w:lang w:bidi="ar-SA"/>
        </w:rPr>
      </w:pPr>
      <w:r w:rsidRPr="001C63CD">
        <w:rPr>
          <w:rFonts w:hint="cs"/>
          <w:sz w:val="27"/>
          <w:szCs w:val="27"/>
          <w:rtl/>
        </w:rPr>
        <w:t xml:space="preserve">בן הרה"ח התמים ר' </w:t>
      </w:r>
      <w:r w:rsidRPr="001C63CD">
        <w:rPr>
          <w:rFonts w:hint="cs"/>
          <w:b/>
          <w:bCs/>
          <w:sz w:val="27"/>
          <w:szCs w:val="27"/>
          <w:rtl/>
        </w:rPr>
        <w:t>אהרן</w:t>
      </w:r>
      <w:r w:rsidRPr="001C63CD">
        <w:rPr>
          <w:rFonts w:hint="cs"/>
          <w:sz w:val="27"/>
          <w:szCs w:val="27"/>
          <w:rtl/>
        </w:rPr>
        <w:t xml:space="preserve"> ע"ה</w:t>
      </w:r>
    </w:p>
    <w:p w14:paraId="412F672E" w14:textId="77777777" w:rsidR="001C63CD" w:rsidRPr="001C63CD" w:rsidRDefault="001C63CD" w:rsidP="001C63CD">
      <w:pPr>
        <w:pStyle w:val="af3"/>
        <w:rPr>
          <w:b/>
          <w:bCs/>
          <w:sz w:val="27"/>
          <w:szCs w:val="27"/>
          <w:rtl/>
          <w:lang w:bidi="ar-SA"/>
        </w:rPr>
      </w:pPr>
      <w:r w:rsidRPr="001C63CD">
        <w:rPr>
          <w:rFonts w:hint="cs"/>
          <w:b/>
          <w:bCs/>
          <w:sz w:val="27"/>
          <w:szCs w:val="27"/>
          <w:rtl/>
        </w:rPr>
        <w:t>גופין</w:t>
      </w:r>
    </w:p>
    <w:p w14:paraId="529629A0" w14:textId="77777777" w:rsidR="001C63CD" w:rsidRPr="001C63CD" w:rsidRDefault="001C63CD" w:rsidP="001C63CD">
      <w:pPr>
        <w:pStyle w:val="af3"/>
        <w:rPr>
          <w:sz w:val="27"/>
          <w:szCs w:val="27"/>
          <w:rtl/>
          <w:lang w:bidi="ar-SA"/>
        </w:rPr>
      </w:pPr>
      <w:r w:rsidRPr="001C63CD">
        <w:rPr>
          <w:rFonts w:hint="cs"/>
          <w:sz w:val="27"/>
          <w:szCs w:val="27"/>
          <w:rtl/>
        </w:rPr>
        <w:t>נפטר בעש"ק פ' וישב כ' כסלו ה'תשמ"א</w:t>
      </w:r>
    </w:p>
    <w:p w14:paraId="65C7B7C3" w14:textId="77777777" w:rsidR="001C63CD" w:rsidRPr="001C63CD" w:rsidRDefault="001C63CD" w:rsidP="001C63CD">
      <w:pPr>
        <w:pStyle w:val="af3"/>
        <w:rPr>
          <w:sz w:val="27"/>
          <w:szCs w:val="27"/>
          <w:rtl/>
          <w:lang w:bidi="ar-SA"/>
        </w:rPr>
      </w:pPr>
      <w:r w:rsidRPr="001C63CD">
        <w:rPr>
          <w:rFonts w:hint="cs"/>
          <w:sz w:val="27"/>
          <w:szCs w:val="27"/>
          <w:rtl/>
        </w:rPr>
        <w:t>אשר זכה לפעול לטובת ישיבת תו"ת ברוסי' הסובייטית</w:t>
      </w:r>
    </w:p>
    <w:p w14:paraId="39E1AF79" w14:textId="77777777" w:rsidR="001C63CD" w:rsidRPr="001C63CD" w:rsidRDefault="001C63CD" w:rsidP="001C63CD">
      <w:pPr>
        <w:pStyle w:val="af3"/>
        <w:rPr>
          <w:sz w:val="27"/>
          <w:szCs w:val="27"/>
          <w:rtl/>
          <w:lang w:bidi="ar-SA"/>
        </w:rPr>
      </w:pPr>
      <w:r w:rsidRPr="001C63CD">
        <w:rPr>
          <w:rFonts w:hint="cs"/>
          <w:sz w:val="27"/>
          <w:szCs w:val="27"/>
          <w:rtl/>
        </w:rPr>
        <w:t>ובאה"ק זכה להיות ממייסדי ומבססי מוסדות</w:t>
      </w:r>
    </w:p>
    <w:p w14:paraId="2215838F" w14:textId="77777777" w:rsidR="001C63CD" w:rsidRPr="001C63CD" w:rsidRDefault="001C63CD" w:rsidP="001C63CD">
      <w:pPr>
        <w:pStyle w:val="af3"/>
        <w:rPr>
          <w:sz w:val="27"/>
          <w:szCs w:val="27"/>
          <w:rtl/>
          <w:lang w:bidi="ar-SA"/>
        </w:rPr>
      </w:pPr>
      <w:r w:rsidRPr="001C63CD">
        <w:rPr>
          <w:rFonts w:hint="cs"/>
          <w:sz w:val="27"/>
          <w:szCs w:val="27"/>
          <w:rtl/>
        </w:rPr>
        <w:t>בתי ספר למלאכה בכפ"ח וזכה לשמש בקודש בתור מנהל</w:t>
      </w:r>
    </w:p>
    <w:p w14:paraId="2E64CD2E" w14:textId="77777777" w:rsidR="001C63CD" w:rsidRPr="001C63CD" w:rsidRDefault="001C63CD" w:rsidP="001C63CD">
      <w:pPr>
        <w:pStyle w:val="af3"/>
        <w:rPr>
          <w:sz w:val="27"/>
          <w:szCs w:val="27"/>
          <w:rtl/>
          <w:lang w:bidi="ar-SA"/>
        </w:rPr>
      </w:pPr>
      <w:r w:rsidRPr="001C63CD">
        <w:rPr>
          <w:rFonts w:hint="cs"/>
          <w:sz w:val="27"/>
          <w:szCs w:val="27"/>
          <w:rtl/>
        </w:rPr>
        <w:t>במשך עשר שנים</w:t>
      </w:r>
    </w:p>
    <w:p w14:paraId="6C203B72" w14:textId="77777777" w:rsidR="001C63CD" w:rsidRPr="001C63CD" w:rsidRDefault="001C63CD" w:rsidP="001C63CD">
      <w:pPr>
        <w:pStyle w:val="af3"/>
        <w:rPr>
          <w:sz w:val="27"/>
          <w:szCs w:val="27"/>
          <w:rtl/>
          <w:lang w:bidi="ar-SA"/>
        </w:rPr>
      </w:pPr>
      <w:r w:rsidRPr="001C63CD">
        <w:rPr>
          <w:rFonts w:hint="cs"/>
          <w:sz w:val="27"/>
          <w:szCs w:val="27"/>
          <w:rtl/>
        </w:rPr>
        <w:t>ת. נ. צ. ב. ה.</w:t>
      </w:r>
    </w:p>
    <w:p w14:paraId="2B95672C" w14:textId="77777777" w:rsidR="001C63CD" w:rsidRPr="001C63CD" w:rsidRDefault="001C63CD" w:rsidP="001C63CD">
      <w:pPr>
        <w:pStyle w:val="af3"/>
        <w:rPr>
          <w:b/>
          <w:sz w:val="27"/>
          <w:szCs w:val="27"/>
          <w:rtl/>
          <w:lang w:bidi="ar-SA"/>
        </w:rPr>
      </w:pPr>
      <w:r w:rsidRPr="001C63CD">
        <w:rPr>
          <w:b/>
          <w:sz w:val="27"/>
          <w:szCs w:val="27"/>
          <w:lang w:bidi="ar-SA"/>
        </w:rPr>
        <w:sym w:font="Wingdings 2" w:char="F0B2"/>
      </w:r>
    </w:p>
    <w:p w14:paraId="1DA3C60C" w14:textId="77777777" w:rsidR="001C63CD" w:rsidRPr="001C63CD" w:rsidRDefault="001C63CD" w:rsidP="001C63CD">
      <w:pPr>
        <w:pStyle w:val="af3"/>
        <w:rPr>
          <w:sz w:val="27"/>
          <w:szCs w:val="27"/>
          <w:lang w:bidi="ar-SA"/>
        </w:rPr>
      </w:pPr>
      <w:r w:rsidRPr="001C63CD">
        <w:rPr>
          <w:rFonts w:hint="cs"/>
          <w:sz w:val="27"/>
          <w:szCs w:val="27"/>
          <w:rtl/>
        </w:rPr>
        <w:t>נדפס ע"י בנו</w:t>
      </w:r>
    </w:p>
    <w:p w14:paraId="2EF183A4" w14:textId="77777777" w:rsidR="001C63CD" w:rsidRPr="001C63CD" w:rsidRDefault="001C63CD" w:rsidP="001C63CD">
      <w:pPr>
        <w:pStyle w:val="af3"/>
        <w:rPr>
          <w:sz w:val="27"/>
          <w:szCs w:val="27"/>
          <w:rtl/>
          <w:lang w:bidi="ar-SA"/>
        </w:rPr>
      </w:pPr>
      <w:r w:rsidRPr="001C63CD">
        <w:rPr>
          <w:rFonts w:hint="cs"/>
          <w:sz w:val="27"/>
          <w:szCs w:val="27"/>
          <w:rtl/>
        </w:rPr>
        <w:t xml:space="preserve">הרה"ת ר' </w:t>
      </w:r>
      <w:r w:rsidRPr="001C63CD">
        <w:rPr>
          <w:rFonts w:hint="cs"/>
          <w:b/>
          <w:bCs/>
          <w:sz w:val="27"/>
          <w:szCs w:val="27"/>
          <w:rtl/>
        </w:rPr>
        <w:t>גבריאל</w:t>
      </w:r>
      <w:r w:rsidRPr="001C63CD">
        <w:rPr>
          <w:rFonts w:hint="cs"/>
          <w:sz w:val="27"/>
          <w:szCs w:val="27"/>
          <w:rtl/>
        </w:rPr>
        <w:t xml:space="preserve"> וזוגתו מרת </w:t>
      </w:r>
      <w:r w:rsidRPr="001C63CD">
        <w:rPr>
          <w:rFonts w:hint="cs"/>
          <w:b/>
          <w:bCs/>
          <w:sz w:val="27"/>
          <w:szCs w:val="27"/>
          <w:rtl/>
        </w:rPr>
        <w:t>צבי'</w:t>
      </w:r>
    </w:p>
    <w:p w14:paraId="0253F6C9" w14:textId="77777777" w:rsidR="001C63CD" w:rsidRPr="001C63CD" w:rsidRDefault="001C63CD" w:rsidP="001C63CD">
      <w:pPr>
        <w:pStyle w:val="af3"/>
        <w:rPr>
          <w:sz w:val="27"/>
          <w:szCs w:val="27"/>
          <w:rtl/>
          <w:lang w:bidi="ar-SA"/>
        </w:rPr>
      </w:pPr>
      <w:r w:rsidRPr="001C63CD">
        <w:rPr>
          <w:rFonts w:hint="cs"/>
          <w:sz w:val="27"/>
          <w:szCs w:val="27"/>
          <w:rtl/>
        </w:rPr>
        <w:t>ומשפחתם שיחיו</w:t>
      </w:r>
    </w:p>
    <w:p w14:paraId="2C3DADAE" w14:textId="2DD4BBCA" w:rsidR="001C63CD" w:rsidRPr="001C63CD" w:rsidRDefault="001C63CD" w:rsidP="001C63CD">
      <w:pPr>
        <w:pStyle w:val="af3"/>
        <w:rPr>
          <w:b/>
          <w:bCs/>
          <w:sz w:val="27"/>
          <w:szCs w:val="27"/>
          <w:rtl/>
        </w:rPr>
      </w:pPr>
      <w:r w:rsidRPr="001C63CD">
        <w:rPr>
          <w:rFonts w:hint="cs"/>
          <w:b/>
          <w:bCs/>
          <w:sz w:val="27"/>
          <w:szCs w:val="27"/>
          <w:rtl/>
        </w:rPr>
        <w:t>גופין</w:t>
      </w:r>
    </w:p>
    <w:p w14:paraId="6671C554" w14:textId="77777777" w:rsidR="001C63CD" w:rsidRDefault="001C63CD" w:rsidP="001C63CD">
      <w:pPr>
        <w:bidi/>
        <w:spacing w:line="240" w:lineRule="auto"/>
        <w:jc w:val="center"/>
        <w:rPr>
          <w:rFonts w:ascii="Calibri" w:eastAsia="Calibri" w:hAnsi="Calibri" w:cs="1ShefaClassic"/>
          <w:b/>
          <w:bCs/>
          <w:sz w:val="27"/>
          <w:szCs w:val="27"/>
          <w:rtl/>
        </w:rPr>
      </w:pPr>
    </w:p>
    <w:p w14:paraId="35AC1AAE" w14:textId="77777777" w:rsidR="001C63CD" w:rsidRDefault="001C63CD" w:rsidP="001C63CD">
      <w:pPr>
        <w:bidi/>
        <w:spacing w:line="240" w:lineRule="auto"/>
        <w:jc w:val="center"/>
        <w:rPr>
          <w:rFonts w:ascii="Calibri" w:eastAsia="Calibri" w:hAnsi="Calibri" w:cs="1ShefaClassic"/>
          <w:b/>
          <w:bCs/>
          <w:sz w:val="27"/>
          <w:szCs w:val="27"/>
          <w:rtl/>
        </w:rPr>
      </w:pPr>
    </w:p>
    <w:p w14:paraId="26886605" w14:textId="77777777" w:rsidR="001C63CD" w:rsidRDefault="001C63CD" w:rsidP="001C63CD">
      <w:pPr>
        <w:bidi/>
        <w:spacing w:line="240" w:lineRule="auto"/>
        <w:jc w:val="center"/>
        <w:rPr>
          <w:rFonts w:ascii="Calibri" w:eastAsia="Calibri" w:hAnsi="Calibri" w:cs="1ShefaClassic"/>
          <w:b/>
          <w:bCs/>
          <w:sz w:val="27"/>
          <w:szCs w:val="27"/>
          <w:rtl/>
        </w:rPr>
      </w:pPr>
    </w:p>
    <w:p w14:paraId="59BE9B5E" w14:textId="77777777" w:rsidR="001C63CD" w:rsidRDefault="001C63CD" w:rsidP="001C63CD">
      <w:pPr>
        <w:bidi/>
        <w:spacing w:line="240" w:lineRule="auto"/>
        <w:jc w:val="center"/>
        <w:rPr>
          <w:rFonts w:ascii="Calibri" w:eastAsia="Calibri" w:hAnsi="Calibri" w:cs="1ShefaClassic"/>
          <w:b/>
          <w:bCs/>
          <w:sz w:val="27"/>
          <w:szCs w:val="27"/>
          <w:rtl/>
        </w:rPr>
      </w:pPr>
    </w:p>
    <w:p w14:paraId="69634AB3" w14:textId="77777777" w:rsidR="001C63CD" w:rsidRDefault="001C63CD" w:rsidP="001C63CD">
      <w:pPr>
        <w:bidi/>
        <w:spacing w:line="240" w:lineRule="auto"/>
        <w:jc w:val="center"/>
        <w:rPr>
          <w:rFonts w:ascii="Calibri" w:eastAsia="Calibri" w:hAnsi="Calibri" w:cs="1ShefaClassic"/>
          <w:b/>
          <w:bCs/>
          <w:sz w:val="27"/>
          <w:szCs w:val="27"/>
          <w:rtl/>
        </w:rPr>
      </w:pPr>
    </w:p>
    <w:p w14:paraId="371550DC" w14:textId="77777777" w:rsidR="00116708" w:rsidRDefault="00116708" w:rsidP="00116708">
      <w:pPr>
        <w:bidi/>
        <w:spacing w:line="240" w:lineRule="auto"/>
        <w:jc w:val="center"/>
        <w:rPr>
          <w:rFonts w:ascii="Calibri" w:eastAsia="Calibri" w:hAnsi="Calibri" w:cs="1ShefaClassic"/>
          <w:b/>
          <w:bCs/>
          <w:sz w:val="27"/>
          <w:szCs w:val="27"/>
          <w:rtl/>
        </w:rPr>
      </w:pPr>
    </w:p>
    <w:p w14:paraId="47CBCD4E" w14:textId="77777777" w:rsidR="00116708" w:rsidRDefault="00116708" w:rsidP="00116708">
      <w:pPr>
        <w:bidi/>
        <w:spacing w:line="240" w:lineRule="auto"/>
        <w:jc w:val="center"/>
        <w:rPr>
          <w:rFonts w:ascii="Calibri" w:eastAsia="Calibri" w:hAnsi="Calibri" w:cs="1ShefaClassic"/>
          <w:b/>
          <w:bCs/>
          <w:sz w:val="27"/>
          <w:szCs w:val="27"/>
          <w:rtl/>
        </w:rPr>
      </w:pPr>
    </w:p>
    <w:p w14:paraId="70900AD1" w14:textId="77777777" w:rsidR="00116708" w:rsidRDefault="00116708" w:rsidP="00116708">
      <w:pPr>
        <w:bidi/>
        <w:spacing w:line="240" w:lineRule="auto"/>
        <w:jc w:val="center"/>
        <w:rPr>
          <w:rFonts w:ascii="Calibri" w:eastAsia="Calibri" w:hAnsi="Calibri" w:cs="1ShefaClassic"/>
          <w:b/>
          <w:bCs/>
          <w:sz w:val="27"/>
          <w:szCs w:val="27"/>
          <w:rtl/>
        </w:rPr>
      </w:pPr>
    </w:p>
    <w:p w14:paraId="38E0750E" w14:textId="77777777" w:rsidR="00116708" w:rsidRDefault="00116708" w:rsidP="00116708">
      <w:pPr>
        <w:bidi/>
        <w:spacing w:line="240" w:lineRule="auto"/>
        <w:jc w:val="center"/>
        <w:rPr>
          <w:rFonts w:ascii="Calibri" w:eastAsia="Calibri" w:hAnsi="Calibri" w:cs="1ShefaClassic"/>
          <w:b/>
          <w:bCs/>
          <w:sz w:val="27"/>
          <w:szCs w:val="27"/>
          <w:rtl/>
        </w:rPr>
      </w:pPr>
    </w:p>
    <w:p w14:paraId="47D889C2" w14:textId="77777777" w:rsidR="001C63CD" w:rsidRPr="001C63CD" w:rsidRDefault="001C63CD" w:rsidP="001C63CD">
      <w:pPr>
        <w:pStyle w:val="af3"/>
        <w:rPr>
          <w:sz w:val="27"/>
          <w:szCs w:val="27"/>
          <w:rtl/>
        </w:rPr>
      </w:pPr>
      <w:r w:rsidRPr="001C63CD">
        <w:rPr>
          <w:rFonts w:hint="cs"/>
          <w:sz w:val="27"/>
          <w:szCs w:val="27"/>
          <w:rtl/>
        </w:rPr>
        <w:t>לעילוי</w:t>
      </w:r>
      <w:r w:rsidRPr="001C63CD">
        <w:rPr>
          <w:sz w:val="27"/>
          <w:szCs w:val="27"/>
          <w:rtl/>
        </w:rPr>
        <w:t xml:space="preserve"> </w:t>
      </w:r>
      <w:r w:rsidRPr="001C63CD">
        <w:rPr>
          <w:rFonts w:hint="cs"/>
          <w:sz w:val="27"/>
          <w:szCs w:val="27"/>
          <w:rtl/>
        </w:rPr>
        <w:t>נשמת</w:t>
      </w:r>
      <w:r w:rsidRPr="001C63CD">
        <w:rPr>
          <w:sz w:val="27"/>
          <w:szCs w:val="27"/>
          <w:rtl/>
        </w:rPr>
        <w:t xml:space="preserve"> </w:t>
      </w:r>
    </w:p>
    <w:p w14:paraId="5929A4F4" w14:textId="77777777" w:rsidR="001C63CD" w:rsidRPr="001C63CD" w:rsidRDefault="001C63CD" w:rsidP="001C63CD">
      <w:pPr>
        <w:pStyle w:val="af3"/>
        <w:rPr>
          <w:sz w:val="27"/>
          <w:szCs w:val="27"/>
          <w:rtl/>
        </w:rPr>
      </w:pPr>
      <w:r w:rsidRPr="001C63CD">
        <w:rPr>
          <w:rFonts w:hint="cs"/>
          <w:sz w:val="27"/>
          <w:szCs w:val="27"/>
          <w:rtl/>
        </w:rPr>
        <w:t>האשה</w:t>
      </w:r>
      <w:r w:rsidRPr="001C63CD">
        <w:rPr>
          <w:sz w:val="27"/>
          <w:szCs w:val="27"/>
          <w:rtl/>
        </w:rPr>
        <w:t xml:space="preserve"> </w:t>
      </w:r>
      <w:r w:rsidRPr="001C63CD">
        <w:rPr>
          <w:rFonts w:hint="cs"/>
          <w:sz w:val="27"/>
          <w:szCs w:val="27"/>
          <w:rtl/>
        </w:rPr>
        <w:t>החשובה</w:t>
      </w:r>
      <w:r w:rsidRPr="001C63CD">
        <w:rPr>
          <w:sz w:val="27"/>
          <w:szCs w:val="27"/>
          <w:rtl/>
        </w:rPr>
        <w:t xml:space="preserve"> </w:t>
      </w:r>
      <w:r w:rsidRPr="001C63CD">
        <w:rPr>
          <w:rFonts w:hint="cs"/>
          <w:sz w:val="27"/>
          <w:szCs w:val="27"/>
          <w:rtl/>
        </w:rPr>
        <w:t>והצנועה</w:t>
      </w:r>
    </w:p>
    <w:p w14:paraId="2DA9F770" w14:textId="77777777" w:rsidR="001C63CD" w:rsidRPr="001C63CD" w:rsidRDefault="001C63CD" w:rsidP="001C63CD">
      <w:pPr>
        <w:pStyle w:val="af3"/>
        <w:rPr>
          <w:sz w:val="27"/>
          <w:szCs w:val="27"/>
          <w:rtl/>
        </w:rPr>
      </w:pPr>
      <w:r w:rsidRPr="001C63CD">
        <w:rPr>
          <w:rFonts w:hint="cs"/>
          <w:sz w:val="27"/>
          <w:szCs w:val="27"/>
          <w:rtl/>
        </w:rPr>
        <w:t>מרת</w:t>
      </w:r>
      <w:r w:rsidRPr="001C63CD">
        <w:rPr>
          <w:sz w:val="27"/>
          <w:szCs w:val="27"/>
          <w:rtl/>
        </w:rPr>
        <w:t xml:space="preserve"> </w:t>
      </w:r>
      <w:r w:rsidRPr="001C63CD">
        <w:rPr>
          <w:rFonts w:hint="cs"/>
          <w:b/>
          <w:bCs/>
          <w:sz w:val="27"/>
          <w:szCs w:val="27"/>
          <w:rtl/>
        </w:rPr>
        <w:t>רחל</w:t>
      </w:r>
      <w:r w:rsidRPr="001C63CD">
        <w:rPr>
          <w:sz w:val="27"/>
          <w:szCs w:val="27"/>
          <w:rtl/>
        </w:rPr>
        <w:t xml:space="preserve"> </w:t>
      </w:r>
      <w:r w:rsidRPr="001C63CD">
        <w:rPr>
          <w:rFonts w:hint="cs"/>
          <w:sz w:val="27"/>
          <w:szCs w:val="27"/>
          <w:rtl/>
        </w:rPr>
        <w:t>ע</w:t>
      </w:r>
      <w:r w:rsidRPr="001C63CD">
        <w:rPr>
          <w:sz w:val="27"/>
          <w:szCs w:val="27"/>
          <w:rtl/>
        </w:rPr>
        <w:t>"</w:t>
      </w:r>
      <w:r w:rsidRPr="001C63CD">
        <w:rPr>
          <w:rFonts w:hint="cs"/>
          <w:sz w:val="27"/>
          <w:szCs w:val="27"/>
          <w:rtl/>
        </w:rPr>
        <w:t xml:space="preserve">ה </w:t>
      </w:r>
      <w:r w:rsidRPr="001C63CD">
        <w:rPr>
          <w:rFonts w:hint="cs"/>
          <w:b/>
          <w:bCs/>
          <w:sz w:val="27"/>
          <w:szCs w:val="27"/>
          <w:rtl/>
        </w:rPr>
        <w:t>פינסאן</w:t>
      </w:r>
    </w:p>
    <w:p w14:paraId="6C865282" w14:textId="77777777" w:rsidR="001C63CD" w:rsidRPr="001C63CD" w:rsidRDefault="001C63CD" w:rsidP="001C63CD">
      <w:pPr>
        <w:pStyle w:val="af3"/>
        <w:rPr>
          <w:sz w:val="27"/>
          <w:szCs w:val="27"/>
          <w:rtl/>
        </w:rPr>
      </w:pPr>
      <w:r w:rsidRPr="001C63CD">
        <w:rPr>
          <w:rFonts w:hint="cs"/>
          <w:sz w:val="27"/>
          <w:szCs w:val="27"/>
          <w:rtl/>
        </w:rPr>
        <w:t>בת</w:t>
      </w:r>
      <w:r w:rsidRPr="001C63CD">
        <w:rPr>
          <w:sz w:val="27"/>
          <w:szCs w:val="27"/>
          <w:rtl/>
        </w:rPr>
        <w:t xml:space="preserve"> </w:t>
      </w:r>
      <w:r w:rsidRPr="001C63CD">
        <w:rPr>
          <w:rFonts w:hint="cs"/>
          <w:sz w:val="27"/>
          <w:szCs w:val="27"/>
          <w:rtl/>
        </w:rPr>
        <w:t>הרה</w:t>
      </w:r>
      <w:r w:rsidRPr="001C63CD">
        <w:rPr>
          <w:sz w:val="27"/>
          <w:szCs w:val="27"/>
          <w:rtl/>
        </w:rPr>
        <w:t>"</w:t>
      </w:r>
      <w:r w:rsidRPr="001C63CD">
        <w:rPr>
          <w:rFonts w:hint="cs"/>
          <w:sz w:val="27"/>
          <w:szCs w:val="27"/>
          <w:rtl/>
        </w:rPr>
        <w:t>ח</w:t>
      </w:r>
      <w:r w:rsidRPr="001C63CD">
        <w:rPr>
          <w:sz w:val="27"/>
          <w:szCs w:val="27"/>
          <w:rtl/>
        </w:rPr>
        <w:t xml:space="preserve"> </w:t>
      </w:r>
      <w:r w:rsidRPr="001C63CD">
        <w:rPr>
          <w:rFonts w:hint="cs"/>
          <w:sz w:val="27"/>
          <w:szCs w:val="27"/>
          <w:rtl/>
        </w:rPr>
        <w:t>הרה</w:t>
      </w:r>
      <w:r w:rsidRPr="001C63CD">
        <w:rPr>
          <w:sz w:val="27"/>
          <w:szCs w:val="27"/>
          <w:rtl/>
        </w:rPr>
        <w:t>"</w:t>
      </w:r>
      <w:r w:rsidRPr="001C63CD">
        <w:rPr>
          <w:rFonts w:hint="cs"/>
          <w:sz w:val="27"/>
          <w:szCs w:val="27"/>
          <w:rtl/>
        </w:rPr>
        <w:t>ת המשפיע הנודע</w:t>
      </w:r>
      <w:r w:rsidRPr="001C63CD">
        <w:rPr>
          <w:sz w:val="27"/>
          <w:szCs w:val="27"/>
          <w:rtl/>
        </w:rPr>
        <w:t xml:space="preserve"> </w:t>
      </w:r>
      <w:r w:rsidRPr="001C63CD">
        <w:rPr>
          <w:rFonts w:hint="cs"/>
          <w:sz w:val="27"/>
          <w:szCs w:val="27"/>
          <w:rtl/>
        </w:rPr>
        <w:t>ר</w:t>
      </w:r>
      <w:r w:rsidRPr="001C63CD">
        <w:rPr>
          <w:sz w:val="27"/>
          <w:szCs w:val="27"/>
          <w:rtl/>
        </w:rPr>
        <w:t xml:space="preserve">' </w:t>
      </w:r>
      <w:r w:rsidRPr="001C63CD">
        <w:rPr>
          <w:rFonts w:hint="cs"/>
          <w:b/>
          <w:bCs/>
          <w:sz w:val="27"/>
          <w:szCs w:val="27"/>
          <w:rtl/>
        </w:rPr>
        <w:t>אברהם</w:t>
      </w:r>
      <w:r w:rsidRPr="001C63CD">
        <w:rPr>
          <w:rFonts w:hint="cs"/>
          <w:sz w:val="27"/>
          <w:szCs w:val="27"/>
          <w:rtl/>
        </w:rPr>
        <w:t xml:space="preserve"> ע</w:t>
      </w:r>
      <w:r w:rsidRPr="001C63CD">
        <w:rPr>
          <w:sz w:val="27"/>
          <w:szCs w:val="27"/>
          <w:rtl/>
        </w:rPr>
        <w:t>"</w:t>
      </w:r>
      <w:r w:rsidRPr="001C63CD">
        <w:rPr>
          <w:rFonts w:hint="cs"/>
          <w:sz w:val="27"/>
          <w:szCs w:val="27"/>
          <w:rtl/>
        </w:rPr>
        <w:t>ה</w:t>
      </w:r>
      <w:r w:rsidRPr="001C63CD">
        <w:rPr>
          <w:sz w:val="27"/>
          <w:szCs w:val="27"/>
          <w:rtl/>
        </w:rPr>
        <w:t xml:space="preserve"> </w:t>
      </w:r>
      <w:r w:rsidRPr="001C63CD">
        <w:rPr>
          <w:rFonts w:hint="cs"/>
          <w:b/>
          <w:bCs/>
          <w:sz w:val="27"/>
          <w:szCs w:val="27"/>
          <w:rtl/>
        </w:rPr>
        <w:t>דריזין</w:t>
      </w:r>
      <w:r w:rsidRPr="001C63CD">
        <w:rPr>
          <w:rFonts w:hint="cs"/>
          <w:sz w:val="27"/>
          <w:szCs w:val="27"/>
          <w:rtl/>
        </w:rPr>
        <w:t xml:space="preserve"> (מאיאר)</w:t>
      </w:r>
    </w:p>
    <w:p w14:paraId="781848B9" w14:textId="77777777" w:rsidR="001C63CD" w:rsidRPr="001C63CD" w:rsidRDefault="001C63CD" w:rsidP="001C63CD">
      <w:pPr>
        <w:pStyle w:val="af3"/>
        <w:rPr>
          <w:sz w:val="27"/>
          <w:szCs w:val="27"/>
          <w:rtl/>
        </w:rPr>
      </w:pPr>
      <w:r w:rsidRPr="001C63CD">
        <w:rPr>
          <w:rFonts w:hint="cs"/>
          <w:sz w:val="27"/>
          <w:szCs w:val="27"/>
          <w:rtl/>
        </w:rPr>
        <w:t>נלב</w:t>
      </w:r>
      <w:r w:rsidRPr="001C63CD">
        <w:rPr>
          <w:sz w:val="27"/>
          <w:szCs w:val="27"/>
          <w:rtl/>
        </w:rPr>
        <w:t>"</w:t>
      </w:r>
      <w:r w:rsidRPr="001C63CD">
        <w:rPr>
          <w:rFonts w:hint="cs"/>
          <w:sz w:val="27"/>
          <w:szCs w:val="27"/>
          <w:rtl/>
        </w:rPr>
        <w:t>ע</w:t>
      </w:r>
      <w:r w:rsidRPr="001C63CD">
        <w:rPr>
          <w:sz w:val="27"/>
          <w:szCs w:val="27"/>
          <w:rtl/>
        </w:rPr>
        <w:t xml:space="preserve"> </w:t>
      </w:r>
      <w:r w:rsidRPr="001C63CD">
        <w:rPr>
          <w:rFonts w:hint="cs"/>
          <w:sz w:val="27"/>
          <w:szCs w:val="27"/>
          <w:rtl/>
        </w:rPr>
        <w:t>ביום</w:t>
      </w:r>
      <w:r w:rsidRPr="001C63CD">
        <w:rPr>
          <w:sz w:val="27"/>
          <w:szCs w:val="27"/>
          <w:rtl/>
        </w:rPr>
        <w:t xml:space="preserve"> </w:t>
      </w:r>
      <w:r w:rsidRPr="001C63CD">
        <w:rPr>
          <w:rFonts w:hint="cs"/>
          <w:sz w:val="27"/>
          <w:szCs w:val="27"/>
          <w:rtl/>
        </w:rPr>
        <w:t>חמישי י"ב</w:t>
      </w:r>
      <w:r w:rsidRPr="001C63CD">
        <w:rPr>
          <w:sz w:val="27"/>
          <w:szCs w:val="27"/>
          <w:rtl/>
        </w:rPr>
        <w:t xml:space="preserve"> </w:t>
      </w:r>
      <w:r w:rsidRPr="001C63CD">
        <w:rPr>
          <w:rFonts w:hint="cs"/>
          <w:sz w:val="27"/>
          <w:szCs w:val="27"/>
          <w:rtl/>
        </w:rPr>
        <w:t>כסלו</w:t>
      </w:r>
      <w:r w:rsidRPr="001C63CD">
        <w:rPr>
          <w:sz w:val="27"/>
          <w:szCs w:val="27"/>
          <w:rtl/>
        </w:rPr>
        <w:t xml:space="preserve"> </w:t>
      </w:r>
      <w:r w:rsidRPr="001C63CD">
        <w:rPr>
          <w:rFonts w:hint="cs"/>
          <w:sz w:val="27"/>
          <w:szCs w:val="27"/>
          <w:rtl/>
        </w:rPr>
        <w:t>ה'תשע"ב</w:t>
      </w:r>
    </w:p>
    <w:p w14:paraId="56AAD904" w14:textId="77777777" w:rsidR="001C63CD" w:rsidRPr="001C63CD" w:rsidRDefault="001C63CD" w:rsidP="001C63CD">
      <w:pPr>
        <w:pStyle w:val="af3"/>
        <w:rPr>
          <w:b/>
          <w:bCs/>
          <w:sz w:val="27"/>
          <w:szCs w:val="27"/>
          <w:rtl/>
        </w:rPr>
      </w:pPr>
      <w:r w:rsidRPr="001C63CD">
        <w:rPr>
          <w:rFonts w:hint="cs"/>
          <w:b/>
          <w:bCs/>
          <w:sz w:val="27"/>
          <w:szCs w:val="27"/>
          <w:rtl/>
        </w:rPr>
        <w:t>ת</w:t>
      </w:r>
      <w:r w:rsidRPr="001C63CD">
        <w:rPr>
          <w:b/>
          <w:bCs/>
          <w:sz w:val="27"/>
          <w:szCs w:val="27"/>
          <w:rtl/>
        </w:rPr>
        <w:t>.</w:t>
      </w:r>
      <w:r w:rsidRPr="001C63CD">
        <w:rPr>
          <w:rFonts w:hint="cs"/>
          <w:b/>
          <w:bCs/>
          <w:sz w:val="27"/>
          <w:szCs w:val="27"/>
          <w:rtl/>
        </w:rPr>
        <w:t>נ</w:t>
      </w:r>
      <w:r w:rsidRPr="001C63CD">
        <w:rPr>
          <w:b/>
          <w:bCs/>
          <w:sz w:val="27"/>
          <w:szCs w:val="27"/>
          <w:rtl/>
        </w:rPr>
        <w:t>.</w:t>
      </w:r>
      <w:r w:rsidRPr="001C63CD">
        <w:rPr>
          <w:rFonts w:hint="cs"/>
          <w:b/>
          <w:bCs/>
          <w:sz w:val="27"/>
          <w:szCs w:val="27"/>
          <w:rtl/>
        </w:rPr>
        <w:t>צ</w:t>
      </w:r>
      <w:r w:rsidRPr="001C63CD">
        <w:rPr>
          <w:b/>
          <w:bCs/>
          <w:sz w:val="27"/>
          <w:szCs w:val="27"/>
          <w:rtl/>
        </w:rPr>
        <w:t>.</w:t>
      </w:r>
      <w:r w:rsidRPr="001C63CD">
        <w:rPr>
          <w:rFonts w:hint="cs"/>
          <w:b/>
          <w:bCs/>
          <w:sz w:val="27"/>
          <w:szCs w:val="27"/>
          <w:rtl/>
        </w:rPr>
        <w:t>ב</w:t>
      </w:r>
      <w:r w:rsidRPr="001C63CD">
        <w:rPr>
          <w:b/>
          <w:bCs/>
          <w:sz w:val="27"/>
          <w:szCs w:val="27"/>
          <w:rtl/>
        </w:rPr>
        <w:t>.</w:t>
      </w:r>
      <w:r w:rsidRPr="001C63CD">
        <w:rPr>
          <w:rFonts w:hint="cs"/>
          <w:b/>
          <w:bCs/>
          <w:sz w:val="27"/>
          <w:szCs w:val="27"/>
          <w:rtl/>
        </w:rPr>
        <w:t>ה</w:t>
      </w:r>
      <w:r w:rsidRPr="001C63CD">
        <w:rPr>
          <w:b/>
          <w:bCs/>
          <w:sz w:val="27"/>
          <w:szCs w:val="27"/>
          <w:rtl/>
        </w:rPr>
        <w:t>.</w:t>
      </w:r>
    </w:p>
    <w:p w14:paraId="7354595F" w14:textId="77777777" w:rsidR="001C63CD" w:rsidRPr="001C63CD" w:rsidRDefault="001C63CD" w:rsidP="001C63CD">
      <w:pPr>
        <w:pStyle w:val="af3"/>
        <w:rPr>
          <w:sz w:val="27"/>
          <w:szCs w:val="27"/>
          <w:rtl/>
        </w:rPr>
      </w:pPr>
      <w:r w:rsidRPr="001C63CD">
        <w:rPr>
          <w:sz w:val="27"/>
          <w:szCs w:val="27"/>
        </w:rPr>
        <w:sym w:font="Wingdings 2" w:char="F0B2"/>
      </w:r>
    </w:p>
    <w:p w14:paraId="05F5996F" w14:textId="77777777" w:rsidR="001C63CD" w:rsidRPr="001C63CD" w:rsidRDefault="001C63CD" w:rsidP="001C63CD">
      <w:pPr>
        <w:pStyle w:val="af3"/>
        <w:rPr>
          <w:rFonts w:ascii="Narkisim" w:eastAsia="Calibri" w:hAnsi="Narkisim"/>
          <w:sz w:val="27"/>
          <w:szCs w:val="27"/>
          <w:rtl/>
        </w:rPr>
      </w:pPr>
      <w:r w:rsidRPr="001C63CD">
        <w:rPr>
          <w:rFonts w:ascii="Narkisim" w:eastAsia="Calibri" w:hAnsi="Narkisim" w:hint="cs"/>
          <w:sz w:val="27"/>
          <w:szCs w:val="27"/>
          <w:rtl/>
        </w:rPr>
        <w:t>ל</w:t>
      </w:r>
      <w:r w:rsidRPr="001C63CD">
        <w:rPr>
          <w:rFonts w:ascii="Narkisim" w:eastAsia="Calibri" w:hAnsi="Narkisim"/>
          <w:sz w:val="27"/>
          <w:szCs w:val="27"/>
          <w:rtl/>
        </w:rPr>
        <w:t>זכות</w:t>
      </w:r>
    </w:p>
    <w:p w14:paraId="3A0BFDFB" w14:textId="77777777" w:rsidR="001C63CD" w:rsidRPr="001C63CD" w:rsidRDefault="001C63CD" w:rsidP="001C63CD">
      <w:pPr>
        <w:pStyle w:val="af3"/>
        <w:rPr>
          <w:sz w:val="27"/>
          <w:szCs w:val="27"/>
          <w:rtl/>
        </w:rPr>
      </w:pPr>
      <w:r w:rsidRPr="001C63CD">
        <w:rPr>
          <w:rFonts w:hint="cs"/>
          <w:sz w:val="27"/>
          <w:szCs w:val="27"/>
          <w:rtl/>
        </w:rPr>
        <w:t xml:space="preserve">הת' </w:t>
      </w:r>
      <w:r w:rsidRPr="001C63CD">
        <w:rPr>
          <w:rFonts w:hint="cs"/>
          <w:b/>
          <w:bCs/>
          <w:sz w:val="27"/>
          <w:szCs w:val="27"/>
          <w:rtl/>
        </w:rPr>
        <w:t xml:space="preserve">מנחם מענדל </w:t>
      </w:r>
      <w:r w:rsidRPr="001C63CD">
        <w:rPr>
          <w:rFonts w:hint="cs"/>
          <w:sz w:val="27"/>
          <w:szCs w:val="27"/>
          <w:rtl/>
        </w:rPr>
        <w:t xml:space="preserve">שיחי' </w:t>
      </w:r>
      <w:r w:rsidRPr="001C63CD">
        <w:rPr>
          <w:rFonts w:hint="cs"/>
          <w:b/>
          <w:bCs/>
          <w:sz w:val="27"/>
          <w:szCs w:val="27"/>
          <w:rtl/>
        </w:rPr>
        <w:t>פינסאן</w:t>
      </w:r>
    </w:p>
    <w:p w14:paraId="791B6B09" w14:textId="77777777" w:rsidR="001C63CD" w:rsidRPr="001C63CD" w:rsidRDefault="001C63CD" w:rsidP="001C63CD">
      <w:pPr>
        <w:pStyle w:val="af3"/>
        <w:rPr>
          <w:sz w:val="27"/>
          <w:szCs w:val="27"/>
          <w:rtl/>
        </w:rPr>
      </w:pPr>
      <w:r w:rsidRPr="001C63CD">
        <w:rPr>
          <w:sz w:val="27"/>
          <w:szCs w:val="27"/>
          <w:rtl/>
        </w:rPr>
        <w:t xml:space="preserve">לרגל </w:t>
      </w:r>
      <w:r w:rsidRPr="001C63CD">
        <w:rPr>
          <w:rFonts w:hint="cs"/>
          <w:sz w:val="27"/>
          <w:szCs w:val="27"/>
          <w:rtl/>
        </w:rPr>
        <w:t>חגיגת הבר מצוה שלו</w:t>
      </w:r>
    </w:p>
    <w:p w14:paraId="2BE624D8" w14:textId="77777777" w:rsidR="001C63CD" w:rsidRPr="001C63CD" w:rsidRDefault="001C63CD" w:rsidP="001C63CD">
      <w:pPr>
        <w:pStyle w:val="af3"/>
        <w:rPr>
          <w:sz w:val="27"/>
          <w:szCs w:val="27"/>
          <w:rtl/>
        </w:rPr>
      </w:pPr>
      <w:r w:rsidRPr="001C63CD">
        <w:rPr>
          <w:sz w:val="27"/>
          <w:szCs w:val="27"/>
          <w:rtl/>
        </w:rPr>
        <w:t>ביום</w:t>
      </w:r>
      <w:r w:rsidRPr="001C63CD">
        <w:rPr>
          <w:rFonts w:hint="cs"/>
          <w:sz w:val="27"/>
          <w:szCs w:val="27"/>
          <w:rtl/>
        </w:rPr>
        <w:t xml:space="preserve"> שלישי י"ב כסלו ה</w:t>
      </w:r>
      <w:r w:rsidRPr="001C63CD">
        <w:rPr>
          <w:sz w:val="27"/>
          <w:szCs w:val="27"/>
          <w:rtl/>
        </w:rPr>
        <w:t>’</w:t>
      </w:r>
      <w:r w:rsidRPr="001C63CD">
        <w:rPr>
          <w:rFonts w:hint="cs"/>
          <w:sz w:val="27"/>
          <w:szCs w:val="27"/>
          <w:rtl/>
        </w:rPr>
        <w:t>תשע</w:t>
      </w:r>
      <w:r w:rsidRPr="001C63CD">
        <w:rPr>
          <w:sz w:val="27"/>
          <w:szCs w:val="27"/>
          <w:rtl/>
        </w:rPr>
        <w:t>”</w:t>
      </w:r>
      <w:r w:rsidRPr="001C63CD">
        <w:rPr>
          <w:rFonts w:hint="cs"/>
          <w:sz w:val="27"/>
          <w:szCs w:val="27"/>
          <w:rtl/>
        </w:rPr>
        <w:t>ט</w:t>
      </w:r>
    </w:p>
    <w:p w14:paraId="37202D97" w14:textId="77777777" w:rsidR="001C63CD" w:rsidRPr="001C63CD" w:rsidRDefault="001C63CD" w:rsidP="001C63CD">
      <w:pPr>
        <w:pStyle w:val="af3"/>
        <w:rPr>
          <w:sz w:val="27"/>
          <w:szCs w:val="27"/>
          <w:rtl/>
        </w:rPr>
      </w:pPr>
      <w:r w:rsidRPr="001C63CD">
        <w:rPr>
          <w:sz w:val="27"/>
          <w:szCs w:val="27"/>
          <w:rtl/>
        </w:rPr>
        <w:t>יה"ר</w:t>
      </w:r>
      <w:r w:rsidRPr="001C63CD">
        <w:rPr>
          <w:rFonts w:hint="cs"/>
          <w:sz w:val="27"/>
          <w:szCs w:val="27"/>
          <w:rtl/>
        </w:rPr>
        <w:t xml:space="preserve"> מהשי"ת</w:t>
      </w:r>
      <w:r w:rsidRPr="001C63CD">
        <w:rPr>
          <w:sz w:val="27"/>
          <w:szCs w:val="27"/>
          <w:rtl/>
        </w:rPr>
        <w:t xml:space="preserve"> שיגדל להיות</w:t>
      </w:r>
      <w:r w:rsidRPr="001C63CD">
        <w:rPr>
          <w:rFonts w:hint="cs"/>
          <w:sz w:val="27"/>
          <w:szCs w:val="27"/>
          <w:rtl/>
        </w:rPr>
        <w:t xml:space="preserve"> </w:t>
      </w:r>
      <w:r w:rsidRPr="001C63CD">
        <w:rPr>
          <w:sz w:val="27"/>
          <w:szCs w:val="27"/>
          <w:rtl/>
        </w:rPr>
        <w:t>חסיד ירא-שמים ולמדן</w:t>
      </w:r>
    </w:p>
    <w:p w14:paraId="6881B964" w14:textId="77777777" w:rsidR="001C63CD" w:rsidRPr="001C63CD" w:rsidRDefault="001C63CD" w:rsidP="001C63CD">
      <w:pPr>
        <w:pStyle w:val="af3"/>
        <w:rPr>
          <w:sz w:val="27"/>
          <w:szCs w:val="27"/>
          <w:rtl/>
        </w:rPr>
      </w:pPr>
      <w:r w:rsidRPr="001C63CD">
        <w:rPr>
          <w:rFonts w:hint="cs"/>
          <w:sz w:val="27"/>
          <w:szCs w:val="27"/>
          <w:rtl/>
        </w:rPr>
        <w:t>ויעלה מעלה מעלה בתורה וחסידות</w:t>
      </w:r>
    </w:p>
    <w:p w14:paraId="53B232BA" w14:textId="77777777" w:rsidR="001C63CD" w:rsidRPr="001C63CD" w:rsidRDefault="001C63CD" w:rsidP="001C63CD">
      <w:pPr>
        <w:pStyle w:val="af3"/>
        <w:rPr>
          <w:sz w:val="27"/>
          <w:szCs w:val="27"/>
          <w:rtl/>
        </w:rPr>
      </w:pPr>
      <w:r w:rsidRPr="001C63CD">
        <w:rPr>
          <w:rFonts w:hint="cs"/>
          <w:sz w:val="27"/>
          <w:szCs w:val="27"/>
          <w:rtl/>
        </w:rPr>
        <w:t>ויצליח בלימוד התורה בהתמדה ושקידה</w:t>
      </w:r>
    </w:p>
    <w:p w14:paraId="7650FE02" w14:textId="77777777" w:rsidR="001C63CD" w:rsidRPr="001C63CD" w:rsidRDefault="001C63CD" w:rsidP="001C63CD">
      <w:pPr>
        <w:pStyle w:val="af3"/>
        <w:rPr>
          <w:sz w:val="27"/>
          <w:szCs w:val="27"/>
          <w:rtl/>
        </w:rPr>
      </w:pPr>
      <w:r w:rsidRPr="001C63CD">
        <w:rPr>
          <w:sz w:val="27"/>
          <w:szCs w:val="27"/>
          <w:rtl/>
        </w:rPr>
        <w:t>כרצו</w:t>
      </w:r>
      <w:r w:rsidRPr="001C63CD">
        <w:rPr>
          <w:rFonts w:hint="cs"/>
          <w:sz w:val="27"/>
          <w:szCs w:val="27"/>
          <w:rtl/>
        </w:rPr>
        <w:t>ה</w:t>
      </w:r>
      <w:r w:rsidRPr="001C63CD">
        <w:rPr>
          <w:sz w:val="27"/>
          <w:szCs w:val="27"/>
          <w:rtl/>
        </w:rPr>
        <w:t>"ק ולנח"ר כ"ק אדמו"ר נשיא דורנו</w:t>
      </w:r>
    </w:p>
    <w:p w14:paraId="1C2D76E9" w14:textId="51CE36E0" w:rsidR="001C63CD" w:rsidRPr="001C63CD" w:rsidRDefault="001C63CD" w:rsidP="0083553B">
      <w:pPr>
        <w:pStyle w:val="af3"/>
        <w:rPr>
          <w:sz w:val="27"/>
          <w:szCs w:val="27"/>
          <w:rtl/>
        </w:rPr>
      </w:pPr>
      <w:r w:rsidRPr="001C63CD">
        <w:rPr>
          <w:rFonts w:hint="cs"/>
          <w:sz w:val="27"/>
          <w:szCs w:val="27"/>
          <w:rtl/>
        </w:rPr>
        <w:t>ויזכו הוריהם שיחיו לרוות ממנ</w:t>
      </w:r>
      <w:r w:rsidR="0083553B">
        <w:rPr>
          <w:rFonts w:hint="cs"/>
          <w:sz w:val="27"/>
          <w:szCs w:val="27"/>
          <w:rtl/>
        </w:rPr>
        <w:t>ו</w:t>
      </w:r>
      <w:r w:rsidRPr="001C63CD">
        <w:rPr>
          <w:rFonts w:hint="cs"/>
          <w:sz w:val="27"/>
          <w:szCs w:val="27"/>
          <w:rtl/>
        </w:rPr>
        <w:t xml:space="preserve"> רוב נחת חסידי בגו"ר לאויו"ט</w:t>
      </w:r>
    </w:p>
    <w:p w14:paraId="17377694" w14:textId="77777777" w:rsidR="001C63CD" w:rsidRPr="001C63CD" w:rsidRDefault="001C63CD" w:rsidP="001C63CD">
      <w:pPr>
        <w:pStyle w:val="af3"/>
        <w:rPr>
          <w:sz w:val="27"/>
          <w:szCs w:val="27"/>
          <w:rtl/>
        </w:rPr>
      </w:pPr>
      <w:r w:rsidRPr="001C63CD">
        <w:rPr>
          <w:sz w:val="27"/>
          <w:szCs w:val="27"/>
        </w:rPr>
        <w:sym w:font="Wingdings 2" w:char="F0B2"/>
      </w:r>
    </w:p>
    <w:p w14:paraId="005B3EEB" w14:textId="7872DBB3" w:rsidR="001C63CD" w:rsidRPr="001C63CD" w:rsidRDefault="001C63CD" w:rsidP="001C63CD">
      <w:pPr>
        <w:pStyle w:val="af3"/>
        <w:rPr>
          <w:sz w:val="27"/>
          <w:szCs w:val="27"/>
          <w:rtl/>
        </w:rPr>
      </w:pPr>
      <w:r w:rsidRPr="001C63CD">
        <w:rPr>
          <w:rFonts w:hint="cs"/>
          <w:sz w:val="27"/>
          <w:szCs w:val="27"/>
          <w:rtl/>
        </w:rPr>
        <w:t>נדפס ע"י משפחתם שיחיו</w:t>
      </w:r>
    </w:p>
    <w:p w14:paraId="47195BAD" w14:textId="77777777" w:rsidR="001C63CD" w:rsidRDefault="001C63CD" w:rsidP="001C63CD">
      <w:pPr>
        <w:bidi/>
        <w:spacing w:after="40" w:line="360" w:lineRule="exact"/>
        <w:jc w:val="center"/>
        <w:rPr>
          <w:rFonts w:cs="1ShefaClassic"/>
          <w:sz w:val="27"/>
          <w:szCs w:val="27"/>
          <w:rtl/>
        </w:rPr>
      </w:pPr>
    </w:p>
    <w:p w14:paraId="1698AC22" w14:textId="77777777" w:rsidR="001C63CD" w:rsidRDefault="001C63CD" w:rsidP="001C63CD">
      <w:pPr>
        <w:bidi/>
        <w:spacing w:after="40" w:line="360" w:lineRule="exact"/>
        <w:jc w:val="center"/>
        <w:rPr>
          <w:rFonts w:cs="1ShefaClassic"/>
          <w:sz w:val="27"/>
          <w:szCs w:val="27"/>
          <w:rtl/>
        </w:rPr>
      </w:pPr>
    </w:p>
    <w:p w14:paraId="7A105310" w14:textId="77777777" w:rsidR="001C63CD" w:rsidRDefault="001C63CD" w:rsidP="001C63CD">
      <w:pPr>
        <w:bidi/>
        <w:spacing w:after="40" w:line="360" w:lineRule="exact"/>
        <w:jc w:val="center"/>
        <w:rPr>
          <w:rFonts w:cs="1ShefaClassic"/>
          <w:sz w:val="27"/>
          <w:szCs w:val="27"/>
          <w:rtl/>
        </w:rPr>
      </w:pPr>
    </w:p>
    <w:p w14:paraId="15F7682A" w14:textId="77777777" w:rsidR="00116708" w:rsidRDefault="00116708" w:rsidP="00116708">
      <w:pPr>
        <w:bidi/>
        <w:spacing w:after="40" w:line="360" w:lineRule="exact"/>
        <w:jc w:val="center"/>
        <w:rPr>
          <w:rFonts w:cs="1ShefaClassic"/>
          <w:sz w:val="27"/>
          <w:szCs w:val="27"/>
          <w:rtl/>
        </w:rPr>
      </w:pPr>
    </w:p>
    <w:p w14:paraId="4F63D113" w14:textId="77777777" w:rsidR="00116708" w:rsidRDefault="00116708" w:rsidP="00116708">
      <w:pPr>
        <w:bidi/>
        <w:spacing w:after="40" w:line="360" w:lineRule="exact"/>
        <w:jc w:val="center"/>
        <w:rPr>
          <w:rFonts w:cs="1ShefaClassic"/>
          <w:sz w:val="27"/>
          <w:szCs w:val="27"/>
          <w:rtl/>
        </w:rPr>
      </w:pPr>
    </w:p>
    <w:p w14:paraId="04F31F3D" w14:textId="77777777" w:rsidR="00E771D2" w:rsidRDefault="00E771D2" w:rsidP="001C63CD">
      <w:pPr>
        <w:pStyle w:val="af3"/>
        <w:rPr>
          <w:sz w:val="27"/>
          <w:szCs w:val="27"/>
          <w:rtl/>
        </w:rPr>
      </w:pPr>
    </w:p>
    <w:p w14:paraId="019C9657" w14:textId="77777777" w:rsidR="001C63CD" w:rsidRPr="001C63CD" w:rsidRDefault="001C63CD" w:rsidP="001C63CD">
      <w:pPr>
        <w:pStyle w:val="af3"/>
        <w:rPr>
          <w:sz w:val="27"/>
          <w:szCs w:val="27"/>
          <w:rtl/>
        </w:rPr>
      </w:pPr>
      <w:r w:rsidRPr="001C63CD">
        <w:rPr>
          <w:rFonts w:hint="cs"/>
          <w:sz w:val="27"/>
          <w:szCs w:val="27"/>
          <w:rtl/>
        </w:rPr>
        <w:t>לזכר נשמת ולזכות</w:t>
      </w:r>
    </w:p>
    <w:p w14:paraId="6F40292C" w14:textId="77777777" w:rsidR="001C63CD" w:rsidRPr="001C63CD" w:rsidRDefault="001C63CD" w:rsidP="001C63CD">
      <w:pPr>
        <w:pStyle w:val="af3"/>
        <w:rPr>
          <w:sz w:val="27"/>
          <w:szCs w:val="27"/>
          <w:rtl/>
        </w:rPr>
      </w:pPr>
      <w:r w:rsidRPr="001C63CD">
        <w:rPr>
          <w:rFonts w:hint="cs"/>
          <w:sz w:val="27"/>
          <w:szCs w:val="27"/>
          <w:rtl/>
        </w:rPr>
        <w:t>האשה הצנועה ויר"א</w:t>
      </w:r>
    </w:p>
    <w:p w14:paraId="0B786537" w14:textId="77777777" w:rsidR="001C63CD" w:rsidRPr="001C63CD" w:rsidRDefault="001C63CD" w:rsidP="001C63CD">
      <w:pPr>
        <w:pStyle w:val="af3"/>
        <w:rPr>
          <w:sz w:val="27"/>
          <w:szCs w:val="27"/>
          <w:rtl/>
        </w:rPr>
      </w:pPr>
      <w:r w:rsidRPr="001C63CD">
        <w:rPr>
          <w:rFonts w:hint="cs"/>
          <w:sz w:val="27"/>
          <w:szCs w:val="27"/>
          <w:rtl/>
        </w:rPr>
        <w:t xml:space="preserve">מרת </w:t>
      </w:r>
      <w:r w:rsidRPr="001C63CD">
        <w:rPr>
          <w:rFonts w:hint="cs"/>
          <w:b/>
          <w:bCs/>
          <w:sz w:val="27"/>
          <w:szCs w:val="27"/>
          <w:rtl/>
        </w:rPr>
        <w:t>זעלדא רייזל</w:t>
      </w:r>
      <w:r w:rsidRPr="001C63CD">
        <w:rPr>
          <w:rFonts w:hint="cs"/>
          <w:sz w:val="27"/>
          <w:szCs w:val="27"/>
          <w:rtl/>
        </w:rPr>
        <w:t xml:space="preserve"> ע"ה בת ר' </w:t>
      </w:r>
      <w:r w:rsidRPr="001C63CD">
        <w:rPr>
          <w:rFonts w:hint="cs"/>
          <w:b/>
          <w:bCs/>
          <w:sz w:val="27"/>
          <w:szCs w:val="27"/>
          <w:rtl/>
        </w:rPr>
        <w:t>ארי' ליב</w:t>
      </w:r>
      <w:r w:rsidRPr="001C63CD">
        <w:rPr>
          <w:rFonts w:hint="cs"/>
          <w:sz w:val="27"/>
          <w:szCs w:val="27"/>
          <w:rtl/>
        </w:rPr>
        <w:t xml:space="preserve"> ע"ה</w:t>
      </w:r>
    </w:p>
    <w:p w14:paraId="24CFA11C" w14:textId="77777777" w:rsidR="001C63CD" w:rsidRPr="001C63CD" w:rsidRDefault="001C63CD" w:rsidP="001C63CD">
      <w:pPr>
        <w:pStyle w:val="af3"/>
        <w:rPr>
          <w:sz w:val="27"/>
          <w:szCs w:val="27"/>
          <w:rtl/>
        </w:rPr>
      </w:pPr>
      <w:r w:rsidRPr="001C63CD">
        <w:rPr>
          <w:rFonts w:hint="cs"/>
          <w:b/>
          <w:bCs/>
          <w:sz w:val="27"/>
          <w:szCs w:val="27"/>
          <w:rtl/>
        </w:rPr>
        <w:t>מאשקאוויטש</w:t>
      </w:r>
    </w:p>
    <w:p w14:paraId="4C647681" w14:textId="77777777" w:rsidR="001C63CD" w:rsidRPr="001C63CD" w:rsidRDefault="001C63CD" w:rsidP="001C63CD">
      <w:pPr>
        <w:pStyle w:val="af3"/>
        <w:rPr>
          <w:sz w:val="27"/>
          <w:szCs w:val="27"/>
          <w:rtl/>
        </w:rPr>
      </w:pPr>
      <w:r w:rsidRPr="001C63CD">
        <w:rPr>
          <w:rFonts w:hint="cs"/>
          <w:sz w:val="27"/>
          <w:szCs w:val="27"/>
          <w:rtl/>
        </w:rPr>
        <w:t>באמונה שלימה ובמסירות בנתה ביתה אחרי השואה</w:t>
      </w:r>
    </w:p>
    <w:p w14:paraId="452309B5" w14:textId="77777777" w:rsidR="001C63CD" w:rsidRPr="001C63CD" w:rsidRDefault="001C63CD" w:rsidP="001C63CD">
      <w:pPr>
        <w:pStyle w:val="af3"/>
        <w:rPr>
          <w:sz w:val="27"/>
          <w:szCs w:val="27"/>
          <w:rtl/>
        </w:rPr>
      </w:pPr>
      <w:r w:rsidRPr="001C63CD">
        <w:rPr>
          <w:rFonts w:hint="cs"/>
          <w:sz w:val="27"/>
          <w:szCs w:val="27"/>
          <w:rtl/>
        </w:rPr>
        <w:t xml:space="preserve">עם בעלה התמים ר' </w:t>
      </w:r>
      <w:r w:rsidRPr="001C63CD">
        <w:rPr>
          <w:rFonts w:hint="cs"/>
          <w:b/>
          <w:bCs/>
          <w:sz w:val="27"/>
          <w:szCs w:val="27"/>
          <w:rtl/>
        </w:rPr>
        <w:t xml:space="preserve">חיים צבי </w:t>
      </w:r>
      <w:r w:rsidRPr="001C63CD">
        <w:rPr>
          <w:rFonts w:hint="cs"/>
          <w:sz w:val="27"/>
          <w:szCs w:val="27"/>
          <w:rtl/>
        </w:rPr>
        <w:t>הלוי ע"ה</w:t>
      </w:r>
    </w:p>
    <w:p w14:paraId="6C382C3C" w14:textId="77777777" w:rsidR="001C63CD" w:rsidRPr="001C63CD" w:rsidRDefault="001C63CD" w:rsidP="001C63CD">
      <w:pPr>
        <w:pStyle w:val="af3"/>
        <w:rPr>
          <w:sz w:val="27"/>
          <w:szCs w:val="27"/>
          <w:rtl/>
        </w:rPr>
      </w:pPr>
      <w:r w:rsidRPr="001C63CD">
        <w:rPr>
          <w:rFonts w:hint="cs"/>
          <w:sz w:val="27"/>
          <w:szCs w:val="27"/>
          <w:rtl/>
        </w:rPr>
        <w:t>ועמדה לימינו וחיזקה אותו בעבודתו הקדושה</w:t>
      </w:r>
    </w:p>
    <w:p w14:paraId="4205DE93" w14:textId="77777777" w:rsidR="001C63CD" w:rsidRPr="001C63CD" w:rsidRDefault="001C63CD" w:rsidP="001C63CD">
      <w:pPr>
        <w:pStyle w:val="af3"/>
        <w:rPr>
          <w:sz w:val="27"/>
          <w:szCs w:val="27"/>
          <w:rtl/>
        </w:rPr>
      </w:pPr>
      <w:r w:rsidRPr="001C63CD">
        <w:rPr>
          <w:rFonts w:hint="cs"/>
          <w:sz w:val="27"/>
          <w:szCs w:val="27"/>
          <w:rtl/>
        </w:rPr>
        <w:t>ובפרט בגמילות חסד "קרן ישראל ארי' ליב"</w:t>
      </w:r>
    </w:p>
    <w:p w14:paraId="76389314" w14:textId="77777777" w:rsidR="001C63CD" w:rsidRPr="001C63CD" w:rsidRDefault="001C63CD" w:rsidP="001C63CD">
      <w:pPr>
        <w:pStyle w:val="af3"/>
        <w:rPr>
          <w:sz w:val="27"/>
          <w:szCs w:val="27"/>
          <w:rtl/>
        </w:rPr>
      </w:pPr>
      <w:r w:rsidRPr="001C63CD">
        <w:rPr>
          <w:rFonts w:hint="cs"/>
          <w:sz w:val="27"/>
          <w:szCs w:val="27"/>
          <w:rtl/>
        </w:rPr>
        <w:t>שנים רבות חינכה בנות ישראל לתורה ולמצוות</w:t>
      </w:r>
    </w:p>
    <w:p w14:paraId="736F52C2" w14:textId="77777777" w:rsidR="001C63CD" w:rsidRPr="001C63CD" w:rsidRDefault="001C63CD" w:rsidP="001C63CD">
      <w:pPr>
        <w:pStyle w:val="af3"/>
        <w:rPr>
          <w:sz w:val="27"/>
          <w:szCs w:val="27"/>
          <w:rtl/>
        </w:rPr>
      </w:pPr>
      <w:r w:rsidRPr="001C63CD">
        <w:rPr>
          <w:rFonts w:hint="cs"/>
          <w:sz w:val="27"/>
          <w:szCs w:val="27"/>
          <w:rtl/>
        </w:rPr>
        <w:t>השאירה דור ישרים יבורך הולכים בדרכי התורה והחסידות</w:t>
      </w:r>
    </w:p>
    <w:p w14:paraId="10C6DD48" w14:textId="77777777" w:rsidR="001C63CD" w:rsidRPr="001C63CD" w:rsidRDefault="001C63CD" w:rsidP="001C63CD">
      <w:pPr>
        <w:pStyle w:val="af3"/>
        <w:rPr>
          <w:sz w:val="27"/>
          <w:szCs w:val="27"/>
          <w:rtl/>
        </w:rPr>
      </w:pPr>
      <w:r w:rsidRPr="001C63CD">
        <w:rPr>
          <w:rFonts w:hint="cs"/>
          <w:sz w:val="27"/>
          <w:szCs w:val="27"/>
          <w:rtl/>
        </w:rPr>
        <w:t>מקושרים לכ"ק אדמו"ר נבג"מ</w:t>
      </w:r>
    </w:p>
    <w:p w14:paraId="3823CFED" w14:textId="77777777" w:rsidR="001C63CD" w:rsidRPr="001C63CD" w:rsidRDefault="001C63CD" w:rsidP="001C63CD">
      <w:pPr>
        <w:pStyle w:val="af3"/>
        <w:rPr>
          <w:sz w:val="27"/>
          <w:szCs w:val="27"/>
          <w:rtl/>
        </w:rPr>
      </w:pPr>
      <w:r w:rsidRPr="001C63CD">
        <w:rPr>
          <w:rFonts w:hint="cs"/>
          <w:sz w:val="27"/>
          <w:szCs w:val="27"/>
          <w:rtl/>
        </w:rPr>
        <w:t>נפטרה בשם טוב אור ליום ד'</w:t>
      </w:r>
    </w:p>
    <w:p w14:paraId="50EC767C" w14:textId="77777777" w:rsidR="001C63CD" w:rsidRPr="001C63CD" w:rsidRDefault="001C63CD" w:rsidP="001C63CD">
      <w:pPr>
        <w:pStyle w:val="af3"/>
        <w:rPr>
          <w:b/>
          <w:bCs/>
          <w:sz w:val="27"/>
          <w:szCs w:val="27"/>
          <w:rtl/>
        </w:rPr>
      </w:pPr>
      <w:r w:rsidRPr="001C63CD">
        <w:rPr>
          <w:rFonts w:hint="cs"/>
          <w:b/>
          <w:bCs/>
          <w:sz w:val="27"/>
          <w:szCs w:val="27"/>
          <w:rtl/>
        </w:rPr>
        <w:t>טו"ב כסלו ה'תשע"ד</w:t>
      </w:r>
    </w:p>
    <w:p w14:paraId="1A8A6684" w14:textId="77777777" w:rsidR="001C63CD" w:rsidRPr="001C63CD" w:rsidRDefault="001C63CD" w:rsidP="001C63CD">
      <w:pPr>
        <w:pStyle w:val="af3"/>
        <w:rPr>
          <w:b/>
          <w:bCs/>
          <w:sz w:val="27"/>
          <w:szCs w:val="27"/>
          <w:rtl/>
        </w:rPr>
      </w:pPr>
      <w:r w:rsidRPr="001C63CD">
        <w:rPr>
          <w:rFonts w:hint="cs"/>
          <w:b/>
          <w:bCs/>
          <w:sz w:val="27"/>
          <w:szCs w:val="27"/>
          <w:rtl/>
        </w:rPr>
        <w:t>ת' נ' צ' ב' ה'</w:t>
      </w:r>
    </w:p>
    <w:p w14:paraId="4A8B85E8" w14:textId="55D2E499" w:rsidR="001C63CD" w:rsidRPr="001C63CD" w:rsidRDefault="001C63CD" w:rsidP="001C63CD">
      <w:pPr>
        <w:bidi/>
        <w:spacing w:line="360" w:lineRule="auto"/>
        <w:jc w:val="center"/>
        <w:rPr>
          <w:rFonts w:cs="1ShefaClassic"/>
          <w:sz w:val="27"/>
          <w:szCs w:val="27"/>
          <w:rtl/>
        </w:rPr>
      </w:pPr>
      <w:r w:rsidRPr="00AA6113">
        <w:rPr>
          <w:rFonts w:cs="1ShefaClassic"/>
          <w:sz w:val="27"/>
          <w:szCs w:val="27"/>
        </w:rPr>
        <w:sym w:font="Wingdings 2" w:char="F0B2"/>
      </w:r>
    </w:p>
    <w:p w14:paraId="659CF8B6" w14:textId="77777777" w:rsidR="001C63CD" w:rsidRPr="001C63CD" w:rsidRDefault="001C63CD" w:rsidP="001C63CD">
      <w:pPr>
        <w:pStyle w:val="af3"/>
        <w:rPr>
          <w:sz w:val="27"/>
          <w:szCs w:val="27"/>
          <w:rtl/>
        </w:rPr>
      </w:pPr>
      <w:r w:rsidRPr="001C63CD">
        <w:rPr>
          <w:rFonts w:hint="cs"/>
          <w:sz w:val="27"/>
          <w:szCs w:val="27"/>
          <w:rtl/>
        </w:rPr>
        <w:t>נדפס ע"י</w:t>
      </w:r>
    </w:p>
    <w:p w14:paraId="51FE3961" w14:textId="77777777" w:rsidR="001C63CD" w:rsidRPr="001C63CD" w:rsidRDefault="001C63CD" w:rsidP="001C63CD">
      <w:pPr>
        <w:pStyle w:val="af3"/>
        <w:rPr>
          <w:sz w:val="27"/>
          <w:szCs w:val="27"/>
          <w:rtl/>
        </w:rPr>
      </w:pPr>
      <w:r w:rsidRPr="001C63CD">
        <w:rPr>
          <w:rFonts w:hint="cs"/>
          <w:b/>
          <w:bCs/>
          <w:sz w:val="27"/>
          <w:szCs w:val="27"/>
          <w:rtl/>
        </w:rPr>
        <w:t>אברהם יצחק</w:t>
      </w:r>
      <w:r w:rsidRPr="001C63CD">
        <w:rPr>
          <w:rFonts w:hint="cs"/>
          <w:sz w:val="27"/>
          <w:szCs w:val="27"/>
          <w:rtl/>
        </w:rPr>
        <w:t xml:space="preserve"> וזוגתו מרת </w:t>
      </w:r>
      <w:r w:rsidRPr="001C63CD">
        <w:rPr>
          <w:rFonts w:hint="cs"/>
          <w:b/>
          <w:bCs/>
          <w:sz w:val="27"/>
          <w:szCs w:val="27"/>
          <w:rtl/>
        </w:rPr>
        <w:t>פייגא מאשקאוויטש</w:t>
      </w:r>
    </w:p>
    <w:p w14:paraId="20EC2139" w14:textId="77777777" w:rsidR="001C63CD" w:rsidRPr="001C63CD" w:rsidRDefault="001C63CD" w:rsidP="001C63CD">
      <w:pPr>
        <w:pStyle w:val="af3"/>
        <w:rPr>
          <w:sz w:val="27"/>
          <w:szCs w:val="27"/>
          <w:rtl/>
        </w:rPr>
      </w:pPr>
      <w:r w:rsidRPr="001C63CD">
        <w:rPr>
          <w:rFonts w:hint="cs"/>
          <w:b/>
          <w:bCs/>
          <w:sz w:val="27"/>
          <w:szCs w:val="27"/>
          <w:rtl/>
        </w:rPr>
        <w:t>חנה אסתר</w:t>
      </w:r>
      <w:r w:rsidRPr="001C63CD">
        <w:rPr>
          <w:rFonts w:hint="cs"/>
          <w:sz w:val="27"/>
          <w:szCs w:val="27"/>
          <w:rtl/>
        </w:rPr>
        <w:t xml:space="preserve"> ובעלה </w:t>
      </w:r>
      <w:r w:rsidRPr="001C63CD">
        <w:rPr>
          <w:rFonts w:hint="cs"/>
          <w:b/>
          <w:bCs/>
          <w:sz w:val="27"/>
          <w:szCs w:val="27"/>
          <w:rtl/>
        </w:rPr>
        <w:t>אליהו ארי' סלאווין</w:t>
      </w:r>
    </w:p>
    <w:p w14:paraId="1DC3392A" w14:textId="77777777" w:rsidR="001C63CD" w:rsidRPr="001C63CD" w:rsidRDefault="001C63CD" w:rsidP="001C63CD">
      <w:pPr>
        <w:pStyle w:val="af3"/>
        <w:rPr>
          <w:sz w:val="27"/>
          <w:szCs w:val="27"/>
          <w:rtl/>
        </w:rPr>
      </w:pPr>
      <w:r w:rsidRPr="001C63CD">
        <w:rPr>
          <w:rFonts w:hint="cs"/>
          <w:b/>
          <w:bCs/>
          <w:sz w:val="27"/>
          <w:szCs w:val="27"/>
          <w:rtl/>
        </w:rPr>
        <w:t>לאה יהודית</w:t>
      </w:r>
      <w:r w:rsidRPr="001C63CD">
        <w:rPr>
          <w:rFonts w:hint="cs"/>
          <w:sz w:val="27"/>
          <w:szCs w:val="27"/>
          <w:rtl/>
        </w:rPr>
        <w:t xml:space="preserve"> ובעלה </w:t>
      </w:r>
      <w:r w:rsidRPr="001C63CD">
        <w:rPr>
          <w:rFonts w:hint="cs"/>
          <w:b/>
          <w:bCs/>
          <w:sz w:val="27"/>
          <w:szCs w:val="27"/>
          <w:rtl/>
        </w:rPr>
        <w:t>אהרן לוי דייטש</w:t>
      </w:r>
    </w:p>
    <w:p w14:paraId="2135ABCA" w14:textId="00CEF0E4" w:rsidR="001C63CD" w:rsidRDefault="001C63CD" w:rsidP="001C63CD">
      <w:pPr>
        <w:pStyle w:val="af3"/>
        <w:rPr>
          <w:sz w:val="27"/>
          <w:szCs w:val="27"/>
          <w:rtl/>
        </w:rPr>
      </w:pPr>
      <w:r w:rsidRPr="001C63CD">
        <w:rPr>
          <w:rFonts w:hint="cs"/>
          <w:sz w:val="27"/>
          <w:szCs w:val="27"/>
          <w:rtl/>
        </w:rPr>
        <w:t>וכל יוצאי חלוציהם</w:t>
      </w:r>
    </w:p>
    <w:p w14:paraId="0502CDBD" w14:textId="77777777" w:rsidR="00F21F8C" w:rsidRDefault="00F21F8C" w:rsidP="001C63CD">
      <w:pPr>
        <w:pStyle w:val="af3"/>
        <w:rPr>
          <w:sz w:val="27"/>
          <w:szCs w:val="27"/>
          <w:rtl/>
        </w:rPr>
      </w:pPr>
    </w:p>
    <w:p w14:paraId="0249C053" w14:textId="77777777" w:rsidR="00F21F8C" w:rsidRDefault="00F21F8C" w:rsidP="00F21F8C">
      <w:pPr>
        <w:pStyle w:val="af3"/>
        <w:rPr>
          <w:sz w:val="27"/>
          <w:szCs w:val="27"/>
          <w:rtl/>
        </w:rPr>
      </w:pPr>
    </w:p>
    <w:p w14:paraId="6263D949" w14:textId="77777777" w:rsidR="00F21F8C" w:rsidRDefault="00F21F8C" w:rsidP="00F21F8C">
      <w:pPr>
        <w:pStyle w:val="af3"/>
        <w:rPr>
          <w:sz w:val="27"/>
          <w:szCs w:val="27"/>
          <w:rtl/>
        </w:rPr>
      </w:pPr>
    </w:p>
    <w:p w14:paraId="2B93BB03" w14:textId="77777777" w:rsidR="00F21F8C" w:rsidRDefault="00F21F8C" w:rsidP="00F21F8C">
      <w:pPr>
        <w:pStyle w:val="af3"/>
        <w:rPr>
          <w:sz w:val="27"/>
          <w:szCs w:val="27"/>
          <w:rtl/>
        </w:rPr>
      </w:pPr>
    </w:p>
    <w:p w14:paraId="5D7A2560" w14:textId="77777777" w:rsidR="00F21F8C" w:rsidRDefault="00F21F8C" w:rsidP="00F21F8C">
      <w:pPr>
        <w:pStyle w:val="af3"/>
        <w:rPr>
          <w:sz w:val="27"/>
          <w:szCs w:val="27"/>
          <w:rtl/>
        </w:rPr>
      </w:pPr>
    </w:p>
    <w:p w14:paraId="31F8B210" w14:textId="77777777" w:rsidR="00F21F8C" w:rsidRDefault="00F21F8C" w:rsidP="00F21F8C">
      <w:pPr>
        <w:pStyle w:val="af3"/>
        <w:rPr>
          <w:sz w:val="27"/>
          <w:szCs w:val="27"/>
          <w:rtl/>
        </w:rPr>
      </w:pPr>
    </w:p>
    <w:p w14:paraId="2CD3CFA7" w14:textId="77777777" w:rsidR="00F21F8C" w:rsidRDefault="00F21F8C" w:rsidP="00F21F8C">
      <w:pPr>
        <w:pStyle w:val="af3"/>
        <w:rPr>
          <w:sz w:val="27"/>
          <w:szCs w:val="27"/>
          <w:rtl/>
        </w:rPr>
      </w:pPr>
    </w:p>
    <w:p w14:paraId="54D20A37" w14:textId="77777777" w:rsidR="00F21F8C" w:rsidRPr="001C63CD" w:rsidRDefault="00F21F8C" w:rsidP="00F21F8C">
      <w:pPr>
        <w:pStyle w:val="af3"/>
        <w:rPr>
          <w:sz w:val="27"/>
          <w:szCs w:val="27"/>
        </w:rPr>
      </w:pPr>
      <w:r w:rsidRPr="001C63CD">
        <w:rPr>
          <w:rFonts w:hint="cs"/>
          <w:sz w:val="27"/>
          <w:szCs w:val="27"/>
          <w:rtl/>
        </w:rPr>
        <w:t>לזכות</w:t>
      </w:r>
    </w:p>
    <w:p w14:paraId="18DEC3F0" w14:textId="77777777" w:rsidR="00F21F8C" w:rsidRPr="001C63CD" w:rsidRDefault="00F21F8C" w:rsidP="00F21F8C">
      <w:pPr>
        <w:pStyle w:val="af3"/>
        <w:rPr>
          <w:sz w:val="27"/>
          <w:szCs w:val="27"/>
          <w:rtl/>
        </w:rPr>
      </w:pPr>
      <w:r w:rsidRPr="001C63CD">
        <w:rPr>
          <w:rFonts w:hint="cs"/>
          <w:sz w:val="27"/>
          <w:szCs w:val="27"/>
          <w:rtl/>
        </w:rPr>
        <w:t xml:space="preserve">החתן התמים </w:t>
      </w:r>
      <w:r w:rsidRPr="001C63CD">
        <w:rPr>
          <w:rFonts w:hint="cs"/>
          <w:b/>
          <w:bCs/>
          <w:sz w:val="27"/>
          <w:szCs w:val="27"/>
          <w:rtl/>
        </w:rPr>
        <w:t>שלום דובער</w:t>
      </w:r>
      <w:r>
        <w:rPr>
          <w:rFonts w:hint="cs"/>
          <w:b/>
          <w:bCs/>
          <w:sz w:val="27"/>
          <w:szCs w:val="27"/>
          <w:rtl/>
        </w:rPr>
        <w:t xml:space="preserve"> </w:t>
      </w:r>
      <w:r w:rsidRPr="00717851">
        <w:rPr>
          <w:rFonts w:hint="cs"/>
          <w:sz w:val="27"/>
          <w:szCs w:val="27"/>
          <w:rtl/>
        </w:rPr>
        <w:t>הכהן</w:t>
      </w:r>
      <w:r w:rsidRPr="001C63CD">
        <w:rPr>
          <w:rFonts w:hint="cs"/>
          <w:sz w:val="27"/>
          <w:szCs w:val="27"/>
          <w:rtl/>
        </w:rPr>
        <w:t xml:space="preserve"> שיחי' </w:t>
      </w:r>
      <w:r w:rsidRPr="001C63CD">
        <w:rPr>
          <w:rFonts w:hint="cs"/>
          <w:b/>
          <w:bCs/>
          <w:sz w:val="27"/>
          <w:szCs w:val="27"/>
          <w:rtl/>
        </w:rPr>
        <w:t>בארענשטיין</w:t>
      </w:r>
    </w:p>
    <w:p w14:paraId="350F8D81" w14:textId="77777777" w:rsidR="00F21F8C" w:rsidRPr="001C63CD" w:rsidRDefault="00F21F8C" w:rsidP="00F21F8C">
      <w:pPr>
        <w:pStyle w:val="af3"/>
        <w:rPr>
          <w:sz w:val="27"/>
          <w:szCs w:val="27"/>
        </w:rPr>
      </w:pPr>
      <w:r w:rsidRPr="001C63CD">
        <w:rPr>
          <w:rFonts w:hint="cs"/>
          <w:sz w:val="27"/>
          <w:szCs w:val="27"/>
          <w:rtl/>
        </w:rPr>
        <w:t xml:space="preserve">והכלה מרת </w:t>
      </w:r>
      <w:r w:rsidRPr="001C63CD">
        <w:rPr>
          <w:rFonts w:hint="cs"/>
          <w:b/>
          <w:bCs/>
          <w:sz w:val="27"/>
          <w:szCs w:val="27"/>
          <w:rtl/>
        </w:rPr>
        <w:t>שט</w:t>
      </w:r>
      <w:r>
        <w:rPr>
          <w:rFonts w:hint="cs"/>
          <w:b/>
          <w:bCs/>
          <w:sz w:val="27"/>
          <w:szCs w:val="27"/>
          <w:rtl/>
        </w:rPr>
        <w:t>ע</w:t>
      </w:r>
      <w:r w:rsidRPr="001C63CD">
        <w:rPr>
          <w:rFonts w:hint="cs"/>
          <w:b/>
          <w:bCs/>
          <w:sz w:val="27"/>
          <w:szCs w:val="27"/>
          <w:rtl/>
        </w:rPr>
        <w:t>רנא שרה</w:t>
      </w:r>
      <w:r w:rsidRPr="001C63CD">
        <w:rPr>
          <w:rFonts w:hint="cs"/>
          <w:sz w:val="27"/>
          <w:szCs w:val="27"/>
          <w:rtl/>
        </w:rPr>
        <w:t xml:space="preserve"> שתחי' </w:t>
      </w:r>
      <w:r w:rsidRPr="001C63CD">
        <w:rPr>
          <w:rFonts w:hint="cs"/>
          <w:b/>
          <w:bCs/>
          <w:sz w:val="27"/>
          <w:szCs w:val="27"/>
          <w:rtl/>
        </w:rPr>
        <w:t>דוא</w:t>
      </w:r>
      <w:r>
        <w:rPr>
          <w:rFonts w:hint="cs"/>
          <w:b/>
          <w:bCs/>
          <w:sz w:val="27"/>
          <w:szCs w:val="27"/>
          <w:rtl/>
        </w:rPr>
        <w:t>ט</w:t>
      </w:r>
      <w:r w:rsidRPr="001C63CD">
        <w:rPr>
          <w:rFonts w:hint="cs"/>
          <w:b/>
          <w:bCs/>
          <w:sz w:val="27"/>
          <w:szCs w:val="27"/>
          <w:rtl/>
        </w:rPr>
        <w:t>ו</w:t>
      </w:r>
    </w:p>
    <w:p w14:paraId="30B453FF" w14:textId="77777777" w:rsidR="00F21F8C" w:rsidRPr="001C63CD" w:rsidRDefault="00F21F8C" w:rsidP="00F21F8C">
      <w:pPr>
        <w:pStyle w:val="af3"/>
        <w:rPr>
          <w:sz w:val="27"/>
          <w:szCs w:val="27"/>
          <w:rtl/>
        </w:rPr>
      </w:pPr>
      <w:r w:rsidRPr="001C63CD">
        <w:rPr>
          <w:rFonts w:hint="cs"/>
          <w:sz w:val="27"/>
          <w:szCs w:val="27"/>
          <w:rtl/>
        </w:rPr>
        <w:t xml:space="preserve">לרגל נישואיהם </w:t>
      </w:r>
    </w:p>
    <w:p w14:paraId="11073814" w14:textId="77777777" w:rsidR="00F21F8C" w:rsidRPr="001C63CD" w:rsidRDefault="00F21F8C" w:rsidP="00F21F8C">
      <w:pPr>
        <w:pStyle w:val="af3"/>
        <w:rPr>
          <w:sz w:val="27"/>
          <w:szCs w:val="27"/>
          <w:rtl/>
        </w:rPr>
      </w:pPr>
      <w:r w:rsidRPr="001C63CD">
        <w:rPr>
          <w:rFonts w:hint="cs"/>
          <w:sz w:val="27"/>
          <w:szCs w:val="27"/>
          <w:rtl/>
        </w:rPr>
        <w:t>ביום ד' י"ג כסלו ה’תשע”ט</w:t>
      </w:r>
    </w:p>
    <w:p w14:paraId="5CFF13F5" w14:textId="77777777" w:rsidR="00F21F8C" w:rsidRPr="001C63CD" w:rsidRDefault="00F21F8C" w:rsidP="00F21F8C">
      <w:pPr>
        <w:pStyle w:val="af3"/>
        <w:rPr>
          <w:sz w:val="27"/>
          <w:szCs w:val="27"/>
          <w:rtl/>
        </w:rPr>
      </w:pPr>
      <w:r w:rsidRPr="001C63CD">
        <w:rPr>
          <w:rFonts w:hint="cs"/>
          <w:sz w:val="27"/>
          <w:szCs w:val="27"/>
          <w:rtl/>
        </w:rPr>
        <w:t>יה"ר שיזכו לבנות בית נאמן בישראל בנין עדי עד</w:t>
      </w:r>
    </w:p>
    <w:p w14:paraId="40AD7CCA" w14:textId="77777777" w:rsidR="00F21F8C" w:rsidRPr="001C63CD" w:rsidRDefault="00F21F8C" w:rsidP="00F21F8C">
      <w:pPr>
        <w:pStyle w:val="af3"/>
        <w:rPr>
          <w:sz w:val="27"/>
          <w:szCs w:val="27"/>
          <w:rtl/>
        </w:rPr>
      </w:pPr>
      <w:r w:rsidRPr="001C63CD">
        <w:rPr>
          <w:rFonts w:hint="cs"/>
          <w:sz w:val="27"/>
          <w:szCs w:val="27"/>
          <w:rtl/>
        </w:rPr>
        <w:t>כרצוה"ק ולנח"ר כ"ק אדמו"ר נשיא דורנו</w:t>
      </w:r>
    </w:p>
    <w:p w14:paraId="5A99229B" w14:textId="77777777" w:rsidR="00F21F8C" w:rsidRPr="001C63CD" w:rsidRDefault="00F21F8C" w:rsidP="00F21F8C">
      <w:pPr>
        <w:pStyle w:val="af3"/>
        <w:rPr>
          <w:sz w:val="27"/>
          <w:szCs w:val="27"/>
          <w:rtl/>
        </w:rPr>
      </w:pPr>
      <w:r w:rsidRPr="001C63CD">
        <w:rPr>
          <w:rFonts w:hint="cs"/>
          <w:sz w:val="27"/>
          <w:szCs w:val="27"/>
          <w:rtl/>
        </w:rPr>
        <w:t>מתוך ברכה והצלחה בגו"ר אושר ושמחה תמיד כה"י</w:t>
      </w:r>
    </w:p>
    <w:p w14:paraId="3FD16A40" w14:textId="77777777" w:rsidR="00F21F8C" w:rsidRPr="001C63CD" w:rsidRDefault="00F21F8C" w:rsidP="00F21F8C">
      <w:pPr>
        <w:pStyle w:val="af3"/>
        <w:rPr>
          <w:sz w:val="27"/>
          <w:szCs w:val="27"/>
        </w:rPr>
      </w:pPr>
      <w:r w:rsidRPr="001C63CD">
        <w:rPr>
          <w:sz w:val="27"/>
          <w:szCs w:val="27"/>
        </w:rPr>
        <w:sym w:font="Wingdings 2" w:char="F0B2"/>
      </w:r>
    </w:p>
    <w:p w14:paraId="5FE60033" w14:textId="77777777" w:rsidR="00F21F8C" w:rsidRPr="001C63CD" w:rsidRDefault="00F21F8C" w:rsidP="00F21F8C">
      <w:pPr>
        <w:pStyle w:val="af3"/>
        <w:rPr>
          <w:b/>
          <w:sz w:val="27"/>
          <w:szCs w:val="27"/>
        </w:rPr>
      </w:pPr>
      <w:r w:rsidRPr="001C63CD">
        <w:rPr>
          <w:rFonts w:hint="cs"/>
          <w:b/>
          <w:sz w:val="27"/>
          <w:szCs w:val="27"/>
          <w:rtl/>
        </w:rPr>
        <w:t>נדפס ע"י ולזכות הוריהם</w:t>
      </w:r>
    </w:p>
    <w:p w14:paraId="15A29466" w14:textId="77777777" w:rsidR="00F21F8C" w:rsidRPr="001C63CD" w:rsidRDefault="00F21F8C" w:rsidP="00F21F8C">
      <w:pPr>
        <w:pStyle w:val="af3"/>
        <w:rPr>
          <w:sz w:val="27"/>
          <w:szCs w:val="27"/>
          <w:rtl/>
        </w:rPr>
      </w:pPr>
      <w:r w:rsidRPr="001C63CD">
        <w:rPr>
          <w:rFonts w:hint="cs"/>
          <w:b/>
          <w:sz w:val="27"/>
          <w:szCs w:val="27"/>
          <w:rtl/>
        </w:rPr>
        <w:t xml:space="preserve">הרה"ח הרה"ת </w:t>
      </w:r>
      <w:r w:rsidRPr="001C63CD">
        <w:rPr>
          <w:rFonts w:hint="cs"/>
          <w:sz w:val="27"/>
          <w:szCs w:val="27"/>
          <w:rtl/>
        </w:rPr>
        <w:t xml:space="preserve">ר' </w:t>
      </w:r>
      <w:r w:rsidRPr="001C63CD">
        <w:rPr>
          <w:rFonts w:hint="cs"/>
          <w:b/>
          <w:bCs/>
          <w:sz w:val="27"/>
          <w:szCs w:val="27"/>
          <w:rtl/>
        </w:rPr>
        <w:t>אליהו דוד</w:t>
      </w:r>
      <w:r w:rsidRPr="001C63CD">
        <w:rPr>
          <w:rFonts w:hint="cs"/>
          <w:sz w:val="27"/>
          <w:szCs w:val="27"/>
          <w:rtl/>
        </w:rPr>
        <w:t xml:space="preserve"> </w:t>
      </w:r>
      <w:r>
        <w:rPr>
          <w:rFonts w:hint="cs"/>
          <w:sz w:val="27"/>
          <w:szCs w:val="27"/>
          <w:rtl/>
        </w:rPr>
        <w:t xml:space="preserve">הכהן </w:t>
      </w:r>
      <w:r w:rsidRPr="001C63CD">
        <w:rPr>
          <w:rFonts w:hint="cs"/>
          <w:sz w:val="27"/>
          <w:szCs w:val="27"/>
          <w:rtl/>
        </w:rPr>
        <w:t xml:space="preserve">וזוגתו מרת </w:t>
      </w:r>
      <w:r>
        <w:rPr>
          <w:rFonts w:hint="cs"/>
          <w:b/>
          <w:bCs/>
          <w:sz w:val="27"/>
          <w:szCs w:val="27"/>
          <w:rtl/>
        </w:rPr>
        <w:t>אסתר מינדל</w:t>
      </w:r>
      <w:r w:rsidRPr="001C63CD">
        <w:rPr>
          <w:rFonts w:hint="cs"/>
          <w:sz w:val="27"/>
          <w:szCs w:val="27"/>
          <w:rtl/>
        </w:rPr>
        <w:t xml:space="preserve"> שיחיו </w:t>
      </w:r>
      <w:r>
        <w:rPr>
          <w:rFonts w:hint="cs"/>
          <w:b/>
          <w:bCs/>
          <w:sz w:val="27"/>
          <w:szCs w:val="27"/>
          <w:rtl/>
        </w:rPr>
        <w:t>בארענשטיין</w:t>
      </w:r>
    </w:p>
    <w:p w14:paraId="1923C7CD" w14:textId="77777777" w:rsidR="00F21F8C" w:rsidRPr="00717851" w:rsidRDefault="00F21F8C" w:rsidP="00F21F8C">
      <w:pPr>
        <w:pStyle w:val="af3"/>
        <w:rPr>
          <w:b/>
          <w:bCs/>
          <w:sz w:val="27"/>
          <w:szCs w:val="27"/>
          <w:rtl/>
        </w:rPr>
      </w:pPr>
      <w:r w:rsidRPr="001C63CD">
        <w:rPr>
          <w:rFonts w:hint="cs"/>
          <w:sz w:val="27"/>
          <w:szCs w:val="27"/>
          <w:rtl/>
        </w:rPr>
        <w:t xml:space="preserve">ר' </w:t>
      </w:r>
      <w:r>
        <w:rPr>
          <w:rFonts w:hint="cs"/>
          <w:b/>
          <w:bCs/>
          <w:sz w:val="27"/>
          <w:szCs w:val="27"/>
          <w:rtl/>
        </w:rPr>
        <w:t>ישראל</w:t>
      </w:r>
      <w:r w:rsidRPr="001C63CD">
        <w:rPr>
          <w:rFonts w:hint="cs"/>
          <w:sz w:val="27"/>
          <w:szCs w:val="27"/>
          <w:rtl/>
        </w:rPr>
        <w:t xml:space="preserve"> וזוגתו מרת </w:t>
      </w:r>
      <w:r>
        <w:rPr>
          <w:rFonts w:hint="cs"/>
          <w:b/>
          <w:bCs/>
          <w:sz w:val="27"/>
          <w:szCs w:val="27"/>
          <w:rtl/>
        </w:rPr>
        <w:t>סימה לאה</w:t>
      </w:r>
      <w:r w:rsidRPr="001C63CD">
        <w:rPr>
          <w:rFonts w:hint="cs"/>
          <w:sz w:val="27"/>
          <w:szCs w:val="27"/>
          <w:rtl/>
        </w:rPr>
        <w:t xml:space="preserve"> שיחיו </w:t>
      </w:r>
      <w:r>
        <w:rPr>
          <w:rFonts w:hint="cs"/>
          <w:b/>
          <w:bCs/>
          <w:sz w:val="27"/>
          <w:szCs w:val="27"/>
          <w:rtl/>
        </w:rPr>
        <w:t>דואטו</w:t>
      </w:r>
    </w:p>
    <w:p w14:paraId="0CB4C689" w14:textId="77777777" w:rsidR="00F21F8C" w:rsidRDefault="00F21F8C" w:rsidP="00F21F8C">
      <w:pPr>
        <w:pStyle w:val="NormalComplexNarkisim"/>
        <w:spacing w:after="120" w:line="288" w:lineRule="auto"/>
        <w:rPr>
          <w:rFonts w:cs="1ShefaClassic"/>
          <w:bCs/>
          <w:sz w:val="27"/>
          <w:szCs w:val="27"/>
          <w:rtl/>
        </w:rPr>
      </w:pPr>
    </w:p>
    <w:p w14:paraId="0E313F0E" w14:textId="77777777" w:rsidR="00F21F8C" w:rsidRDefault="00F21F8C" w:rsidP="00F21F8C">
      <w:pPr>
        <w:pStyle w:val="NormalComplexNarkisim"/>
        <w:spacing w:after="120" w:line="288" w:lineRule="auto"/>
        <w:rPr>
          <w:rFonts w:cs="1ShefaClassic"/>
          <w:bCs/>
          <w:sz w:val="27"/>
          <w:szCs w:val="27"/>
          <w:rtl/>
        </w:rPr>
      </w:pPr>
    </w:p>
    <w:p w14:paraId="124CA1EE" w14:textId="77777777" w:rsidR="00F21F8C" w:rsidRDefault="00F21F8C" w:rsidP="00F21F8C">
      <w:pPr>
        <w:pStyle w:val="NormalComplexNarkisim"/>
        <w:spacing w:after="120" w:line="288" w:lineRule="auto"/>
        <w:rPr>
          <w:rFonts w:cs="1ShefaClassic"/>
          <w:bCs/>
          <w:sz w:val="27"/>
          <w:szCs w:val="27"/>
          <w:rtl/>
        </w:rPr>
      </w:pPr>
    </w:p>
    <w:p w14:paraId="20ECD086" w14:textId="77777777" w:rsidR="00F21F8C" w:rsidRDefault="00F21F8C" w:rsidP="00F21F8C">
      <w:pPr>
        <w:pStyle w:val="NormalComplexNarkisim"/>
        <w:spacing w:after="120" w:line="288" w:lineRule="auto"/>
        <w:rPr>
          <w:rFonts w:cs="1ShefaClassic"/>
          <w:bCs/>
          <w:sz w:val="27"/>
          <w:szCs w:val="27"/>
          <w:rtl/>
        </w:rPr>
      </w:pPr>
    </w:p>
    <w:p w14:paraId="38086CD6" w14:textId="77777777" w:rsidR="00F21F8C" w:rsidRDefault="00F21F8C" w:rsidP="00F21F8C">
      <w:pPr>
        <w:pStyle w:val="NormalComplexNarkisim"/>
        <w:spacing w:after="120" w:line="288" w:lineRule="auto"/>
        <w:rPr>
          <w:rFonts w:cs="1ShefaClassic"/>
          <w:bCs/>
          <w:sz w:val="27"/>
          <w:szCs w:val="27"/>
          <w:rtl/>
        </w:rPr>
      </w:pPr>
    </w:p>
    <w:p w14:paraId="579B77A4" w14:textId="77777777" w:rsidR="00F21F8C" w:rsidRPr="001C63CD" w:rsidRDefault="00F21F8C" w:rsidP="001C63CD">
      <w:pPr>
        <w:pStyle w:val="af3"/>
        <w:rPr>
          <w:rFonts w:cstheme="minorBidi"/>
          <w:sz w:val="27"/>
          <w:szCs w:val="27"/>
          <w:rtl/>
        </w:rPr>
      </w:pPr>
    </w:p>
    <w:sectPr w:rsidR="00F21F8C" w:rsidRPr="001C63CD"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4D06EF" w:rsidRDefault="004D06EF" w:rsidP="001D6A1B">
      <w:pPr>
        <w:spacing w:after="0" w:line="240" w:lineRule="auto"/>
      </w:pPr>
      <w:r>
        <w:separator/>
      </w:r>
    </w:p>
  </w:endnote>
  <w:endnote w:type="continuationSeparator" w:id="0">
    <w:p w14:paraId="0A292635" w14:textId="77777777" w:rsidR="004D06EF" w:rsidRDefault="004D06EF" w:rsidP="001D6A1B">
      <w:pPr>
        <w:spacing w:after="0" w:line="240" w:lineRule="auto"/>
      </w:pPr>
      <w:r>
        <w:continuationSeparator/>
      </w:r>
    </w:p>
  </w:endnote>
  <w:endnote w:type="continuationNotice" w:id="1">
    <w:p w14:paraId="3A84FD44" w14:textId="77777777" w:rsidR="004D06EF" w:rsidRDefault="004D06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FbSfaradi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David Libre">
    <w:altName w:val="Times New Roman"/>
    <w:charset w:val="00"/>
    <w:family w:val="auto"/>
    <w:pitch w:val="default"/>
  </w:font>
  <w:font w:name="SBL Hebrew">
    <w:altName w:val="Times New Roman"/>
    <w:charset w:val="00"/>
    <w:family w:val="auto"/>
    <w:pitch w:val="variable"/>
    <w:sig w:usb0="8000086F" w:usb1="4000204A"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4D06EF" w:rsidRDefault="004D06EF" w:rsidP="00724B87">
      <w:pPr>
        <w:bidi/>
        <w:spacing w:after="0" w:line="240" w:lineRule="auto"/>
      </w:pPr>
      <w:r>
        <w:separator/>
      </w:r>
    </w:p>
  </w:footnote>
  <w:footnote w:type="continuationSeparator" w:id="0">
    <w:p w14:paraId="63EBBE18" w14:textId="77777777" w:rsidR="004D06EF" w:rsidRDefault="004D06EF" w:rsidP="001D6A1B">
      <w:pPr>
        <w:spacing w:after="0" w:line="240" w:lineRule="auto"/>
      </w:pPr>
      <w:r>
        <w:continuationSeparator/>
      </w:r>
    </w:p>
  </w:footnote>
  <w:footnote w:type="continuationNotice" w:id="1">
    <w:p w14:paraId="256DF4B4" w14:textId="77777777" w:rsidR="004D06EF" w:rsidRDefault="004D06EF">
      <w:pPr>
        <w:spacing w:after="0" w:line="240" w:lineRule="auto"/>
      </w:pPr>
    </w:p>
  </w:footnote>
  <w:footnote w:id="2">
    <w:p w14:paraId="3D4B437D" w14:textId="3ED3265D" w:rsidR="004D06EF" w:rsidRPr="00D044E2" w:rsidRDefault="004D06EF" w:rsidP="00D044E2">
      <w:pPr>
        <w:pStyle w:val="FootnoteText"/>
        <w:rPr>
          <w:rtl/>
        </w:rPr>
      </w:pPr>
      <w:r w:rsidRPr="00D044E2">
        <w:rPr>
          <w:rStyle w:val="FootnoteReference"/>
          <w:vertAlign w:val="baseline"/>
        </w:rPr>
        <w:footnoteRef/>
      </w:r>
      <w:r>
        <w:rPr>
          <w:rFonts w:hint="cs"/>
          <w:rtl/>
        </w:rPr>
        <w:t>)</w:t>
      </w:r>
      <w:r w:rsidRPr="00D044E2">
        <w:rPr>
          <w:rtl/>
        </w:rPr>
        <w:t xml:space="preserve"> </w:t>
      </w:r>
      <w:r w:rsidRPr="00D044E2">
        <w:rPr>
          <w:rFonts w:hint="cs"/>
          <w:rtl/>
        </w:rPr>
        <w:t xml:space="preserve">לעילוי נשמת אמי מורתי הרבנית </w:t>
      </w:r>
      <w:r w:rsidRPr="00D044E2">
        <w:rPr>
          <w:rFonts w:hint="cs"/>
          <w:b/>
          <w:bCs/>
          <w:rtl/>
        </w:rPr>
        <w:t>חנה עטקא</w:t>
      </w:r>
      <w:r w:rsidRPr="00D044E2">
        <w:rPr>
          <w:rFonts w:hint="cs"/>
          <w:rtl/>
        </w:rPr>
        <w:t xml:space="preserve"> ב"ר </w:t>
      </w:r>
      <w:r w:rsidRPr="00D044E2">
        <w:rPr>
          <w:rFonts w:hint="cs"/>
          <w:b/>
          <w:bCs/>
          <w:rtl/>
        </w:rPr>
        <w:t>נטע זאב</w:t>
      </w:r>
      <w:r w:rsidRPr="00D044E2">
        <w:rPr>
          <w:rFonts w:hint="cs"/>
          <w:rtl/>
        </w:rPr>
        <w:t xml:space="preserve"> ע"ה נלב"ע ביום י"ז כסלו תשס"א, יה"ר שיקויים היעוד ד"והקיצו ורננו שוכני עפר" בקרוב ממש והיא בתוכם.</w:t>
      </w:r>
    </w:p>
  </w:footnote>
  <w:footnote w:id="3">
    <w:p w14:paraId="0B68DE04" w14:textId="045D71D2" w:rsidR="004D06EF" w:rsidRPr="00D044E2" w:rsidRDefault="004D06EF" w:rsidP="00D044E2">
      <w:pPr>
        <w:pStyle w:val="FootnoteText"/>
      </w:pPr>
      <w:r w:rsidRPr="00D044E2">
        <w:rPr>
          <w:rStyle w:val="FootnoteReference"/>
          <w:vertAlign w:val="baseline"/>
        </w:rPr>
        <w:footnoteRef/>
      </w:r>
      <w:r>
        <w:rPr>
          <w:rFonts w:hint="cs"/>
          <w:rtl/>
        </w:rPr>
        <w:t>)</w:t>
      </w:r>
      <w:r w:rsidRPr="00D044E2">
        <w:rPr>
          <w:rtl/>
        </w:rPr>
        <w:t xml:space="preserve"> </w:t>
      </w:r>
      <w:r w:rsidRPr="00D044E2">
        <w:rPr>
          <w:rFonts w:hint="cs"/>
          <w:rtl/>
        </w:rPr>
        <w:t>ראה שו"ת עטרת פז ח"א סי' טו ועוד.</w:t>
      </w:r>
    </w:p>
  </w:footnote>
  <w:footnote w:id="4">
    <w:p w14:paraId="5119FD7E" w14:textId="0FE427AF" w:rsidR="004D06EF" w:rsidRPr="00BD42A0" w:rsidRDefault="004D06EF" w:rsidP="00D044E2">
      <w:pPr>
        <w:pStyle w:val="FootnoteText"/>
      </w:pPr>
      <w:r w:rsidRPr="00D044E2">
        <w:rPr>
          <w:rStyle w:val="FootnoteReference"/>
          <w:vertAlign w:val="baseline"/>
        </w:rPr>
        <w:footnoteRef/>
      </w:r>
      <w:r>
        <w:rPr>
          <w:rFonts w:hint="cs"/>
          <w:rtl/>
        </w:rPr>
        <w:t>)</w:t>
      </w:r>
      <w:r w:rsidRPr="00D044E2">
        <w:rPr>
          <w:rtl/>
        </w:rPr>
        <w:t xml:space="preserve"> </w:t>
      </w:r>
      <w:r w:rsidRPr="00D044E2">
        <w:rPr>
          <w:rFonts w:hint="cs"/>
          <w:rtl/>
        </w:rPr>
        <w:t xml:space="preserve">אבל </w:t>
      </w:r>
      <w:r w:rsidRPr="00D044E2">
        <w:rPr>
          <w:rFonts w:hint="eastAsia"/>
          <w:rtl/>
        </w:rPr>
        <w:t>עי</w:t>
      </w:r>
      <w:r w:rsidRPr="00D044E2">
        <w:rPr>
          <w:rtl/>
        </w:rPr>
        <w:t xml:space="preserve">' </w:t>
      </w:r>
      <w:r w:rsidRPr="00D044E2">
        <w:rPr>
          <w:rFonts w:hint="eastAsia"/>
          <w:rtl/>
        </w:rPr>
        <w:t>בס</w:t>
      </w:r>
      <w:r w:rsidRPr="00D044E2">
        <w:rPr>
          <w:rtl/>
        </w:rPr>
        <w:t xml:space="preserve">' </w:t>
      </w:r>
      <w:r w:rsidRPr="00D044E2">
        <w:rPr>
          <w:rFonts w:hint="eastAsia"/>
          <w:rtl/>
        </w:rPr>
        <w:t>מעשה</w:t>
      </w:r>
      <w:r w:rsidRPr="00D044E2">
        <w:rPr>
          <w:rtl/>
        </w:rPr>
        <w:t xml:space="preserve"> </w:t>
      </w:r>
      <w:r w:rsidRPr="00D044E2">
        <w:rPr>
          <w:rFonts w:hint="eastAsia"/>
          <w:rtl/>
        </w:rPr>
        <w:t>רקח</w:t>
      </w:r>
      <w:r w:rsidRPr="00D044E2">
        <w:rPr>
          <w:rtl/>
        </w:rPr>
        <w:t xml:space="preserve"> </w:t>
      </w:r>
      <w:r w:rsidRPr="00D044E2">
        <w:rPr>
          <w:rFonts w:hint="eastAsia"/>
          <w:rtl/>
        </w:rPr>
        <w:t>ברמב</w:t>
      </w:r>
      <w:r w:rsidRPr="00D044E2">
        <w:rPr>
          <w:rtl/>
        </w:rPr>
        <w:t xml:space="preserve">"ם </w:t>
      </w:r>
      <w:r w:rsidRPr="00D044E2">
        <w:rPr>
          <w:rFonts w:hint="eastAsia"/>
          <w:rtl/>
        </w:rPr>
        <w:t>הל</w:t>
      </w:r>
      <w:r w:rsidRPr="00D044E2">
        <w:rPr>
          <w:rtl/>
        </w:rPr>
        <w:t xml:space="preserve">' </w:t>
      </w:r>
      <w:r w:rsidRPr="00D044E2">
        <w:rPr>
          <w:rFonts w:hint="eastAsia"/>
          <w:rtl/>
        </w:rPr>
        <w:t>ברכות</w:t>
      </w:r>
      <w:r w:rsidRPr="00D044E2">
        <w:rPr>
          <w:rtl/>
        </w:rPr>
        <w:t xml:space="preserve"> </w:t>
      </w:r>
      <w:r w:rsidRPr="00D044E2">
        <w:rPr>
          <w:rFonts w:hint="eastAsia"/>
          <w:rtl/>
        </w:rPr>
        <w:t>פ</w:t>
      </w:r>
      <w:r w:rsidRPr="00D044E2">
        <w:rPr>
          <w:rtl/>
        </w:rPr>
        <w:t xml:space="preserve">"י </w:t>
      </w:r>
      <w:r w:rsidRPr="00D044E2">
        <w:rPr>
          <w:rFonts w:hint="eastAsia"/>
          <w:rtl/>
        </w:rPr>
        <w:t>ה</w:t>
      </w:r>
      <w:r w:rsidRPr="00D044E2">
        <w:rPr>
          <w:rtl/>
        </w:rPr>
        <w:t xml:space="preserve">"ב </w:t>
      </w:r>
    </w:p>
  </w:footnote>
  <w:footnote w:id="5">
    <w:p w14:paraId="6D1EB3E5" w14:textId="452B7DFD" w:rsidR="004D06EF" w:rsidRPr="00727B8F" w:rsidRDefault="004D06EF" w:rsidP="00727B8F">
      <w:pPr>
        <w:pStyle w:val="FootnoteText"/>
      </w:pPr>
      <w:r w:rsidRPr="00727B8F">
        <w:rPr>
          <w:rStyle w:val="FootnoteReference"/>
          <w:vertAlign w:val="baseline"/>
        </w:rPr>
        <w:footnoteRef/>
      </w:r>
      <w:r>
        <w:rPr>
          <w:rFonts w:hint="cs"/>
          <w:rtl/>
        </w:rPr>
        <w:t>)</w:t>
      </w:r>
      <w:r w:rsidRPr="00727B8F">
        <w:rPr>
          <w:rtl/>
        </w:rPr>
        <w:t xml:space="preserve"> </w:t>
      </w:r>
      <w:r w:rsidRPr="00727B8F">
        <w:rPr>
          <w:rFonts w:hint="cs"/>
          <w:rtl/>
        </w:rPr>
        <w:t>וכבר הקשו על טעמו של המהרש"א (ראה עיון יעקב בע"י שם ועוד) דמהא דקאמר י"ב חדשים משמע דגם בשנה מעוברת הולכים אחר י"ב חדשים, ואם ראהו אחר י"ב חדשים מברך, אף דאפשר דעדיין לא הגיעו ר"ה ויוהכ"פ, ועוד דא"כ למה לי י"ב חדשים, הרי גם אם ראהו לפני ר"ה ויוהכ"פ ושוב ראהו אח"כ יברך כיון שזכה לחיים בדין דר"ה ויוהכ"פ ואכמ"ל.</w:t>
      </w:r>
    </w:p>
  </w:footnote>
  <w:footnote w:id="6">
    <w:p w14:paraId="292E66A4" w14:textId="45537227" w:rsidR="004D06EF" w:rsidRDefault="004D06EF" w:rsidP="00F14296">
      <w:pPr>
        <w:pStyle w:val="FootnoteText"/>
        <w:rPr>
          <w:lang w:bidi="ar-SA"/>
        </w:rPr>
      </w:pPr>
      <w:r w:rsidRPr="00F14296">
        <w:rPr>
          <w:rStyle w:val="FootnoteReference"/>
        </w:rPr>
        <w:sym w:font="Symbol" w:char="F02A"/>
      </w:r>
      <w:r>
        <w:rPr>
          <w:rtl/>
          <w:lang w:bidi="ar-SA"/>
        </w:rPr>
        <w:t xml:space="preserve"> </w:t>
      </w:r>
      <w:r>
        <w:rPr>
          <w:rtl/>
        </w:rPr>
        <w:t>לעוד</w:t>
      </w:r>
      <w:r>
        <w:rPr>
          <w:rtl/>
          <w:lang w:bidi="ar-SA"/>
        </w:rPr>
        <w:t xml:space="preserve"> </w:t>
      </w:r>
      <w:r>
        <w:rPr>
          <w:rtl/>
        </w:rPr>
        <w:t>פרטים</w:t>
      </w:r>
      <w:r>
        <w:rPr>
          <w:rtl/>
          <w:lang w:bidi="ar-SA"/>
        </w:rPr>
        <w:t xml:space="preserve"> </w:t>
      </w:r>
      <w:r>
        <w:rPr>
          <w:rtl/>
        </w:rPr>
        <w:t>וכו</w:t>
      </w:r>
      <w:r>
        <w:rPr>
          <w:rtl/>
          <w:lang w:bidi="ar-SA"/>
        </w:rPr>
        <w:t xml:space="preserve">' </w:t>
      </w:r>
      <w:r>
        <w:rPr>
          <w:rtl/>
        </w:rPr>
        <w:t>בזה</w:t>
      </w:r>
      <w:r>
        <w:rPr>
          <w:rtl/>
          <w:lang w:bidi="ar-SA"/>
        </w:rPr>
        <w:t xml:space="preserve">, </w:t>
      </w:r>
      <w:r>
        <w:rPr>
          <w:rtl/>
        </w:rPr>
        <w:t>ראה</w:t>
      </w:r>
      <w:r>
        <w:rPr>
          <w:rtl/>
          <w:lang w:bidi="ar-SA"/>
        </w:rPr>
        <w:t xml:space="preserve"> </w:t>
      </w:r>
      <w:r>
        <w:rPr>
          <w:rtl/>
        </w:rPr>
        <w:t>ערך</w:t>
      </w:r>
      <w:r>
        <w:rPr>
          <w:rtl/>
          <w:lang w:bidi="ar-SA"/>
        </w:rPr>
        <w:t xml:space="preserve"> </w:t>
      </w:r>
      <w:r>
        <w:rPr>
          <w:rtl/>
        </w:rPr>
        <w:t>זה</w:t>
      </w:r>
      <w:r>
        <w:rPr>
          <w:rtl/>
          <w:lang w:bidi="ar-SA"/>
        </w:rPr>
        <w:t xml:space="preserve"> </w:t>
      </w:r>
      <w:r>
        <w:rPr>
          <w:rtl/>
        </w:rPr>
        <w:t>שיפורסם</w:t>
      </w:r>
      <w:r>
        <w:rPr>
          <w:rtl/>
          <w:lang w:bidi="ar-SA"/>
        </w:rPr>
        <w:t xml:space="preserve"> </w:t>
      </w:r>
      <w:r>
        <w:rPr>
          <w:rtl/>
        </w:rPr>
        <w:t>בקרוב</w:t>
      </w:r>
      <w:r>
        <w:rPr>
          <w:rtl/>
          <w:lang w:bidi="ar-SA"/>
        </w:rPr>
        <w:t xml:space="preserve"> </w:t>
      </w:r>
      <w:r>
        <w:rPr>
          <w:rtl/>
        </w:rPr>
        <w:t>בעז</w:t>
      </w:r>
      <w:r>
        <w:rPr>
          <w:rtl/>
          <w:lang w:bidi="ar-SA"/>
        </w:rPr>
        <w:t>"</w:t>
      </w:r>
      <w:r>
        <w:rPr>
          <w:rtl/>
        </w:rPr>
        <w:t>ה</w:t>
      </w:r>
      <w:r>
        <w:rPr>
          <w:rtl/>
          <w:lang w:bidi="ar-SA"/>
        </w:rPr>
        <w:t xml:space="preserve"> </w:t>
      </w:r>
      <w:r>
        <w:rPr>
          <w:rtl/>
        </w:rPr>
        <w:t>באתר</w:t>
      </w:r>
      <w:r>
        <w:rPr>
          <w:rtl/>
          <w:lang w:bidi="ar-SA"/>
        </w:rPr>
        <w:t xml:space="preserve"> </w:t>
      </w:r>
      <w:r>
        <w:rPr>
          <w:lang w:bidi="ar-SA"/>
        </w:rPr>
        <w:t>Toras</w:t>
      </w:r>
      <w:r>
        <w:rPr>
          <w:rFonts w:hint="cs"/>
          <w:lang w:bidi="ar-SA"/>
        </w:rPr>
        <w:t>H</w:t>
      </w:r>
      <w:r>
        <w:rPr>
          <w:lang w:bidi="ar-SA"/>
        </w:rPr>
        <w:t>ageula.org</w:t>
      </w:r>
      <w:r>
        <w:rPr>
          <w:rtl/>
          <w:lang w:bidi="ar-SA"/>
        </w:rPr>
        <w:t>.</w:t>
      </w:r>
    </w:p>
    <w:p w14:paraId="74246024" w14:textId="311F401A" w:rsidR="004D06EF" w:rsidRDefault="004D06EF" w:rsidP="00F14296">
      <w:pPr>
        <w:pStyle w:val="FootnoteText"/>
      </w:pPr>
      <w:r>
        <w:rPr>
          <w:rtl/>
        </w:rPr>
        <w:t>כל</w:t>
      </w:r>
      <w:r>
        <w:rPr>
          <w:rtl/>
          <w:lang w:bidi="ar-SA"/>
        </w:rPr>
        <w:t xml:space="preserve"> </w:t>
      </w:r>
      <w:r>
        <w:rPr>
          <w:rtl/>
        </w:rPr>
        <w:t>מי</w:t>
      </w:r>
      <w:r>
        <w:rPr>
          <w:rtl/>
          <w:lang w:bidi="ar-SA"/>
        </w:rPr>
        <w:t xml:space="preserve"> </w:t>
      </w:r>
      <w:r>
        <w:rPr>
          <w:rtl/>
        </w:rPr>
        <w:t>שרוצה</w:t>
      </w:r>
      <w:r>
        <w:rPr>
          <w:rtl/>
          <w:lang w:bidi="ar-SA"/>
        </w:rPr>
        <w:t xml:space="preserve"> </w:t>
      </w:r>
      <w:r>
        <w:rPr>
          <w:rtl/>
        </w:rPr>
        <w:t>להשתתף</w:t>
      </w:r>
      <w:r>
        <w:rPr>
          <w:rtl/>
          <w:lang w:bidi="ar-SA"/>
        </w:rPr>
        <w:t xml:space="preserve"> </w:t>
      </w:r>
      <w:r>
        <w:rPr>
          <w:rtl/>
        </w:rPr>
        <w:t>בכספו</w:t>
      </w:r>
      <w:r>
        <w:rPr>
          <w:rtl/>
          <w:lang w:bidi="ar-SA"/>
        </w:rPr>
        <w:t xml:space="preserve"> </w:t>
      </w:r>
      <w:r>
        <w:rPr>
          <w:rtl/>
        </w:rPr>
        <w:t>ובממונו</w:t>
      </w:r>
      <w:r>
        <w:rPr>
          <w:rtl/>
          <w:lang w:bidi="ar-SA"/>
        </w:rPr>
        <w:t xml:space="preserve"> </w:t>
      </w:r>
      <w:r>
        <w:rPr>
          <w:rtl/>
        </w:rPr>
        <w:t>בכתיבת</w:t>
      </w:r>
      <w:r>
        <w:rPr>
          <w:rtl/>
          <w:lang w:bidi="ar-SA"/>
        </w:rPr>
        <w:t xml:space="preserve"> </w:t>
      </w:r>
      <w:r>
        <w:rPr>
          <w:rtl/>
        </w:rPr>
        <w:t>ועריכת</w:t>
      </w:r>
      <w:r>
        <w:rPr>
          <w:rtl/>
          <w:lang w:bidi="ar-SA"/>
        </w:rPr>
        <w:t xml:space="preserve"> </w:t>
      </w:r>
      <w:r>
        <w:rPr>
          <w:rtl/>
        </w:rPr>
        <w:t>ערכים</w:t>
      </w:r>
      <w:r>
        <w:rPr>
          <w:rtl/>
          <w:lang w:bidi="ar-SA"/>
        </w:rPr>
        <w:t xml:space="preserve"> </w:t>
      </w:r>
      <w:r>
        <w:rPr>
          <w:rtl/>
        </w:rPr>
        <w:t>והערות</w:t>
      </w:r>
      <w:r>
        <w:rPr>
          <w:rtl/>
          <w:lang w:bidi="ar-SA"/>
        </w:rPr>
        <w:t xml:space="preserve"> </w:t>
      </w:r>
      <w:r>
        <w:rPr>
          <w:rtl/>
        </w:rPr>
        <w:t>וספרים</w:t>
      </w:r>
      <w:r>
        <w:rPr>
          <w:rtl/>
          <w:lang w:bidi="ar-SA"/>
        </w:rPr>
        <w:t xml:space="preserve"> </w:t>
      </w:r>
      <w:r>
        <w:rPr>
          <w:rtl/>
        </w:rPr>
        <w:t>בעניני</w:t>
      </w:r>
      <w:r>
        <w:rPr>
          <w:rtl/>
          <w:lang w:bidi="ar-SA"/>
        </w:rPr>
        <w:t xml:space="preserve"> </w:t>
      </w:r>
      <w:r>
        <w:rPr>
          <w:rtl/>
        </w:rPr>
        <w:t>גאולה</w:t>
      </w:r>
      <w:r>
        <w:rPr>
          <w:rtl/>
          <w:lang w:bidi="ar-SA"/>
        </w:rPr>
        <w:t xml:space="preserve"> </w:t>
      </w:r>
      <w:r>
        <w:rPr>
          <w:rtl/>
        </w:rPr>
        <w:t>ומשיח</w:t>
      </w:r>
      <w:r>
        <w:rPr>
          <w:rtl/>
          <w:lang w:bidi="ar-SA"/>
        </w:rPr>
        <w:t xml:space="preserve">, </w:t>
      </w:r>
      <w:r>
        <w:rPr>
          <w:rtl/>
        </w:rPr>
        <w:t>נא</w:t>
      </w:r>
      <w:r>
        <w:rPr>
          <w:rtl/>
          <w:lang w:bidi="ar-SA"/>
        </w:rPr>
        <w:t xml:space="preserve"> </w:t>
      </w:r>
      <w:r>
        <w:rPr>
          <w:rtl/>
        </w:rPr>
        <w:t>ליצור</w:t>
      </w:r>
      <w:r>
        <w:rPr>
          <w:rtl/>
          <w:lang w:bidi="ar-SA"/>
        </w:rPr>
        <w:t xml:space="preserve"> </w:t>
      </w:r>
      <w:r>
        <w:rPr>
          <w:rtl/>
        </w:rPr>
        <w:t>אתי</w:t>
      </w:r>
      <w:r>
        <w:rPr>
          <w:rtl/>
          <w:lang w:bidi="ar-SA"/>
        </w:rPr>
        <w:t xml:space="preserve"> </w:t>
      </w:r>
      <w:r>
        <w:rPr>
          <w:rtl/>
        </w:rPr>
        <w:t>קשר</w:t>
      </w:r>
      <w:r>
        <w:rPr>
          <w:rtl/>
          <w:lang w:bidi="ar-SA"/>
        </w:rPr>
        <w:t xml:space="preserve"> </w:t>
      </w:r>
      <w:r>
        <w:rPr>
          <w:rtl/>
        </w:rPr>
        <w:t>באימייל</w:t>
      </w:r>
      <w:r>
        <w:rPr>
          <w:rtl/>
          <w:lang w:bidi="ar-SA"/>
        </w:rPr>
        <w:t xml:space="preserve"> </w:t>
      </w:r>
      <w:r>
        <w:rPr>
          <w:rFonts w:hint="cs"/>
          <w:lang w:bidi="ar-SA"/>
        </w:rPr>
        <w:t>S</w:t>
      </w:r>
      <w:r>
        <w:rPr>
          <w:lang w:bidi="ar-SA"/>
        </w:rPr>
        <w:t>holom</w:t>
      </w:r>
      <w:r>
        <w:rPr>
          <w:rFonts w:hint="cs"/>
          <w:lang w:bidi="ar-SA"/>
        </w:rPr>
        <w:t>Z</w:t>
      </w:r>
      <w:r>
        <w:rPr>
          <w:lang w:bidi="ar-SA"/>
        </w:rPr>
        <w:t>irkind@gmail.com</w:t>
      </w:r>
      <w:r>
        <w:rPr>
          <w:rtl/>
          <w:lang w:bidi="ar-SA"/>
        </w:rPr>
        <w:t>.</w:t>
      </w:r>
    </w:p>
  </w:footnote>
  <w:footnote w:id="7">
    <w:p w14:paraId="4CF4529A" w14:textId="799038DC" w:rsidR="004D06EF" w:rsidRPr="00DF4CDD" w:rsidRDefault="004D06EF" w:rsidP="00DF4CDD">
      <w:pPr>
        <w:pStyle w:val="FootnoteText"/>
        <w:rPr>
          <w:color w:val="000000" w:themeColor="text1"/>
        </w:rPr>
      </w:pPr>
      <w:r w:rsidRPr="00DF4CDD">
        <w:rPr>
          <w:rStyle w:val="FootnoteReference"/>
          <w:color w:val="000000" w:themeColor="text1"/>
          <w:vertAlign w:val="baseline"/>
        </w:rPr>
        <w:footnoteRef/>
      </w:r>
      <w:r>
        <w:rPr>
          <w:rFonts w:hint="cs"/>
          <w:color w:val="000000" w:themeColor="text1"/>
          <w:rtl/>
        </w:rPr>
        <w:t>)</w:t>
      </w:r>
      <w:r w:rsidRPr="00DF4CDD">
        <w:rPr>
          <w:color w:val="000000" w:themeColor="text1"/>
          <w:rtl/>
        </w:rPr>
        <w:t xml:space="preserve"> וכן הוא במסכת עבודה זרה ג, ב. ובקהלת רבה פרק א פסוק ז' (כל הנחלים הולכים אל הים וגו') אות ו'. </w:t>
      </w:r>
    </w:p>
  </w:footnote>
  <w:footnote w:id="8">
    <w:p w14:paraId="5411C62B" w14:textId="2CE24EA1" w:rsidR="004D06EF" w:rsidRPr="00DF4CDD" w:rsidRDefault="004D06EF" w:rsidP="00DF4CDD">
      <w:pPr>
        <w:pStyle w:val="FootnoteText"/>
        <w:rPr>
          <w:color w:val="000000" w:themeColor="text1"/>
        </w:rPr>
      </w:pPr>
      <w:r w:rsidRPr="00DF4CDD">
        <w:rPr>
          <w:rStyle w:val="FootnoteReference"/>
          <w:color w:val="000000" w:themeColor="text1"/>
          <w:vertAlign w:val="baseline"/>
        </w:rPr>
        <w:footnoteRef/>
      </w:r>
      <w:r>
        <w:rPr>
          <w:rFonts w:hint="cs"/>
          <w:color w:val="000000" w:themeColor="text1"/>
          <w:rtl/>
        </w:rPr>
        <w:t>)</w:t>
      </w:r>
      <w:r w:rsidRPr="00DF4CDD">
        <w:rPr>
          <w:color w:val="000000" w:themeColor="text1"/>
          <w:rtl/>
        </w:rPr>
        <w:t xml:space="preserve"> ראה תוספות כאן דבור המתחיל לא "ויש ספרים שכתב בהן לא קבלו גרים לא בימי דוד ולא בימי שלמה אלא שנעשו גרים גרורים". וכן הוא הגירסא בילקוט שמעוני ישעי' רמז תע"ט. וראה ריב"ן כאן "לא קיבלו. אלא שנעשו גרים גרורים, מאליהן היו מתגיירים על כורחן של ישראל". וראה גם עבודה זרה ג, ב "לעתיד לבא באין עובדי כוכבים ומתגיירין .. אלא שנעשו גרים גרורים וכו'". וראה בספר כלי פז על ישעיהו נד, טו, (קטע המתחיל נראה), שמבאר לשון הפסוק "הן גור יגור וגו'", לפי גירסא זו...".</w:t>
      </w:r>
    </w:p>
  </w:footnote>
  <w:footnote w:id="9">
    <w:p w14:paraId="48EC52DC" w14:textId="00EF2FF6" w:rsidR="004D06EF" w:rsidRPr="00DF4CDD" w:rsidRDefault="004D06EF" w:rsidP="00DF4CDD">
      <w:pPr>
        <w:pStyle w:val="FootnoteText"/>
        <w:rPr>
          <w:color w:val="000000" w:themeColor="text1"/>
        </w:rPr>
      </w:pPr>
      <w:r w:rsidRPr="00DF4CDD">
        <w:rPr>
          <w:rStyle w:val="FootnoteReference"/>
          <w:color w:val="000000" w:themeColor="text1"/>
          <w:vertAlign w:val="baseline"/>
        </w:rPr>
        <w:footnoteRef/>
      </w:r>
      <w:r>
        <w:rPr>
          <w:rFonts w:hint="cs"/>
          <w:color w:val="000000" w:themeColor="text1"/>
          <w:rtl/>
        </w:rPr>
        <w:t>)</w:t>
      </w:r>
      <w:r w:rsidRPr="00DF4CDD">
        <w:rPr>
          <w:color w:val="000000" w:themeColor="text1"/>
          <w:rtl/>
        </w:rPr>
        <w:t xml:space="preserve"> ראה גם רמב"ם הלכות איסורי ביאה פי"ג הט"ו. כד הקמח לרבינו בחיי ערך גר בסופו. </w:t>
      </w:r>
    </w:p>
  </w:footnote>
  <w:footnote w:id="10">
    <w:p w14:paraId="2D33A9B3" w14:textId="730FB00E" w:rsidR="004D06EF" w:rsidRDefault="004D06EF" w:rsidP="00DF4CDD">
      <w:pPr>
        <w:pStyle w:val="FootnoteText"/>
      </w:pPr>
      <w:r w:rsidRPr="00DF4CDD">
        <w:rPr>
          <w:rStyle w:val="FootnoteReference"/>
          <w:color w:val="000000" w:themeColor="text1"/>
          <w:vertAlign w:val="baseline"/>
        </w:rPr>
        <w:footnoteRef/>
      </w:r>
      <w:r>
        <w:rPr>
          <w:rFonts w:hint="cs"/>
          <w:color w:val="000000" w:themeColor="text1"/>
          <w:rtl/>
        </w:rPr>
        <w:t>)</w:t>
      </w:r>
      <w:r w:rsidRPr="00DF4CDD">
        <w:rPr>
          <w:color w:val="000000" w:themeColor="text1"/>
          <w:rtl/>
        </w:rPr>
        <w:t xml:space="preserve"> ליקוטי הש"ס להאריז"ל, מסכת יבמות. (וראה גם בספר פרי עץ חיים, שער ראש חודש, פרק ג' ("לכן אין מקבלין גרים לימות המשיח, מאחר שלא ישאר שום ניצוץ קדושה כלל יבוא משיח")). וראה מה שהאריך בענין זה בספר ברית הלוי (להרב שלמה הלוי אלקבץ) סןף פרק י"ד. ו. ועיין עוד בס' פרדס המלך ע' 150, שמפרש הפסוק שהביא הגמרא, בהתאם לביאור האריז"ל.</w:t>
      </w:r>
    </w:p>
  </w:footnote>
  <w:footnote w:id="11">
    <w:p w14:paraId="32020175" w14:textId="529BFD97"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ראה גם בספר מאור עינים סוף פרשת תבא "כי הטוב שבהן יבורר מהן, ובודאי רצונם להתגייר אינו אלא משום שולחן מלכים כאמרו בגמרא". וראה בספר מזרח השמש לרמ"ד וואלי, על יהושע ב, ח, (והמה טרם ישכבון וגו') "ואם זאת הקליפה באה להכנע אל הקדושה קודם גמר הבירור, מקבלים אותה, בסוד מי גר אתך עליך יפול. אך אם מתעוררת לבא אחר גמר הבירור, אז אין מקבלין אותה, כי אינה אלא הכנעה מוכרחת כשאבדה כל ניצוצות החיות שלה, והוא סוד אמרם ז"ל שאין מקבלים גרים לימות המשיח, שהטעם מובן יפה ברזא דאמרן".</w:t>
      </w:r>
    </w:p>
  </w:footnote>
  <w:footnote w:id="12">
    <w:p w14:paraId="11FEBFA5" w14:textId="0078A411"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ראה גם נצח ישראל למהר"ל פרק מ"ו. פירוש יפה תואר הארוך על ויקרא רבה, ע' מח, טור א'.  בית יעקב (ראדזין) פרשת צו אות ו'.</w:t>
      </w:r>
    </w:p>
  </w:footnote>
  <w:footnote w:id="13">
    <w:p w14:paraId="750AE41F" w14:textId="2F3AE351"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לקו"ת ר"פ פנחס ובכ"מ.</w:t>
      </w:r>
    </w:p>
  </w:footnote>
  <w:footnote w:id="14">
    <w:p w14:paraId="3DDE6888" w14:textId="012F5B50"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ראה בס' בית יעקב הנ"ל.</w:t>
      </w:r>
    </w:p>
  </w:footnote>
  <w:footnote w:id="15">
    <w:p w14:paraId="185CF935" w14:textId="10CEB7F0" w:rsidR="004D06EF" w:rsidRDefault="004D06EF" w:rsidP="00DF4CDD">
      <w:pPr>
        <w:pStyle w:val="FootnoteText"/>
      </w:pPr>
      <w:r w:rsidRPr="00DF4CDD">
        <w:rPr>
          <w:rStyle w:val="FootnoteReference"/>
          <w:vertAlign w:val="baseline"/>
        </w:rPr>
        <w:footnoteRef/>
      </w:r>
      <w:r>
        <w:rPr>
          <w:rFonts w:hint="cs"/>
          <w:rtl/>
        </w:rPr>
        <w:t>)</w:t>
      </w:r>
      <w:r w:rsidRPr="00DF4CDD">
        <w:rPr>
          <w:rtl/>
        </w:rPr>
        <w:t xml:space="preserve"> על ע"ז ג, ב. ולהעיר מרש"י על זכרי' יג, ט (שיסבלו וישאו מקצת הגרים בצרת חבלו של משיח ובמלחמות גוג ומגוג עם ישראל, ומשם יבחנו כי גרי אמת הם, כי הרבה מהם תחלה ישובו לסורם ויתחברו עם גוג כמ"ש באגדה) ואכ"מ.</w:t>
      </w:r>
    </w:p>
  </w:footnote>
  <w:footnote w:id="16">
    <w:p w14:paraId="41D12AE3" w14:textId="4894EC9A"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יד יוסף (להרב יוסף צרפתי) פרשת יתרו דרוש שני (קטע המתחיל אמנם נראה לומר). ועל דרך זה כתב בספר אהבת יהונתן, הפטרת פרשת החודש (בתחלתו).</w:t>
      </w:r>
    </w:p>
  </w:footnote>
  <w:footnote w:id="17">
    <w:p w14:paraId="10672EFE" w14:textId="1445AB5C"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ועיין עוד בספר ישרש יעקב כאן (ריש עמוד ב'), וערוך לנר כאן (קטע המתחיל כולם גרים הם), ואגרות משה חלק ו' ע' שנ"א (יורה דעה סימן ק"ח, קטע המתחיל וכל הנדון), שבדיעבד אם יתגיירו, יקבלו אותם. וידוע השקו"ט בכה"ג שאם יש חשש שנתגייר מפני סיבה חיצונית, מה גדרו, ואכ"מ. </w:t>
      </w:r>
    </w:p>
  </w:footnote>
  <w:footnote w:id="18">
    <w:p w14:paraId="618288A8" w14:textId="4FCBB2FA"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וראה גם בס' דברי אלימלך ע' 168. </w:t>
      </w:r>
    </w:p>
  </w:footnote>
  <w:footnote w:id="19">
    <w:p w14:paraId="67C192AF" w14:textId="549DF065" w:rsidR="004D06EF" w:rsidRDefault="004D06EF" w:rsidP="00DF4CDD">
      <w:pPr>
        <w:pStyle w:val="FootnoteText"/>
      </w:pPr>
      <w:r w:rsidRPr="00DF4CDD">
        <w:rPr>
          <w:rStyle w:val="FootnoteReference"/>
          <w:vertAlign w:val="baseline"/>
        </w:rPr>
        <w:footnoteRef/>
      </w:r>
      <w:r>
        <w:rPr>
          <w:rFonts w:hint="cs"/>
          <w:rtl/>
        </w:rPr>
        <w:t>)</w:t>
      </w:r>
      <w:r w:rsidRPr="00DF4CDD">
        <w:rPr>
          <w:rtl/>
        </w:rPr>
        <w:t xml:space="preserve"> מרומי שדה על ע"ז כד, א.</w:t>
      </w:r>
    </w:p>
  </w:footnote>
  <w:footnote w:id="20">
    <w:p w14:paraId="082534DF" w14:textId="2A8B3D20" w:rsidR="004D06EF" w:rsidRPr="00DF4CDD" w:rsidRDefault="004D06EF" w:rsidP="00DF4CDD">
      <w:pPr>
        <w:pStyle w:val="FootnoteText"/>
      </w:pPr>
      <w:r w:rsidRPr="00DF4CDD">
        <w:rPr>
          <w:rStyle w:val="FootnoteReference"/>
          <w:vertAlign w:val="baseline"/>
        </w:rPr>
        <w:footnoteRef/>
      </w:r>
      <w:r>
        <w:rPr>
          <w:rFonts w:hint="cs"/>
          <w:rtl/>
        </w:rPr>
        <w:t>)</w:t>
      </w:r>
      <w:r w:rsidRPr="00DF4CDD">
        <w:rPr>
          <w:rtl/>
        </w:rPr>
        <w:t xml:space="preserve"> אוה"ת סוכות ע' א'תשס"ז.</w:t>
      </w:r>
    </w:p>
  </w:footnote>
  <w:footnote w:id="21">
    <w:p w14:paraId="4B333B96" w14:textId="5D3A339A" w:rsidR="004D06EF" w:rsidRDefault="004D06EF" w:rsidP="007F5702">
      <w:pPr>
        <w:pStyle w:val="FootnoteText"/>
      </w:pPr>
      <w:r w:rsidRPr="007F5702">
        <w:rPr>
          <w:rStyle w:val="FootnoteReference"/>
        </w:rPr>
        <w:sym w:font="Symbol" w:char="F02A"/>
      </w:r>
      <w:r>
        <w:rPr>
          <w:rtl/>
        </w:rPr>
        <w:t xml:space="preserve"> </w:t>
      </w:r>
      <w:r w:rsidRPr="007F5702">
        <w:rPr>
          <w:rFonts w:hint="cs"/>
          <w:b/>
          <w:bCs/>
          <w:rtl/>
        </w:rPr>
        <w:t>הערות מערכת</w:t>
      </w:r>
      <w:r>
        <w:rPr>
          <w:rFonts w:hint="cs"/>
          <w:rtl/>
        </w:rPr>
        <w:t xml:space="preserve">: ראה הערות וביאורים ש"פ ויצא, בשלח, יתרו תש"מ </w:t>
      </w:r>
    </w:p>
  </w:footnote>
  <w:footnote w:id="22">
    <w:p w14:paraId="5C59FBC3" w14:textId="77777777" w:rsidR="004D06EF" w:rsidRPr="00682009" w:rsidRDefault="004D06EF" w:rsidP="00652896">
      <w:pPr>
        <w:pStyle w:val="FootnoteText"/>
      </w:pPr>
      <w:r w:rsidRPr="00682009">
        <w:rPr>
          <w:rStyle w:val="FootnoteReference"/>
          <w:vertAlign w:val="baseline"/>
        </w:rPr>
        <w:footnoteRef/>
      </w:r>
      <w:r>
        <w:rPr>
          <w:rFonts w:hint="cs"/>
          <w:rtl/>
        </w:rPr>
        <w:t>)</w:t>
      </w:r>
      <w:r w:rsidRPr="00682009">
        <w:rPr>
          <w:rtl/>
        </w:rPr>
        <w:t xml:space="preserve"> </w:t>
      </w:r>
      <w:r w:rsidRPr="00682009">
        <w:rPr>
          <w:rFonts w:hint="cs"/>
          <w:rtl/>
        </w:rPr>
        <w:t>כ"ט, י"ז</w:t>
      </w:r>
    </w:p>
  </w:footnote>
  <w:footnote w:id="23">
    <w:p w14:paraId="031C4BF3" w14:textId="77777777" w:rsidR="004D06EF" w:rsidRDefault="004D06EF" w:rsidP="00652896">
      <w:pPr>
        <w:pStyle w:val="FootnoteText"/>
      </w:pPr>
      <w:r w:rsidRPr="00682009">
        <w:rPr>
          <w:rStyle w:val="FootnoteReference"/>
          <w:vertAlign w:val="baseline"/>
        </w:rPr>
        <w:footnoteRef/>
      </w:r>
      <w:r>
        <w:rPr>
          <w:rFonts w:hint="cs"/>
          <w:rtl/>
        </w:rPr>
        <w:t>)</w:t>
      </w:r>
      <w:r w:rsidRPr="00682009">
        <w:rPr>
          <w:rtl/>
        </w:rPr>
        <w:t xml:space="preserve"> </w:t>
      </w:r>
      <w:r w:rsidRPr="00682009">
        <w:rPr>
          <w:rFonts w:hint="cs"/>
          <w:rtl/>
        </w:rPr>
        <w:t>ל"ב, כ"ג</w:t>
      </w:r>
    </w:p>
  </w:footnote>
  <w:footnote w:id="24">
    <w:p w14:paraId="6F9A502A" w14:textId="77777777" w:rsidR="004D06EF" w:rsidRPr="00682009" w:rsidRDefault="004D06EF" w:rsidP="00652896">
      <w:pPr>
        <w:pStyle w:val="FootnoteText"/>
      </w:pPr>
      <w:r w:rsidRPr="00682009">
        <w:rPr>
          <w:rStyle w:val="FootnoteReference"/>
          <w:vertAlign w:val="baseline"/>
        </w:rPr>
        <w:footnoteRef/>
      </w:r>
      <w:r>
        <w:rPr>
          <w:rFonts w:hint="cs"/>
          <w:rtl/>
        </w:rPr>
        <w:t>)</w:t>
      </w:r>
      <w:r w:rsidRPr="00682009">
        <w:rPr>
          <w:rtl/>
        </w:rPr>
        <w:t xml:space="preserve"> ע' 1219</w:t>
      </w:r>
    </w:p>
  </w:footnote>
  <w:footnote w:id="25">
    <w:p w14:paraId="0E023F85" w14:textId="77777777" w:rsidR="004D06EF" w:rsidRPr="00682009" w:rsidRDefault="004D06EF" w:rsidP="00652896">
      <w:pPr>
        <w:pStyle w:val="FootnoteText"/>
      </w:pPr>
      <w:r w:rsidRPr="00682009">
        <w:rPr>
          <w:rStyle w:val="FootnoteReference"/>
          <w:vertAlign w:val="baseline"/>
        </w:rPr>
        <w:footnoteRef/>
      </w:r>
      <w:r>
        <w:rPr>
          <w:rFonts w:hint="cs"/>
          <w:rtl/>
        </w:rPr>
        <w:t>)</w:t>
      </w:r>
      <w:r w:rsidRPr="00682009">
        <w:rPr>
          <w:rtl/>
        </w:rPr>
        <w:t xml:space="preserve"> ע' 125</w:t>
      </w:r>
    </w:p>
  </w:footnote>
  <w:footnote w:id="26">
    <w:p w14:paraId="074B76DC" w14:textId="77777777" w:rsidR="004D06EF" w:rsidRPr="00682009" w:rsidRDefault="004D06EF" w:rsidP="00652896">
      <w:pPr>
        <w:pStyle w:val="FootnoteText"/>
      </w:pPr>
      <w:r w:rsidRPr="00682009">
        <w:rPr>
          <w:rStyle w:val="FootnoteReference"/>
          <w:vertAlign w:val="baseline"/>
        </w:rPr>
        <w:footnoteRef/>
      </w:r>
      <w:r w:rsidRPr="00682009">
        <w:rPr>
          <w:rFonts w:hint="cs"/>
          <w:rtl/>
        </w:rPr>
        <w:t>)</w:t>
      </w:r>
      <w:r w:rsidRPr="00682009">
        <w:rPr>
          <w:rtl/>
        </w:rPr>
        <w:t xml:space="preserve"> ע' 617</w:t>
      </w:r>
    </w:p>
  </w:footnote>
  <w:footnote w:id="27">
    <w:p w14:paraId="751B8978" w14:textId="77777777" w:rsidR="004D06EF" w:rsidRPr="00682009" w:rsidRDefault="004D06EF" w:rsidP="00652896">
      <w:pPr>
        <w:pStyle w:val="FootnoteText"/>
      </w:pPr>
      <w:r w:rsidRPr="00682009">
        <w:rPr>
          <w:rStyle w:val="FootnoteReference"/>
          <w:vertAlign w:val="baseline"/>
        </w:rPr>
        <w:footnoteRef/>
      </w:r>
      <w:r w:rsidRPr="00682009">
        <w:rPr>
          <w:rFonts w:hint="cs"/>
          <w:rtl/>
        </w:rPr>
        <w:t>)</w:t>
      </w:r>
      <w:r w:rsidRPr="00682009">
        <w:rPr>
          <w:rtl/>
        </w:rPr>
        <w:t xml:space="preserve"> לאחיו של המהר"ל</w:t>
      </w:r>
    </w:p>
  </w:footnote>
  <w:footnote w:id="28">
    <w:p w14:paraId="3C75BF99" w14:textId="77777777" w:rsidR="004D06EF" w:rsidRPr="00682009" w:rsidRDefault="004D06EF" w:rsidP="00652896">
      <w:pPr>
        <w:pStyle w:val="FootnoteText"/>
      </w:pPr>
      <w:r w:rsidRPr="00682009">
        <w:rPr>
          <w:rStyle w:val="FootnoteReference"/>
          <w:vertAlign w:val="baseline"/>
        </w:rPr>
        <w:footnoteRef/>
      </w:r>
      <w:r w:rsidRPr="00682009">
        <w:rPr>
          <w:rFonts w:hint="cs"/>
          <w:rtl/>
        </w:rPr>
        <w:t>)</w:t>
      </w:r>
      <w:r w:rsidRPr="00682009">
        <w:rPr>
          <w:rtl/>
        </w:rPr>
        <w:t xml:space="preserve"> קי, ב</w:t>
      </w:r>
    </w:p>
  </w:footnote>
  <w:footnote w:id="29">
    <w:p w14:paraId="0C4425EE" w14:textId="72152289" w:rsidR="004D06EF" w:rsidRDefault="004D06EF" w:rsidP="00652896">
      <w:pPr>
        <w:pStyle w:val="FootnoteText"/>
      </w:pPr>
      <w:r w:rsidRPr="00682009">
        <w:rPr>
          <w:rStyle w:val="FootnoteReference"/>
          <w:vertAlign w:val="baseline"/>
        </w:rPr>
        <w:footnoteRef/>
      </w:r>
      <w:r>
        <w:rPr>
          <w:rFonts w:hint="cs"/>
          <w:rtl/>
        </w:rPr>
        <w:t>)</w:t>
      </w:r>
      <w:r w:rsidRPr="00682009">
        <w:rPr>
          <w:rtl/>
        </w:rPr>
        <w:t xml:space="preserve"> </w:t>
      </w:r>
      <w:r w:rsidRPr="00682009">
        <w:rPr>
          <w:rFonts w:hint="cs"/>
          <w:rtl/>
        </w:rPr>
        <w:t>הערת המערכת: לכאורה עצ"ע שהרי רק הביא ראי' שכאשר כבר בא הנסיון על האדם צריך להתמודד איתו אך מנין שאסור למנוע הנסיון מלכתחילה, אדרבה זה דומה יותר למקרה של לאה שברחה מהנסיון,</w:t>
      </w:r>
      <w:r>
        <w:rPr>
          <w:rFonts w:hint="cs"/>
          <w:rtl/>
        </w:rPr>
        <w:t xml:space="preserve"> </w:t>
      </w:r>
      <w:r w:rsidRPr="00682009">
        <w:rPr>
          <w:rFonts w:hint="cs"/>
          <w:rtl/>
        </w:rPr>
        <w:t xml:space="preserve">ודו"ק. </w:t>
      </w:r>
    </w:p>
  </w:footnote>
  <w:footnote w:id="30">
    <w:p w14:paraId="3A8A46AB" w14:textId="171E0C94"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 xml:space="preserve">'אגרות קודש' חלק יא עמ' קלז-קלח [לפני זה ביום ג' אייר, משתמש הרבי במושג זו להורות הוראה בעבודת ה' </w:t>
      </w:r>
      <w:r w:rsidRPr="00F46279">
        <w:rPr>
          <w:rtl/>
        </w:rPr>
        <w:t>–</w:t>
      </w:r>
      <w:r w:rsidRPr="00F46279">
        <w:rPr>
          <w:rFonts w:hint="cs"/>
          <w:rtl/>
        </w:rPr>
        <w:t xml:space="preserve"> ראה שם עמ' נח]</w:t>
      </w:r>
    </w:p>
  </w:footnote>
  <w:footnote w:id="31">
    <w:p w14:paraId="65C5D381" w14:textId="76D54C86"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אבות פ"ב מ"ד</w:t>
      </w:r>
    </w:p>
  </w:footnote>
  <w:footnote w:id="32">
    <w:p w14:paraId="714FDD58" w14:textId="431F86FE"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'אגרות קודש' חלק יב עמ' ריט-רכ</w:t>
      </w:r>
    </w:p>
  </w:footnote>
  <w:footnote w:id="33">
    <w:p w14:paraId="1FEB5EE0" w14:textId="2B8A933E"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'אגרות קודש' חלק יד עמ' קז-קח</w:t>
      </w:r>
    </w:p>
  </w:footnote>
  <w:footnote w:id="34">
    <w:p w14:paraId="23A36C0D" w14:textId="7E3F8A9C"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ח"ה עמ' רמט-רנ</w:t>
      </w:r>
    </w:p>
  </w:footnote>
  <w:footnote w:id="35">
    <w:p w14:paraId="4F74FCCC" w14:textId="66B581C0" w:rsidR="004D06EF"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'אגרות קודש' שם עמ' רלח</w:t>
      </w:r>
    </w:p>
  </w:footnote>
  <w:footnote w:id="36">
    <w:p w14:paraId="5613024A" w14:textId="5C3F7EFC"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'אגרות קודש' שם עמ' שנ</w:t>
      </w:r>
    </w:p>
  </w:footnote>
  <w:footnote w:id="37">
    <w:p w14:paraId="324BA51A" w14:textId="0AF77A64" w:rsidR="004D06EF"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'אגרות קודש' שם עמ' תכו</w:t>
      </w:r>
    </w:p>
  </w:footnote>
  <w:footnote w:id="38">
    <w:p w14:paraId="1B09B695" w14:textId="55C4B2C8"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ח"ה עמ' רנ-רנא</w:t>
      </w:r>
    </w:p>
  </w:footnote>
  <w:footnote w:id="39">
    <w:p w14:paraId="5EAE2754" w14:textId="760B8DCD"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ראה הנסמן ב'אנציקלופדיה הלכתית רפואית' ח"ה עמ' 762-767</w:t>
      </w:r>
    </w:p>
  </w:footnote>
  <w:footnote w:id="40">
    <w:p w14:paraId="5A279A01" w14:textId="344BE7EF"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תהלים קטז, ו</w:t>
      </w:r>
    </w:p>
  </w:footnote>
  <w:footnote w:id="41">
    <w:p w14:paraId="3C4C060F" w14:textId="5F0D9C68"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עבודה זרה ל</w:t>
      </w:r>
      <w:r w:rsidRPr="00F46279">
        <w:rPr>
          <w:rFonts w:hint="cs"/>
          <w:rtl/>
        </w:rPr>
        <w:t>,</w:t>
      </w:r>
      <w:r w:rsidRPr="00F46279">
        <w:rPr>
          <w:rtl/>
        </w:rPr>
        <w:t xml:space="preserve"> ב</w:t>
      </w:r>
    </w:p>
  </w:footnote>
  <w:footnote w:id="42">
    <w:p w14:paraId="4B91444A" w14:textId="283620CB"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אה"ע ח"א סי' פט</w:t>
      </w:r>
    </w:p>
  </w:footnote>
  <w:footnote w:id="43">
    <w:p w14:paraId="1EF5B8BB" w14:textId="3F94CB83"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יב</w:t>
      </w:r>
      <w:r w:rsidRPr="00F46279">
        <w:rPr>
          <w:rFonts w:hint="cs"/>
          <w:rtl/>
        </w:rPr>
        <w:t>,</w:t>
      </w:r>
      <w:r w:rsidRPr="00F46279">
        <w:rPr>
          <w:rtl/>
        </w:rPr>
        <w:t xml:space="preserve"> ב</w:t>
      </w:r>
    </w:p>
  </w:footnote>
  <w:footnote w:id="44">
    <w:p w14:paraId="53BC9C59" w14:textId="4A502A2B" w:rsidR="004D06EF" w:rsidRPr="00F46279"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'שמירת שבת כהלכתה' ח"א פל"א הערה ב וב'אנציקלופדיה' שם ליד הערה 11</w:t>
      </w:r>
    </w:p>
  </w:footnote>
  <w:footnote w:id="45">
    <w:p w14:paraId="05C6E7F0" w14:textId="006E9BB3" w:rsidR="004D06EF" w:rsidRDefault="004D06EF" w:rsidP="00F46279">
      <w:pPr>
        <w:pStyle w:val="FootnoteText"/>
      </w:pPr>
      <w:r w:rsidRPr="00F46279">
        <w:rPr>
          <w:rStyle w:val="FootnoteReference"/>
          <w:vertAlign w:val="baseline"/>
        </w:rPr>
        <w:footnoteRef/>
      </w:r>
      <w:r>
        <w:rPr>
          <w:rFonts w:hint="cs"/>
          <w:rtl/>
        </w:rPr>
        <w:t>)</w:t>
      </w:r>
      <w:r w:rsidRPr="00F46279">
        <w:rPr>
          <w:rtl/>
        </w:rPr>
        <w:t xml:space="preserve"> </w:t>
      </w:r>
      <w:r w:rsidRPr="00F46279">
        <w:rPr>
          <w:rFonts w:hint="cs"/>
          <w:rtl/>
        </w:rPr>
        <w:t>יבמות עב, א</w:t>
      </w:r>
    </w:p>
  </w:footnote>
  <w:footnote w:id="46">
    <w:p w14:paraId="5B611493" w14:textId="2D005282" w:rsidR="004D06EF" w:rsidRPr="00C947C6" w:rsidRDefault="004D06EF" w:rsidP="00C947C6">
      <w:pPr>
        <w:pStyle w:val="FootnoteText"/>
      </w:pPr>
      <w:r w:rsidRPr="00C947C6">
        <w:rPr>
          <w:rStyle w:val="FootnoteReference"/>
          <w:vertAlign w:val="baseline"/>
        </w:rPr>
        <w:footnoteRef/>
      </w:r>
      <w:r w:rsidRPr="00C947C6">
        <w:rPr>
          <w:rFonts w:hint="cs"/>
          <w:rtl/>
        </w:rPr>
        <w:t>)</w:t>
      </w:r>
      <w:r w:rsidRPr="00C947C6">
        <w:rPr>
          <w:rtl/>
        </w:rPr>
        <w:t xml:space="preserve"> </w:t>
      </w:r>
      <w:r w:rsidRPr="00C947C6">
        <w:rPr>
          <w:rFonts w:hint="eastAsia"/>
          <w:rtl/>
        </w:rPr>
        <w:t>פ</w:t>
      </w:r>
      <w:r w:rsidRPr="00C947C6">
        <w:rPr>
          <w:rtl/>
        </w:rPr>
        <w:t>"</w:t>
      </w:r>
      <w:r w:rsidRPr="00C947C6">
        <w:rPr>
          <w:rFonts w:hint="eastAsia"/>
          <w:rtl/>
        </w:rPr>
        <w:t>ו</w:t>
      </w:r>
      <w:r w:rsidRPr="00C947C6">
        <w:rPr>
          <w:rtl/>
        </w:rPr>
        <w:t xml:space="preserve"> </w:t>
      </w:r>
      <w:r w:rsidRPr="00C947C6">
        <w:rPr>
          <w:rFonts w:hint="eastAsia"/>
          <w:rtl/>
        </w:rPr>
        <w:t>הל</w:t>
      </w:r>
      <w:r w:rsidRPr="00C947C6">
        <w:rPr>
          <w:rtl/>
        </w:rPr>
        <w:t>"</w:t>
      </w:r>
      <w:r w:rsidRPr="00C947C6">
        <w:rPr>
          <w:rFonts w:hint="eastAsia"/>
          <w:rtl/>
        </w:rPr>
        <w:t>א</w:t>
      </w:r>
      <w:r w:rsidRPr="00C947C6">
        <w:t xml:space="preserve"> </w:t>
      </w:r>
    </w:p>
  </w:footnote>
  <w:footnote w:id="47">
    <w:p w14:paraId="365F31AE" w14:textId="7D59F8D8" w:rsidR="004D06EF" w:rsidRDefault="004D06EF" w:rsidP="00C947C6">
      <w:pPr>
        <w:pStyle w:val="FootnoteText"/>
      </w:pPr>
      <w:r w:rsidRPr="00C947C6">
        <w:rPr>
          <w:rStyle w:val="FootnoteReference"/>
          <w:vertAlign w:val="baseline"/>
        </w:rPr>
        <w:footnoteRef/>
      </w:r>
      <w:r w:rsidRPr="00C947C6">
        <w:rPr>
          <w:rFonts w:hint="cs"/>
          <w:rtl/>
        </w:rPr>
        <w:t xml:space="preserve">) </w:t>
      </w:r>
      <w:r w:rsidRPr="00C947C6">
        <w:rPr>
          <w:rFonts w:hint="eastAsia"/>
          <w:rtl/>
        </w:rPr>
        <w:t>פרשת</w:t>
      </w:r>
      <w:r w:rsidRPr="00C947C6">
        <w:rPr>
          <w:rtl/>
        </w:rPr>
        <w:t xml:space="preserve"> </w:t>
      </w:r>
      <w:r w:rsidRPr="00C947C6">
        <w:rPr>
          <w:rFonts w:hint="eastAsia"/>
          <w:rtl/>
        </w:rPr>
        <w:t>נשא</w:t>
      </w:r>
      <w:r w:rsidRPr="00C947C6">
        <w:rPr>
          <w:rtl/>
        </w:rPr>
        <w:t xml:space="preserve"> </w:t>
      </w:r>
      <w:r w:rsidRPr="00C947C6">
        <w:rPr>
          <w:rFonts w:hint="eastAsia"/>
          <w:rtl/>
        </w:rPr>
        <w:t>י</w:t>
      </w:r>
      <w:r w:rsidRPr="00C947C6">
        <w:rPr>
          <w:rtl/>
        </w:rPr>
        <w:t>"</w:t>
      </w:r>
      <w:r w:rsidRPr="00C947C6">
        <w:rPr>
          <w:rFonts w:hint="eastAsia"/>
          <w:rtl/>
        </w:rPr>
        <w:t>ג</w:t>
      </w:r>
      <w:r w:rsidRPr="00C947C6">
        <w:t xml:space="preserve"> </w:t>
      </w:r>
    </w:p>
  </w:footnote>
  <w:footnote w:id="48">
    <w:p w14:paraId="670880D4" w14:textId="6DAF3701" w:rsidR="004D06EF" w:rsidRPr="00C947C6" w:rsidRDefault="004D06EF" w:rsidP="00C947C6">
      <w:pPr>
        <w:pStyle w:val="FootnoteText"/>
        <w:rPr>
          <w:rtl/>
        </w:rPr>
      </w:pPr>
      <w:r w:rsidRPr="00C947C6">
        <w:rPr>
          <w:rStyle w:val="FootnoteReference"/>
          <w:vertAlign w:val="baseline"/>
        </w:rPr>
        <w:footnoteRef/>
      </w:r>
      <w:r w:rsidRPr="00C947C6">
        <w:t xml:space="preserve"> </w:t>
      </w:r>
      <w:r>
        <w:rPr>
          <w:rFonts w:hint="cs"/>
          <w:rtl/>
        </w:rPr>
        <w:t xml:space="preserve">) </w:t>
      </w:r>
      <w:r w:rsidRPr="00C947C6">
        <w:rPr>
          <w:rFonts w:hint="cs"/>
          <w:rtl/>
        </w:rPr>
        <w:t>מלכים א, ו, כ.</w:t>
      </w:r>
    </w:p>
  </w:footnote>
  <w:footnote w:id="49">
    <w:p w14:paraId="4C4332C9" w14:textId="656CECD6" w:rsidR="004D06EF" w:rsidRPr="00C947C6" w:rsidRDefault="004D06EF" w:rsidP="00C947C6">
      <w:pPr>
        <w:pStyle w:val="FootnoteText"/>
        <w:rPr>
          <w:rtl/>
        </w:rPr>
      </w:pPr>
      <w:r w:rsidRPr="00C947C6">
        <w:rPr>
          <w:rStyle w:val="FootnoteReference"/>
          <w:vertAlign w:val="baseline"/>
        </w:rPr>
        <w:footnoteRef/>
      </w:r>
      <w:r w:rsidRPr="00C947C6">
        <w:t xml:space="preserve"> </w:t>
      </w:r>
      <w:r>
        <w:rPr>
          <w:rFonts w:hint="cs"/>
          <w:rtl/>
        </w:rPr>
        <w:t xml:space="preserve">) </w:t>
      </w:r>
      <w:r w:rsidRPr="00C947C6">
        <w:rPr>
          <w:rFonts w:hint="cs"/>
          <w:rtl/>
        </w:rPr>
        <w:t>יחזקאל מא, ד.</w:t>
      </w:r>
    </w:p>
  </w:footnote>
  <w:footnote w:id="50">
    <w:p w14:paraId="490026D4" w14:textId="4B3695D4" w:rsidR="004D06EF" w:rsidRPr="00C947C6" w:rsidRDefault="004D06EF" w:rsidP="00C947C6">
      <w:pPr>
        <w:pStyle w:val="FootnoteText"/>
        <w:rPr>
          <w:rtl/>
        </w:rPr>
      </w:pPr>
      <w:r w:rsidRPr="00C947C6">
        <w:rPr>
          <w:rStyle w:val="FootnoteReference"/>
          <w:vertAlign w:val="baseline"/>
        </w:rPr>
        <w:footnoteRef/>
      </w:r>
      <w:r w:rsidRPr="00C947C6">
        <w:t xml:space="preserve"> </w:t>
      </w:r>
      <w:r>
        <w:rPr>
          <w:rFonts w:hint="cs"/>
          <w:rtl/>
        </w:rPr>
        <w:t xml:space="preserve">) </w:t>
      </w:r>
      <w:r w:rsidRPr="00C947C6">
        <w:rPr>
          <w:rFonts w:hint="cs"/>
          <w:rtl/>
        </w:rPr>
        <w:t xml:space="preserve">שמות כו. </w:t>
      </w:r>
    </w:p>
  </w:footnote>
  <w:footnote w:id="51">
    <w:p w14:paraId="25DE7CBE" w14:textId="1EB8C5F9" w:rsidR="004D06EF" w:rsidRDefault="004D06EF" w:rsidP="00C947C6">
      <w:pPr>
        <w:pStyle w:val="FootnoteText"/>
        <w:rPr>
          <w:rtl/>
        </w:rPr>
      </w:pPr>
      <w:r w:rsidRPr="00C947C6">
        <w:rPr>
          <w:rStyle w:val="FootnoteReference"/>
          <w:vertAlign w:val="baseline"/>
        </w:rPr>
        <w:footnoteRef/>
      </w:r>
      <w:r w:rsidRPr="00C947C6">
        <w:t xml:space="preserve"> </w:t>
      </w:r>
      <w:r>
        <w:rPr>
          <w:rFonts w:hint="cs"/>
          <w:rtl/>
        </w:rPr>
        <w:t xml:space="preserve">) </w:t>
      </w:r>
      <w:r w:rsidRPr="00C947C6">
        <w:rPr>
          <w:rFonts w:hint="cs"/>
          <w:rtl/>
        </w:rPr>
        <w:t>מנחות צח, א.</w:t>
      </w:r>
    </w:p>
  </w:footnote>
  <w:footnote w:id="52">
    <w:p w14:paraId="636443D0" w14:textId="3726369C" w:rsidR="004D06EF" w:rsidRPr="00C947C6" w:rsidRDefault="004D06EF" w:rsidP="00C947C6">
      <w:pPr>
        <w:pStyle w:val="FootnoteText"/>
        <w:rPr>
          <w:rtl/>
        </w:rPr>
      </w:pPr>
      <w:r w:rsidRPr="00C947C6">
        <w:rPr>
          <w:rStyle w:val="FootnoteReference"/>
          <w:vertAlign w:val="baseline"/>
        </w:rPr>
        <w:footnoteRef/>
      </w:r>
      <w:r w:rsidRPr="00C947C6">
        <w:t xml:space="preserve"> </w:t>
      </w:r>
      <w:r>
        <w:rPr>
          <w:rFonts w:hint="cs"/>
          <w:rtl/>
        </w:rPr>
        <w:t xml:space="preserve">) </w:t>
      </w:r>
      <w:r w:rsidRPr="00C947C6">
        <w:rPr>
          <w:rFonts w:hint="cs"/>
          <w:rtl/>
        </w:rPr>
        <w:t>מאמרי אדמו"ר האמצעי ויקרא ח"ב ע' .מ"ה, נ"ך ע' תקנ"א. סה"מ תרפ"ב ע' קי"ד (בהוצאה החדשה).</w:t>
      </w:r>
    </w:p>
  </w:footnote>
  <w:footnote w:id="53">
    <w:p w14:paraId="7CE3E051" w14:textId="60BE3543" w:rsidR="004D06EF" w:rsidRPr="00B26729" w:rsidRDefault="004D06EF" w:rsidP="00B26729">
      <w:pPr>
        <w:pStyle w:val="FootnoteText"/>
      </w:pPr>
      <w:r w:rsidRPr="00B26729">
        <w:rPr>
          <w:rStyle w:val="FootnoteReference"/>
          <w:vertAlign w:val="baseline"/>
        </w:rPr>
        <w:sym w:font="Symbol" w:char="F02A"/>
      </w:r>
      <w:r w:rsidRPr="00B26729">
        <w:rPr>
          <w:rtl/>
        </w:rPr>
        <w:t xml:space="preserve"> </w:t>
      </w:r>
      <w:r w:rsidRPr="00B26729">
        <w:rPr>
          <w:rFonts w:hint="cs"/>
          <w:rtl/>
        </w:rPr>
        <w:t>ספר המאמרים מלוקט ח"ו</w:t>
      </w:r>
    </w:p>
  </w:footnote>
  <w:footnote w:id="54">
    <w:p w14:paraId="52238295" w14:textId="77777777" w:rsidR="004D06EF" w:rsidRPr="00BE2EAB" w:rsidRDefault="004D06EF" w:rsidP="00DC68BF">
      <w:pPr>
        <w:pStyle w:val="FootnoteText"/>
        <w:rPr>
          <w:highlight w:val="white"/>
        </w:rPr>
      </w:pPr>
      <w:r w:rsidRPr="00BE2EAB">
        <w:footnoteRef/>
      </w:r>
      <w:r>
        <w:rPr>
          <w:rFonts w:hint="cs"/>
          <w:highlight w:val="white"/>
          <w:rtl/>
        </w:rPr>
        <w:t>)</w:t>
      </w:r>
      <w:r w:rsidRPr="00BE2EAB">
        <w:rPr>
          <w:highlight w:val="white"/>
          <w:rtl/>
        </w:rPr>
        <w:t xml:space="preserve"> לפי המובא בפנים מהשדי חמד יש לבאר מה שבהמראה מקום (דפו"ר) למ"ש אדה"ז (תלא,ב.)  "לא יהא בו היתר המביא לידי שום אכילה" מציין "שם כא כחזקיה" ולכאורה מהי ההדגשה "כחזקיה" הרי לרבי אבהו "לא יאכל לא תאכל לא תאכלו אחד איסור אכילה ואחד איסור הנאה במשמע" אבל לפי המבואר שגם לרבי אבהו גדר ההנאה שאסרה הוא "שלא יהא בו היתר אכילה". מובן מה שמדגיש בהערה שדברי אדה"ז הם "כחזקיה" ודלא כרבי אבהו ודו"ק.</w:t>
      </w:r>
    </w:p>
  </w:footnote>
  <w:footnote w:id="55">
    <w:p w14:paraId="37557D19" w14:textId="77777777" w:rsidR="004D06EF" w:rsidRDefault="004D06EF" w:rsidP="00DC68BF">
      <w:pPr>
        <w:pStyle w:val="FootnoteText"/>
      </w:pPr>
      <w:r w:rsidRPr="00BE2EAB">
        <w:footnoteRef/>
      </w:r>
      <w:r>
        <w:rPr>
          <w:rFonts w:hint="cs"/>
          <w:rtl/>
        </w:rPr>
        <w:t xml:space="preserve">) </w:t>
      </w:r>
      <w:r w:rsidRPr="00BE2EAB">
        <w:rPr>
          <w:rtl/>
        </w:rPr>
        <w:t xml:space="preserve">ליישב מה שהוקשה לו  "שיהא הטמא בטומאת הגוף חייב כרת אם נהנה מהקדש דכתיב והנפש אשר תאכל וגו' וטומאתה עליו ונכרתה, ומה מקום יש לחלק בין תאכל ללא תאכלו." </w:t>
      </w:r>
      <w:r w:rsidRPr="00BE2EAB">
        <w:t xml:space="preserve"> </w:t>
      </w:r>
    </w:p>
  </w:footnote>
  <w:footnote w:id="56">
    <w:p w14:paraId="65AD024B" w14:textId="77777777" w:rsidR="004D06EF" w:rsidRPr="00BE2EAB" w:rsidRDefault="004D06EF" w:rsidP="00DC68BF">
      <w:pPr>
        <w:pStyle w:val="FootnoteText"/>
      </w:pPr>
      <w:r w:rsidRPr="00BE2EAB">
        <w:footnoteRef/>
      </w:r>
      <w:r w:rsidRPr="00BE2EAB">
        <w:t xml:space="preserve"> </w:t>
      </w:r>
      <w:r>
        <w:rPr>
          <w:rFonts w:hint="cs"/>
          <w:rtl/>
        </w:rPr>
        <w:t xml:space="preserve">) </w:t>
      </w:r>
      <w:r w:rsidRPr="00BE2EAB">
        <w:rPr>
          <w:rtl/>
        </w:rPr>
        <w:t>לכאורה יש לעיין לפי אופן הא'</w:t>
      </w:r>
      <w:r>
        <w:rPr>
          <w:rFonts w:hint="cs"/>
          <w:rtl/>
        </w:rPr>
        <w:t xml:space="preserve"> </w:t>
      </w:r>
      <w:r w:rsidRPr="00BE2EAB">
        <w:rPr>
          <w:rtl/>
        </w:rPr>
        <w:t xml:space="preserve">למה לא יהא חולין שנשחטו בעזרה אסור בהנאה ממה שנאמר "וזבחת ואכלת" (=לשון עתיד) וכמו שהקשה השער המלך אישות ה,א. "קשה דתיפוק ליה דתקרובת ע"ז אסור בהנאה מדאורייתא מדכתיב פרשת כי תשא ל"ד ט"ו פן תכרות ברית ליושב הארץ וקרא לך ואכלת מזבחו". ואולי יש לחלק בין לאו ("פן תכרות . . ואכלת מזבחו") ללאו הבא מכלל עשה ("וזבחת ואכלת"). </w:t>
      </w:r>
    </w:p>
  </w:footnote>
  <w:footnote w:id="57">
    <w:p w14:paraId="4523B9CE" w14:textId="2143A839" w:rsidR="004D06EF" w:rsidRPr="00727B8F" w:rsidRDefault="004D06EF" w:rsidP="00727B8F">
      <w:pPr>
        <w:pStyle w:val="FootnoteText"/>
        <w:rPr>
          <w:rtl/>
        </w:rPr>
      </w:pPr>
      <w:r w:rsidRPr="00727B8F">
        <w:rPr>
          <w:rStyle w:val="FootnoteReference"/>
          <w:vertAlign w:val="baseline"/>
        </w:rPr>
        <w:footnoteRef/>
      </w:r>
      <w:r w:rsidRPr="00727B8F">
        <w:t xml:space="preserve"> </w:t>
      </w:r>
      <w:r>
        <w:rPr>
          <w:rFonts w:hint="cs"/>
          <w:rtl/>
        </w:rPr>
        <w:t>)</w:t>
      </w:r>
      <w:r w:rsidRPr="00727B8F">
        <w:rPr>
          <w:rFonts w:hint="cs"/>
          <w:rtl/>
        </w:rPr>
        <w:t xml:space="preserve"> דף כ"ו ע"ב וכ"ז ע"א</w:t>
      </w:r>
    </w:p>
  </w:footnote>
  <w:footnote w:id="58">
    <w:p w14:paraId="069BE6B6" w14:textId="077E8D31" w:rsidR="004D06EF" w:rsidRDefault="004D06EF" w:rsidP="00727B8F">
      <w:pPr>
        <w:pStyle w:val="FootnoteText"/>
        <w:rPr>
          <w:rtl/>
        </w:rPr>
      </w:pPr>
      <w:r w:rsidRPr="00727B8F">
        <w:rPr>
          <w:rStyle w:val="FootnoteReference"/>
          <w:vertAlign w:val="baseline"/>
        </w:rPr>
        <w:footnoteRef/>
      </w:r>
      <w:r w:rsidRPr="00727B8F">
        <w:t xml:space="preserve"> </w:t>
      </w:r>
      <w:r>
        <w:rPr>
          <w:rFonts w:hint="cs"/>
          <w:rtl/>
        </w:rPr>
        <w:t xml:space="preserve">) </w:t>
      </w:r>
      <w:r w:rsidRPr="00727B8F">
        <w:rPr>
          <w:rtl/>
        </w:rPr>
        <w:t>תרומות פ"ב מ"ג</w:t>
      </w:r>
    </w:p>
  </w:footnote>
  <w:footnote w:id="59">
    <w:p w14:paraId="25EE838C" w14:textId="079AC619" w:rsidR="004D06EF" w:rsidRPr="00727B8F" w:rsidRDefault="004D06EF" w:rsidP="00727B8F">
      <w:pPr>
        <w:pStyle w:val="FootnoteText"/>
        <w:rPr>
          <w:rtl/>
        </w:rPr>
      </w:pPr>
      <w:r w:rsidRPr="00727B8F">
        <w:rPr>
          <w:rStyle w:val="FootnoteReference"/>
          <w:vertAlign w:val="baseline"/>
        </w:rPr>
        <w:footnoteRef/>
      </w:r>
      <w:r w:rsidRPr="00727B8F">
        <w:t xml:space="preserve"> </w:t>
      </w:r>
      <w:r>
        <w:rPr>
          <w:rFonts w:hint="cs"/>
          <w:rtl/>
        </w:rPr>
        <w:t xml:space="preserve">) </w:t>
      </w:r>
      <w:r w:rsidRPr="004C43CB">
        <w:rPr>
          <w:rFonts w:hint="cs"/>
          <w:b/>
          <w:bCs/>
          <w:rtl/>
        </w:rPr>
        <w:t>הערת המערכת</w:t>
      </w:r>
      <w:r w:rsidRPr="00727B8F">
        <w:rPr>
          <w:rFonts w:hint="cs"/>
          <w:rtl/>
        </w:rPr>
        <w:t>: לכאורה אפ"ל דהוי איסור חפצא שהרי התרומה עצמה קדושה וצריך לאכול אותה בטהרה רק שהאיסור הוא רק לאנשים מסוימים</w:t>
      </w:r>
      <w:r>
        <w:rPr>
          <w:rFonts w:hint="cs"/>
          <w:rtl/>
        </w:rPr>
        <w:t xml:space="preserve"> אבל ראה בבית האוצר חלק א' ע' 188 דנקט דהוה איסור גברא.</w:t>
      </w:r>
    </w:p>
  </w:footnote>
  <w:footnote w:id="60">
    <w:p w14:paraId="45A7DE14" w14:textId="7A05C4C5" w:rsidR="004D06EF" w:rsidRPr="00BA0A14" w:rsidRDefault="004D06EF" w:rsidP="00BA0A14">
      <w:pPr>
        <w:pStyle w:val="FootnoteText"/>
        <w:rPr>
          <w:rtl/>
        </w:rPr>
      </w:pPr>
      <w:r w:rsidRPr="00BA0A14">
        <w:rPr>
          <w:rStyle w:val="FootnoteReference"/>
          <w:vertAlign w:val="baseline"/>
        </w:rPr>
        <w:footnoteRef/>
      </w:r>
      <w:r w:rsidRPr="00BA0A14">
        <w:t xml:space="preserve"> </w:t>
      </w:r>
      <w:r>
        <w:rPr>
          <w:rFonts w:hint="cs"/>
          <w:rtl/>
        </w:rPr>
        <w:t xml:space="preserve">) </w:t>
      </w:r>
      <w:r w:rsidRPr="00BA0A14">
        <w:rPr>
          <w:rtl/>
        </w:rPr>
        <w:t xml:space="preserve">דבר זה פלא לעצמו. הלא מפורש בתורה מערב עד בוקר. ולפי החישוב של מלמטה למעלה הי' כמה לילות שלא קיימו מצוה זו! וראה במפרשי הש"ס מה שתירצו. </w:t>
      </w:r>
    </w:p>
  </w:footnote>
  <w:footnote w:id="61">
    <w:p w14:paraId="09187EE0" w14:textId="55AB946C" w:rsidR="004D06EF" w:rsidRPr="00BA0A14" w:rsidRDefault="004D06EF" w:rsidP="00BA0A14">
      <w:pPr>
        <w:pStyle w:val="FootnoteText"/>
        <w:rPr>
          <w:rtl/>
        </w:rPr>
      </w:pPr>
      <w:r w:rsidRPr="00BA0A14">
        <w:rPr>
          <w:rStyle w:val="FootnoteReference"/>
          <w:vertAlign w:val="baseline"/>
        </w:rPr>
        <w:footnoteRef/>
      </w:r>
      <w:r w:rsidRPr="00BA0A14">
        <w:t xml:space="preserve"> </w:t>
      </w:r>
      <w:r>
        <w:rPr>
          <w:rFonts w:hint="cs"/>
          <w:rtl/>
        </w:rPr>
        <w:t xml:space="preserve">) </w:t>
      </w:r>
      <w:r w:rsidRPr="00BA0A14">
        <w:rPr>
          <w:rtl/>
        </w:rPr>
        <w:t xml:space="preserve">דוגמא להדגיש כמה תילי תילי הלכות למידין מהתיבות שבתושב"כ בכלל, והציוויים של בניית המשכן </w:t>
      </w:r>
      <w:bookmarkStart w:id="136" w:name="OLE_LINK2"/>
      <w:r w:rsidRPr="00BA0A14">
        <w:rPr>
          <w:rtl/>
        </w:rPr>
        <w:t xml:space="preserve">והמקדש בפרט,כדאי להזכיר את הרמז שאומרים בשם גדולי ישראל על </w:t>
      </w:r>
      <w:r w:rsidRPr="00BA0A14">
        <w:t>Pi</w:t>
      </w:r>
      <w:r w:rsidRPr="00BA0A14">
        <w:rPr>
          <w:rtl/>
        </w:rPr>
        <w:t xml:space="preserve"> </w:t>
      </w:r>
      <w:r w:rsidRPr="00BA0A14">
        <w:rPr>
          <w:rFonts w:ascii="Cambria" w:hAnsi="Cambria" w:cs="Cambria" w:hint="cs"/>
          <w:rtl/>
        </w:rPr>
        <w:t> </w:t>
      </w:r>
      <w:r w:rsidRPr="00BA0A14">
        <w:rPr>
          <w:rtl/>
        </w:rPr>
        <w:t xml:space="preserve">3.14 </w:t>
      </w:r>
      <w:r w:rsidRPr="00BA0A14">
        <w:rPr>
          <w:rFonts w:ascii="Cambria" w:hAnsi="Cambria" w:cs="Cambria" w:hint="cs"/>
          <w:rtl/>
        </w:rPr>
        <w:t> </w:t>
      </w:r>
      <w:bookmarkStart w:id="137" w:name="OLE_LINK1"/>
      <m:oMath>
        <m:r>
          <w:rPr>
            <w:rFonts w:ascii="Cambria Math" w:hAnsi="Cambria Math" w:cs="Cambria Math" w:hint="cs"/>
            <w:rtl/>
          </w:rPr>
          <m:t>π</m:t>
        </m:r>
      </m:oMath>
      <w:bookmarkEnd w:id="137"/>
      <w:r w:rsidRPr="00BA0A14">
        <w:rPr>
          <w:rtl/>
        </w:rPr>
        <w:t>.</w:t>
      </w:r>
      <w:bookmarkEnd w:id="136"/>
    </w:p>
    <w:p w14:paraId="15AB2F7B" w14:textId="11752225" w:rsidR="004D06EF" w:rsidRPr="00BA0A14" w:rsidRDefault="004D06EF" w:rsidP="00BA0A14">
      <w:pPr>
        <w:pStyle w:val="FootnoteText"/>
        <w:rPr>
          <w:rtl/>
        </w:rPr>
      </w:pPr>
      <w:r w:rsidRPr="00BA0A14">
        <w:rPr>
          <w:rtl/>
        </w:rPr>
        <w:t>ובקיצור - בסיס הגאומטריה (הנדסה) שערכו של 'פאי' ה</w:t>
      </w:r>
      <w:hyperlink r:id="rId1" w:history="1">
        <w:r w:rsidRPr="00BA0A14">
          <w:rPr>
            <w:rtl/>
          </w:rPr>
          <w:t>יחס</w:t>
        </w:r>
      </w:hyperlink>
      <w:r w:rsidRPr="00BA0A14">
        <w:rPr>
          <w:rtl/>
        </w:rPr>
        <w:t xml:space="preserve"> הקבוע בין </w:t>
      </w:r>
      <w:hyperlink r:id="rId2" w:history="1">
        <w:r w:rsidRPr="00BA0A14">
          <w:rPr>
            <w:rtl/>
          </w:rPr>
          <w:t>היקף</w:t>
        </w:r>
      </w:hyperlink>
      <w:r w:rsidRPr="00BA0A14">
        <w:rPr>
          <w:rtl/>
        </w:rPr>
        <w:t xml:space="preserve"> ה</w:t>
      </w:r>
      <w:hyperlink r:id="rId3" w:history="1">
        <w:r w:rsidRPr="00BA0A14">
          <w:rPr>
            <w:rtl/>
          </w:rPr>
          <w:t>מעגל</w:t>
        </w:r>
      </w:hyperlink>
      <w:r w:rsidRPr="00BA0A14">
        <w:rPr>
          <w:rtl/>
        </w:rPr>
        <w:t xml:space="preserve"> ל</w:t>
      </w:r>
      <w:hyperlink r:id="rId4" w:history="1">
        <w:r w:rsidRPr="00BA0A14">
          <w:rPr>
            <w:rtl/>
          </w:rPr>
          <w:t>קוטרו</w:t>
        </w:r>
      </w:hyperlink>
      <w:r w:rsidRPr="00BA0A14">
        <w:rPr>
          <w:rtl/>
        </w:rPr>
        <w:t xml:space="preserve">. הוא </w:t>
      </w:r>
      <w:r w:rsidRPr="00BA0A14">
        <w:rPr>
          <w:rFonts w:ascii="Cambria" w:hAnsi="Cambria" w:cs="Cambria" w:hint="cs"/>
          <w:rtl/>
        </w:rPr>
        <w:t> </w:t>
      </w:r>
      <w:r w:rsidRPr="00BA0A14">
        <w:rPr>
          <w:rFonts w:hint="cs"/>
          <w:rtl/>
        </w:rPr>
        <w:t>………</w:t>
      </w:r>
      <w:r w:rsidRPr="00BA0A14">
        <w:rPr>
          <w:rtl/>
        </w:rPr>
        <w:t>..</w:t>
      </w:r>
      <w:r w:rsidRPr="00BA0A14">
        <w:rPr>
          <w:rFonts w:hint="cs"/>
          <w:rtl/>
        </w:rPr>
        <w:t>………</w:t>
      </w:r>
      <w:r w:rsidRPr="00BA0A14">
        <w:rPr>
          <w:rtl/>
        </w:rPr>
        <w:t xml:space="preserve">.3.1415926535 </w:t>
      </w:r>
      <w:r w:rsidRPr="00BA0A14">
        <w:rPr>
          <w:rFonts w:ascii="Cambria" w:hAnsi="Cambria" w:cs="Cambria" w:hint="cs"/>
          <w:rtl/>
        </w:rPr>
        <w:t> </w:t>
      </w:r>
      <w:r w:rsidRPr="00BA0A14">
        <w:rPr>
          <w:rFonts w:hint="cs"/>
          <w:rtl/>
        </w:rPr>
        <w:t>וכן</w:t>
      </w:r>
      <w:r w:rsidRPr="00BA0A14">
        <w:rPr>
          <w:rtl/>
        </w:rPr>
        <w:t xml:space="preserve"> </w:t>
      </w:r>
      <w:r w:rsidRPr="00BA0A14">
        <w:rPr>
          <w:rFonts w:hint="cs"/>
          <w:rtl/>
        </w:rPr>
        <w:t>הלאה</w:t>
      </w:r>
      <w:r w:rsidRPr="00BA0A14">
        <w:rPr>
          <w:rtl/>
        </w:rPr>
        <w:t xml:space="preserve"> </w:t>
      </w:r>
      <w:r w:rsidRPr="00BA0A14">
        <w:rPr>
          <w:rFonts w:hint="cs"/>
          <w:rtl/>
        </w:rPr>
        <w:t>עד</w:t>
      </w:r>
      <w:r w:rsidRPr="00BA0A14">
        <w:rPr>
          <w:rtl/>
        </w:rPr>
        <w:t xml:space="preserve"> </w:t>
      </w:r>
      <w:r w:rsidRPr="00BA0A14">
        <w:rPr>
          <w:rFonts w:hint="cs"/>
          <w:rtl/>
        </w:rPr>
        <w:t>אין</w:t>
      </w:r>
      <w:r w:rsidRPr="00BA0A14">
        <w:rPr>
          <w:rtl/>
        </w:rPr>
        <w:t xml:space="preserve"> </w:t>
      </w:r>
      <w:r w:rsidRPr="00BA0A14">
        <w:rPr>
          <w:rFonts w:hint="cs"/>
          <w:rtl/>
        </w:rPr>
        <w:t>סוף</w:t>
      </w:r>
      <w:r w:rsidRPr="00BA0A14">
        <w:rPr>
          <w:rtl/>
        </w:rPr>
        <w:t xml:space="preserve">. </w:t>
      </w:r>
      <w:r w:rsidRPr="00BA0A14">
        <w:rPr>
          <w:rFonts w:hint="cs"/>
          <w:rtl/>
        </w:rPr>
        <w:t>והיחס</w:t>
      </w:r>
      <w:r w:rsidRPr="00BA0A14">
        <w:rPr>
          <w:rtl/>
        </w:rPr>
        <w:t xml:space="preserve"> </w:t>
      </w:r>
      <w:r w:rsidRPr="00BA0A14">
        <w:rPr>
          <w:rFonts w:hint="cs"/>
          <w:rtl/>
        </w:rPr>
        <w:t>בין</w:t>
      </w:r>
      <w:r w:rsidRPr="00BA0A14">
        <w:rPr>
          <w:rtl/>
        </w:rPr>
        <w:t xml:space="preserve"> </w:t>
      </w:r>
      <w:r w:rsidRPr="00BA0A14">
        <w:rPr>
          <w:rFonts w:hint="cs"/>
          <w:rtl/>
        </w:rPr>
        <w:t>הקוטר</w:t>
      </w:r>
      <w:r w:rsidRPr="00BA0A14">
        <w:rPr>
          <w:rtl/>
        </w:rPr>
        <w:t xml:space="preserve"> </w:t>
      </w:r>
      <w:r w:rsidRPr="00BA0A14">
        <w:rPr>
          <w:rFonts w:hint="cs"/>
          <w:rtl/>
        </w:rPr>
        <w:t>למעגל</w:t>
      </w:r>
      <w:r w:rsidRPr="00BA0A14">
        <w:rPr>
          <w:rtl/>
        </w:rPr>
        <w:t xml:space="preserve"> </w:t>
      </w:r>
      <w:r w:rsidRPr="00BA0A14">
        <w:rPr>
          <w:rFonts w:hint="cs"/>
          <w:rtl/>
        </w:rPr>
        <w:t>הוא</w:t>
      </w:r>
      <w:r w:rsidRPr="00BA0A14">
        <w:rPr>
          <w:rtl/>
        </w:rPr>
        <w:t xml:space="preserve"> 1.047. </w:t>
      </w:r>
    </w:p>
    <w:p w14:paraId="0BB709FE" w14:textId="2920396A" w:rsidR="004D06EF" w:rsidRPr="00BA0A14" w:rsidRDefault="004D06EF" w:rsidP="00BA0A14">
      <w:pPr>
        <w:pStyle w:val="FootnoteText"/>
        <w:rPr>
          <w:rtl/>
        </w:rPr>
      </w:pPr>
      <w:r w:rsidRPr="00BA0A14">
        <w:rPr>
          <w:rtl/>
        </w:rPr>
        <w:t xml:space="preserve">בספר מלכים א (ז, כג) אודות הים של שלמה של בית המקדש הראשון יש רמז על זה: "ויעש את הים מוצק עשר באמה משפתו עד שפתו עגול סביב וחמש באמה קומתו וקוה (וקו) שלושים באמה יסוב אותו סביב". </w:t>
      </w:r>
    </w:p>
    <w:p w14:paraId="0806FD97" w14:textId="77777777" w:rsidR="004D06EF" w:rsidRPr="00BA0A14" w:rsidRDefault="004D06EF" w:rsidP="00BA0A14">
      <w:pPr>
        <w:pStyle w:val="FootnoteText"/>
      </w:pPr>
      <w:r w:rsidRPr="00BA0A14">
        <w:rPr>
          <w:rtl/>
        </w:rPr>
        <w:t xml:space="preserve">'עשר אמות משפתו ועד שפתו' הוא הקוטב. </w:t>
      </w:r>
    </w:p>
    <w:p w14:paraId="0F3B32B2" w14:textId="77777777" w:rsidR="004D06EF" w:rsidRPr="00BA0A14" w:rsidRDefault="004D06EF" w:rsidP="00BA0A14">
      <w:pPr>
        <w:pStyle w:val="FootnoteText"/>
        <w:rPr>
          <w:rtl/>
        </w:rPr>
      </w:pPr>
      <w:r w:rsidRPr="00BA0A14">
        <w:rPr>
          <w:rtl/>
        </w:rPr>
        <w:t xml:space="preserve">'וקוה (וקו) שלושים באמה יסוב אותו סביב' הוא היקף מעגל. </w:t>
      </w:r>
      <w:r w:rsidRPr="00BA0A14">
        <w:rPr>
          <w:rFonts w:ascii="Cambria" w:hAnsi="Cambria" w:cs="Cambria" w:hint="cs"/>
          <w:rtl/>
        </w:rPr>
        <w:t> </w:t>
      </w:r>
    </w:p>
    <w:p w14:paraId="47FBB923" w14:textId="54476C2D" w:rsidR="004D06EF" w:rsidRPr="00BA0A14" w:rsidRDefault="004D06EF" w:rsidP="00BA0A14">
      <w:pPr>
        <w:pStyle w:val="FootnoteText"/>
        <w:rPr>
          <w:rtl/>
        </w:rPr>
      </w:pPr>
      <w:r w:rsidRPr="00BA0A14">
        <w:rPr>
          <w:rtl/>
        </w:rPr>
        <w:t xml:space="preserve">כלומר, הפסוק אומר שהקוטר הוא עשר אמות. והיקף המעגל הוא שלשים. </w:t>
      </w:r>
    </w:p>
    <w:p w14:paraId="0549FD92" w14:textId="530DDDED" w:rsidR="004D06EF" w:rsidRPr="00BA0A14" w:rsidRDefault="004D06EF" w:rsidP="00BA0A14">
      <w:pPr>
        <w:pStyle w:val="FootnoteText"/>
        <w:rPr>
          <w:rtl/>
        </w:rPr>
      </w:pPr>
      <w:r w:rsidRPr="00BA0A14">
        <w:rPr>
          <w:rtl/>
        </w:rPr>
        <w:t>והנה, מספר המעגל ה'שלושים' הוא לא בדיוק, כי לפי החשבון יוצא שהוא 31.47 אמות, רק התורה דברה במספרים עגולים. וכלשון הגמרא בסוכה 'פורתא לא דק'.</w:t>
      </w:r>
    </w:p>
    <w:p w14:paraId="2163CFD2" w14:textId="621B5ECC" w:rsidR="004D06EF" w:rsidRPr="00BA0A14" w:rsidRDefault="004D06EF" w:rsidP="00FA60BC">
      <w:pPr>
        <w:pStyle w:val="FootnoteText"/>
        <w:rPr>
          <w:rtl/>
        </w:rPr>
      </w:pPr>
      <w:r w:rsidRPr="00BA0A14">
        <w:rPr>
          <w:rtl/>
        </w:rPr>
        <w:t xml:space="preserve">אבל הפסוק רמז לנו למספר יותר מדויק. [אבל לא המספר האמיתי, שהוא בלתי אפשרי להגיע אליו, וכדלהלן] </w:t>
      </w:r>
      <w:r w:rsidRPr="00BA0A14">
        <w:rPr>
          <w:rFonts w:ascii="Cambria" w:hAnsi="Cambria" w:cs="Cambria" w:hint="cs"/>
          <w:rtl/>
        </w:rPr>
        <w:t> </w:t>
      </w:r>
    </w:p>
    <w:p w14:paraId="0D285CAC" w14:textId="77777777" w:rsidR="004D06EF" w:rsidRPr="00BA0A14" w:rsidRDefault="004D06EF" w:rsidP="00BA0A14">
      <w:pPr>
        <w:pStyle w:val="FootnoteText"/>
        <w:rPr>
          <w:rtl/>
        </w:rPr>
      </w:pPr>
      <w:r w:rsidRPr="00BA0A14">
        <w:rPr>
          <w:rtl/>
        </w:rPr>
        <w:t xml:space="preserve">כי הקרי (על המעגל) הוא: </w:t>
      </w:r>
      <w:r w:rsidRPr="00BA0A14">
        <w:rPr>
          <w:b/>
          <w:bCs/>
          <w:rtl/>
        </w:rPr>
        <w:t>קו</w:t>
      </w:r>
      <w:r w:rsidRPr="00BA0A14">
        <w:rPr>
          <w:rtl/>
        </w:rPr>
        <w:t xml:space="preserve">. הכתיב הוא </w:t>
      </w:r>
      <w:r w:rsidRPr="00BA0A14">
        <w:rPr>
          <w:b/>
          <w:bCs/>
          <w:rtl/>
        </w:rPr>
        <w:t>קוה</w:t>
      </w:r>
      <w:r w:rsidRPr="00BA0A14">
        <w:rPr>
          <w:rtl/>
        </w:rPr>
        <w:t xml:space="preserve">. היחס בין הגימטריה של המילה קוה (111) למילה קו (106) הוא: </w:t>
      </w:r>
      <w:r w:rsidRPr="00BA0A14">
        <w:rPr>
          <w:rFonts w:ascii="Cambria" w:hAnsi="Cambria" w:cs="Cambria" w:hint="cs"/>
          <w:rtl/>
        </w:rPr>
        <w:t> </w:t>
      </w:r>
      <w:r w:rsidRPr="00BA0A14">
        <w:rPr>
          <w:rtl/>
        </w:rPr>
        <w:t>1.047.   111/106 = 1.047</w:t>
      </w:r>
    </w:p>
    <w:p w14:paraId="6077F17F" w14:textId="77777777" w:rsidR="004D06EF" w:rsidRPr="00BA0A14" w:rsidRDefault="004D06EF" w:rsidP="00BA0A14">
      <w:pPr>
        <w:pStyle w:val="FootnoteText"/>
        <w:rPr>
          <w:rtl/>
        </w:rPr>
      </w:pPr>
      <w:r w:rsidRPr="00BA0A14">
        <w:rPr>
          <w:rtl/>
        </w:rPr>
        <w:t xml:space="preserve">והוא בדיוק היחס בין מ"ש בפסוק שלשים אמה לבין מספר 3.14. </w:t>
      </w:r>
    </w:p>
    <w:p w14:paraId="4FA46C2F" w14:textId="5607B64C" w:rsidR="004D06EF" w:rsidRPr="00BA0A14" w:rsidRDefault="004D06EF" w:rsidP="00BA0A14">
      <w:pPr>
        <w:pStyle w:val="FootnoteText"/>
        <w:rPr>
          <w:rtl/>
        </w:rPr>
      </w:pPr>
      <w:r w:rsidRPr="00BA0A14">
        <w:rPr>
          <w:rtl/>
        </w:rPr>
        <w:t xml:space="preserve">כי 3.14/3 = 1.047. והוא היחס בין הקוטר למעגל שהוא 1.047. </w:t>
      </w:r>
    </w:p>
    <w:p w14:paraId="6641753A" w14:textId="00E95C5A" w:rsidR="004D06EF" w:rsidRPr="00BA0A14" w:rsidRDefault="004D06EF" w:rsidP="00BA0A14">
      <w:pPr>
        <w:pStyle w:val="FootnoteText"/>
        <w:rPr>
          <w:rtl/>
        </w:rPr>
      </w:pPr>
      <w:r w:rsidRPr="00BA0A14">
        <w:rPr>
          <w:rtl/>
        </w:rPr>
        <w:t>ולהעיר מ"ש אדמו"ר הצ"צ (י"ל לאחרונה מכת"י,</w:t>
      </w:r>
      <w:hyperlink r:id="rId5" w:history="1">
        <w:r w:rsidRPr="00BA0A14">
          <w:rPr>
            <w:rtl/>
          </w:rPr>
          <w:t xml:space="preserve"> ד"ה להשכילך בינה</w:t>
        </w:r>
      </w:hyperlink>
      <w:r w:rsidRPr="00BA0A14">
        <w:rPr>
          <w:rtl/>
        </w:rPr>
        <w:t xml:space="preserve">) אודות היחס האלכסון על מרובע שגם הוא מספר בלתי מחושבן, </w:t>
      </w:r>
      <w:r w:rsidRPr="00BA0A14">
        <w:rPr>
          <w:rFonts w:ascii="Cambria" w:hAnsi="Cambria" w:cs="Cambria" w:hint="cs"/>
          <w:rtl/>
        </w:rPr>
        <w:t> </w:t>
      </w:r>
      <w:r w:rsidRPr="00BA0A14">
        <w:rPr>
          <w:rtl/>
        </w:rPr>
        <w:t xml:space="preserve">(1.41421356237  </w:t>
      </w:r>
      <w:r w:rsidRPr="00BA0A14">
        <w:rPr>
          <w:rFonts w:hint="cs"/>
          <w:rtl/>
        </w:rPr>
        <w:t>והלאה</w:t>
      </w:r>
      <w:r w:rsidRPr="00BA0A14">
        <w:rPr>
          <w:rtl/>
        </w:rPr>
        <w:t xml:space="preserve"> </w:t>
      </w:r>
      <w:r w:rsidRPr="00BA0A14">
        <w:rPr>
          <w:rFonts w:hint="cs"/>
          <w:rtl/>
        </w:rPr>
        <w:t>עד</w:t>
      </w:r>
      <w:r w:rsidRPr="00BA0A14">
        <w:rPr>
          <w:rtl/>
        </w:rPr>
        <w:t xml:space="preserve"> </w:t>
      </w:r>
      <w:r w:rsidRPr="00BA0A14">
        <w:rPr>
          <w:rFonts w:hint="cs"/>
          <w:rtl/>
        </w:rPr>
        <w:t>אין</w:t>
      </w:r>
      <w:r w:rsidRPr="00BA0A14">
        <w:rPr>
          <w:rtl/>
        </w:rPr>
        <w:t xml:space="preserve"> </w:t>
      </w:r>
      <w:r w:rsidRPr="00BA0A14">
        <w:rPr>
          <w:rFonts w:hint="cs"/>
          <w:rtl/>
        </w:rPr>
        <w:t>סוף</w:t>
      </w:r>
      <w:r w:rsidRPr="00BA0A14">
        <w:rPr>
          <w:rtl/>
        </w:rPr>
        <w:t xml:space="preserve">), </w:t>
      </w:r>
      <w:r w:rsidRPr="00BA0A14">
        <w:rPr>
          <w:rFonts w:hint="cs"/>
          <w:rtl/>
        </w:rPr>
        <w:t>וא</w:t>
      </w:r>
      <w:r w:rsidRPr="00BA0A14">
        <w:rPr>
          <w:rtl/>
        </w:rPr>
        <w:t>"</w:t>
      </w:r>
      <w:r w:rsidRPr="00BA0A14">
        <w:rPr>
          <w:rFonts w:hint="cs"/>
          <w:rtl/>
        </w:rPr>
        <w:t>א</w:t>
      </w:r>
      <w:r w:rsidRPr="00BA0A14">
        <w:rPr>
          <w:rtl/>
        </w:rPr>
        <w:t xml:space="preserve"> </w:t>
      </w:r>
      <w:r w:rsidRPr="00BA0A14">
        <w:rPr>
          <w:rFonts w:hint="cs"/>
          <w:rtl/>
        </w:rPr>
        <w:t>לידע</w:t>
      </w:r>
      <w:r w:rsidRPr="00BA0A14">
        <w:rPr>
          <w:rtl/>
        </w:rPr>
        <w:t xml:space="preserve"> </w:t>
      </w:r>
      <w:r w:rsidRPr="00BA0A14">
        <w:rPr>
          <w:rFonts w:hint="cs"/>
          <w:rtl/>
        </w:rPr>
        <w:t>מדתו</w:t>
      </w:r>
      <w:r w:rsidRPr="00BA0A14">
        <w:rPr>
          <w:rtl/>
        </w:rPr>
        <w:t xml:space="preserve"> </w:t>
      </w:r>
      <w:r w:rsidRPr="00BA0A14">
        <w:rPr>
          <w:rFonts w:hint="cs"/>
          <w:rtl/>
        </w:rPr>
        <w:t>בדיוק</w:t>
      </w:r>
      <w:r w:rsidRPr="00BA0A14">
        <w:rPr>
          <w:rtl/>
        </w:rPr>
        <w:t xml:space="preserve"> </w:t>
      </w:r>
      <w:r w:rsidRPr="00BA0A14">
        <w:rPr>
          <w:rFonts w:hint="cs"/>
          <w:rtl/>
        </w:rPr>
        <w:t>בשום</w:t>
      </w:r>
      <w:r w:rsidRPr="00BA0A14">
        <w:rPr>
          <w:rtl/>
        </w:rPr>
        <w:t xml:space="preserve"> </w:t>
      </w:r>
      <w:r w:rsidRPr="00BA0A14">
        <w:rPr>
          <w:rFonts w:hint="cs"/>
          <w:rtl/>
        </w:rPr>
        <w:t>אופן</w:t>
      </w:r>
      <w:r w:rsidRPr="00BA0A14">
        <w:rPr>
          <w:rtl/>
        </w:rPr>
        <w:t xml:space="preserve">. </w:t>
      </w:r>
    </w:p>
    <w:p w14:paraId="783B2B60" w14:textId="77777777" w:rsidR="004D06EF" w:rsidRPr="00BA0A14" w:rsidRDefault="004D06EF" w:rsidP="00BA0A14">
      <w:pPr>
        <w:pStyle w:val="FootnoteText"/>
      </w:pPr>
      <w:r w:rsidRPr="00BA0A14">
        <w:rPr>
          <w:rtl/>
        </w:rPr>
        <w:t xml:space="preserve">(ומציין לרמב"ם שכותב אותו דבר אודות מספר </w:t>
      </w:r>
      <w:r w:rsidRPr="00BA0A14">
        <w:t>Pi</w:t>
      </w:r>
      <w:r w:rsidRPr="00BA0A14">
        <w:rPr>
          <w:rtl/>
        </w:rPr>
        <w:t xml:space="preserve">, שגם בו א"א להשיג את המספר המדוייק). וזה לא מצד חסרון חכמתינו אלא מצד הטבע, שהטביע ה' בטבע להראות לנו שאין שכל האנושי שלם להבין כל דבר…. והאלוקים עשה דבר ממשי וגשמי שאי אפשר לשערו ולכוונו בדיוק. </w:t>
      </w:r>
    </w:p>
    <w:p w14:paraId="10FC0501" w14:textId="57AE5578" w:rsidR="004D06EF" w:rsidRPr="00BA0A14" w:rsidRDefault="004D06EF" w:rsidP="00127F2F">
      <w:pPr>
        <w:pStyle w:val="FootnoteText"/>
        <w:rPr>
          <w:rtl/>
        </w:rPr>
      </w:pPr>
      <w:r w:rsidRPr="00BA0A14">
        <w:rPr>
          <w:rtl/>
        </w:rPr>
        <w:t>א"כ ישא האדם ק"ו בעצמו ואם בדבר גשמי א"א לו להבינו על בוריו עאכו"כ בדברים העומדים ברומו של עולם…. הוא למעלה מהשגתינו.</w:t>
      </w:r>
    </w:p>
  </w:footnote>
  <w:footnote w:id="62">
    <w:p w14:paraId="2F58A60C" w14:textId="16875B46" w:rsidR="004D06EF" w:rsidRPr="00BA0A14" w:rsidRDefault="004D06EF" w:rsidP="00BA0A14">
      <w:pPr>
        <w:pStyle w:val="FootnoteText"/>
      </w:pPr>
      <w:r w:rsidRPr="00BA0A14">
        <w:rPr>
          <w:rStyle w:val="FootnoteReference"/>
          <w:vertAlign w:val="baseline"/>
        </w:rPr>
        <w:footnoteRef/>
      </w:r>
      <w:r w:rsidRPr="00BA0A14">
        <w:t xml:space="preserve"> </w:t>
      </w:r>
      <w:r>
        <w:rPr>
          <w:rFonts w:hint="cs"/>
          <w:rtl/>
        </w:rPr>
        <w:t xml:space="preserve">) </w:t>
      </w:r>
      <w:r w:rsidRPr="00BA0A14">
        <w:rPr>
          <w:rFonts w:hint="cs"/>
          <w:rtl/>
        </w:rPr>
        <w:t>הערני</w:t>
      </w:r>
      <w:r w:rsidRPr="00BA0A14">
        <w:rPr>
          <w:rtl/>
        </w:rPr>
        <w:t xml:space="preserve"> </w:t>
      </w:r>
      <w:r w:rsidRPr="00BA0A14">
        <w:rPr>
          <w:rFonts w:hint="cs"/>
          <w:rtl/>
        </w:rPr>
        <w:t>ח</w:t>
      </w:r>
      <w:r w:rsidRPr="00BA0A14">
        <w:rPr>
          <w:rtl/>
        </w:rPr>
        <w:t>"</w:t>
      </w:r>
      <w:r w:rsidRPr="00BA0A14">
        <w:rPr>
          <w:rFonts w:hint="cs"/>
          <w:rtl/>
        </w:rPr>
        <w:t>א</w:t>
      </w:r>
      <w:r w:rsidRPr="00BA0A14">
        <w:rPr>
          <w:rtl/>
        </w:rPr>
        <w:t xml:space="preserve"> </w:t>
      </w:r>
      <w:r w:rsidRPr="00BA0A14">
        <w:rPr>
          <w:rFonts w:hint="cs"/>
          <w:rtl/>
        </w:rPr>
        <w:t>שאולי</w:t>
      </w:r>
      <w:r w:rsidRPr="00BA0A14">
        <w:rPr>
          <w:rtl/>
        </w:rPr>
        <w:t xml:space="preserve"> </w:t>
      </w:r>
      <w:r w:rsidRPr="00BA0A14">
        <w:rPr>
          <w:rFonts w:hint="cs"/>
          <w:rtl/>
        </w:rPr>
        <w:t>הכוונה</w:t>
      </w:r>
      <w:r w:rsidRPr="00BA0A14">
        <w:rPr>
          <w:rtl/>
        </w:rPr>
        <w:t xml:space="preserve"> </w:t>
      </w:r>
      <w:r w:rsidRPr="00BA0A14">
        <w:rPr>
          <w:rFonts w:hint="cs"/>
          <w:rtl/>
        </w:rPr>
        <w:t>ב</w:t>
      </w:r>
      <w:r w:rsidRPr="00BA0A14">
        <w:rPr>
          <w:rtl/>
        </w:rPr>
        <w:t>'</w:t>
      </w:r>
      <w:r w:rsidRPr="00BA0A14">
        <w:rPr>
          <w:rFonts w:hint="cs"/>
          <w:rtl/>
        </w:rPr>
        <w:t>שיערו</w:t>
      </w:r>
      <w:r w:rsidRPr="00BA0A14">
        <w:rPr>
          <w:rtl/>
        </w:rPr>
        <w:t xml:space="preserve"> </w:t>
      </w:r>
      <w:r w:rsidRPr="00BA0A14">
        <w:rPr>
          <w:rFonts w:hint="cs"/>
          <w:rtl/>
        </w:rPr>
        <w:t>חכמים</w:t>
      </w:r>
      <w:r w:rsidRPr="00BA0A14">
        <w:rPr>
          <w:rtl/>
        </w:rPr>
        <w:t xml:space="preserve">' </w:t>
      </w:r>
      <w:r w:rsidRPr="00BA0A14">
        <w:rPr>
          <w:rFonts w:hint="cs"/>
          <w:rtl/>
        </w:rPr>
        <w:t>היינו</w:t>
      </w:r>
      <w:r w:rsidRPr="00BA0A14">
        <w:rPr>
          <w:rtl/>
        </w:rPr>
        <w:t xml:space="preserve"> </w:t>
      </w:r>
      <w:r w:rsidRPr="00BA0A14">
        <w:rPr>
          <w:rFonts w:hint="cs"/>
          <w:rtl/>
        </w:rPr>
        <w:t>החכמים</w:t>
      </w:r>
      <w:r w:rsidRPr="00BA0A14">
        <w:rPr>
          <w:rtl/>
        </w:rPr>
        <w:t xml:space="preserve"> </w:t>
      </w:r>
      <w:r w:rsidRPr="00BA0A14">
        <w:rPr>
          <w:rFonts w:hint="cs"/>
          <w:rtl/>
        </w:rPr>
        <w:t>לאחר</w:t>
      </w:r>
      <w:r w:rsidRPr="00BA0A14">
        <w:rPr>
          <w:rtl/>
        </w:rPr>
        <w:t xml:space="preserve"> </w:t>
      </w:r>
      <w:r w:rsidRPr="00BA0A14">
        <w:rPr>
          <w:rFonts w:hint="cs"/>
          <w:rtl/>
        </w:rPr>
        <w:t>החורבן</w:t>
      </w:r>
      <w:r w:rsidRPr="00BA0A14">
        <w:rPr>
          <w:rtl/>
        </w:rPr>
        <w:t xml:space="preserve">. </w:t>
      </w:r>
      <w:r w:rsidRPr="00BA0A14">
        <w:rPr>
          <w:rFonts w:hint="cs"/>
          <w:rtl/>
        </w:rPr>
        <w:t>כלומר</w:t>
      </w:r>
      <w:r w:rsidRPr="00BA0A14">
        <w:rPr>
          <w:rtl/>
        </w:rPr>
        <w:t xml:space="preserve">, </w:t>
      </w:r>
      <w:r w:rsidRPr="00BA0A14">
        <w:rPr>
          <w:rFonts w:hint="cs"/>
          <w:rtl/>
        </w:rPr>
        <w:t>בזמן</w:t>
      </w:r>
      <w:r w:rsidRPr="00BA0A14">
        <w:rPr>
          <w:rtl/>
        </w:rPr>
        <w:t xml:space="preserve"> </w:t>
      </w:r>
      <w:r w:rsidRPr="00BA0A14">
        <w:rPr>
          <w:rFonts w:hint="cs"/>
          <w:rtl/>
        </w:rPr>
        <w:t>הבית</w:t>
      </w:r>
      <w:r w:rsidRPr="00BA0A14">
        <w:rPr>
          <w:rtl/>
        </w:rPr>
        <w:t xml:space="preserve"> </w:t>
      </w:r>
      <w:r w:rsidRPr="00BA0A14">
        <w:rPr>
          <w:rFonts w:hint="cs"/>
          <w:rtl/>
        </w:rPr>
        <w:t>ידעו</w:t>
      </w:r>
      <w:r w:rsidRPr="00BA0A14">
        <w:rPr>
          <w:rtl/>
        </w:rPr>
        <w:t xml:space="preserve"> </w:t>
      </w:r>
      <w:r w:rsidRPr="00BA0A14">
        <w:rPr>
          <w:rFonts w:hint="cs"/>
          <w:rtl/>
        </w:rPr>
        <w:t>בדיוק</w:t>
      </w:r>
      <w:r w:rsidRPr="00BA0A14">
        <w:rPr>
          <w:rtl/>
        </w:rPr>
        <w:t xml:space="preserve"> </w:t>
      </w:r>
      <w:r w:rsidRPr="00BA0A14">
        <w:rPr>
          <w:rFonts w:hint="cs"/>
          <w:rtl/>
        </w:rPr>
        <w:t>עפ</w:t>
      </w:r>
      <w:r w:rsidRPr="00BA0A14">
        <w:rPr>
          <w:rtl/>
        </w:rPr>
        <w:t>"</w:t>
      </w:r>
      <w:r w:rsidRPr="00BA0A14">
        <w:rPr>
          <w:rFonts w:hint="cs"/>
          <w:rtl/>
        </w:rPr>
        <w:t>י</w:t>
      </w:r>
      <w:r w:rsidRPr="00BA0A14">
        <w:rPr>
          <w:rtl/>
        </w:rPr>
        <w:t xml:space="preserve"> </w:t>
      </w:r>
      <w:r w:rsidRPr="00BA0A14">
        <w:rPr>
          <w:rFonts w:hint="cs"/>
          <w:rtl/>
        </w:rPr>
        <w:t>הלל</w:t>
      </w:r>
      <w:r w:rsidRPr="00BA0A14">
        <w:rPr>
          <w:rtl/>
        </w:rPr>
        <w:t>"</w:t>
      </w:r>
      <w:r w:rsidRPr="00BA0A14">
        <w:rPr>
          <w:rFonts w:hint="cs"/>
          <w:rtl/>
        </w:rPr>
        <w:t>מ</w:t>
      </w:r>
      <w:r w:rsidRPr="00BA0A14">
        <w:rPr>
          <w:rtl/>
        </w:rPr>
        <w:t xml:space="preserve"> </w:t>
      </w:r>
      <w:r w:rsidRPr="00BA0A14">
        <w:rPr>
          <w:rFonts w:hint="cs"/>
          <w:rtl/>
        </w:rPr>
        <w:t>שהשיעור</w:t>
      </w:r>
      <w:r w:rsidRPr="00BA0A14">
        <w:rPr>
          <w:rtl/>
        </w:rPr>
        <w:t xml:space="preserve"> </w:t>
      </w:r>
      <w:r w:rsidRPr="00BA0A14">
        <w:rPr>
          <w:rFonts w:hint="cs"/>
          <w:rtl/>
        </w:rPr>
        <w:t>הוא</w:t>
      </w:r>
      <w:r w:rsidRPr="00BA0A14">
        <w:rPr>
          <w:rtl/>
        </w:rPr>
        <w:t xml:space="preserve"> </w:t>
      </w:r>
      <w:r w:rsidRPr="00BA0A14">
        <w:rPr>
          <w:rFonts w:hint="cs"/>
          <w:rtl/>
        </w:rPr>
        <w:t>חצי</w:t>
      </w:r>
      <w:r w:rsidRPr="00BA0A14">
        <w:rPr>
          <w:rtl/>
        </w:rPr>
        <w:t xml:space="preserve"> </w:t>
      </w:r>
      <w:r w:rsidRPr="00BA0A14">
        <w:rPr>
          <w:rFonts w:hint="cs"/>
          <w:rtl/>
        </w:rPr>
        <w:t>לוג</w:t>
      </w:r>
      <w:r w:rsidRPr="00BA0A14">
        <w:rPr>
          <w:rtl/>
        </w:rPr>
        <w:t xml:space="preserve">. </w:t>
      </w:r>
      <w:r w:rsidRPr="00BA0A14">
        <w:rPr>
          <w:rFonts w:hint="cs"/>
          <w:rtl/>
        </w:rPr>
        <w:t>אבל</w:t>
      </w:r>
      <w:r w:rsidRPr="00BA0A14">
        <w:rPr>
          <w:rtl/>
        </w:rPr>
        <w:t xml:space="preserve"> </w:t>
      </w:r>
      <w:r w:rsidRPr="00BA0A14">
        <w:rPr>
          <w:rFonts w:hint="cs"/>
          <w:rtl/>
        </w:rPr>
        <w:t>מדה</w:t>
      </w:r>
      <w:r w:rsidRPr="00BA0A14">
        <w:rPr>
          <w:rtl/>
        </w:rPr>
        <w:t xml:space="preserve"> </w:t>
      </w:r>
      <w:r w:rsidRPr="00BA0A14">
        <w:rPr>
          <w:rFonts w:hint="cs"/>
          <w:rtl/>
        </w:rPr>
        <w:t>זו</w:t>
      </w:r>
      <w:r w:rsidRPr="00BA0A14">
        <w:rPr>
          <w:rtl/>
        </w:rPr>
        <w:t xml:space="preserve"> </w:t>
      </w:r>
      <w:r w:rsidRPr="00BA0A14">
        <w:rPr>
          <w:rFonts w:hint="cs"/>
          <w:rtl/>
        </w:rPr>
        <w:t>נשתכחה</w:t>
      </w:r>
      <w:r w:rsidRPr="00BA0A14">
        <w:rPr>
          <w:rtl/>
        </w:rPr>
        <w:t xml:space="preserve"> </w:t>
      </w:r>
      <w:r w:rsidRPr="00BA0A14">
        <w:rPr>
          <w:rFonts w:hint="cs"/>
          <w:rtl/>
        </w:rPr>
        <w:t>אחרי</w:t>
      </w:r>
      <w:r w:rsidRPr="00BA0A14">
        <w:rPr>
          <w:rtl/>
        </w:rPr>
        <w:t xml:space="preserve"> </w:t>
      </w:r>
      <w:r w:rsidRPr="00BA0A14">
        <w:rPr>
          <w:rFonts w:hint="cs"/>
          <w:rtl/>
        </w:rPr>
        <w:t>החורבן</w:t>
      </w:r>
      <w:r w:rsidRPr="00BA0A14">
        <w:rPr>
          <w:rtl/>
        </w:rPr>
        <w:t xml:space="preserve">, </w:t>
      </w:r>
      <w:r w:rsidRPr="00BA0A14">
        <w:rPr>
          <w:rFonts w:hint="cs"/>
          <w:rtl/>
        </w:rPr>
        <w:t>והחכמים</w:t>
      </w:r>
      <w:r w:rsidRPr="00BA0A14">
        <w:rPr>
          <w:rtl/>
        </w:rPr>
        <w:t xml:space="preserve"> </w:t>
      </w:r>
      <w:r w:rsidRPr="00BA0A14">
        <w:rPr>
          <w:rFonts w:hint="cs"/>
          <w:rtl/>
        </w:rPr>
        <w:t>שבזמן</w:t>
      </w:r>
      <w:r w:rsidRPr="00BA0A14">
        <w:rPr>
          <w:rtl/>
        </w:rPr>
        <w:t xml:space="preserve"> </w:t>
      </w:r>
      <w:r w:rsidRPr="00BA0A14">
        <w:rPr>
          <w:rFonts w:hint="cs"/>
          <w:rtl/>
        </w:rPr>
        <w:t>הגמרא</w:t>
      </w:r>
      <w:r w:rsidRPr="00BA0A14">
        <w:rPr>
          <w:rtl/>
        </w:rPr>
        <w:t xml:space="preserve"> </w:t>
      </w:r>
      <w:r w:rsidRPr="00BA0A14">
        <w:rPr>
          <w:rFonts w:hint="cs"/>
          <w:rtl/>
        </w:rPr>
        <w:t>רצו</w:t>
      </w:r>
      <w:r w:rsidRPr="00BA0A14">
        <w:rPr>
          <w:rtl/>
        </w:rPr>
        <w:t xml:space="preserve"> </w:t>
      </w:r>
      <w:r w:rsidRPr="00BA0A14">
        <w:rPr>
          <w:rFonts w:hint="cs"/>
          <w:rtl/>
        </w:rPr>
        <w:t>לחשבן</w:t>
      </w:r>
      <w:r w:rsidRPr="00BA0A14">
        <w:rPr>
          <w:rtl/>
        </w:rPr>
        <w:t xml:space="preserve"> </w:t>
      </w:r>
      <w:r w:rsidRPr="00BA0A14">
        <w:rPr>
          <w:rFonts w:hint="cs"/>
          <w:rtl/>
        </w:rPr>
        <w:t>את</w:t>
      </w:r>
      <w:r w:rsidRPr="00BA0A14">
        <w:rPr>
          <w:rtl/>
        </w:rPr>
        <w:t xml:space="preserve"> </w:t>
      </w:r>
      <w:r w:rsidRPr="00BA0A14">
        <w:rPr>
          <w:rFonts w:hint="cs"/>
          <w:rtl/>
        </w:rPr>
        <w:t>מידת</w:t>
      </w:r>
      <w:r w:rsidRPr="00BA0A14">
        <w:rPr>
          <w:rtl/>
        </w:rPr>
        <w:t xml:space="preserve"> </w:t>
      </w:r>
      <w:r w:rsidRPr="00BA0A14">
        <w:rPr>
          <w:rFonts w:hint="cs"/>
          <w:rtl/>
        </w:rPr>
        <w:t>השמן</w:t>
      </w:r>
      <w:r w:rsidRPr="00BA0A14">
        <w:rPr>
          <w:rtl/>
        </w:rPr>
        <w:t xml:space="preserve"> </w:t>
      </w:r>
      <w:r w:rsidRPr="00BA0A14">
        <w:rPr>
          <w:rFonts w:hint="cs"/>
          <w:rtl/>
        </w:rPr>
        <w:t>שהי</w:t>
      </w:r>
      <w:r w:rsidRPr="00BA0A14">
        <w:rPr>
          <w:rtl/>
        </w:rPr>
        <w:t xml:space="preserve">' </w:t>
      </w:r>
      <w:r w:rsidRPr="00BA0A14">
        <w:rPr>
          <w:rFonts w:hint="cs"/>
          <w:rtl/>
        </w:rPr>
        <w:t>במקדש</w:t>
      </w:r>
      <w:r w:rsidRPr="00BA0A14">
        <w:rPr>
          <w:rtl/>
        </w:rPr>
        <w:t xml:space="preserve">, </w:t>
      </w:r>
      <w:r w:rsidRPr="00BA0A14">
        <w:rPr>
          <w:rFonts w:hint="cs"/>
          <w:rtl/>
        </w:rPr>
        <w:t>ושיערו</w:t>
      </w:r>
      <w:r w:rsidRPr="00BA0A14">
        <w:rPr>
          <w:rtl/>
        </w:rPr>
        <w:t xml:space="preserve"> (</w:t>
      </w:r>
      <w:r w:rsidRPr="00BA0A14">
        <w:rPr>
          <w:rFonts w:hint="cs"/>
          <w:rtl/>
        </w:rPr>
        <w:t>בנר</w:t>
      </w:r>
      <w:r w:rsidRPr="00BA0A14">
        <w:rPr>
          <w:rtl/>
        </w:rPr>
        <w:t xml:space="preserve"> </w:t>
      </w:r>
      <w:r w:rsidRPr="00BA0A14">
        <w:rPr>
          <w:rFonts w:hint="cs"/>
          <w:rtl/>
        </w:rPr>
        <w:t>של</w:t>
      </w:r>
      <w:r w:rsidRPr="00BA0A14">
        <w:rPr>
          <w:rtl/>
        </w:rPr>
        <w:t xml:space="preserve"> </w:t>
      </w:r>
      <w:r w:rsidRPr="00BA0A14">
        <w:rPr>
          <w:rFonts w:hint="cs"/>
          <w:rtl/>
        </w:rPr>
        <w:t>לוג</w:t>
      </w:r>
      <w:r w:rsidRPr="00BA0A14">
        <w:rPr>
          <w:rtl/>
        </w:rPr>
        <w:t xml:space="preserve"> </w:t>
      </w:r>
      <w:r w:rsidRPr="00BA0A14">
        <w:rPr>
          <w:rFonts w:hint="cs"/>
          <w:rtl/>
        </w:rPr>
        <w:t>של</w:t>
      </w:r>
      <w:r w:rsidRPr="00BA0A14">
        <w:rPr>
          <w:rtl/>
        </w:rPr>
        <w:t xml:space="preserve"> </w:t>
      </w:r>
      <w:r w:rsidRPr="00BA0A14">
        <w:rPr>
          <w:rFonts w:hint="cs"/>
          <w:rtl/>
        </w:rPr>
        <w:t>חולין</w:t>
      </w:r>
      <w:r w:rsidRPr="00BA0A14">
        <w:rPr>
          <w:rtl/>
        </w:rPr>
        <w:t xml:space="preserve">) </w:t>
      </w:r>
      <w:r w:rsidRPr="00BA0A14">
        <w:rPr>
          <w:rFonts w:hint="cs"/>
          <w:rtl/>
        </w:rPr>
        <w:t>עד</w:t>
      </w:r>
      <w:r w:rsidRPr="00BA0A14">
        <w:rPr>
          <w:rtl/>
        </w:rPr>
        <w:t xml:space="preserve"> </w:t>
      </w:r>
      <w:r w:rsidRPr="00BA0A14">
        <w:rPr>
          <w:rFonts w:hint="cs"/>
          <w:rtl/>
        </w:rPr>
        <w:t>שהגיעו</w:t>
      </w:r>
      <w:r w:rsidRPr="00BA0A14">
        <w:rPr>
          <w:rtl/>
        </w:rPr>
        <w:t xml:space="preserve"> </w:t>
      </w:r>
      <w:r w:rsidRPr="00BA0A14">
        <w:rPr>
          <w:rFonts w:hint="cs"/>
          <w:rtl/>
        </w:rPr>
        <w:t>למסקנה</w:t>
      </w:r>
      <w:r w:rsidRPr="00BA0A14">
        <w:rPr>
          <w:rtl/>
        </w:rPr>
        <w:t xml:space="preserve"> </w:t>
      </w:r>
      <w:r w:rsidRPr="00BA0A14">
        <w:rPr>
          <w:rFonts w:hint="cs"/>
          <w:rtl/>
        </w:rPr>
        <w:t>שמידת</w:t>
      </w:r>
      <w:r w:rsidRPr="00BA0A14">
        <w:rPr>
          <w:rtl/>
        </w:rPr>
        <w:t xml:space="preserve"> </w:t>
      </w:r>
      <w:r w:rsidRPr="00BA0A14">
        <w:rPr>
          <w:rFonts w:hint="cs"/>
          <w:rtl/>
        </w:rPr>
        <w:t>השמן</w:t>
      </w:r>
      <w:r w:rsidRPr="00BA0A14">
        <w:rPr>
          <w:rtl/>
        </w:rPr>
        <w:t xml:space="preserve"> </w:t>
      </w:r>
      <w:r w:rsidRPr="00BA0A14">
        <w:rPr>
          <w:rFonts w:hint="cs"/>
          <w:rtl/>
        </w:rPr>
        <w:t>של</w:t>
      </w:r>
      <w:r w:rsidRPr="00BA0A14">
        <w:rPr>
          <w:rtl/>
        </w:rPr>
        <w:t xml:space="preserve"> </w:t>
      </w:r>
      <w:r w:rsidRPr="00BA0A14">
        <w:rPr>
          <w:rFonts w:hint="cs"/>
          <w:rtl/>
        </w:rPr>
        <w:t>מנורת</w:t>
      </w:r>
      <w:r w:rsidRPr="00BA0A14">
        <w:rPr>
          <w:rtl/>
        </w:rPr>
        <w:t xml:space="preserve"> </w:t>
      </w:r>
      <w:r w:rsidRPr="00BA0A14">
        <w:rPr>
          <w:rFonts w:hint="cs"/>
          <w:rtl/>
        </w:rPr>
        <w:t>המקדש</w:t>
      </w:r>
      <w:r w:rsidRPr="00BA0A14">
        <w:rPr>
          <w:rtl/>
        </w:rPr>
        <w:t xml:space="preserve"> </w:t>
      </w:r>
      <w:r w:rsidRPr="00BA0A14">
        <w:rPr>
          <w:rFonts w:hint="cs"/>
          <w:rtl/>
        </w:rPr>
        <w:t>היתה</w:t>
      </w:r>
      <w:r w:rsidRPr="00BA0A14">
        <w:rPr>
          <w:rtl/>
        </w:rPr>
        <w:t xml:space="preserve"> </w:t>
      </w:r>
      <w:r w:rsidRPr="00BA0A14">
        <w:rPr>
          <w:rFonts w:hint="cs"/>
          <w:rtl/>
        </w:rPr>
        <w:t>חצי</w:t>
      </w:r>
      <w:r w:rsidRPr="00BA0A14">
        <w:rPr>
          <w:rtl/>
        </w:rPr>
        <w:t xml:space="preserve"> </w:t>
      </w:r>
      <w:r w:rsidRPr="00BA0A14">
        <w:rPr>
          <w:rFonts w:hint="cs"/>
          <w:rtl/>
        </w:rPr>
        <w:t>לוג</w:t>
      </w:r>
      <w:r w:rsidRPr="00BA0A14">
        <w:rPr>
          <w:rtl/>
        </w:rPr>
        <w:t xml:space="preserve">. </w:t>
      </w:r>
    </w:p>
    <w:p w14:paraId="76E6D40D" w14:textId="77777777" w:rsidR="004D06EF" w:rsidRPr="00BA0A14" w:rsidRDefault="004D06EF" w:rsidP="00BA0A14">
      <w:pPr>
        <w:pStyle w:val="FootnoteText"/>
        <w:rPr>
          <w:rtl/>
        </w:rPr>
      </w:pPr>
      <w:r w:rsidRPr="00BA0A14">
        <w:rPr>
          <w:rFonts w:hint="cs"/>
          <w:rtl/>
        </w:rPr>
        <w:t>אבל</w:t>
      </w:r>
      <w:r w:rsidRPr="00BA0A14">
        <w:rPr>
          <w:rtl/>
        </w:rPr>
        <w:t xml:space="preserve">, </w:t>
      </w:r>
      <w:r w:rsidRPr="00BA0A14">
        <w:rPr>
          <w:rFonts w:hint="cs"/>
          <w:rtl/>
        </w:rPr>
        <w:t>אף</w:t>
      </w:r>
      <w:r w:rsidRPr="00BA0A14">
        <w:rPr>
          <w:rtl/>
        </w:rPr>
        <w:t xml:space="preserve"> </w:t>
      </w:r>
      <w:r w:rsidRPr="00BA0A14">
        <w:rPr>
          <w:rFonts w:hint="cs"/>
          <w:rtl/>
        </w:rPr>
        <w:t>שרעיון</w:t>
      </w:r>
      <w:r w:rsidRPr="00BA0A14">
        <w:rPr>
          <w:rtl/>
        </w:rPr>
        <w:t xml:space="preserve"> </w:t>
      </w:r>
      <w:r w:rsidRPr="00BA0A14">
        <w:rPr>
          <w:rFonts w:hint="cs"/>
          <w:rtl/>
        </w:rPr>
        <w:t>יפה</w:t>
      </w:r>
      <w:r w:rsidRPr="00BA0A14">
        <w:rPr>
          <w:rtl/>
        </w:rPr>
        <w:t xml:space="preserve"> </w:t>
      </w:r>
      <w:r w:rsidRPr="00BA0A14">
        <w:rPr>
          <w:rFonts w:hint="cs"/>
          <w:rtl/>
        </w:rPr>
        <w:t>הוא</w:t>
      </w:r>
      <w:r w:rsidRPr="00BA0A14">
        <w:rPr>
          <w:rtl/>
        </w:rPr>
        <w:t xml:space="preserve">, </w:t>
      </w:r>
      <w:r w:rsidRPr="00BA0A14">
        <w:rPr>
          <w:rFonts w:hint="cs"/>
          <w:rtl/>
        </w:rPr>
        <w:t>ברש</w:t>
      </w:r>
      <w:r w:rsidRPr="00BA0A14">
        <w:rPr>
          <w:rtl/>
        </w:rPr>
        <w:t>"</w:t>
      </w:r>
      <w:r w:rsidRPr="00BA0A14">
        <w:rPr>
          <w:rFonts w:hint="cs"/>
          <w:rtl/>
        </w:rPr>
        <w:t>י</w:t>
      </w:r>
      <w:r w:rsidRPr="00BA0A14">
        <w:rPr>
          <w:rtl/>
        </w:rPr>
        <w:t xml:space="preserve"> </w:t>
      </w:r>
      <w:r w:rsidRPr="00BA0A14">
        <w:rPr>
          <w:rFonts w:hint="cs"/>
          <w:rtl/>
        </w:rPr>
        <w:t>משמע</w:t>
      </w:r>
      <w:r w:rsidRPr="00BA0A14">
        <w:rPr>
          <w:rtl/>
        </w:rPr>
        <w:t xml:space="preserve"> </w:t>
      </w:r>
      <w:r w:rsidRPr="00BA0A14">
        <w:rPr>
          <w:rFonts w:hint="cs"/>
          <w:rtl/>
        </w:rPr>
        <w:t>שנסיון</w:t>
      </w:r>
      <w:r w:rsidRPr="00BA0A14">
        <w:rPr>
          <w:rtl/>
        </w:rPr>
        <w:t xml:space="preserve"> </w:t>
      </w:r>
      <w:r w:rsidRPr="00BA0A14">
        <w:rPr>
          <w:rFonts w:hint="cs"/>
          <w:rtl/>
        </w:rPr>
        <w:t>הי</w:t>
      </w:r>
      <w:r w:rsidRPr="00BA0A14">
        <w:rPr>
          <w:rtl/>
        </w:rPr>
        <w:t xml:space="preserve">' </w:t>
      </w:r>
      <w:r w:rsidRPr="00BA0A14">
        <w:rPr>
          <w:rFonts w:hint="cs"/>
          <w:rtl/>
        </w:rPr>
        <w:t>בזמן</w:t>
      </w:r>
      <w:r w:rsidRPr="00BA0A14">
        <w:rPr>
          <w:rtl/>
        </w:rPr>
        <w:t xml:space="preserve"> </w:t>
      </w:r>
      <w:r w:rsidRPr="00BA0A14">
        <w:rPr>
          <w:rFonts w:hint="cs"/>
          <w:rtl/>
        </w:rPr>
        <w:t>שהדליקו</w:t>
      </w:r>
      <w:r w:rsidRPr="00BA0A14">
        <w:rPr>
          <w:rtl/>
        </w:rPr>
        <w:t xml:space="preserve"> </w:t>
      </w:r>
      <w:r w:rsidRPr="00BA0A14">
        <w:rPr>
          <w:rFonts w:hint="cs"/>
          <w:rtl/>
        </w:rPr>
        <w:t>את</w:t>
      </w:r>
      <w:r w:rsidRPr="00BA0A14">
        <w:rPr>
          <w:rtl/>
        </w:rPr>
        <w:t xml:space="preserve"> </w:t>
      </w:r>
      <w:r w:rsidRPr="00BA0A14">
        <w:rPr>
          <w:rFonts w:hint="cs"/>
          <w:rtl/>
        </w:rPr>
        <w:t>המנורה</w:t>
      </w:r>
      <w:r w:rsidRPr="00BA0A14">
        <w:rPr>
          <w:rtl/>
        </w:rPr>
        <w:t xml:space="preserve"> </w:t>
      </w:r>
      <w:r w:rsidRPr="00BA0A14">
        <w:rPr>
          <w:rFonts w:hint="cs"/>
          <w:rtl/>
        </w:rPr>
        <w:t>בהיכל</w:t>
      </w:r>
      <w:r w:rsidRPr="00BA0A14">
        <w:rPr>
          <w:rtl/>
        </w:rPr>
        <w:t>.</w:t>
      </w:r>
    </w:p>
  </w:footnote>
  <w:footnote w:id="63">
    <w:p w14:paraId="18817CE6" w14:textId="6679813A" w:rsidR="004D06EF" w:rsidRPr="00BA0A14" w:rsidRDefault="004D06EF" w:rsidP="00BA0A14">
      <w:pPr>
        <w:pStyle w:val="FootnoteText"/>
      </w:pPr>
      <w:r w:rsidRPr="00BA0A14">
        <w:rPr>
          <w:rStyle w:val="FootnoteReference"/>
          <w:vertAlign w:val="baseline"/>
        </w:rPr>
        <w:footnoteRef/>
      </w:r>
      <w:r w:rsidRPr="00BA0A14">
        <w:t xml:space="preserve"> </w:t>
      </w:r>
      <w:r>
        <w:rPr>
          <w:rFonts w:hint="cs"/>
          <w:rtl/>
        </w:rPr>
        <w:t xml:space="preserve">) </w:t>
      </w:r>
      <w:r w:rsidRPr="00BA0A14">
        <w:rPr>
          <w:rFonts w:hint="cs"/>
          <w:rtl/>
        </w:rPr>
        <w:t>ואף</w:t>
      </w:r>
      <w:r w:rsidRPr="00BA0A14">
        <w:rPr>
          <w:rtl/>
        </w:rPr>
        <w:t xml:space="preserve"> </w:t>
      </w:r>
      <w:r w:rsidRPr="00BA0A14">
        <w:rPr>
          <w:rFonts w:hint="cs"/>
          <w:rtl/>
        </w:rPr>
        <w:t>את</w:t>
      </w:r>
      <w:r w:rsidRPr="00BA0A14">
        <w:rPr>
          <w:rtl/>
        </w:rPr>
        <w:t>"</w:t>
      </w:r>
      <w:r w:rsidRPr="00BA0A14">
        <w:rPr>
          <w:rFonts w:hint="cs"/>
          <w:rtl/>
        </w:rPr>
        <w:t>ל</w:t>
      </w:r>
      <w:r w:rsidRPr="00BA0A14">
        <w:rPr>
          <w:rtl/>
        </w:rPr>
        <w:t xml:space="preserve"> </w:t>
      </w:r>
      <w:r w:rsidRPr="00BA0A14">
        <w:rPr>
          <w:rFonts w:hint="cs"/>
          <w:rtl/>
        </w:rPr>
        <w:t>שמזה</w:t>
      </w:r>
      <w:r w:rsidRPr="00BA0A14">
        <w:rPr>
          <w:rtl/>
        </w:rPr>
        <w:t xml:space="preserve"> </w:t>
      </w:r>
      <w:r w:rsidRPr="00BA0A14">
        <w:rPr>
          <w:rFonts w:hint="cs"/>
          <w:rtl/>
        </w:rPr>
        <w:t>גופא</w:t>
      </w:r>
      <w:r w:rsidRPr="00BA0A14">
        <w:rPr>
          <w:rtl/>
        </w:rPr>
        <w:t xml:space="preserve"> </w:t>
      </w:r>
      <w:r w:rsidRPr="00BA0A14">
        <w:rPr>
          <w:rFonts w:hint="cs"/>
          <w:rtl/>
        </w:rPr>
        <w:t>שהתורה</w:t>
      </w:r>
      <w:r w:rsidRPr="00BA0A14">
        <w:rPr>
          <w:rtl/>
        </w:rPr>
        <w:t xml:space="preserve"> </w:t>
      </w:r>
      <w:r w:rsidRPr="00BA0A14">
        <w:rPr>
          <w:rFonts w:hint="cs"/>
          <w:rtl/>
        </w:rPr>
        <w:t>רק</w:t>
      </w:r>
      <w:r w:rsidRPr="00BA0A14">
        <w:rPr>
          <w:rtl/>
        </w:rPr>
        <w:t xml:space="preserve"> </w:t>
      </w:r>
      <w:r w:rsidRPr="00BA0A14">
        <w:rPr>
          <w:rFonts w:hint="cs"/>
          <w:rtl/>
        </w:rPr>
        <w:t>קבעה</w:t>
      </w:r>
      <w:r w:rsidRPr="00BA0A14">
        <w:rPr>
          <w:rtl/>
        </w:rPr>
        <w:t xml:space="preserve"> </w:t>
      </w:r>
      <w:r w:rsidRPr="00BA0A14">
        <w:rPr>
          <w:rFonts w:hint="cs"/>
          <w:rtl/>
        </w:rPr>
        <w:t>את</w:t>
      </w:r>
      <w:r w:rsidRPr="00BA0A14">
        <w:rPr>
          <w:rtl/>
        </w:rPr>
        <w:t xml:space="preserve"> </w:t>
      </w:r>
      <w:r w:rsidRPr="00BA0A14">
        <w:rPr>
          <w:rFonts w:hint="cs"/>
          <w:rtl/>
        </w:rPr>
        <w:t>משך</w:t>
      </w:r>
      <w:r w:rsidRPr="00BA0A14">
        <w:rPr>
          <w:rtl/>
        </w:rPr>
        <w:t xml:space="preserve"> </w:t>
      </w:r>
      <w:r w:rsidRPr="00BA0A14">
        <w:rPr>
          <w:rFonts w:hint="cs"/>
          <w:rtl/>
        </w:rPr>
        <w:t>זמן</w:t>
      </w:r>
      <w:r w:rsidRPr="00BA0A14">
        <w:rPr>
          <w:rtl/>
        </w:rPr>
        <w:t xml:space="preserve"> </w:t>
      </w:r>
      <w:r w:rsidRPr="00BA0A14">
        <w:rPr>
          <w:rFonts w:hint="cs"/>
          <w:rtl/>
        </w:rPr>
        <w:t>ההדלקה</w:t>
      </w:r>
      <w:r w:rsidRPr="00BA0A14">
        <w:rPr>
          <w:rtl/>
        </w:rPr>
        <w:t xml:space="preserve">, </w:t>
      </w:r>
      <w:r w:rsidRPr="00BA0A14">
        <w:rPr>
          <w:rFonts w:hint="cs"/>
          <w:rtl/>
        </w:rPr>
        <w:t>מערב</w:t>
      </w:r>
      <w:r w:rsidRPr="00BA0A14">
        <w:rPr>
          <w:rtl/>
        </w:rPr>
        <w:t xml:space="preserve"> </w:t>
      </w:r>
      <w:r w:rsidRPr="00BA0A14">
        <w:rPr>
          <w:rFonts w:hint="cs"/>
          <w:rtl/>
        </w:rPr>
        <w:t>עד</w:t>
      </w:r>
      <w:r w:rsidRPr="00BA0A14">
        <w:rPr>
          <w:rtl/>
        </w:rPr>
        <w:t xml:space="preserve"> </w:t>
      </w:r>
      <w:r w:rsidRPr="00BA0A14">
        <w:rPr>
          <w:rFonts w:hint="cs"/>
          <w:rtl/>
        </w:rPr>
        <w:t>בוקר</w:t>
      </w:r>
      <w:r w:rsidRPr="00BA0A14">
        <w:rPr>
          <w:rtl/>
        </w:rPr>
        <w:t xml:space="preserve">, </w:t>
      </w:r>
      <w:r w:rsidRPr="00BA0A14">
        <w:rPr>
          <w:rFonts w:hint="cs"/>
          <w:rtl/>
        </w:rPr>
        <w:t>ולא</w:t>
      </w:r>
      <w:r w:rsidRPr="00BA0A14">
        <w:rPr>
          <w:rtl/>
        </w:rPr>
        <w:t xml:space="preserve"> </w:t>
      </w:r>
      <w:r w:rsidRPr="00BA0A14">
        <w:rPr>
          <w:rFonts w:hint="cs"/>
          <w:rtl/>
        </w:rPr>
        <w:t>פירטה</w:t>
      </w:r>
      <w:r w:rsidRPr="00BA0A14">
        <w:rPr>
          <w:rtl/>
        </w:rPr>
        <w:t xml:space="preserve"> </w:t>
      </w:r>
      <w:r w:rsidRPr="00BA0A14">
        <w:rPr>
          <w:rFonts w:hint="cs"/>
          <w:rtl/>
        </w:rPr>
        <w:t>את</w:t>
      </w:r>
      <w:r w:rsidRPr="00BA0A14">
        <w:rPr>
          <w:rtl/>
        </w:rPr>
        <w:t xml:space="preserve"> </w:t>
      </w:r>
      <w:r w:rsidRPr="00BA0A14">
        <w:rPr>
          <w:rFonts w:hint="cs"/>
          <w:rtl/>
        </w:rPr>
        <w:t>כמות</w:t>
      </w:r>
      <w:r w:rsidRPr="00BA0A14">
        <w:rPr>
          <w:rtl/>
        </w:rPr>
        <w:t xml:space="preserve"> </w:t>
      </w:r>
      <w:r w:rsidRPr="00BA0A14">
        <w:rPr>
          <w:rFonts w:hint="cs"/>
          <w:rtl/>
        </w:rPr>
        <w:t>השמן</w:t>
      </w:r>
      <w:r w:rsidRPr="00BA0A14">
        <w:rPr>
          <w:rtl/>
        </w:rPr>
        <w:t xml:space="preserve"> </w:t>
      </w:r>
      <w:r w:rsidRPr="00BA0A14">
        <w:rPr>
          <w:rFonts w:hint="cs"/>
          <w:rtl/>
        </w:rPr>
        <w:t>הרי</w:t>
      </w:r>
      <w:r w:rsidRPr="00BA0A14">
        <w:rPr>
          <w:rtl/>
        </w:rPr>
        <w:t xml:space="preserve"> </w:t>
      </w:r>
      <w:r w:rsidRPr="00BA0A14">
        <w:rPr>
          <w:rFonts w:hint="cs"/>
          <w:rtl/>
        </w:rPr>
        <w:t>זה</w:t>
      </w:r>
      <w:r w:rsidRPr="00BA0A14">
        <w:rPr>
          <w:rtl/>
        </w:rPr>
        <w:t xml:space="preserve"> </w:t>
      </w:r>
      <w:r w:rsidRPr="00BA0A14">
        <w:rPr>
          <w:rFonts w:hint="cs"/>
          <w:rtl/>
        </w:rPr>
        <w:t>ראי</w:t>
      </w:r>
      <w:r w:rsidRPr="00BA0A14">
        <w:rPr>
          <w:rtl/>
        </w:rPr>
        <w:t xml:space="preserve">' </w:t>
      </w:r>
      <w:r w:rsidRPr="00BA0A14">
        <w:rPr>
          <w:rFonts w:hint="cs"/>
          <w:rtl/>
        </w:rPr>
        <w:t>שכמות</w:t>
      </w:r>
      <w:r w:rsidRPr="00BA0A14">
        <w:rPr>
          <w:rtl/>
        </w:rPr>
        <w:t xml:space="preserve"> </w:t>
      </w:r>
      <w:r w:rsidRPr="00BA0A14">
        <w:rPr>
          <w:rFonts w:hint="cs"/>
          <w:rtl/>
        </w:rPr>
        <w:t>השמן</w:t>
      </w:r>
      <w:r w:rsidRPr="00BA0A14">
        <w:rPr>
          <w:rtl/>
        </w:rPr>
        <w:t xml:space="preserve"> </w:t>
      </w:r>
      <w:r w:rsidRPr="00BA0A14">
        <w:rPr>
          <w:rFonts w:hint="cs"/>
          <w:rtl/>
        </w:rPr>
        <w:t>לא</w:t>
      </w:r>
      <w:r w:rsidRPr="00BA0A14">
        <w:rPr>
          <w:rtl/>
        </w:rPr>
        <w:t xml:space="preserve"> </w:t>
      </w:r>
      <w:r w:rsidRPr="00BA0A14">
        <w:rPr>
          <w:rFonts w:hint="cs"/>
          <w:rtl/>
        </w:rPr>
        <w:t>משנה</w:t>
      </w:r>
      <w:r w:rsidRPr="00BA0A14">
        <w:rPr>
          <w:rtl/>
        </w:rPr>
        <w:t xml:space="preserve"> </w:t>
      </w:r>
      <w:r w:rsidRPr="00BA0A14">
        <w:rPr>
          <w:rFonts w:hint="cs"/>
          <w:rtl/>
        </w:rPr>
        <w:t>ואפשר</w:t>
      </w:r>
      <w:r w:rsidRPr="00BA0A14">
        <w:rPr>
          <w:rtl/>
        </w:rPr>
        <w:t xml:space="preserve"> </w:t>
      </w:r>
      <w:r w:rsidRPr="00BA0A14">
        <w:rPr>
          <w:rFonts w:hint="cs"/>
          <w:rtl/>
        </w:rPr>
        <w:t>להוסיף</w:t>
      </w:r>
      <w:r w:rsidRPr="00BA0A14">
        <w:rPr>
          <w:rtl/>
        </w:rPr>
        <w:t xml:space="preserve"> </w:t>
      </w:r>
      <w:r w:rsidRPr="00BA0A14">
        <w:rPr>
          <w:rFonts w:hint="cs"/>
          <w:rtl/>
        </w:rPr>
        <w:t>ככל</w:t>
      </w:r>
      <w:r w:rsidRPr="00BA0A14">
        <w:rPr>
          <w:rtl/>
        </w:rPr>
        <w:t xml:space="preserve"> </w:t>
      </w:r>
      <w:r w:rsidRPr="00BA0A14">
        <w:rPr>
          <w:rFonts w:hint="cs"/>
          <w:rtl/>
        </w:rPr>
        <w:t>שרוצים</w:t>
      </w:r>
      <w:r w:rsidRPr="00BA0A14">
        <w:rPr>
          <w:rtl/>
        </w:rPr>
        <w:t xml:space="preserve">, </w:t>
      </w:r>
      <w:r w:rsidRPr="00BA0A14">
        <w:rPr>
          <w:rFonts w:hint="cs"/>
          <w:rtl/>
        </w:rPr>
        <w:t>שידלק</w:t>
      </w:r>
      <w:r w:rsidRPr="00BA0A14">
        <w:rPr>
          <w:rtl/>
        </w:rPr>
        <w:t xml:space="preserve"> </w:t>
      </w:r>
      <w:r w:rsidRPr="00BA0A14">
        <w:rPr>
          <w:rFonts w:hint="cs"/>
          <w:rtl/>
        </w:rPr>
        <w:t>יותר</w:t>
      </w:r>
      <w:r w:rsidRPr="00BA0A14">
        <w:rPr>
          <w:rtl/>
        </w:rPr>
        <w:t xml:space="preserve"> </w:t>
      </w:r>
      <w:r w:rsidRPr="00BA0A14">
        <w:rPr>
          <w:rFonts w:hint="cs"/>
          <w:rtl/>
        </w:rPr>
        <w:t>משעות</w:t>
      </w:r>
      <w:r w:rsidRPr="00BA0A14">
        <w:rPr>
          <w:rtl/>
        </w:rPr>
        <w:t xml:space="preserve"> </w:t>
      </w:r>
      <w:r w:rsidRPr="00BA0A14">
        <w:rPr>
          <w:rFonts w:hint="cs"/>
          <w:rtl/>
        </w:rPr>
        <w:t>הלילה</w:t>
      </w:r>
      <w:r w:rsidRPr="00BA0A14">
        <w:rPr>
          <w:rtl/>
        </w:rPr>
        <w:t xml:space="preserve"> </w:t>
      </w:r>
      <w:r w:rsidRPr="00BA0A14">
        <w:rPr>
          <w:rFonts w:hint="cs"/>
          <w:rtl/>
        </w:rPr>
        <w:t>או</w:t>
      </w:r>
      <w:r w:rsidRPr="00BA0A14">
        <w:rPr>
          <w:rtl/>
        </w:rPr>
        <w:t xml:space="preserve"> </w:t>
      </w:r>
      <w:r w:rsidRPr="00BA0A14">
        <w:rPr>
          <w:rFonts w:hint="cs"/>
          <w:rtl/>
        </w:rPr>
        <w:t>שאפשר</w:t>
      </w:r>
      <w:r w:rsidRPr="00BA0A14">
        <w:rPr>
          <w:rtl/>
        </w:rPr>
        <w:t xml:space="preserve"> </w:t>
      </w:r>
      <w:r w:rsidRPr="00BA0A14">
        <w:rPr>
          <w:rFonts w:hint="cs"/>
          <w:rtl/>
        </w:rPr>
        <w:t>להגדיל</w:t>
      </w:r>
      <w:r w:rsidRPr="00BA0A14">
        <w:rPr>
          <w:rtl/>
        </w:rPr>
        <w:t xml:space="preserve"> </w:t>
      </w:r>
      <w:r w:rsidRPr="00BA0A14">
        <w:rPr>
          <w:rFonts w:hint="cs"/>
          <w:rtl/>
        </w:rPr>
        <w:t>או</w:t>
      </w:r>
      <w:r w:rsidRPr="00BA0A14">
        <w:rPr>
          <w:rtl/>
        </w:rPr>
        <w:t xml:space="preserve"> </w:t>
      </w:r>
      <w:r w:rsidRPr="00BA0A14">
        <w:rPr>
          <w:rFonts w:hint="cs"/>
          <w:rtl/>
        </w:rPr>
        <w:t>להקטין</w:t>
      </w:r>
      <w:r w:rsidRPr="00BA0A14">
        <w:rPr>
          <w:rtl/>
        </w:rPr>
        <w:t xml:space="preserve"> </w:t>
      </w:r>
      <w:r w:rsidRPr="00BA0A14">
        <w:rPr>
          <w:rFonts w:hint="cs"/>
          <w:rtl/>
        </w:rPr>
        <w:t>את</w:t>
      </w:r>
      <w:r w:rsidRPr="00BA0A14">
        <w:rPr>
          <w:rtl/>
        </w:rPr>
        <w:t xml:space="preserve"> </w:t>
      </w:r>
      <w:r w:rsidRPr="00BA0A14">
        <w:rPr>
          <w:rFonts w:hint="cs"/>
          <w:rtl/>
        </w:rPr>
        <w:t>הפתילות</w:t>
      </w:r>
      <w:r w:rsidRPr="00BA0A14">
        <w:rPr>
          <w:rtl/>
        </w:rPr>
        <w:t xml:space="preserve">. </w:t>
      </w:r>
      <w:r w:rsidRPr="00BA0A14">
        <w:rPr>
          <w:rFonts w:hint="cs"/>
          <w:rtl/>
        </w:rPr>
        <w:t>ומה</w:t>
      </w:r>
      <w:r w:rsidRPr="00BA0A14">
        <w:rPr>
          <w:rtl/>
        </w:rPr>
        <w:t xml:space="preserve"> </w:t>
      </w:r>
      <w:r w:rsidRPr="00BA0A14">
        <w:rPr>
          <w:rFonts w:hint="cs"/>
          <w:rtl/>
        </w:rPr>
        <w:t>שחשוב</w:t>
      </w:r>
      <w:r w:rsidRPr="00BA0A14">
        <w:rPr>
          <w:rtl/>
        </w:rPr>
        <w:t xml:space="preserve"> </w:t>
      </w:r>
      <w:r w:rsidRPr="00BA0A14">
        <w:rPr>
          <w:rFonts w:hint="cs"/>
          <w:rtl/>
        </w:rPr>
        <w:t>זה</w:t>
      </w:r>
      <w:r w:rsidRPr="00BA0A14">
        <w:rPr>
          <w:rtl/>
        </w:rPr>
        <w:t xml:space="preserve"> </w:t>
      </w:r>
      <w:r w:rsidRPr="00BA0A14">
        <w:rPr>
          <w:rFonts w:hint="cs"/>
          <w:rtl/>
        </w:rPr>
        <w:t>שהמנורה</w:t>
      </w:r>
      <w:r w:rsidRPr="00BA0A14">
        <w:rPr>
          <w:rtl/>
        </w:rPr>
        <w:t xml:space="preserve"> </w:t>
      </w:r>
      <w:r w:rsidRPr="00BA0A14">
        <w:rPr>
          <w:rFonts w:hint="cs"/>
          <w:rtl/>
        </w:rPr>
        <w:t>תדלק</w:t>
      </w:r>
      <w:r w:rsidRPr="00BA0A14">
        <w:rPr>
          <w:rtl/>
        </w:rPr>
        <w:t xml:space="preserve"> </w:t>
      </w:r>
      <w:r w:rsidRPr="00BA0A14">
        <w:rPr>
          <w:rFonts w:hint="cs"/>
          <w:rtl/>
        </w:rPr>
        <w:t>כל</w:t>
      </w:r>
      <w:r w:rsidRPr="00BA0A14">
        <w:rPr>
          <w:rtl/>
        </w:rPr>
        <w:t xml:space="preserve"> </w:t>
      </w:r>
      <w:r w:rsidRPr="00BA0A14">
        <w:rPr>
          <w:rFonts w:hint="cs"/>
          <w:rtl/>
        </w:rPr>
        <w:t>הלילה</w:t>
      </w:r>
      <w:r w:rsidRPr="00BA0A14">
        <w:rPr>
          <w:rtl/>
        </w:rPr>
        <w:t xml:space="preserve">. </w:t>
      </w:r>
    </w:p>
    <w:p w14:paraId="59BFB1ED" w14:textId="43203F8D" w:rsidR="004D06EF" w:rsidRPr="00BA0A14" w:rsidRDefault="004D06EF" w:rsidP="00BA0A14">
      <w:pPr>
        <w:pStyle w:val="FootnoteText"/>
      </w:pPr>
      <w:r w:rsidRPr="00BA0A14">
        <w:rPr>
          <w:rFonts w:hint="cs"/>
          <w:rtl/>
        </w:rPr>
        <w:t>אבל</w:t>
      </w:r>
      <w:r w:rsidRPr="00BA0A14">
        <w:rPr>
          <w:rtl/>
        </w:rPr>
        <w:t xml:space="preserve"> - </w:t>
      </w:r>
      <w:r w:rsidRPr="00BA0A14">
        <w:rPr>
          <w:rFonts w:hint="cs"/>
          <w:rtl/>
        </w:rPr>
        <w:t>זה</w:t>
      </w:r>
      <w:r w:rsidRPr="00BA0A14">
        <w:rPr>
          <w:rtl/>
        </w:rPr>
        <w:t xml:space="preserve"> </w:t>
      </w:r>
      <w:r w:rsidRPr="00BA0A14">
        <w:rPr>
          <w:rFonts w:hint="cs"/>
          <w:rtl/>
        </w:rPr>
        <w:t>גופא</w:t>
      </w:r>
      <w:r w:rsidRPr="00BA0A14">
        <w:rPr>
          <w:rtl/>
        </w:rPr>
        <w:t xml:space="preserve"> </w:t>
      </w:r>
      <w:r w:rsidRPr="00BA0A14">
        <w:rPr>
          <w:rFonts w:hint="cs"/>
          <w:rtl/>
        </w:rPr>
        <w:t>טעמא</w:t>
      </w:r>
      <w:r w:rsidRPr="00BA0A14">
        <w:rPr>
          <w:rtl/>
        </w:rPr>
        <w:t xml:space="preserve"> </w:t>
      </w:r>
      <w:r w:rsidRPr="00BA0A14">
        <w:rPr>
          <w:rFonts w:hint="cs"/>
          <w:rtl/>
        </w:rPr>
        <w:t>בעי</w:t>
      </w:r>
      <w:r w:rsidRPr="00BA0A14">
        <w:rPr>
          <w:rtl/>
        </w:rPr>
        <w:t xml:space="preserve">'. </w:t>
      </w:r>
      <w:r w:rsidRPr="00BA0A14">
        <w:rPr>
          <w:rFonts w:hint="cs"/>
          <w:rtl/>
        </w:rPr>
        <w:t>למה</w:t>
      </w:r>
      <w:r w:rsidRPr="00BA0A14">
        <w:rPr>
          <w:rtl/>
        </w:rPr>
        <w:t xml:space="preserve"> </w:t>
      </w:r>
      <w:r w:rsidRPr="00BA0A14">
        <w:rPr>
          <w:rFonts w:hint="cs"/>
          <w:rtl/>
        </w:rPr>
        <w:t>השאירה</w:t>
      </w:r>
      <w:r w:rsidRPr="00BA0A14">
        <w:rPr>
          <w:rtl/>
        </w:rPr>
        <w:t xml:space="preserve"> </w:t>
      </w:r>
      <w:r w:rsidRPr="00BA0A14">
        <w:rPr>
          <w:rFonts w:hint="cs"/>
          <w:rtl/>
        </w:rPr>
        <w:t>התורה</w:t>
      </w:r>
      <w:r w:rsidRPr="00BA0A14">
        <w:rPr>
          <w:rtl/>
        </w:rPr>
        <w:t xml:space="preserve"> </w:t>
      </w:r>
      <w:r w:rsidRPr="00BA0A14">
        <w:rPr>
          <w:rFonts w:hint="cs"/>
          <w:rtl/>
        </w:rPr>
        <w:t>פרט</w:t>
      </w:r>
      <w:r w:rsidRPr="00BA0A14">
        <w:rPr>
          <w:rtl/>
        </w:rPr>
        <w:t xml:space="preserve"> </w:t>
      </w:r>
      <w:r w:rsidRPr="00BA0A14">
        <w:rPr>
          <w:rFonts w:hint="cs"/>
          <w:rtl/>
        </w:rPr>
        <w:t>זה</w:t>
      </w:r>
      <w:r w:rsidRPr="00BA0A14">
        <w:rPr>
          <w:rtl/>
        </w:rPr>
        <w:t xml:space="preserve"> </w:t>
      </w:r>
      <w:r w:rsidRPr="00BA0A14">
        <w:rPr>
          <w:rFonts w:hint="cs"/>
          <w:rtl/>
        </w:rPr>
        <w:t>לחשבון</w:t>
      </w:r>
      <w:r w:rsidRPr="00BA0A14">
        <w:rPr>
          <w:rtl/>
        </w:rPr>
        <w:t xml:space="preserve"> </w:t>
      </w:r>
      <w:r w:rsidRPr="00BA0A14">
        <w:rPr>
          <w:rFonts w:hint="cs"/>
          <w:rtl/>
        </w:rPr>
        <w:t>החכמים</w:t>
      </w:r>
      <w:r w:rsidRPr="00BA0A14">
        <w:rPr>
          <w:rtl/>
        </w:rPr>
        <w:t xml:space="preserve">? </w:t>
      </w:r>
      <w:r w:rsidRPr="00BA0A14">
        <w:rPr>
          <w:rFonts w:hint="cs"/>
          <w:rtl/>
        </w:rPr>
        <w:t>והרי</w:t>
      </w:r>
      <w:r w:rsidRPr="00BA0A14">
        <w:rPr>
          <w:rtl/>
        </w:rPr>
        <w:t xml:space="preserve"> </w:t>
      </w:r>
      <w:r w:rsidRPr="00BA0A14">
        <w:rPr>
          <w:rFonts w:hint="cs"/>
          <w:rtl/>
        </w:rPr>
        <w:t>לכאורה</w:t>
      </w:r>
      <w:r w:rsidRPr="00BA0A14">
        <w:rPr>
          <w:rtl/>
        </w:rPr>
        <w:t xml:space="preserve"> </w:t>
      </w:r>
      <w:r w:rsidRPr="00BA0A14">
        <w:rPr>
          <w:rFonts w:hint="cs"/>
          <w:rtl/>
        </w:rPr>
        <w:t>כמו</w:t>
      </w:r>
      <w:r w:rsidRPr="00BA0A14">
        <w:rPr>
          <w:rtl/>
        </w:rPr>
        <w:t xml:space="preserve"> </w:t>
      </w:r>
      <w:r w:rsidRPr="00BA0A14">
        <w:rPr>
          <w:rFonts w:hint="cs"/>
          <w:rtl/>
        </w:rPr>
        <w:t>שהתורה</w:t>
      </w:r>
      <w:r w:rsidRPr="00BA0A14">
        <w:rPr>
          <w:rtl/>
        </w:rPr>
        <w:t xml:space="preserve"> </w:t>
      </w:r>
      <w:r w:rsidRPr="00BA0A14">
        <w:rPr>
          <w:rFonts w:hint="cs"/>
          <w:rtl/>
        </w:rPr>
        <w:t>אומרת</w:t>
      </w:r>
      <w:r w:rsidRPr="00BA0A14">
        <w:rPr>
          <w:rtl/>
        </w:rPr>
        <w:t xml:space="preserve"> </w:t>
      </w:r>
      <w:r w:rsidRPr="00BA0A14">
        <w:rPr>
          <w:rFonts w:hint="cs"/>
          <w:rtl/>
        </w:rPr>
        <w:t>את</w:t>
      </w:r>
      <w:r w:rsidRPr="00BA0A14">
        <w:rPr>
          <w:rtl/>
        </w:rPr>
        <w:t xml:space="preserve"> </w:t>
      </w:r>
      <w:r w:rsidRPr="00BA0A14">
        <w:rPr>
          <w:rFonts w:hint="cs"/>
          <w:rtl/>
        </w:rPr>
        <w:t>מדת</w:t>
      </w:r>
      <w:r w:rsidRPr="00BA0A14">
        <w:rPr>
          <w:rtl/>
        </w:rPr>
        <w:t xml:space="preserve"> </w:t>
      </w:r>
      <w:r w:rsidRPr="00BA0A14">
        <w:rPr>
          <w:rFonts w:hint="cs"/>
          <w:rtl/>
        </w:rPr>
        <w:t>עשרון</w:t>
      </w:r>
      <w:r w:rsidRPr="00BA0A14">
        <w:rPr>
          <w:rtl/>
        </w:rPr>
        <w:t xml:space="preserve"> </w:t>
      </w:r>
      <w:r w:rsidRPr="00BA0A14">
        <w:rPr>
          <w:rFonts w:hint="cs"/>
          <w:rtl/>
        </w:rPr>
        <w:t>למנחה</w:t>
      </w:r>
      <w:r w:rsidRPr="00BA0A14">
        <w:rPr>
          <w:rtl/>
        </w:rPr>
        <w:t xml:space="preserve"> </w:t>
      </w:r>
      <w:r w:rsidRPr="00BA0A14">
        <w:rPr>
          <w:rFonts w:hint="cs"/>
          <w:rtl/>
        </w:rPr>
        <w:t>באותה</w:t>
      </w:r>
      <w:r w:rsidRPr="00BA0A14">
        <w:rPr>
          <w:rtl/>
        </w:rPr>
        <w:t xml:space="preserve"> </w:t>
      </w:r>
      <w:r w:rsidRPr="00BA0A14">
        <w:rPr>
          <w:rFonts w:hint="cs"/>
          <w:rtl/>
        </w:rPr>
        <w:t>מדה</w:t>
      </w:r>
      <w:r w:rsidRPr="00BA0A14">
        <w:rPr>
          <w:rtl/>
        </w:rPr>
        <w:t xml:space="preserve"> </w:t>
      </w:r>
      <w:r w:rsidRPr="00BA0A14">
        <w:rPr>
          <w:rFonts w:hint="cs"/>
          <w:rtl/>
        </w:rPr>
        <w:t>היא</w:t>
      </w:r>
      <w:r w:rsidRPr="00BA0A14">
        <w:rPr>
          <w:rtl/>
        </w:rPr>
        <w:t xml:space="preserve"> </w:t>
      </w:r>
      <w:r w:rsidRPr="00BA0A14">
        <w:rPr>
          <w:rFonts w:hint="cs"/>
          <w:rtl/>
        </w:rPr>
        <w:t>הייתה</w:t>
      </w:r>
      <w:r w:rsidRPr="00BA0A14">
        <w:rPr>
          <w:rtl/>
        </w:rPr>
        <w:t xml:space="preserve"> </w:t>
      </w:r>
      <w:r w:rsidRPr="00BA0A14">
        <w:rPr>
          <w:rFonts w:hint="cs"/>
          <w:rtl/>
        </w:rPr>
        <w:t>צריכה</w:t>
      </w:r>
      <w:r w:rsidRPr="00BA0A14">
        <w:rPr>
          <w:rtl/>
        </w:rPr>
        <w:t xml:space="preserve"> </w:t>
      </w:r>
      <w:r w:rsidRPr="00BA0A14">
        <w:rPr>
          <w:rFonts w:hint="cs"/>
          <w:rtl/>
        </w:rPr>
        <w:t>להורות</w:t>
      </w:r>
      <w:r w:rsidRPr="00BA0A14">
        <w:rPr>
          <w:rtl/>
        </w:rPr>
        <w:t xml:space="preserve"> </w:t>
      </w:r>
      <w:r w:rsidRPr="00BA0A14">
        <w:rPr>
          <w:rFonts w:hint="cs"/>
          <w:rtl/>
        </w:rPr>
        <w:t>לנו</w:t>
      </w:r>
      <w:r w:rsidRPr="00BA0A14">
        <w:rPr>
          <w:rtl/>
        </w:rPr>
        <w:t xml:space="preserve"> </w:t>
      </w:r>
      <w:r w:rsidRPr="00BA0A14">
        <w:rPr>
          <w:rFonts w:hint="cs"/>
          <w:rtl/>
        </w:rPr>
        <w:t>כמות</w:t>
      </w:r>
      <w:r w:rsidRPr="00BA0A14">
        <w:rPr>
          <w:rtl/>
        </w:rPr>
        <w:t xml:space="preserve"> </w:t>
      </w:r>
      <w:r w:rsidRPr="00BA0A14">
        <w:rPr>
          <w:rFonts w:hint="cs"/>
          <w:rtl/>
        </w:rPr>
        <w:t>השמן</w:t>
      </w:r>
      <w:r w:rsidRPr="00BA0A14">
        <w:rPr>
          <w:rtl/>
        </w:rPr>
        <w:t xml:space="preserve"> </w:t>
      </w:r>
      <w:r w:rsidRPr="00BA0A14">
        <w:rPr>
          <w:rFonts w:hint="cs"/>
          <w:rtl/>
        </w:rPr>
        <w:t>שבמנורה</w:t>
      </w:r>
      <w:r w:rsidRPr="00BA0A14">
        <w:rPr>
          <w:rtl/>
        </w:rPr>
        <w:t xml:space="preserve"> - </w:t>
      </w:r>
      <w:r w:rsidRPr="00BA0A14">
        <w:rPr>
          <w:rFonts w:hint="cs"/>
          <w:rtl/>
        </w:rPr>
        <w:t>חצי</w:t>
      </w:r>
      <w:r w:rsidRPr="00BA0A14">
        <w:rPr>
          <w:rtl/>
        </w:rPr>
        <w:t xml:space="preserve"> </w:t>
      </w:r>
      <w:r w:rsidRPr="00BA0A14">
        <w:rPr>
          <w:rFonts w:hint="cs"/>
          <w:rtl/>
        </w:rPr>
        <w:t>לוג</w:t>
      </w:r>
      <w:r w:rsidRPr="00BA0A14">
        <w:rPr>
          <w:rtl/>
        </w:rPr>
        <w:t xml:space="preserve">. </w:t>
      </w:r>
      <w:r w:rsidRPr="00BA0A14">
        <w:rPr>
          <w:rFonts w:hint="cs"/>
          <w:rtl/>
        </w:rPr>
        <w:t>ועל</w:t>
      </w:r>
      <w:r w:rsidRPr="00BA0A14">
        <w:rPr>
          <w:rtl/>
        </w:rPr>
        <w:t xml:space="preserve"> </w:t>
      </w:r>
      <w:r w:rsidRPr="00BA0A14">
        <w:rPr>
          <w:rFonts w:hint="cs"/>
          <w:rtl/>
        </w:rPr>
        <w:t>פי</w:t>
      </w:r>
      <w:r w:rsidRPr="00BA0A14">
        <w:rPr>
          <w:rtl/>
        </w:rPr>
        <w:t xml:space="preserve"> </w:t>
      </w:r>
      <w:r w:rsidRPr="00BA0A14">
        <w:rPr>
          <w:rFonts w:hint="cs"/>
          <w:rtl/>
        </w:rPr>
        <w:t>זה</w:t>
      </w:r>
      <w:r w:rsidRPr="00BA0A14">
        <w:rPr>
          <w:rtl/>
        </w:rPr>
        <w:t xml:space="preserve"> </w:t>
      </w:r>
      <w:r w:rsidRPr="00BA0A14">
        <w:rPr>
          <w:rFonts w:hint="cs"/>
          <w:rtl/>
        </w:rPr>
        <w:t>לכאורה</w:t>
      </w:r>
      <w:r w:rsidRPr="00BA0A14">
        <w:rPr>
          <w:rtl/>
        </w:rPr>
        <w:t xml:space="preserve"> </w:t>
      </w:r>
      <w:r w:rsidRPr="00BA0A14">
        <w:rPr>
          <w:rFonts w:hint="cs"/>
          <w:rtl/>
        </w:rPr>
        <w:t>לא</w:t>
      </w:r>
      <w:r w:rsidRPr="00BA0A14">
        <w:rPr>
          <w:rtl/>
        </w:rPr>
        <w:t xml:space="preserve"> </w:t>
      </w:r>
      <w:r w:rsidRPr="00BA0A14">
        <w:rPr>
          <w:rFonts w:hint="cs"/>
          <w:rtl/>
        </w:rPr>
        <w:t>היה</w:t>
      </w:r>
      <w:r w:rsidRPr="00BA0A14">
        <w:rPr>
          <w:rtl/>
        </w:rPr>
        <w:t xml:space="preserve"> </w:t>
      </w:r>
      <w:r w:rsidRPr="00BA0A14">
        <w:rPr>
          <w:rFonts w:hint="cs"/>
          <w:rtl/>
        </w:rPr>
        <w:t>כלל</w:t>
      </w:r>
      <w:r w:rsidRPr="00BA0A14">
        <w:rPr>
          <w:rtl/>
        </w:rPr>
        <w:t xml:space="preserve"> </w:t>
      </w:r>
      <w:r w:rsidRPr="00BA0A14">
        <w:rPr>
          <w:rFonts w:hint="cs"/>
          <w:rtl/>
        </w:rPr>
        <w:t>צורך</w:t>
      </w:r>
      <w:r w:rsidRPr="00BA0A14">
        <w:rPr>
          <w:rtl/>
        </w:rPr>
        <w:t xml:space="preserve"> </w:t>
      </w:r>
      <w:r w:rsidRPr="00BA0A14">
        <w:rPr>
          <w:rFonts w:hint="cs"/>
          <w:rtl/>
        </w:rPr>
        <w:t>בשיעור</w:t>
      </w:r>
      <w:r w:rsidRPr="00BA0A14">
        <w:rPr>
          <w:rtl/>
        </w:rPr>
        <w:t xml:space="preserve"> </w:t>
      </w:r>
      <w:r w:rsidRPr="00BA0A14">
        <w:rPr>
          <w:rFonts w:hint="cs"/>
          <w:rtl/>
        </w:rPr>
        <w:t>חכמים</w:t>
      </w:r>
      <w:r w:rsidRPr="00BA0A14">
        <w:rPr>
          <w:rtl/>
        </w:rPr>
        <w:t>.</w:t>
      </w:r>
    </w:p>
    <w:p w14:paraId="36242655" w14:textId="5A2E73E0" w:rsidR="004D06EF" w:rsidRPr="00BA0A14" w:rsidRDefault="004D06EF" w:rsidP="00BA0A14">
      <w:pPr>
        <w:pStyle w:val="FootnoteText"/>
      </w:pPr>
      <w:r w:rsidRPr="00BA0A14">
        <w:rPr>
          <w:rFonts w:hint="cs"/>
          <w:rtl/>
        </w:rPr>
        <w:t>ואין</w:t>
      </w:r>
      <w:r w:rsidRPr="00BA0A14">
        <w:rPr>
          <w:rtl/>
        </w:rPr>
        <w:t xml:space="preserve"> </w:t>
      </w:r>
      <w:r w:rsidRPr="00BA0A14">
        <w:rPr>
          <w:rFonts w:hint="cs"/>
          <w:rtl/>
        </w:rPr>
        <w:t>זה</w:t>
      </w:r>
      <w:r w:rsidRPr="00BA0A14">
        <w:rPr>
          <w:rtl/>
        </w:rPr>
        <w:t xml:space="preserve"> </w:t>
      </w:r>
      <w:r w:rsidRPr="00BA0A14">
        <w:rPr>
          <w:rFonts w:hint="cs"/>
          <w:rtl/>
        </w:rPr>
        <w:t>דומה</w:t>
      </w:r>
      <w:r w:rsidRPr="00BA0A14">
        <w:rPr>
          <w:rtl/>
        </w:rPr>
        <w:t xml:space="preserve"> </w:t>
      </w:r>
      <w:r w:rsidRPr="00BA0A14">
        <w:rPr>
          <w:rFonts w:hint="cs"/>
          <w:rtl/>
        </w:rPr>
        <w:t>לכאורה</w:t>
      </w:r>
      <w:r w:rsidRPr="00BA0A14">
        <w:rPr>
          <w:rtl/>
        </w:rPr>
        <w:t xml:space="preserve"> </w:t>
      </w:r>
      <w:r w:rsidRPr="00BA0A14">
        <w:rPr>
          <w:rFonts w:hint="cs"/>
          <w:rtl/>
        </w:rPr>
        <w:t>לפרטי</w:t>
      </w:r>
      <w:r w:rsidRPr="00BA0A14">
        <w:rPr>
          <w:rtl/>
        </w:rPr>
        <w:t xml:space="preserve"> </w:t>
      </w:r>
      <w:r w:rsidRPr="00BA0A14">
        <w:rPr>
          <w:rFonts w:hint="cs"/>
          <w:rtl/>
        </w:rPr>
        <w:t>דינו</w:t>
      </w:r>
      <w:r w:rsidRPr="00BA0A14">
        <w:rPr>
          <w:rtl/>
        </w:rPr>
        <w:t xml:space="preserve"> </w:t>
      </w:r>
      <w:r w:rsidRPr="00BA0A14">
        <w:rPr>
          <w:rFonts w:hint="cs"/>
          <w:rtl/>
        </w:rPr>
        <w:t>חול</w:t>
      </w:r>
      <w:r w:rsidRPr="00BA0A14">
        <w:rPr>
          <w:rtl/>
        </w:rPr>
        <w:t xml:space="preserve"> </w:t>
      </w:r>
      <w:r w:rsidRPr="00BA0A14">
        <w:rPr>
          <w:rFonts w:hint="cs"/>
          <w:rtl/>
        </w:rPr>
        <w:t>המועד</w:t>
      </w:r>
      <w:r w:rsidRPr="00BA0A14">
        <w:rPr>
          <w:rtl/>
        </w:rPr>
        <w:t xml:space="preserve"> </w:t>
      </w:r>
      <w:r w:rsidRPr="00BA0A14">
        <w:rPr>
          <w:rFonts w:hint="cs"/>
          <w:rtl/>
        </w:rPr>
        <w:t>או</w:t>
      </w:r>
      <w:r w:rsidRPr="00BA0A14">
        <w:rPr>
          <w:rtl/>
        </w:rPr>
        <w:t xml:space="preserve"> </w:t>
      </w:r>
      <w:r w:rsidRPr="00BA0A14">
        <w:rPr>
          <w:rFonts w:hint="cs"/>
          <w:rtl/>
        </w:rPr>
        <w:t>עינוי</w:t>
      </w:r>
      <w:r w:rsidRPr="00BA0A14">
        <w:rPr>
          <w:rtl/>
        </w:rPr>
        <w:t xml:space="preserve"> </w:t>
      </w:r>
      <w:r w:rsidRPr="00BA0A14">
        <w:rPr>
          <w:rFonts w:hint="cs"/>
          <w:rtl/>
        </w:rPr>
        <w:t>של</w:t>
      </w:r>
      <w:r w:rsidRPr="00BA0A14">
        <w:rPr>
          <w:rtl/>
        </w:rPr>
        <w:t xml:space="preserve"> </w:t>
      </w:r>
      <w:r w:rsidRPr="00BA0A14">
        <w:rPr>
          <w:rFonts w:hint="cs"/>
          <w:rtl/>
        </w:rPr>
        <w:t>יום</w:t>
      </w:r>
      <w:r w:rsidRPr="00BA0A14">
        <w:rPr>
          <w:rtl/>
        </w:rPr>
        <w:t xml:space="preserve"> </w:t>
      </w:r>
      <w:r w:rsidRPr="00BA0A14">
        <w:rPr>
          <w:rFonts w:hint="cs"/>
          <w:rtl/>
        </w:rPr>
        <w:t>הכיפורים</w:t>
      </w:r>
      <w:r w:rsidRPr="00BA0A14">
        <w:rPr>
          <w:rtl/>
        </w:rPr>
        <w:t xml:space="preserve">, </w:t>
      </w:r>
      <w:r w:rsidRPr="00BA0A14">
        <w:rPr>
          <w:rFonts w:hint="cs"/>
          <w:rtl/>
        </w:rPr>
        <w:t>למשל</w:t>
      </w:r>
      <w:r w:rsidRPr="00BA0A14">
        <w:rPr>
          <w:rtl/>
        </w:rPr>
        <w:t xml:space="preserve">, </w:t>
      </w:r>
      <w:r w:rsidRPr="00BA0A14">
        <w:rPr>
          <w:rFonts w:hint="cs"/>
          <w:rtl/>
        </w:rPr>
        <w:t>שמצינו</w:t>
      </w:r>
      <w:r w:rsidRPr="00BA0A14">
        <w:rPr>
          <w:rtl/>
        </w:rPr>
        <w:t xml:space="preserve"> </w:t>
      </w:r>
      <w:r w:rsidRPr="00BA0A14">
        <w:rPr>
          <w:rFonts w:hint="cs"/>
          <w:rtl/>
        </w:rPr>
        <w:t>בהם</w:t>
      </w:r>
      <w:r w:rsidRPr="00BA0A14">
        <w:rPr>
          <w:rtl/>
        </w:rPr>
        <w:t xml:space="preserve"> </w:t>
      </w:r>
      <w:r w:rsidRPr="00BA0A14">
        <w:rPr>
          <w:rFonts w:hint="cs"/>
          <w:rtl/>
        </w:rPr>
        <w:t>ש</w:t>
      </w:r>
      <w:r w:rsidRPr="00BA0A14">
        <w:rPr>
          <w:rtl/>
        </w:rPr>
        <w:t>'</w:t>
      </w:r>
      <w:r w:rsidRPr="00BA0A14">
        <w:rPr>
          <w:rFonts w:hint="cs"/>
          <w:rtl/>
        </w:rPr>
        <w:t>מסרן</w:t>
      </w:r>
      <w:r w:rsidRPr="00BA0A14">
        <w:rPr>
          <w:rtl/>
        </w:rPr>
        <w:t xml:space="preserve"> </w:t>
      </w:r>
      <w:r w:rsidRPr="00BA0A14">
        <w:rPr>
          <w:rFonts w:hint="cs"/>
          <w:rtl/>
        </w:rPr>
        <w:t>הכתוב</w:t>
      </w:r>
      <w:r w:rsidRPr="00BA0A14">
        <w:rPr>
          <w:rtl/>
        </w:rPr>
        <w:t xml:space="preserve"> </w:t>
      </w:r>
      <w:r w:rsidRPr="00BA0A14">
        <w:rPr>
          <w:rFonts w:hint="cs"/>
          <w:rtl/>
        </w:rPr>
        <w:t>לחכמים</w:t>
      </w:r>
      <w:r w:rsidRPr="00BA0A14">
        <w:rPr>
          <w:rtl/>
        </w:rPr>
        <w:t xml:space="preserve">'. </w:t>
      </w:r>
      <w:r w:rsidRPr="00BA0A14">
        <w:rPr>
          <w:rFonts w:hint="cs"/>
          <w:rtl/>
        </w:rPr>
        <w:t>כי</w:t>
      </w:r>
      <w:r w:rsidRPr="00BA0A14">
        <w:rPr>
          <w:rtl/>
        </w:rPr>
        <w:t xml:space="preserve"> </w:t>
      </w:r>
      <w:r w:rsidRPr="00BA0A14">
        <w:rPr>
          <w:rFonts w:hint="cs"/>
          <w:rtl/>
        </w:rPr>
        <w:t>הרי</w:t>
      </w:r>
      <w:r w:rsidRPr="00BA0A14">
        <w:rPr>
          <w:rtl/>
        </w:rPr>
        <w:t xml:space="preserve"> </w:t>
      </w:r>
      <w:r w:rsidRPr="00BA0A14">
        <w:rPr>
          <w:rFonts w:hint="cs"/>
          <w:rtl/>
        </w:rPr>
        <w:t>שם</w:t>
      </w:r>
      <w:r w:rsidRPr="00BA0A14">
        <w:rPr>
          <w:rtl/>
        </w:rPr>
        <w:t xml:space="preserve"> </w:t>
      </w:r>
      <w:r w:rsidRPr="00BA0A14">
        <w:rPr>
          <w:rFonts w:hint="cs"/>
          <w:rtl/>
        </w:rPr>
        <w:t>התורה</w:t>
      </w:r>
      <w:r w:rsidRPr="00BA0A14">
        <w:rPr>
          <w:rtl/>
        </w:rPr>
        <w:t xml:space="preserve"> </w:t>
      </w:r>
      <w:r w:rsidRPr="00BA0A14">
        <w:rPr>
          <w:rFonts w:hint="cs"/>
          <w:rtl/>
        </w:rPr>
        <w:t>לא</w:t>
      </w:r>
      <w:r w:rsidRPr="00BA0A14">
        <w:rPr>
          <w:rtl/>
        </w:rPr>
        <w:t xml:space="preserve"> </w:t>
      </w:r>
      <w:r w:rsidRPr="00BA0A14">
        <w:rPr>
          <w:rFonts w:hint="cs"/>
          <w:rtl/>
        </w:rPr>
        <w:t>נכנסת</w:t>
      </w:r>
      <w:r w:rsidRPr="00BA0A14">
        <w:rPr>
          <w:rtl/>
        </w:rPr>
        <w:t xml:space="preserve"> </w:t>
      </w:r>
      <w:r w:rsidRPr="00BA0A14">
        <w:rPr>
          <w:rFonts w:hint="cs"/>
          <w:rtl/>
        </w:rPr>
        <w:t>לפרטים</w:t>
      </w:r>
      <w:r w:rsidRPr="00BA0A14">
        <w:rPr>
          <w:rtl/>
        </w:rPr>
        <w:t xml:space="preserve"> </w:t>
      </w:r>
      <w:r w:rsidRPr="00BA0A14">
        <w:rPr>
          <w:rFonts w:hint="cs"/>
          <w:rtl/>
        </w:rPr>
        <w:t>כלל</w:t>
      </w:r>
      <w:r w:rsidRPr="00BA0A14">
        <w:rPr>
          <w:rtl/>
        </w:rPr>
        <w:t>. '</w:t>
      </w:r>
      <w:r w:rsidRPr="00BA0A14">
        <w:rPr>
          <w:rFonts w:hint="cs"/>
          <w:rtl/>
        </w:rPr>
        <w:t>לא</w:t>
      </w:r>
      <w:r w:rsidRPr="00BA0A14">
        <w:rPr>
          <w:rtl/>
        </w:rPr>
        <w:t xml:space="preserve"> </w:t>
      </w:r>
      <w:r w:rsidRPr="00BA0A14">
        <w:rPr>
          <w:rFonts w:hint="cs"/>
          <w:rtl/>
        </w:rPr>
        <w:t>תעשה</w:t>
      </w:r>
      <w:r w:rsidRPr="00BA0A14">
        <w:rPr>
          <w:rtl/>
        </w:rPr>
        <w:t xml:space="preserve"> </w:t>
      </w:r>
      <w:r w:rsidRPr="00BA0A14">
        <w:rPr>
          <w:rFonts w:hint="cs"/>
          <w:rtl/>
        </w:rPr>
        <w:t>כל</w:t>
      </w:r>
      <w:r w:rsidRPr="00BA0A14">
        <w:rPr>
          <w:rtl/>
        </w:rPr>
        <w:t xml:space="preserve"> </w:t>
      </w:r>
      <w:r w:rsidRPr="00BA0A14">
        <w:rPr>
          <w:rFonts w:hint="cs"/>
          <w:rtl/>
        </w:rPr>
        <w:t>מלאכה</w:t>
      </w:r>
      <w:r w:rsidRPr="00BA0A14">
        <w:rPr>
          <w:rtl/>
        </w:rPr>
        <w:t>' '</w:t>
      </w:r>
      <w:r w:rsidRPr="00BA0A14">
        <w:rPr>
          <w:rFonts w:hint="cs"/>
          <w:rtl/>
        </w:rPr>
        <w:t>תענו</w:t>
      </w:r>
      <w:r w:rsidRPr="00BA0A14">
        <w:rPr>
          <w:rtl/>
        </w:rPr>
        <w:t xml:space="preserve"> </w:t>
      </w:r>
      <w:r w:rsidRPr="00BA0A14">
        <w:rPr>
          <w:rFonts w:hint="cs"/>
          <w:rtl/>
        </w:rPr>
        <w:t>את</w:t>
      </w:r>
      <w:r w:rsidRPr="00BA0A14">
        <w:rPr>
          <w:rtl/>
        </w:rPr>
        <w:t xml:space="preserve"> </w:t>
      </w:r>
      <w:r w:rsidRPr="00BA0A14">
        <w:rPr>
          <w:rFonts w:hint="cs"/>
          <w:rtl/>
        </w:rPr>
        <w:t>נפשותיכם</w:t>
      </w:r>
      <w:r w:rsidRPr="00BA0A14">
        <w:rPr>
          <w:rtl/>
        </w:rPr>
        <w:t xml:space="preserve">' </w:t>
      </w:r>
      <w:r w:rsidRPr="00BA0A14">
        <w:rPr>
          <w:rFonts w:hint="cs"/>
          <w:rtl/>
        </w:rPr>
        <w:t>וזהו</w:t>
      </w:r>
      <w:r w:rsidRPr="00BA0A14">
        <w:rPr>
          <w:rtl/>
        </w:rPr>
        <w:t xml:space="preserve">. </w:t>
      </w:r>
    </w:p>
    <w:p w14:paraId="23DF6D7D" w14:textId="77777777" w:rsidR="004D06EF" w:rsidRPr="003F658A" w:rsidRDefault="004D06EF" w:rsidP="00BA0A14">
      <w:pPr>
        <w:pStyle w:val="FootnoteText"/>
        <w:rPr>
          <w:rtl/>
        </w:rPr>
      </w:pPr>
      <w:r w:rsidRPr="00BA0A14">
        <w:rPr>
          <w:rFonts w:hint="cs"/>
          <w:rtl/>
        </w:rPr>
        <w:t>בניגוד</w:t>
      </w:r>
      <w:r w:rsidRPr="00BA0A14">
        <w:rPr>
          <w:rtl/>
        </w:rPr>
        <w:t xml:space="preserve"> </w:t>
      </w:r>
      <w:r w:rsidRPr="00BA0A14">
        <w:rPr>
          <w:rFonts w:hint="cs"/>
          <w:rtl/>
        </w:rPr>
        <w:t>למנורה</w:t>
      </w:r>
      <w:r w:rsidRPr="00BA0A14">
        <w:rPr>
          <w:rtl/>
        </w:rPr>
        <w:t xml:space="preserve"> </w:t>
      </w:r>
      <w:r w:rsidRPr="00BA0A14">
        <w:rPr>
          <w:rFonts w:hint="cs"/>
          <w:rtl/>
        </w:rPr>
        <w:t>ושאר</w:t>
      </w:r>
      <w:r w:rsidRPr="00BA0A14">
        <w:rPr>
          <w:rtl/>
        </w:rPr>
        <w:t xml:space="preserve"> </w:t>
      </w:r>
      <w:r w:rsidRPr="00BA0A14">
        <w:rPr>
          <w:rFonts w:hint="cs"/>
          <w:rtl/>
        </w:rPr>
        <w:t>כלי</w:t>
      </w:r>
      <w:r w:rsidRPr="00BA0A14">
        <w:rPr>
          <w:rtl/>
        </w:rPr>
        <w:t xml:space="preserve"> </w:t>
      </w:r>
      <w:r w:rsidRPr="00BA0A14">
        <w:rPr>
          <w:rFonts w:hint="cs"/>
          <w:rtl/>
        </w:rPr>
        <w:t>ועבודות</w:t>
      </w:r>
      <w:r w:rsidRPr="00BA0A14">
        <w:rPr>
          <w:rtl/>
        </w:rPr>
        <w:t xml:space="preserve"> </w:t>
      </w:r>
      <w:r w:rsidRPr="00BA0A14">
        <w:rPr>
          <w:rFonts w:hint="cs"/>
          <w:rtl/>
        </w:rPr>
        <w:t>המשכן</w:t>
      </w:r>
      <w:r w:rsidRPr="00BA0A14">
        <w:rPr>
          <w:rtl/>
        </w:rPr>
        <w:t xml:space="preserve"> </w:t>
      </w:r>
      <w:r w:rsidRPr="00BA0A14">
        <w:rPr>
          <w:rFonts w:hint="cs"/>
          <w:rtl/>
        </w:rPr>
        <w:t>והמקדש</w:t>
      </w:r>
      <w:r w:rsidRPr="00BA0A14">
        <w:rPr>
          <w:rtl/>
        </w:rPr>
        <w:t xml:space="preserve"> </w:t>
      </w:r>
      <w:r w:rsidRPr="00BA0A14">
        <w:rPr>
          <w:rFonts w:hint="cs"/>
          <w:rtl/>
        </w:rPr>
        <w:t>שהתורה</w:t>
      </w:r>
      <w:r w:rsidRPr="00BA0A14">
        <w:rPr>
          <w:rtl/>
        </w:rPr>
        <w:t xml:space="preserve"> (</w:t>
      </w:r>
      <w:r w:rsidRPr="00BA0A14">
        <w:rPr>
          <w:rFonts w:hint="cs"/>
          <w:rtl/>
        </w:rPr>
        <w:t>והלל</w:t>
      </w:r>
      <w:r w:rsidRPr="00BA0A14">
        <w:rPr>
          <w:rtl/>
        </w:rPr>
        <w:t>"</w:t>
      </w:r>
      <w:r w:rsidRPr="00BA0A14">
        <w:rPr>
          <w:rFonts w:hint="cs"/>
          <w:rtl/>
        </w:rPr>
        <w:t>מ</w:t>
      </w:r>
      <w:r w:rsidRPr="00BA0A14">
        <w:rPr>
          <w:rtl/>
        </w:rPr>
        <w:t xml:space="preserve">) </w:t>
      </w:r>
      <w:r w:rsidRPr="00BA0A14">
        <w:rPr>
          <w:rFonts w:hint="cs"/>
          <w:rtl/>
        </w:rPr>
        <w:t>יורדת</w:t>
      </w:r>
      <w:r w:rsidRPr="00BA0A14">
        <w:rPr>
          <w:rtl/>
        </w:rPr>
        <w:t xml:space="preserve"> </w:t>
      </w:r>
      <w:r w:rsidRPr="00BA0A14">
        <w:rPr>
          <w:rFonts w:hint="cs"/>
          <w:rtl/>
        </w:rPr>
        <w:t>שם</w:t>
      </w:r>
      <w:r w:rsidRPr="00BA0A14">
        <w:rPr>
          <w:rtl/>
        </w:rPr>
        <w:t xml:space="preserve"> </w:t>
      </w:r>
      <w:r w:rsidRPr="00BA0A14">
        <w:rPr>
          <w:rFonts w:hint="cs"/>
          <w:rtl/>
        </w:rPr>
        <w:t>לפרטים</w:t>
      </w:r>
      <w:r w:rsidRPr="00BA0A14">
        <w:rPr>
          <w:rtl/>
        </w:rPr>
        <w:t xml:space="preserve">, </w:t>
      </w:r>
      <w:r w:rsidRPr="00BA0A14">
        <w:rPr>
          <w:rFonts w:hint="cs"/>
          <w:rtl/>
        </w:rPr>
        <w:t>אבל</w:t>
      </w:r>
      <w:r w:rsidRPr="00BA0A14">
        <w:rPr>
          <w:rtl/>
        </w:rPr>
        <w:t xml:space="preserve"> </w:t>
      </w:r>
      <w:r w:rsidRPr="00BA0A14">
        <w:rPr>
          <w:rFonts w:hint="cs"/>
          <w:rtl/>
        </w:rPr>
        <w:t>באופן</w:t>
      </w:r>
      <w:r w:rsidRPr="00BA0A14">
        <w:rPr>
          <w:rtl/>
        </w:rPr>
        <w:t xml:space="preserve"> </w:t>
      </w:r>
      <w:r w:rsidRPr="00BA0A14">
        <w:rPr>
          <w:rFonts w:hint="cs"/>
          <w:rtl/>
        </w:rPr>
        <w:t>חריג</w:t>
      </w:r>
      <w:r w:rsidRPr="00BA0A14">
        <w:rPr>
          <w:rtl/>
        </w:rPr>
        <w:t xml:space="preserve"> </w:t>
      </w:r>
      <w:r w:rsidRPr="00BA0A14">
        <w:rPr>
          <w:rFonts w:hint="cs"/>
          <w:rtl/>
        </w:rPr>
        <w:t>לא</w:t>
      </w:r>
      <w:r w:rsidRPr="00BA0A14">
        <w:rPr>
          <w:rtl/>
        </w:rPr>
        <w:t xml:space="preserve"> </w:t>
      </w:r>
      <w:r w:rsidRPr="00BA0A14">
        <w:rPr>
          <w:rFonts w:hint="cs"/>
          <w:rtl/>
        </w:rPr>
        <w:t>קובעת</w:t>
      </w:r>
      <w:r w:rsidRPr="00BA0A14">
        <w:rPr>
          <w:rtl/>
        </w:rPr>
        <w:t xml:space="preserve"> </w:t>
      </w:r>
      <w:r w:rsidRPr="00BA0A14">
        <w:rPr>
          <w:rFonts w:hint="cs"/>
          <w:rtl/>
        </w:rPr>
        <w:t>את</w:t>
      </w:r>
      <w:r w:rsidRPr="00BA0A14">
        <w:rPr>
          <w:rtl/>
        </w:rPr>
        <w:t xml:space="preserve"> </w:t>
      </w:r>
      <w:r w:rsidRPr="00BA0A14">
        <w:rPr>
          <w:rFonts w:hint="cs"/>
          <w:rtl/>
        </w:rPr>
        <w:t>כמות</w:t>
      </w:r>
      <w:r w:rsidRPr="00BA0A14">
        <w:rPr>
          <w:rtl/>
        </w:rPr>
        <w:t xml:space="preserve"> </w:t>
      </w:r>
      <w:r w:rsidRPr="00BA0A14">
        <w:rPr>
          <w:rFonts w:hint="cs"/>
          <w:rtl/>
        </w:rPr>
        <w:t>השמן</w:t>
      </w:r>
      <w:r w:rsidRPr="00BA0A14">
        <w:rPr>
          <w:rtl/>
        </w:rPr>
        <w:t xml:space="preserve"> (</w:t>
      </w:r>
      <w:r w:rsidRPr="00BA0A14">
        <w:rPr>
          <w:rFonts w:hint="cs"/>
          <w:rtl/>
        </w:rPr>
        <w:t>ועובי</w:t>
      </w:r>
      <w:r w:rsidRPr="00BA0A14">
        <w:rPr>
          <w:rtl/>
        </w:rPr>
        <w:t xml:space="preserve"> </w:t>
      </w:r>
      <w:r w:rsidRPr="00BA0A14">
        <w:rPr>
          <w:rFonts w:hint="cs"/>
          <w:rtl/>
        </w:rPr>
        <w:t>הפתילות</w:t>
      </w:r>
      <w:r w:rsidRPr="00BA0A14">
        <w:rPr>
          <w:rtl/>
        </w:rPr>
        <w:t>).</w:t>
      </w:r>
    </w:p>
  </w:footnote>
  <w:footnote w:id="64">
    <w:p w14:paraId="0A90BEF9" w14:textId="77777777" w:rsidR="004D06EF" w:rsidRPr="00EA6FAC" w:rsidRDefault="004D06EF" w:rsidP="00487CCC">
      <w:pPr>
        <w:pStyle w:val="FootnoteText"/>
        <w:rPr>
          <w:rtl/>
        </w:rPr>
      </w:pPr>
      <w:r w:rsidRPr="00EA6FAC">
        <w:rPr>
          <w:rStyle w:val="FootnoteReference"/>
          <w:vertAlign w:val="baseline"/>
        </w:rPr>
        <w:footnoteRef/>
      </w:r>
      <w:r>
        <w:rPr>
          <w:rFonts w:hint="cs"/>
          <w:rtl/>
        </w:rPr>
        <w:t xml:space="preserve">) </w:t>
      </w:r>
      <w:r w:rsidRPr="00EA6FAC">
        <w:rPr>
          <w:rtl/>
        </w:rPr>
        <w:t>סנהדרין יח, א</w:t>
      </w:r>
      <w:r w:rsidRPr="00EA6FAC">
        <w:t xml:space="preserve"> </w:t>
      </w:r>
    </w:p>
  </w:footnote>
  <w:footnote w:id="65">
    <w:p w14:paraId="6DFB1F6F" w14:textId="77777777" w:rsidR="004D06EF" w:rsidRPr="00EA6FAC" w:rsidRDefault="004D06EF" w:rsidP="00487CCC">
      <w:pPr>
        <w:pStyle w:val="FootnoteText"/>
        <w:rPr>
          <w:rtl/>
        </w:rPr>
      </w:pPr>
      <w:r w:rsidRPr="00EA6FAC">
        <w:rPr>
          <w:rStyle w:val="FootnoteReference"/>
          <w:vertAlign w:val="baseline"/>
        </w:rPr>
        <w:footnoteRef/>
      </w:r>
      <w:r>
        <w:rPr>
          <w:rFonts w:hint="cs"/>
          <w:rtl/>
        </w:rPr>
        <w:t xml:space="preserve">) </w:t>
      </w:r>
      <w:r w:rsidRPr="00EA6FAC">
        <w:rPr>
          <w:rtl/>
        </w:rPr>
        <w:t>פי"א ה"ט</w:t>
      </w:r>
      <w:r w:rsidRPr="00EA6FAC">
        <w:t xml:space="preserve"> </w:t>
      </w:r>
    </w:p>
  </w:footnote>
  <w:footnote w:id="66">
    <w:p w14:paraId="55F1E261" w14:textId="77777777" w:rsidR="004D06EF" w:rsidRPr="00204519" w:rsidRDefault="004D06EF" w:rsidP="00487CCC">
      <w:pPr>
        <w:pStyle w:val="FootnoteText"/>
        <w:rPr>
          <w:rtl/>
        </w:rPr>
      </w:pPr>
      <w:r w:rsidRPr="00EA6FAC">
        <w:rPr>
          <w:rStyle w:val="FootnoteReference"/>
          <w:vertAlign w:val="baseline"/>
        </w:rPr>
        <w:footnoteRef/>
      </w:r>
      <w:r>
        <w:rPr>
          <w:rFonts w:hint="cs"/>
          <w:rtl/>
        </w:rPr>
        <w:t xml:space="preserve">) </w:t>
      </w:r>
      <w:r w:rsidRPr="00EA6FAC">
        <w:rPr>
          <w:rtl/>
        </w:rPr>
        <w:t>שם יט, א</w:t>
      </w:r>
    </w:p>
  </w:footnote>
  <w:footnote w:id="67">
    <w:p w14:paraId="3B868339" w14:textId="77777777" w:rsidR="004D06EF" w:rsidRPr="00EA6FAC" w:rsidRDefault="004D06EF" w:rsidP="00487CCC">
      <w:pPr>
        <w:pStyle w:val="FootnoteText"/>
        <w:rPr>
          <w:rtl/>
        </w:rPr>
      </w:pPr>
      <w:r w:rsidRPr="00EA6FAC">
        <w:rPr>
          <w:rStyle w:val="FootnoteReference"/>
          <w:vertAlign w:val="baseline"/>
        </w:rPr>
        <w:footnoteRef/>
      </w:r>
      <w:r w:rsidRPr="00EA6FAC">
        <w:rPr>
          <w:rFonts w:hint="cs"/>
          <w:rtl/>
        </w:rPr>
        <w:t xml:space="preserve">) </w:t>
      </w:r>
      <w:r w:rsidRPr="00EA6FAC">
        <w:rPr>
          <w:rtl/>
        </w:rPr>
        <w:t>הל' סנהדרין פ"ב ה"ה</w:t>
      </w:r>
    </w:p>
  </w:footnote>
  <w:footnote w:id="68">
    <w:p w14:paraId="3264EF55" w14:textId="77777777" w:rsidR="004D06EF" w:rsidRPr="00F3249E" w:rsidRDefault="004D06EF" w:rsidP="00487CCC">
      <w:pPr>
        <w:pStyle w:val="FootnoteText"/>
        <w:rPr>
          <w:rtl/>
        </w:rPr>
      </w:pPr>
      <w:r w:rsidRPr="00EA6FAC">
        <w:rPr>
          <w:rStyle w:val="FootnoteReference"/>
          <w:vertAlign w:val="baseline"/>
        </w:rPr>
        <w:footnoteRef/>
      </w:r>
      <w:r w:rsidRPr="00EA6FAC">
        <w:rPr>
          <w:rFonts w:hint="cs"/>
          <w:rtl/>
        </w:rPr>
        <w:t xml:space="preserve">) </w:t>
      </w:r>
      <w:r w:rsidRPr="00EA6FAC">
        <w:rPr>
          <w:rtl/>
        </w:rPr>
        <w:t>פ"ג ה"ז</w:t>
      </w:r>
    </w:p>
  </w:footnote>
  <w:footnote w:id="69">
    <w:p w14:paraId="653E709C" w14:textId="77777777" w:rsidR="004D06EF" w:rsidRPr="00EA6FAC" w:rsidRDefault="004D06EF" w:rsidP="00487CCC">
      <w:pPr>
        <w:pStyle w:val="FootnoteText"/>
        <w:rPr>
          <w:rtl/>
        </w:rPr>
      </w:pPr>
      <w:r w:rsidRPr="00EA6FAC">
        <w:rPr>
          <w:rStyle w:val="FootnoteReference"/>
          <w:vertAlign w:val="baseline"/>
        </w:rPr>
        <w:footnoteRef/>
      </w:r>
      <w:r w:rsidRPr="00EA6FAC">
        <w:t xml:space="preserve"> </w:t>
      </w:r>
      <w:r>
        <w:rPr>
          <w:rFonts w:hint="cs"/>
          <w:rtl/>
        </w:rPr>
        <w:t xml:space="preserve">) </w:t>
      </w:r>
      <w:r w:rsidRPr="00EA6FAC">
        <w:rPr>
          <w:rFonts w:hint="cs"/>
          <w:rtl/>
        </w:rPr>
        <w:t>שופטים יז, טו</w:t>
      </w:r>
    </w:p>
  </w:footnote>
  <w:footnote w:id="70">
    <w:p w14:paraId="2772FD9F" w14:textId="77777777" w:rsidR="004D06EF" w:rsidRPr="00EA6FAC" w:rsidRDefault="004D06EF" w:rsidP="00487CCC">
      <w:pPr>
        <w:pStyle w:val="FootnoteText"/>
        <w:rPr>
          <w:rtl/>
        </w:rPr>
      </w:pPr>
      <w:r w:rsidRPr="00EA6FAC">
        <w:rPr>
          <w:rStyle w:val="FootnoteReference"/>
          <w:vertAlign w:val="baseline"/>
        </w:rPr>
        <w:footnoteRef/>
      </w:r>
      <w:r w:rsidRPr="00EA6FAC">
        <w:t xml:space="preserve"> </w:t>
      </w:r>
      <w:r>
        <w:rPr>
          <w:rFonts w:hint="cs"/>
          <w:rtl/>
        </w:rPr>
        <w:t xml:space="preserve">) </w:t>
      </w:r>
      <w:r w:rsidRPr="00EA6FAC">
        <w:rPr>
          <w:rFonts w:hint="cs"/>
          <w:rtl/>
        </w:rPr>
        <w:t>סנהדרין יט, ב</w:t>
      </w:r>
    </w:p>
  </w:footnote>
  <w:footnote w:id="71">
    <w:p w14:paraId="0178744A" w14:textId="77777777" w:rsidR="004D06EF" w:rsidRPr="00EA6FAC" w:rsidRDefault="004D06EF" w:rsidP="00487CCC">
      <w:pPr>
        <w:pStyle w:val="FootnoteText"/>
        <w:rPr>
          <w:rtl/>
        </w:rPr>
      </w:pPr>
      <w:r w:rsidRPr="00EA6FAC">
        <w:rPr>
          <w:rStyle w:val="FootnoteReference"/>
          <w:vertAlign w:val="baseline"/>
        </w:rPr>
        <w:footnoteRef/>
      </w:r>
      <w:r w:rsidRPr="00EA6FAC">
        <w:t xml:space="preserve"> </w:t>
      </w:r>
      <w:r>
        <w:rPr>
          <w:rFonts w:hint="cs"/>
          <w:rtl/>
        </w:rPr>
        <w:t xml:space="preserve">) </w:t>
      </w:r>
      <w:r w:rsidRPr="00EA6FAC">
        <w:rPr>
          <w:rFonts w:hint="cs"/>
          <w:rtl/>
        </w:rPr>
        <w:t>שבועות לא, א ד"ה כ"ש מלך</w:t>
      </w:r>
    </w:p>
  </w:footnote>
  <w:footnote w:id="72">
    <w:p w14:paraId="0511DEDA" w14:textId="77777777" w:rsidR="004D06EF" w:rsidRPr="00EA6FAC" w:rsidRDefault="004D06EF" w:rsidP="00487CCC">
      <w:pPr>
        <w:pStyle w:val="FootnoteText"/>
        <w:rPr>
          <w:rtl/>
        </w:rPr>
      </w:pPr>
      <w:r w:rsidRPr="00EA6FAC">
        <w:rPr>
          <w:rStyle w:val="FootnoteReference"/>
          <w:vertAlign w:val="baseline"/>
        </w:rPr>
        <w:footnoteRef/>
      </w:r>
      <w:r>
        <w:rPr>
          <w:rFonts w:hint="cs"/>
          <w:rtl/>
        </w:rPr>
        <w:t xml:space="preserve">) </w:t>
      </w:r>
      <w:r w:rsidRPr="00EA6FAC">
        <w:rPr>
          <w:rtl/>
        </w:rPr>
        <w:t xml:space="preserve">דברים יז </w:t>
      </w:r>
      <w:r w:rsidRPr="00EA6FAC">
        <w:t xml:space="preserve"> </w:t>
      </w:r>
    </w:p>
  </w:footnote>
  <w:footnote w:id="73">
    <w:p w14:paraId="199F0BDE" w14:textId="77777777" w:rsidR="004D06EF" w:rsidRPr="00EA6FAC" w:rsidRDefault="004D06EF" w:rsidP="00487CCC">
      <w:pPr>
        <w:pStyle w:val="FootnoteText"/>
        <w:rPr>
          <w:rtl/>
        </w:rPr>
      </w:pPr>
      <w:r w:rsidRPr="00EA6FAC">
        <w:rPr>
          <w:rStyle w:val="FootnoteReference"/>
          <w:vertAlign w:val="baseline"/>
        </w:rPr>
        <w:footnoteRef/>
      </w:r>
      <w:r>
        <w:rPr>
          <w:rFonts w:hint="cs"/>
          <w:rtl/>
        </w:rPr>
        <w:t>) ש</w:t>
      </w:r>
      <w:r w:rsidRPr="00EA6FAC">
        <w:rPr>
          <w:rFonts w:hint="cs"/>
          <w:rtl/>
        </w:rPr>
        <w:t>ם ל, א</w:t>
      </w:r>
      <w:r w:rsidRPr="00EA6FAC">
        <w:t xml:space="preserve"> </w:t>
      </w:r>
    </w:p>
  </w:footnote>
  <w:footnote w:id="74">
    <w:p w14:paraId="05970B3E" w14:textId="77777777" w:rsidR="004D06EF" w:rsidRPr="00AC1C57" w:rsidRDefault="004D06EF" w:rsidP="00487CCC">
      <w:pPr>
        <w:pStyle w:val="FootnoteText"/>
        <w:rPr>
          <w:rtl/>
        </w:rPr>
      </w:pPr>
      <w:r w:rsidRPr="00EA6FAC">
        <w:rPr>
          <w:rStyle w:val="FootnoteReference"/>
          <w:vertAlign w:val="baseline"/>
        </w:rPr>
        <w:footnoteRef/>
      </w:r>
      <w:r>
        <w:rPr>
          <w:rFonts w:hint="cs"/>
          <w:rtl/>
        </w:rPr>
        <w:t xml:space="preserve">) </w:t>
      </w:r>
      <w:r w:rsidRPr="00EA6FAC">
        <w:rPr>
          <w:rFonts w:hint="cs"/>
          <w:rtl/>
        </w:rPr>
        <w:t>וכידוע שכ"ק אדמו"ר בא מבית דוד</w:t>
      </w:r>
    </w:p>
  </w:footnote>
  <w:footnote w:id="75">
    <w:p w14:paraId="0E96F797" w14:textId="77777777" w:rsidR="004D06EF" w:rsidRPr="00EA6FAC" w:rsidRDefault="004D06EF" w:rsidP="00487CCC">
      <w:pPr>
        <w:pStyle w:val="FootnoteText"/>
        <w:rPr>
          <w:rtl/>
        </w:rPr>
      </w:pPr>
      <w:r w:rsidRPr="00EA6FAC">
        <w:rPr>
          <w:rStyle w:val="FootnoteReference"/>
          <w:vertAlign w:val="baseline"/>
        </w:rPr>
        <w:footnoteRef/>
      </w:r>
      <w:r w:rsidRPr="00EA6FAC">
        <w:rPr>
          <w:rtl/>
        </w:rPr>
        <w:t>) ויש להמתיק עוד ע"ד הרמז: ש"מלך אינו מעיד – גם מלכי בית דוד" הוא בגי' "וואס וועלן די בחורים זאגן".</w:t>
      </w:r>
    </w:p>
  </w:footnote>
  <w:footnote w:id="76">
    <w:p w14:paraId="095DD5B7" w14:textId="7148C74F" w:rsidR="004D06EF" w:rsidRPr="00EA6FAC" w:rsidRDefault="004D06EF" w:rsidP="00EA6FAC">
      <w:pPr>
        <w:pStyle w:val="FootnoteText"/>
        <w:rPr>
          <w:rtl/>
        </w:rPr>
      </w:pPr>
      <w:r w:rsidRPr="00EA6FAC">
        <w:rPr>
          <w:rStyle w:val="FootnoteReference"/>
          <w:vertAlign w:val="baseline"/>
        </w:rPr>
        <w:footnoteRef/>
      </w:r>
      <w:r w:rsidRPr="00EA6FAC">
        <w:t xml:space="preserve"> </w:t>
      </w:r>
      <w:r>
        <w:rPr>
          <w:rFonts w:hint="cs"/>
          <w:rtl/>
        </w:rPr>
        <w:t xml:space="preserve">) </w:t>
      </w:r>
      <w:r w:rsidRPr="00EA6FAC">
        <w:rPr>
          <w:rFonts w:hint="cs"/>
          <w:rtl/>
        </w:rPr>
        <w:t>פסחים ו,א</w:t>
      </w:r>
    </w:p>
  </w:footnote>
  <w:footnote w:id="77">
    <w:p w14:paraId="6FDC7E55" w14:textId="496FE802" w:rsidR="004D06EF" w:rsidRPr="00EA6FAC" w:rsidRDefault="004D06EF" w:rsidP="00EA6FAC">
      <w:pPr>
        <w:pStyle w:val="FootnoteText"/>
        <w:rPr>
          <w:rtl/>
        </w:rPr>
      </w:pPr>
      <w:r w:rsidRPr="00EA6FAC">
        <w:rPr>
          <w:rStyle w:val="FootnoteReference"/>
          <w:vertAlign w:val="baseline"/>
        </w:rPr>
        <w:footnoteRef/>
      </w:r>
      <w:r w:rsidRPr="00EA6FAC">
        <w:t xml:space="preserve"> </w:t>
      </w:r>
      <w:r>
        <w:rPr>
          <w:rFonts w:hint="cs"/>
          <w:rtl/>
        </w:rPr>
        <w:t xml:space="preserve">) </w:t>
      </w:r>
      <w:r w:rsidRPr="00EA6FAC">
        <w:rPr>
          <w:rFonts w:hint="cs"/>
          <w:rtl/>
        </w:rPr>
        <w:t>סי' תמ ס"ב</w:t>
      </w:r>
    </w:p>
  </w:footnote>
  <w:footnote w:id="78">
    <w:p w14:paraId="78E76D33" w14:textId="5E9E372A" w:rsidR="004D06EF" w:rsidRPr="00EA6FAC" w:rsidRDefault="004D06EF" w:rsidP="00EA6FAC">
      <w:pPr>
        <w:pStyle w:val="FootnoteText"/>
        <w:rPr>
          <w:rtl/>
        </w:rPr>
      </w:pPr>
      <w:r w:rsidRPr="00EA6FAC">
        <w:rPr>
          <w:rStyle w:val="FootnoteReference"/>
          <w:vertAlign w:val="baseline"/>
        </w:rPr>
        <w:footnoteRef/>
      </w:r>
      <w:r>
        <w:rPr>
          <w:rFonts w:hint="cs"/>
          <w:rtl/>
        </w:rPr>
        <w:t xml:space="preserve">) </w:t>
      </w:r>
      <w:r w:rsidRPr="00EA6FAC">
        <w:rPr>
          <w:rFonts w:hint="cs"/>
          <w:rtl/>
        </w:rPr>
        <w:t>סי' תמ סק"ה</w:t>
      </w:r>
    </w:p>
  </w:footnote>
  <w:footnote w:id="79">
    <w:p w14:paraId="61553423" w14:textId="06E6C848" w:rsidR="004D06EF" w:rsidRPr="00EA6FAC" w:rsidRDefault="004D06EF" w:rsidP="00EA6FAC">
      <w:pPr>
        <w:pStyle w:val="FootnoteText"/>
        <w:rPr>
          <w:rtl/>
        </w:rPr>
      </w:pPr>
      <w:r w:rsidRPr="00EA6FAC">
        <w:rPr>
          <w:rStyle w:val="FootnoteReference"/>
          <w:vertAlign w:val="baseline"/>
        </w:rPr>
        <w:footnoteRef/>
      </w:r>
      <w:r>
        <w:rPr>
          <w:rFonts w:hint="cs"/>
          <w:rtl/>
        </w:rPr>
        <w:t xml:space="preserve">) </w:t>
      </w:r>
      <w:r w:rsidRPr="00EA6FAC">
        <w:rPr>
          <w:rFonts w:hint="cs"/>
          <w:rtl/>
        </w:rPr>
        <w:t>שם משבצות זהב סק"ג</w:t>
      </w:r>
    </w:p>
  </w:footnote>
  <w:footnote w:id="80">
    <w:p w14:paraId="1CBE113D" w14:textId="5809B161" w:rsidR="004D06EF" w:rsidRPr="00EA6FAC" w:rsidRDefault="004D06EF" w:rsidP="00EA6FAC">
      <w:pPr>
        <w:pStyle w:val="FootnoteText"/>
        <w:rPr>
          <w:rtl/>
        </w:rPr>
      </w:pPr>
      <w:r w:rsidRPr="00EA6FAC">
        <w:rPr>
          <w:rStyle w:val="FootnoteReference"/>
          <w:vertAlign w:val="baseline"/>
        </w:rPr>
        <w:footnoteRef/>
      </w:r>
      <w:r>
        <w:rPr>
          <w:rFonts w:hint="cs"/>
          <w:rtl/>
        </w:rPr>
        <w:t xml:space="preserve">) </w:t>
      </w:r>
      <w:r w:rsidRPr="00EA6FAC">
        <w:rPr>
          <w:rFonts w:hint="cs"/>
          <w:rtl/>
        </w:rPr>
        <w:t>עיין תוס' רבינו פרץ דלאחרי שמבאר הטעם דביו"ט א"א מוסיף "ופי' הקונטרס . . ואולי כך היתה גרסתו הפרש"י" שמביא כך טעם הב'.</w:t>
      </w:r>
      <w:r w:rsidRPr="00EA6FAC">
        <w:t xml:space="preserve"> </w:t>
      </w:r>
    </w:p>
  </w:footnote>
  <w:footnote w:id="81">
    <w:p w14:paraId="42A80190" w14:textId="5CF1D749" w:rsidR="004D06EF" w:rsidRDefault="004D06EF" w:rsidP="00EA6FAC">
      <w:pPr>
        <w:pStyle w:val="FootnoteText"/>
        <w:rPr>
          <w:rtl/>
        </w:rPr>
      </w:pPr>
      <w:r w:rsidRPr="00EA6FAC">
        <w:rPr>
          <w:rStyle w:val="FootnoteReference"/>
          <w:vertAlign w:val="baseline"/>
        </w:rPr>
        <w:footnoteRef/>
      </w:r>
      <w:r>
        <w:rPr>
          <w:rFonts w:hint="cs"/>
          <w:rtl/>
        </w:rPr>
        <w:t xml:space="preserve">) </w:t>
      </w:r>
      <w:r w:rsidRPr="00EA6FAC">
        <w:rPr>
          <w:rFonts w:hint="cs"/>
          <w:rtl/>
        </w:rPr>
        <w:t>סי' תמ ס"ו</w:t>
      </w:r>
    </w:p>
  </w:footnote>
  <w:footnote w:id="82">
    <w:p w14:paraId="01D3631A" w14:textId="7FB86857" w:rsidR="004D06EF" w:rsidRPr="00267BD1" w:rsidRDefault="004D06EF" w:rsidP="00267BD1">
      <w:pPr>
        <w:pStyle w:val="FootnoteText"/>
      </w:pPr>
      <w:r w:rsidRPr="00267BD1">
        <w:rPr>
          <w:rStyle w:val="FootnoteReference"/>
          <w:vertAlign w:val="baseline"/>
        </w:rPr>
        <w:footnoteRef/>
      </w:r>
      <w:r w:rsidRPr="00267BD1">
        <w:t xml:space="preserve"> </w:t>
      </w:r>
      <w:r>
        <w:rPr>
          <w:rFonts w:hint="cs"/>
          <w:rtl/>
        </w:rPr>
        <w:t xml:space="preserve">) </w:t>
      </w:r>
      <w:r w:rsidRPr="00267BD1">
        <w:rPr>
          <w:rtl/>
        </w:rPr>
        <w:t>וכן הקשה השפת אמת עי"ש.</w:t>
      </w:r>
    </w:p>
  </w:footnote>
  <w:footnote w:id="83">
    <w:p w14:paraId="258D84FC" w14:textId="553B275D" w:rsidR="004D06EF" w:rsidRDefault="004D06EF" w:rsidP="00267BD1">
      <w:pPr>
        <w:pStyle w:val="FootnoteText"/>
        <w:rPr>
          <w:rtl/>
        </w:rPr>
      </w:pPr>
      <w:r w:rsidRPr="00267BD1">
        <w:rPr>
          <w:rStyle w:val="FootnoteReference"/>
          <w:vertAlign w:val="baseline"/>
        </w:rPr>
        <w:footnoteRef/>
      </w:r>
      <w:r w:rsidRPr="00267BD1">
        <w:t xml:space="preserve"> </w:t>
      </w:r>
      <w:r>
        <w:rPr>
          <w:rFonts w:hint="cs"/>
          <w:rtl/>
        </w:rPr>
        <w:t xml:space="preserve">) </w:t>
      </w:r>
      <w:r w:rsidRPr="00267BD1">
        <w:rPr>
          <w:rtl/>
        </w:rPr>
        <w:t>כך פי' הפ"י (ד"ה בפירש"י בד"ה לפי שנאמרוכו') לפי דעת המכילתא.</w:t>
      </w:r>
    </w:p>
  </w:footnote>
  <w:footnote w:id="84">
    <w:p w14:paraId="62208BF8" w14:textId="77777777" w:rsidR="004D06EF" w:rsidRPr="00196006" w:rsidRDefault="004D06EF" w:rsidP="000B6EE8">
      <w:pPr>
        <w:pStyle w:val="FootnoteText"/>
      </w:pPr>
      <w:r w:rsidRPr="00196006">
        <w:rPr>
          <w:rStyle w:val="FootnoteReference"/>
          <w:vertAlign w:val="baseline"/>
        </w:rPr>
        <w:footnoteRef/>
      </w:r>
      <w:r w:rsidRPr="00196006">
        <w:t xml:space="preserve"> </w:t>
      </w:r>
      <w:r>
        <w:rPr>
          <w:rFonts w:hint="cs"/>
          <w:rtl/>
        </w:rPr>
        <w:t xml:space="preserve">) </w:t>
      </w:r>
      <w:r w:rsidRPr="00196006">
        <w:rPr>
          <w:rFonts w:hint="cs"/>
          <w:rtl/>
        </w:rPr>
        <w:t>גליון א'קנד עמ' 62</w:t>
      </w:r>
    </w:p>
  </w:footnote>
  <w:footnote w:id="85">
    <w:p w14:paraId="15A6A447" w14:textId="77777777" w:rsidR="004D06EF" w:rsidRPr="00196006" w:rsidRDefault="004D06EF" w:rsidP="000B6EE8">
      <w:pPr>
        <w:pStyle w:val="FootnoteText"/>
      </w:pPr>
      <w:r w:rsidRPr="00196006">
        <w:footnoteRef/>
      </w:r>
      <w:r w:rsidRPr="00196006">
        <w:t xml:space="preserve"> </w:t>
      </w:r>
      <w:r>
        <w:rPr>
          <w:rFonts w:hint="cs"/>
          <w:rtl/>
        </w:rPr>
        <w:t xml:space="preserve">) </w:t>
      </w:r>
      <w:r w:rsidRPr="00196006">
        <w:rPr>
          <w:rFonts w:hint="cs"/>
          <w:rtl/>
        </w:rPr>
        <w:t>עמ' 60</w:t>
      </w:r>
    </w:p>
  </w:footnote>
  <w:footnote w:id="86">
    <w:p w14:paraId="34F902F2" w14:textId="77777777" w:rsidR="004D06EF" w:rsidRPr="00196006" w:rsidRDefault="004D06EF" w:rsidP="000B6EE8">
      <w:pPr>
        <w:pStyle w:val="FootnoteText"/>
        <w:rPr>
          <w:rtl/>
        </w:rPr>
      </w:pPr>
      <w:r w:rsidRPr="00196006">
        <w:rPr>
          <w:rStyle w:val="FootnoteReference"/>
          <w:vertAlign w:val="baseline"/>
        </w:rPr>
        <w:footnoteRef/>
      </w:r>
      <w:r w:rsidRPr="00196006">
        <w:t xml:space="preserve"> </w:t>
      </w:r>
      <w:r>
        <w:rPr>
          <w:rFonts w:hint="cs"/>
          <w:rtl/>
        </w:rPr>
        <w:t xml:space="preserve">) </w:t>
      </w:r>
      <w:r w:rsidRPr="00196006">
        <w:rPr>
          <w:rFonts w:hint="cs"/>
          <w:rtl/>
        </w:rPr>
        <w:t>'לקוטי שיחות' חלק לח עמ' 183</w:t>
      </w:r>
    </w:p>
  </w:footnote>
  <w:footnote w:id="87">
    <w:p w14:paraId="4FF2DEDF" w14:textId="77777777" w:rsidR="004D06EF" w:rsidRDefault="004D06EF" w:rsidP="000B6EE8">
      <w:pPr>
        <w:pStyle w:val="FootnoteText"/>
        <w:rPr>
          <w:rtl/>
        </w:rPr>
      </w:pPr>
      <w:r w:rsidRPr="00196006">
        <w:rPr>
          <w:rStyle w:val="FootnoteReference"/>
          <w:vertAlign w:val="baseline"/>
        </w:rPr>
        <w:footnoteRef/>
      </w:r>
      <w:r w:rsidRPr="00196006">
        <w:t xml:space="preserve"> </w:t>
      </w:r>
      <w:r>
        <w:rPr>
          <w:rFonts w:hint="cs"/>
          <w:rtl/>
        </w:rPr>
        <w:t xml:space="preserve">) </w:t>
      </w:r>
      <w:r w:rsidRPr="00196006">
        <w:rPr>
          <w:rFonts w:hint="cs"/>
          <w:rtl/>
        </w:rPr>
        <w:t>גליון א'כו עמ' 81</w:t>
      </w:r>
    </w:p>
  </w:footnote>
  <w:footnote w:id="88">
    <w:p w14:paraId="335CEC80" w14:textId="77777777" w:rsidR="004D06EF" w:rsidRPr="00196006" w:rsidRDefault="004D06EF" w:rsidP="000B6EE8">
      <w:pPr>
        <w:pStyle w:val="FootnoteText"/>
        <w:rPr>
          <w:rtl/>
        </w:rPr>
      </w:pPr>
      <w:r w:rsidRPr="00196006">
        <w:rPr>
          <w:rStyle w:val="FootnoteReference"/>
          <w:vertAlign w:val="baseline"/>
        </w:rPr>
        <w:footnoteRef/>
      </w:r>
      <w:r w:rsidRPr="00196006">
        <w:t xml:space="preserve"> </w:t>
      </w:r>
      <w:r w:rsidRPr="00196006">
        <w:rPr>
          <w:rFonts w:hint="cs"/>
          <w:rtl/>
        </w:rPr>
        <w:t>) גליון א'קנד עמ' 62-63</w:t>
      </w:r>
    </w:p>
  </w:footnote>
  <w:footnote w:id="89">
    <w:p w14:paraId="0EE9BC06" w14:textId="77777777" w:rsidR="004D06EF" w:rsidRPr="00196006" w:rsidRDefault="004D06EF" w:rsidP="000B6EE8">
      <w:pPr>
        <w:pStyle w:val="FootnoteText"/>
        <w:rPr>
          <w:rtl/>
        </w:rPr>
      </w:pPr>
      <w:r w:rsidRPr="00196006">
        <w:rPr>
          <w:rStyle w:val="FootnoteReference"/>
          <w:vertAlign w:val="baseline"/>
        </w:rPr>
        <w:footnoteRef/>
      </w:r>
      <w:r w:rsidRPr="00196006">
        <w:t xml:space="preserve"> </w:t>
      </w:r>
      <w:r w:rsidRPr="00196006">
        <w:rPr>
          <w:rFonts w:hint="cs"/>
          <w:rtl/>
        </w:rPr>
        <w:t>) י"ל לאחרונה ע"י הנחות בלה"ק סעיף יז, וכמעט בלשון הזה ממש זה מופיע ב'שיחות קודש' תשל"ג ח"א עמ' 137-138</w:t>
      </w:r>
    </w:p>
  </w:footnote>
  <w:footnote w:id="90">
    <w:p w14:paraId="37DEFDA2" w14:textId="77777777" w:rsidR="004D06EF" w:rsidRPr="00196006" w:rsidRDefault="004D06EF" w:rsidP="000B6EE8">
      <w:pPr>
        <w:pStyle w:val="FootnoteText"/>
        <w:rPr>
          <w:rtl/>
        </w:rPr>
      </w:pPr>
      <w:r w:rsidRPr="00196006">
        <w:rPr>
          <w:rStyle w:val="FootnoteReference"/>
          <w:vertAlign w:val="baseline"/>
        </w:rPr>
        <w:footnoteRef/>
      </w:r>
      <w:r w:rsidRPr="00196006">
        <w:t xml:space="preserve"> </w:t>
      </w:r>
      <w:r>
        <w:rPr>
          <w:rFonts w:hint="cs"/>
          <w:rtl/>
        </w:rPr>
        <w:t xml:space="preserve">) </w:t>
      </w:r>
      <w:r w:rsidRPr="00196006">
        <w:rPr>
          <w:rFonts w:hint="cs"/>
          <w:rtl/>
        </w:rPr>
        <w:t xml:space="preserve">תהלים נ, ה; </w:t>
      </w:r>
      <w:r w:rsidRPr="00196006">
        <w:rPr>
          <w:rtl/>
        </w:rPr>
        <w:t>רמב"ם הל' יסודי התורה פ"ה ה"ד</w:t>
      </w:r>
    </w:p>
  </w:footnote>
  <w:footnote w:id="91">
    <w:p w14:paraId="00B50653" w14:textId="77777777" w:rsidR="004D06EF" w:rsidRPr="00196006" w:rsidRDefault="004D06EF" w:rsidP="000B6EE8">
      <w:pPr>
        <w:pStyle w:val="FootnoteText"/>
        <w:rPr>
          <w:rtl/>
        </w:rPr>
      </w:pPr>
      <w:r w:rsidRPr="00196006">
        <w:rPr>
          <w:rStyle w:val="FootnoteReference"/>
          <w:vertAlign w:val="baseline"/>
        </w:rPr>
        <w:footnoteRef/>
      </w:r>
      <w:r>
        <w:rPr>
          <w:rFonts w:hint="cs"/>
          <w:rtl/>
        </w:rPr>
        <w:t xml:space="preserve">) </w:t>
      </w:r>
      <w:r w:rsidRPr="00196006">
        <w:rPr>
          <w:rFonts w:hint="cs"/>
          <w:rtl/>
        </w:rPr>
        <w:t>ח"א סי' כז אות יז-יח</w:t>
      </w:r>
      <w:r w:rsidRPr="00196006">
        <w:t xml:space="preserve"> </w:t>
      </w:r>
    </w:p>
  </w:footnote>
  <w:footnote w:id="92">
    <w:p w14:paraId="3BC042CB" w14:textId="77777777" w:rsidR="004D06EF" w:rsidRDefault="004D06EF" w:rsidP="000B6EE8">
      <w:pPr>
        <w:pStyle w:val="FootnoteText"/>
        <w:rPr>
          <w:rtl/>
        </w:rPr>
      </w:pPr>
      <w:r w:rsidRPr="00196006">
        <w:rPr>
          <w:rStyle w:val="FootnoteReference"/>
          <w:vertAlign w:val="baseline"/>
        </w:rPr>
        <w:footnoteRef/>
      </w:r>
      <w:r>
        <w:rPr>
          <w:rFonts w:hint="cs"/>
          <w:rtl/>
        </w:rPr>
        <w:t xml:space="preserve">) </w:t>
      </w:r>
      <w:r w:rsidRPr="00196006">
        <w:rPr>
          <w:rFonts w:hint="cs"/>
          <w:rtl/>
        </w:rPr>
        <w:t>סנהדרין מ"ז [ע"ב]</w:t>
      </w:r>
    </w:p>
  </w:footnote>
  <w:footnote w:id="93">
    <w:p w14:paraId="59CF38C4" w14:textId="77777777" w:rsidR="004D06EF" w:rsidRPr="00CA16C9" w:rsidRDefault="004D06EF" w:rsidP="000B6EE8">
      <w:pPr>
        <w:pStyle w:val="FootnoteText"/>
        <w:rPr>
          <w:rtl/>
        </w:rPr>
      </w:pPr>
      <w:r w:rsidRPr="00CA16C9">
        <w:rPr>
          <w:rStyle w:val="FootnoteReference"/>
          <w:vertAlign w:val="baseline"/>
        </w:rPr>
        <w:footnoteRef/>
      </w:r>
      <w:r>
        <w:rPr>
          <w:rFonts w:hint="cs"/>
          <w:rtl/>
        </w:rPr>
        <w:t xml:space="preserve">) </w:t>
      </w:r>
      <w:r w:rsidRPr="00CA16C9">
        <w:rPr>
          <w:rtl/>
        </w:rPr>
        <w:t>סי</w:t>
      </w:r>
      <w:r w:rsidRPr="00CA16C9">
        <w:rPr>
          <w:rFonts w:hint="cs"/>
          <w:rtl/>
        </w:rPr>
        <w:t>'</w:t>
      </w:r>
      <w:r w:rsidRPr="00CA16C9">
        <w:rPr>
          <w:rtl/>
        </w:rPr>
        <w:t xml:space="preserve"> צט</w:t>
      </w:r>
      <w:r w:rsidRPr="00CA16C9">
        <w:t xml:space="preserve"> </w:t>
      </w:r>
    </w:p>
  </w:footnote>
  <w:footnote w:id="94">
    <w:p w14:paraId="62588754" w14:textId="1B22916D" w:rsidR="004D06EF" w:rsidRPr="00673E82" w:rsidRDefault="004D06EF" w:rsidP="0090571E">
      <w:pPr>
        <w:pStyle w:val="FootnoteText"/>
      </w:pPr>
      <w:r w:rsidRPr="00673E82">
        <w:rPr>
          <w:rStyle w:val="FootnoteReference"/>
          <w:vertAlign w:val="baseline"/>
        </w:rPr>
        <w:footnoteRef/>
      </w:r>
      <w:r>
        <w:rPr>
          <w:rFonts w:hint="cs"/>
          <w:rtl/>
        </w:rPr>
        <w:t xml:space="preserve">) </w:t>
      </w:r>
      <w:r w:rsidRPr="00673E82">
        <w:rPr>
          <w:rFonts w:hint="cs"/>
          <w:b/>
          <w:bCs/>
          <w:rtl/>
        </w:rPr>
        <w:t>הערת המערכת</w:t>
      </w:r>
      <w:r w:rsidRPr="00673E82">
        <w:rPr>
          <w:rFonts w:hint="cs"/>
          <w:rtl/>
        </w:rPr>
        <w:t>: ע' ב"ב קכ"א ע"א.</w:t>
      </w:r>
    </w:p>
  </w:footnote>
  <w:footnote w:id="95">
    <w:p w14:paraId="75106B6F" w14:textId="3D2AABFC"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 xml:space="preserve">) </w:t>
      </w:r>
      <w:r w:rsidRPr="00232BC1">
        <w:rPr>
          <w:rFonts w:hint="cs"/>
          <w:rtl/>
        </w:rPr>
        <w:t>וכבר העיר על זה הרשד"ב לוין בהערותיו על רשימת הגר"י לנדא שהדפיס בספרו תיקונו מקוואות ושו"ת תורת שלום.</w:t>
      </w:r>
    </w:p>
  </w:footnote>
  <w:footnote w:id="96">
    <w:p w14:paraId="11F66595" w14:textId="38DD0DE7"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 xml:space="preserve">) </w:t>
      </w:r>
      <w:r w:rsidRPr="00232BC1">
        <w:rPr>
          <w:rFonts w:hint="cs"/>
          <w:rtl/>
        </w:rPr>
        <w:t>במקוה כהלכה ע' מ שבכדי לסתום נקב שבתעלה ההמשכה משתשים בכדור עץ לסתום יציאת המים עיי"ש באריכות ואכ"מ, וצ"ע שדרך העץ לצוף למעלה ולכן הכדור לא יסתום הנקב, והמים ילכו לאיבוד. ולכאורה נוהגים בכדור של גומי שבטבעו שוקע למטה.</w:t>
      </w:r>
    </w:p>
  </w:footnote>
  <w:footnote w:id="97">
    <w:p w14:paraId="34A3BA1B" w14:textId="136B38C7"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בתוככי אנ"ש שמקפידים בזה. אבל יש גם תשובת המהרש"ם שהובא בטהרת מים, ותשובת המנחת יצחק ח"ד סי' לו וקיד בזה, ואנו דנים כאן בדברי רבותינו. </w:t>
      </w:r>
    </w:p>
  </w:footnote>
  <w:footnote w:id="98">
    <w:p w14:paraId="08276166" w14:textId="7A29517E"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 xml:space="preserve">) </w:t>
      </w:r>
      <w:r w:rsidRPr="00232BC1">
        <w:rPr>
          <w:rFonts w:hint="cs"/>
          <w:rtl/>
        </w:rPr>
        <w:t>נדפס בטהרת מים ע' שסא ובהוספות לשו"ע אדה"ז, בשו"ת תורת שלום ע' קלט , שולחן מנחם ח"ד ע' קמו, ותיקוני מקוואות ע' נא עם הערות הרשד"ב לוין.</w:t>
      </w:r>
    </w:p>
  </w:footnote>
  <w:footnote w:id="99">
    <w:p w14:paraId="69D03362" w14:textId="1E284516"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עיין יגדיל תורה נ.י. גליון כז.</w:t>
      </w:r>
    </w:p>
  </w:footnote>
  <w:footnote w:id="100">
    <w:p w14:paraId="735032AE" w14:textId="09EF2FA4"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כ"ק אדמו"ר מבאר שם עוד טעם למה אנ"ש לא משתמשים בפקק של גומי בגלל שיש כמה מהם שיש להם שרשרת של ברזל ויש בית קיבל עבור השרשרת, וכמו הפקק שהיו נמצאים בהכיורים שבכל בית, שהיו להם שרשרת שמחבר אותם לכיור. [כ"ק אדמו"ר השתמש במכתבו בהמילה האנגלי "צינק" </w:t>
      </w:r>
      <w:r w:rsidRPr="00232BC1">
        <w:t xml:space="preserve">SINK </w:t>
      </w:r>
      <w:r w:rsidRPr="00232BC1">
        <w:rPr>
          <w:rFonts w:hint="cs"/>
          <w:rtl/>
        </w:rPr>
        <w:t>, בשולחן מנחם טעו בזה ותרגמו "אבץ (סוג מתכת)" והוא טעות דמוכח.]</w:t>
      </w:r>
    </w:p>
  </w:footnote>
  <w:footnote w:id="101">
    <w:p w14:paraId="66B5359E" w14:textId="77777777" w:rsidR="004D06EF" w:rsidRPr="00232BC1" w:rsidRDefault="004D06EF" w:rsidP="00232BC1">
      <w:pPr>
        <w:pStyle w:val="FootnoteText"/>
        <w:rPr>
          <w:rtl/>
        </w:rPr>
      </w:pPr>
      <w:r w:rsidRPr="00232BC1">
        <w:rPr>
          <w:rStyle w:val="FootnoteReference"/>
          <w:vertAlign w:val="baseline"/>
        </w:rPr>
        <w:footnoteRef/>
      </w:r>
      <w:r w:rsidRPr="00232BC1">
        <w:t xml:space="preserve"> </w:t>
      </w:r>
      <w:r w:rsidRPr="00232BC1">
        <w:rPr>
          <w:rFonts w:hint="cs"/>
          <w:rtl/>
        </w:rPr>
        <w:t xml:space="preserve">וכן בשני האגרות בו כ"ק אדמו"ר מעיר שלא ישתמשו בפקק של גומי, הפקק היה בריצפת בור של המי גשמים או הטבילה, ששם יש החשש של טומאת מדרס. אג"ק ח"ז ע' רב וחי"ד ע' תקלב. </w:t>
      </w:r>
    </w:p>
    <w:p w14:paraId="50D6EAB4" w14:textId="77777777" w:rsidR="004D06EF" w:rsidRPr="00232BC1" w:rsidRDefault="004D06EF" w:rsidP="00232BC1">
      <w:pPr>
        <w:pStyle w:val="FootnoteText"/>
        <w:rPr>
          <w:rtl/>
        </w:rPr>
      </w:pPr>
      <w:r w:rsidRPr="00232BC1">
        <w:rPr>
          <w:rFonts w:hint="cs"/>
          <w:rtl/>
        </w:rPr>
        <w:t xml:space="preserve">יש להעיר, בשני האגרות כ"ק אדמו"ר מציין להרשימה של הגרי"ל אודות החשש בהשימוש בגומי בשם "מכתבו" של אדמו"ר הרש"ב, בהערות בשולחן מנחם ע' קסא וקסג פירשו שהכוונה להאגרת של הרש"ב שהבאנו בפנים, </w:t>
      </w:r>
    </w:p>
    <w:p w14:paraId="5FF6E257" w14:textId="77777777" w:rsidR="004D06EF" w:rsidRPr="00232BC1" w:rsidRDefault="004D06EF" w:rsidP="00232BC1">
      <w:pPr>
        <w:pStyle w:val="FootnoteText"/>
        <w:rPr>
          <w:rtl/>
        </w:rPr>
      </w:pPr>
      <w:r w:rsidRPr="00232BC1">
        <w:rPr>
          <w:rFonts w:hint="cs"/>
          <w:rtl/>
        </w:rPr>
        <w:t>ואינו נכון שהאגרת של אדמו"ר ברש"ב התפרסם רק בשנת תשלח, וכשכ"ק אדמו"ר כתב אגרותיו בשנת תשטז-יז לא ידעו על קיומו.</w:t>
      </w:r>
    </w:p>
    <w:p w14:paraId="1D56137A" w14:textId="77777777" w:rsidR="004D06EF" w:rsidRPr="00232BC1" w:rsidRDefault="004D06EF" w:rsidP="00232BC1">
      <w:pPr>
        <w:pStyle w:val="FootnoteText"/>
        <w:rPr>
          <w:rtl/>
        </w:rPr>
      </w:pPr>
      <w:r w:rsidRPr="00232BC1">
        <w:rPr>
          <w:rFonts w:hint="cs"/>
          <w:rtl/>
        </w:rPr>
        <w:t xml:space="preserve">ואכן באגרת מאוחרת לאותו נמען פירש כ"ק אדמו"ר בעצמו למה התכוון, "הוראות בעניני המקוה מכ"ק אדמו"ר (מהורש"ב) נ"ע הם ע"פ רשימת מהו"ר יעקב לאנדא...שרק כשש שנים שנתפרנסו בארצוה"ב". </w:t>
      </w:r>
    </w:p>
    <w:p w14:paraId="0A35EA11" w14:textId="77777777" w:rsidR="004D06EF" w:rsidRPr="00232BC1" w:rsidRDefault="004D06EF" w:rsidP="00232BC1">
      <w:pPr>
        <w:pStyle w:val="FootnoteText"/>
        <w:rPr>
          <w:rtl/>
        </w:rPr>
      </w:pPr>
      <w:r w:rsidRPr="00232BC1">
        <w:rPr>
          <w:rFonts w:hint="cs"/>
          <w:rtl/>
        </w:rPr>
        <w:t>ובזה יבואר מה שהם התקשו בהערות בשולחן מנחם להבין בשיטת כ"ק אדמו"ר, שהם ניסוי להתאים דברי כ"ק אדמו"ר זי"ע עם דעת אדמו"ר הרש"ב באגרות קודש, אבל באמת כ"ק אדמו"ר לא ידע אז מה היה דעתו של אדמו"ר הרש"ב, שעדיין לא נתפרסם מכתבו. וכ"ק אדמו"ר כתב דבריו רק לפי מה שכתב הגרי"ל, שכתב על פי זכרונו ושנשמט ממנו לפי שעה דעתו האמיתי של אדמו"ר הרש"ב.</w:t>
      </w:r>
    </w:p>
  </w:footnote>
  <w:footnote w:id="102">
    <w:p w14:paraId="5161513C" w14:textId="38036778"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הנה באגרת זו מבאר כ"ק אדמו"ר זי"ע רק למה אנ"ש לא משתמשים בגומי כשבונים מקוואות, [דוגמא להנהגה זו יש באג"ק חי"א ע' קעז שולחן מנחם ע' קסא] וע"ז די לנו בביאורו של כ"ק אדמו"ר, אבל בביאורו של כ"ק אדמו"ר עדיין לא מבואר למה ברוסטוב לא השתמשו בגומי שהרי ברוסטוב זה לא היה לסתום החור של בור הטבילה, זה הי רק לסתום החור שבהאוצר של המי גשמים שהיה בהחצר שממנו מילאו את המקוה, והנקב היה בצידו של האוצר כמבואר ברשימת הגרי"ל, ושם אין החשש שיחדו למדרס, א"כ אין הפקק מקבל טומאה.</w:t>
      </w:r>
    </w:p>
  </w:footnote>
  <w:footnote w:id="103">
    <w:p w14:paraId="1D765A71" w14:textId="75A5259B"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עיין אג"ק ח"ג ע' ריח, ע' רכו, ע' שכד ע' שצד וראה חי"א ע' רנ. סקירת התכתבות כ"ק אדמו"ר בזה נמצא בתיקוני מקוואות ע' מט.</w:t>
      </w:r>
    </w:p>
  </w:footnote>
  <w:footnote w:id="104">
    <w:p w14:paraId="60786D40" w14:textId="6F830D2D" w:rsidR="004D06EF" w:rsidRPr="00232BC1"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כדמוכח מזה שכ"ק אדמו"ר הציע להר"א אברמסון [בח"ג ע' רד] אודות בניית בור השקה מן הצד. ובהשנים לפני זה כשכתב הרשימה [חוברת קמב.שולחן מנחם ח"ד ע' קע] לא היה ברור לכ"ק אדמו"ר אם המקוה ברוסטוב היה מימי גשמים. ועוד יותר בהרשימה הסכים כ"ק אדמו"ר להמקוה שבנה החת"ס ופקפק בהצורך להחמיר יותר מהחת"ס, ולחשוש לשיטת הרבינו ירוחם שצריכים השקה תמידית. לאידך בתש"י בהאגרת להר"א אברמסון כבר כתב כ"ק אדמו"ר להקפיד על שיטת הרבינו ירוחם שנקב ההשקה יהיה פתוח תמיד.</w:t>
      </w:r>
    </w:p>
  </w:footnote>
  <w:footnote w:id="105">
    <w:p w14:paraId="0704260B" w14:textId="119D6439" w:rsidR="004D06EF" w:rsidRDefault="004D06EF" w:rsidP="00232BC1">
      <w:pPr>
        <w:pStyle w:val="FootnoteText"/>
        <w:rPr>
          <w:rtl/>
        </w:rPr>
      </w:pPr>
      <w:r w:rsidRPr="00232BC1">
        <w:rPr>
          <w:rStyle w:val="FootnoteReference"/>
          <w:vertAlign w:val="baseline"/>
        </w:rPr>
        <w:footnoteRef/>
      </w:r>
      <w:r w:rsidRPr="00232BC1">
        <w:t xml:space="preserve"> </w:t>
      </w:r>
      <w:r>
        <w:rPr>
          <w:rFonts w:hint="cs"/>
          <w:rtl/>
        </w:rPr>
        <w:t>)</w:t>
      </w:r>
      <w:r w:rsidRPr="00232BC1">
        <w:rPr>
          <w:rFonts w:hint="cs"/>
          <w:rtl/>
        </w:rPr>
        <w:t xml:space="preserve"> ח"י ע' רלה [לא מבואר איפה היה הנקב שסתמו אותו] חכ"ב ע' רנז [אודות ניילון ופלסטיק].</w:t>
      </w:r>
    </w:p>
  </w:footnote>
  <w:footnote w:id="106">
    <w:p w14:paraId="7A328249" w14:textId="43223113" w:rsidR="004D06EF" w:rsidRPr="005E07EC" w:rsidRDefault="004D06EF" w:rsidP="00186078">
      <w:pPr>
        <w:pStyle w:val="FootnoteText"/>
        <w:rPr>
          <w:rtl/>
        </w:rPr>
      </w:pPr>
      <w:r w:rsidRPr="00186078">
        <w:footnoteRef/>
      </w:r>
      <w:r w:rsidRPr="005E07EC">
        <w:t xml:space="preserve"> </w:t>
      </w:r>
      <w:r>
        <w:rPr>
          <w:rFonts w:hint="cs"/>
          <w:rtl/>
        </w:rPr>
        <w:t xml:space="preserve">) </w:t>
      </w:r>
      <w:r w:rsidRPr="005E07EC">
        <w:rPr>
          <w:rFonts w:hint="cs"/>
          <w:rtl/>
        </w:rPr>
        <w:t xml:space="preserve">וכאן המקום להעיר שבגליון הקודם </w:t>
      </w:r>
      <w:r w:rsidRPr="005E07EC">
        <w:rPr>
          <w:rtl/>
        </w:rPr>
        <w:t>הביא הרב אברהם אלאשוילי מסדר</w:t>
      </w:r>
      <w:r w:rsidRPr="005E07EC">
        <w:t xml:space="preserve"> </w:t>
      </w:r>
      <w:r w:rsidRPr="005E07EC">
        <w:rPr>
          <w:rtl/>
        </w:rPr>
        <w:t>ברה</w:t>
      </w:r>
      <w:r w:rsidRPr="005E07EC">
        <w:t>"</w:t>
      </w:r>
      <w:r w:rsidRPr="005E07EC">
        <w:rPr>
          <w:rtl/>
        </w:rPr>
        <w:t>נ (פ</w:t>
      </w:r>
      <w:r w:rsidRPr="005E07EC">
        <w:t>"</w:t>
      </w:r>
      <w:r w:rsidRPr="005E07EC">
        <w:rPr>
          <w:rtl/>
        </w:rPr>
        <w:t>ח ה</w:t>
      </w:r>
      <w:r w:rsidRPr="005E07EC">
        <w:t>"</w:t>
      </w:r>
      <w:r w:rsidRPr="005E07EC">
        <w:rPr>
          <w:rtl/>
        </w:rPr>
        <w:t xml:space="preserve">ו) </w:t>
      </w:r>
      <w:r w:rsidRPr="005E07EC">
        <w:rPr>
          <w:rFonts w:hint="cs"/>
          <w:rtl/>
        </w:rPr>
        <w:t>ש</w:t>
      </w:r>
      <w:r w:rsidRPr="005E07EC">
        <w:rPr>
          <w:rtl/>
        </w:rPr>
        <w:t>יש לברך ברכה אחרונה על קאוו</w:t>
      </w:r>
      <w:r w:rsidRPr="005E07EC">
        <w:t>"</w:t>
      </w:r>
      <w:r w:rsidRPr="005E07EC">
        <w:rPr>
          <w:rtl/>
        </w:rPr>
        <w:t>י וטיי</w:t>
      </w:r>
      <w:r w:rsidRPr="005E07EC">
        <w:t>"</w:t>
      </w:r>
      <w:r w:rsidRPr="005E07EC">
        <w:rPr>
          <w:rtl/>
        </w:rPr>
        <w:t>א חמין אע</w:t>
      </w:r>
      <w:r w:rsidRPr="005E07EC">
        <w:t>"</w:t>
      </w:r>
      <w:r w:rsidRPr="005E07EC">
        <w:rPr>
          <w:rtl/>
        </w:rPr>
        <w:t>פ</w:t>
      </w:r>
      <w:r w:rsidRPr="005E07EC">
        <w:t xml:space="preserve"> </w:t>
      </w:r>
      <w:r w:rsidRPr="005E07EC">
        <w:rPr>
          <w:rtl/>
        </w:rPr>
        <w:t>ששותהו מעט מעט, אם לא שהה יותר מכדי אכילת פרס</w:t>
      </w:r>
      <w:r w:rsidRPr="005E07EC">
        <w:rPr>
          <w:rFonts w:hint="cs"/>
          <w:rtl/>
        </w:rPr>
        <w:t xml:space="preserve">, ומ״ש </w:t>
      </w:r>
      <w:r w:rsidRPr="005E07EC">
        <w:rPr>
          <w:rtl/>
        </w:rPr>
        <w:t>בשארית יהוד</w:t>
      </w:r>
      <w:r w:rsidRPr="005E07EC">
        <w:rPr>
          <w:rFonts w:hint="cs"/>
          <w:rtl/>
        </w:rPr>
        <w:t xml:space="preserve">ה </w:t>
      </w:r>
      <w:r w:rsidRPr="005E07EC">
        <w:rPr>
          <w:rtl/>
        </w:rPr>
        <w:t>או</w:t>
      </w:r>
      <w:r w:rsidRPr="005E07EC">
        <w:t>"</w:t>
      </w:r>
      <w:r w:rsidRPr="005E07EC">
        <w:rPr>
          <w:rtl/>
        </w:rPr>
        <w:t xml:space="preserve">ח סי' טו </w:t>
      </w:r>
      <w:r w:rsidRPr="005E07EC">
        <w:rPr>
          <w:rFonts w:hint="cs"/>
          <w:rtl/>
        </w:rPr>
        <w:t>ש</w:t>
      </w:r>
      <w:r w:rsidRPr="005E07EC">
        <w:rPr>
          <w:rtl/>
        </w:rPr>
        <w:t>כתב ששמע מאדה</w:t>
      </w:r>
      <w:r w:rsidRPr="005E07EC">
        <w:t>"</w:t>
      </w:r>
      <w:r w:rsidRPr="005E07EC">
        <w:rPr>
          <w:rtl/>
        </w:rPr>
        <w:t xml:space="preserve">ז בטעם פסק זה </w:t>
      </w:r>
      <w:r w:rsidRPr="005E07EC">
        <w:rPr>
          <w:rFonts w:hint="cs"/>
          <w:rtl/>
        </w:rPr>
        <w:t>״</w:t>
      </w:r>
      <w:r w:rsidRPr="005E07EC">
        <w:rPr>
          <w:rtl/>
        </w:rPr>
        <w:t>שחזר בו מהפסק בשו</w:t>
      </w:r>
      <w:r w:rsidRPr="005E07EC">
        <w:t>"</w:t>
      </w:r>
      <w:r w:rsidRPr="005E07EC">
        <w:rPr>
          <w:rtl/>
        </w:rPr>
        <w:t>ע</w:t>
      </w:r>
      <w:r w:rsidRPr="005E07EC">
        <w:t xml:space="preserve"> </w:t>
      </w:r>
      <w:r w:rsidRPr="005E07EC">
        <w:rPr>
          <w:rtl/>
        </w:rPr>
        <w:t>בסי' תעב ובסי' תריב</w:t>
      </w:r>
      <w:r w:rsidRPr="005E07EC">
        <w:rPr>
          <w:rFonts w:hint="cs"/>
          <w:rtl/>
        </w:rPr>
        <w:t>״</w:t>
      </w:r>
      <w:r w:rsidRPr="005E07EC">
        <w:rPr>
          <w:rtl/>
        </w:rPr>
        <w:t xml:space="preserve"> (״שבברכה אחרונה ששיעורה ברביעית – אין סברא כ</w:t>
      </w:r>
      <w:r w:rsidRPr="005E07EC">
        <w:t>"</w:t>
      </w:r>
      <w:r w:rsidRPr="005E07EC">
        <w:rPr>
          <w:rtl/>
        </w:rPr>
        <w:t>כ לשער</w:t>
      </w:r>
      <w:r w:rsidRPr="005E07EC">
        <w:t xml:space="preserve"> </w:t>
      </w:r>
      <w:r w:rsidRPr="005E07EC">
        <w:rPr>
          <w:rtl/>
        </w:rPr>
        <w:t>שתיית רביעית שבמהרה בכדי שתיית רביעית בשתיה בינונית")</w:t>
      </w:r>
      <w:r w:rsidRPr="005E07EC">
        <w:rPr>
          <w:rFonts w:hint="cs"/>
          <w:rtl/>
        </w:rPr>
        <w:t>.</w:t>
      </w:r>
    </w:p>
    <w:p w14:paraId="7EBD1510" w14:textId="77777777" w:rsidR="004D06EF" w:rsidRPr="005E07EC" w:rsidRDefault="004D06EF" w:rsidP="00186078">
      <w:pPr>
        <w:pStyle w:val="FootnoteText"/>
        <w:rPr>
          <w:rtl/>
        </w:rPr>
      </w:pPr>
      <w:r w:rsidRPr="005E07EC">
        <w:rPr>
          <w:rtl/>
        </w:rPr>
        <w:t xml:space="preserve">ותמיהני, שהרי בסדר בה״נ לא ״חזר בו״ ממ״ש בסי׳ </w:t>
      </w:r>
      <w:r w:rsidRPr="005E07EC">
        <w:rPr>
          <w:b/>
          <w:bCs/>
          <w:rtl/>
        </w:rPr>
        <w:t>תעב</w:t>
      </w:r>
      <w:r w:rsidRPr="005E07EC">
        <w:rPr>
          <w:rtl/>
        </w:rPr>
        <w:t xml:space="preserve"> ולא ממ״ש בסי׳ </w:t>
      </w:r>
      <w:r w:rsidRPr="005E07EC">
        <w:rPr>
          <w:b/>
          <w:bCs/>
          <w:rtl/>
        </w:rPr>
        <w:t>תריב</w:t>
      </w:r>
      <w:r w:rsidRPr="005E07EC">
        <w:rPr>
          <w:rtl/>
        </w:rPr>
        <w:t xml:space="preserve">, </w:t>
      </w:r>
      <w:r w:rsidRPr="005E07EC">
        <w:rPr>
          <w:rFonts w:hint="cs"/>
          <w:rtl/>
        </w:rPr>
        <w:t>ד</w:t>
      </w:r>
      <w:r w:rsidRPr="005E07EC">
        <w:rPr>
          <w:rtl/>
        </w:rPr>
        <w:t>בד׳ כוסות השיעור הוא</w:t>
      </w:r>
      <w:r w:rsidRPr="005E07EC">
        <w:rPr>
          <w:rFonts w:hint="cs"/>
          <w:rtl/>
        </w:rPr>
        <w:t xml:space="preserve"> (רק)</w:t>
      </w:r>
      <w:r w:rsidRPr="005E07EC">
        <w:rPr>
          <w:rtl/>
        </w:rPr>
        <w:t xml:space="preserve"> </w:t>
      </w:r>
      <w:r w:rsidRPr="005E07EC">
        <w:rPr>
          <w:b/>
          <w:bCs/>
          <w:rtl/>
        </w:rPr>
        <w:t>רוב</w:t>
      </w:r>
      <w:r w:rsidRPr="005E07EC">
        <w:rPr>
          <w:rtl/>
        </w:rPr>
        <w:t xml:space="preserve"> רביעית ובסי׳ תריב השיעור הוא </w:t>
      </w:r>
      <w:r w:rsidRPr="005E07EC">
        <w:rPr>
          <w:b/>
          <w:bCs/>
          <w:rtl/>
        </w:rPr>
        <w:t>כמלא לוגמיו</w:t>
      </w:r>
      <w:r w:rsidRPr="005E07EC">
        <w:rPr>
          <w:rtl/>
        </w:rPr>
        <w:t>, ו</w:t>
      </w:r>
      <w:r w:rsidRPr="005E07EC">
        <w:rPr>
          <w:rFonts w:hint="cs"/>
          <w:rtl/>
        </w:rPr>
        <w:t xml:space="preserve">א״כ </w:t>
      </w:r>
      <w:r w:rsidRPr="005E07EC">
        <w:rPr>
          <w:rtl/>
        </w:rPr>
        <w:t xml:space="preserve">גם לפי מסקנת אדה״ז שיעור צירוף </w:t>
      </w:r>
      <w:r w:rsidRPr="005E07EC">
        <w:rPr>
          <w:rFonts w:hint="cs"/>
          <w:rtl/>
        </w:rPr>
        <w:t>בד׳ כוסות ועינוי יו״כ</w:t>
      </w:r>
      <w:r w:rsidRPr="005E07EC">
        <w:rPr>
          <w:rtl/>
        </w:rPr>
        <w:t xml:space="preserve"> הוא בכדי שתיית </w:t>
      </w:r>
      <w:r w:rsidRPr="005E07EC">
        <w:rPr>
          <w:b/>
          <w:bCs/>
          <w:rtl/>
        </w:rPr>
        <w:t>רביעית</w:t>
      </w:r>
      <w:r w:rsidRPr="005E07EC">
        <w:rPr>
          <w:rFonts w:hint="cs"/>
          <w:rtl/>
        </w:rPr>
        <w:t xml:space="preserve"> ואין כאן חזרה. ברור שלא </w:t>
      </w:r>
      <w:r w:rsidRPr="005E07EC">
        <w:rPr>
          <w:rtl/>
        </w:rPr>
        <w:t xml:space="preserve">חזר בו </w:t>
      </w:r>
      <w:r w:rsidRPr="005E07EC">
        <w:rPr>
          <w:rFonts w:hint="cs"/>
          <w:rtl/>
        </w:rPr>
        <w:t xml:space="preserve">אדה״ז אלא </w:t>
      </w:r>
      <w:r w:rsidRPr="005E07EC">
        <w:rPr>
          <w:rtl/>
        </w:rPr>
        <w:t>ממ״ש ב</w:t>
      </w:r>
      <w:r w:rsidRPr="005E07EC">
        <w:rPr>
          <w:b/>
          <w:bCs/>
          <w:rtl/>
        </w:rPr>
        <w:t xml:space="preserve">לוח </w:t>
      </w:r>
      <w:r w:rsidRPr="005E07EC">
        <w:rPr>
          <w:rtl/>
        </w:rPr>
        <w:t>ברכת הנהני</w:t>
      </w:r>
      <w:r w:rsidRPr="005E07EC">
        <w:rPr>
          <w:rFonts w:hint="cs"/>
          <w:rtl/>
        </w:rPr>
        <w:t>ן</w:t>
      </w:r>
      <w:r w:rsidRPr="005E07EC">
        <w:rPr>
          <w:rtl/>
        </w:rPr>
        <w:t xml:space="preserve"> </w:t>
      </w:r>
      <w:r w:rsidRPr="005E07EC">
        <w:rPr>
          <w:rFonts w:hint="cs"/>
          <w:rtl/>
        </w:rPr>
        <w:t>(</w:t>
      </w:r>
      <w:r w:rsidRPr="005E07EC">
        <w:rPr>
          <w:rtl/>
        </w:rPr>
        <w:t>פ״ב ה״ז</w:t>
      </w:r>
      <w:r w:rsidRPr="005E07EC">
        <w:rPr>
          <w:rFonts w:hint="cs"/>
          <w:rtl/>
        </w:rPr>
        <w:t>)</w:t>
      </w:r>
      <w:r w:rsidRPr="005E07EC">
        <w:rPr>
          <w:rtl/>
        </w:rPr>
        <w:t xml:space="preserve"> שאין לברך ברכה אחרונה על קאוו</w:t>
      </w:r>
      <w:r w:rsidRPr="005E07EC">
        <w:t>"</w:t>
      </w:r>
      <w:r w:rsidRPr="005E07EC">
        <w:rPr>
          <w:rtl/>
        </w:rPr>
        <w:t>י וטיי</w:t>
      </w:r>
      <w:r w:rsidRPr="005E07EC">
        <w:t>"</w:t>
      </w:r>
      <w:r w:rsidRPr="005E07EC">
        <w:rPr>
          <w:rtl/>
        </w:rPr>
        <w:t>א חמין ששותהו מעט מעט.</w:t>
      </w:r>
    </w:p>
    <w:p w14:paraId="36DE1268" w14:textId="77777777" w:rsidR="004D06EF" w:rsidRPr="005E07EC" w:rsidRDefault="004D06EF" w:rsidP="00186078">
      <w:pPr>
        <w:pStyle w:val="FootnoteText"/>
        <w:rPr>
          <w:b/>
          <w:bCs/>
          <w:rtl/>
        </w:rPr>
      </w:pPr>
      <w:r w:rsidRPr="005E07EC">
        <w:rPr>
          <w:rFonts w:hint="cs"/>
          <w:rtl/>
        </w:rPr>
        <w:t xml:space="preserve">גם תמוה מה שהקשה הרב </w:t>
      </w:r>
      <w:r w:rsidRPr="005E07EC">
        <w:rPr>
          <w:rtl/>
        </w:rPr>
        <w:t>אלאשוילי</w:t>
      </w:r>
      <w:r w:rsidRPr="005E07EC">
        <w:rPr>
          <w:rFonts w:hint="cs"/>
          <w:rtl/>
        </w:rPr>
        <w:t xml:space="preserve"> (</w:t>
      </w:r>
      <w:r w:rsidRPr="005E07EC">
        <w:rPr>
          <w:rtl/>
        </w:rPr>
        <w:t>בשוה״ג שם</w:t>
      </w:r>
      <w:r w:rsidRPr="005E07EC">
        <w:rPr>
          <w:rFonts w:hint="cs"/>
          <w:rtl/>
        </w:rPr>
        <w:t>)</w:t>
      </w:r>
      <w:r w:rsidRPr="005E07EC">
        <w:rPr>
          <w:rtl/>
        </w:rPr>
        <w:t xml:space="preserve"> בדעת השארית יהודה </w:t>
      </w:r>
      <w:r w:rsidRPr="005E07EC">
        <w:rPr>
          <w:rFonts w:hint="cs"/>
          <w:rtl/>
        </w:rPr>
        <w:t>(</w:t>
      </w:r>
      <w:r w:rsidRPr="005E07EC">
        <w:rPr>
          <w:rtl/>
        </w:rPr>
        <w:t>שם</w:t>
      </w:r>
      <w:r w:rsidRPr="005E07EC">
        <w:rPr>
          <w:rFonts w:hint="cs"/>
          <w:rtl/>
        </w:rPr>
        <w:t>)</w:t>
      </w:r>
      <w:r w:rsidRPr="005E07EC">
        <w:rPr>
          <w:rtl/>
        </w:rPr>
        <w:t xml:space="preserve"> שכתב שיש להקל לגמרי כדעת הרמב</w:t>
      </w:r>
      <w:r w:rsidRPr="005E07EC">
        <w:t>"</w:t>
      </w:r>
      <w:r w:rsidRPr="005E07EC">
        <w:rPr>
          <w:rtl/>
        </w:rPr>
        <w:t xml:space="preserve">ם, </w:t>
      </w:r>
      <w:r w:rsidRPr="005E07EC">
        <w:rPr>
          <w:rFonts w:hint="cs"/>
          <w:rtl/>
        </w:rPr>
        <w:t>והרי</w:t>
      </w:r>
      <w:r w:rsidRPr="005E07EC">
        <w:rPr>
          <w:rtl/>
        </w:rPr>
        <w:t xml:space="preserve"> ״גם לדעת המשנה אחרונה של אדה</w:t>
      </w:r>
      <w:r w:rsidRPr="005E07EC">
        <w:t>"</w:t>
      </w:r>
      <w:r w:rsidRPr="005E07EC">
        <w:rPr>
          <w:rtl/>
        </w:rPr>
        <w:t>ז (כאמור כאן), עדיין יש מחלוקת ביוה</w:t>
      </w:r>
      <w:r w:rsidRPr="005E07EC">
        <w:t>"</w:t>
      </w:r>
      <w:r w:rsidRPr="005E07EC">
        <w:rPr>
          <w:rtl/>
        </w:rPr>
        <w:t>כ</w:t>
      </w:r>
      <w:r w:rsidRPr="005E07EC">
        <w:t xml:space="preserve"> </w:t>
      </w:r>
      <w:r w:rsidRPr="005E07EC">
        <w:rPr>
          <w:rtl/>
        </w:rPr>
        <w:t>בין הרמב</w:t>
      </w:r>
      <w:r w:rsidRPr="005E07EC">
        <w:t>"</w:t>
      </w:r>
      <w:r w:rsidRPr="005E07EC">
        <w:rPr>
          <w:rtl/>
        </w:rPr>
        <w:t>ם והראב</w:t>
      </w:r>
      <w:r w:rsidRPr="005E07EC">
        <w:t>"</w:t>
      </w:r>
      <w:r w:rsidRPr="005E07EC">
        <w:rPr>
          <w:rtl/>
        </w:rPr>
        <w:t>ד, ולכתחילה יש לפסוק כדעה המחמירה, שהיא דעת</w:t>
      </w:r>
      <w:r w:rsidRPr="005E07EC">
        <w:t xml:space="preserve"> </w:t>
      </w:r>
      <w:r w:rsidRPr="005E07EC">
        <w:rPr>
          <w:rtl/>
        </w:rPr>
        <w:t>הראב</w:t>
      </w:r>
      <w:r w:rsidRPr="005E07EC">
        <w:t>"</w:t>
      </w:r>
      <w:r w:rsidRPr="005E07EC">
        <w:rPr>
          <w:rtl/>
        </w:rPr>
        <w:t xml:space="preserve">ד״. ודבריו תמוהים לענ״ד, שהרי בשארית יהודה שם התייחס לזה, וכתב שלפי מסקנת אדה״ז יש להקל לגמרי כדעת הרמב״ם שהרי לפי הביאר ששמע מאדה״ז (במשנה אחרונה) </w:t>
      </w:r>
      <w:r w:rsidRPr="005E07EC">
        <w:rPr>
          <w:b/>
          <w:bCs/>
          <w:rtl/>
        </w:rPr>
        <w:t>אדחי׳ לה ראיית הראב״ד מפסול גווי׳, וכיון דכשל עוזר נפל עזור</w:t>
      </w:r>
      <w:r w:rsidRPr="005E07EC">
        <w:rPr>
          <w:rFonts w:hint="cs"/>
          <w:b/>
          <w:bCs/>
          <w:rtl/>
        </w:rPr>
        <w:t>.</w:t>
      </w:r>
    </w:p>
    <w:p w14:paraId="0074E28C" w14:textId="2967285B" w:rsidR="004D06EF" w:rsidRPr="005E07EC" w:rsidRDefault="004D06EF" w:rsidP="00186078">
      <w:pPr>
        <w:pStyle w:val="FootnoteText"/>
        <w:rPr>
          <w:rtl/>
        </w:rPr>
      </w:pPr>
      <w:r w:rsidRPr="005E07EC">
        <w:rPr>
          <w:rFonts w:hint="cs"/>
          <w:rtl/>
        </w:rPr>
        <w:t xml:space="preserve">עוד הביא שם הרב </w:t>
      </w:r>
      <w:r w:rsidRPr="005E07EC">
        <w:rPr>
          <w:rtl/>
        </w:rPr>
        <w:t xml:space="preserve">אלאשוילי </w:t>
      </w:r>
      <w:r w:rsidRPr="005E07EC">
        <w:rPr>
          <w:rFonts w:hint="cs"/>
          <w:rtl/>
        </w:rPr>
        <w:t>מ</w:t>
      </w:r>
      <w:r w:rsidRPr="005E07EC">
        <w:rPr>
          <w:rtl/>
        </w:rPr>
        <w:t>מ״ש בבדי השלחן</w:t>
      </w:r>
      <w:r w:rsidRPr="005E07EC">
        <w:t xml:space="preserve"> </w:t>
      </w:r>
      <w:r w:rsidRPr="005E07EC">
        <w:rPr>
          <w:rtl/>
        </w:rPr>
        <w:t>סי' נט סק</w:t>
      </w:r>
      <w:r w:rsidRPr="005E07EC">
        <w:t>"</w:t>
      </w:r>
      <w:r w:rsidRPr="005E07EC">
        <w:rPr>
          <w:rtl/>
        </w:rPr>
        <w:t>ט שע</w:t>
      </w:r>
      <w:r w:rsidRPr="005E07EC">
        <w:t>"</w:t>
      </w:r>
      <w:r w:rsidRPr="005E07EC">
        <w:rPr>
          <w:rtl/>
        </w:rPr>
        <w:t xml:space="preserve">פ </w:t>
      </w:r>
      <w:r w:rsidRPr="005E07EC">
        <w:rPr>
          <w:rFonts w:hint="cs"/>
          <w:rtl/>
        </w:rPr>
        <w:t>השארית יהודה</w:t>
      </w:r>
      <w:r w:rsidRPr="005E07EC">
        <w:rPr>
          <w:rtl/>
        </w:rPr>
        <w:t xml:space="preserve"> יוצא לדינא שאף אם שתה</w:t>
      </w:r>
      <w:r w:rsidRPr="005E07EC">
        <w:t xml:space="preserve"> </w:t>
      </w:r>
      <w:r w:rsidRPr="005E07EC">
        <w:rPr>
          <w:rtl/>
        </w:rPr>
        <w:t>רביעית יין בכדי אכילת פרס, אלא ששיעור כזית של היין לא שתה בכדי שתיית רביעית</w:t>
      </w:r>
      <w:r w:rsidRPr="005E07EC">
        <w:t xml:space="preserve"> – </w:t>
      </w:r>
      <w:r w:rsidRPr="005E07EC">
        <w:rPr>
          <w:rtl/>
        </w:rPr>
        <w:t>לא</w:t>
      </w:r>
      <w:r w:rsidRPr="005E07EC">
        <w:t xml:space="preserve"> </w:t>
      </w:r>
      <w:r w:rsidRPr="005E07EC">
        <w:rPr>
          <w:rtl/>
        </w:rPr>
        <w:t>יברך ברכה אחרונה</w:t>
      </w:r>
      <w:r w:rsidRPr="005E07EC">
        <w:rPr>
          <w:rFonts w:hint="cs"/>
          <w:rtl/>
        </w:rPr>
        <w:t xml:space="preserve"> (</w:t>
      </w:r>
      <w:r w:rsidRPr="005E07EC">
        <w:rPr>
          <w:rtl/>
        </w:rPr>
        <w:t>כיון שביין ספק חיוב ברכה אחרונה הוא בכזית כדלעיל הלכה א</w:t>
      </w:r>
      <w:r w:rsidRPr="005E07EC">
        <w:t>,</w:t>
      </w:r>
      <w:r w:rsidRPr="005E07EC">
        <w:rPr>
          <w:rFonts w:hint="cs"/>
          <w:rtl/>
        </w:rPr>
        <w:t xml:space="preserve"> </w:t>
      </w:r>
      <w:r w:rsidRPr="005E07EC">
        <w:rPr>
          <w:rtl/>
        </w:rPr>
        <w:t>והרי בדבר ששיעורו בכזית צירופו בכדי שתיית רביעית להרמב</w:t>
      </w:r>
      <w:r w:rsidRPr="005E07EC">
        <w:t>"</w:t>
      </w:r>
      <w:r w:rsidRPr="005E07EC">
        <w:rPr>
          <w:rtl/>
        </w:rPr>
        <w:t>ם</w:t>
      </w:r>
      <w:r w:rsidRPr="005E07EC">
        <w:rPr>
          <w:rFonts w:hint="cs"/>
          <w:rtl/>
        </w:rPr>
        <w:t>)</w:t>
      </w:r>
      <w:r w:rsidRPr="005E07EC">
        <w:rPr>
          <w:rtl/>
        </w:rPr>
        <w:t xml:space="preserve"> והקשה, הרי ״לכאורה אין שום</w:t>
      </w:r>
      <w:r w:rsidRPr="005E07EC">
        <w:t xml:space="preserve"> </w:t>
      </w:r>
      <w:r w:rsidRPr="005E07EC">
        <w:rPr>
          <w:rtl/>
        </w:rPr>
        <w:t>הכרח לדבריו, שכן גם אם שתה כזית יין ביותר מכדי שתיית רביעית, יש כאן ספק ספיקא</w:t>
      </w:r>
      <w:r w:rsidRPr="005E07EC">
        <w:t>,</w:t>
      </w:r>
      <w:r w:rsidRPr="005E07EC">
        <w:rPr>
          <w:rFonts w:hint="cs"/>
          <w:rtl/>
        </w:rPr>
        <w:t xml:space="preserve"> </w:t>
      </w:r>
      <w:r w:rsidRPr="005E07EC">
        <w:rPr>
          <w:rtl/>
        </w:rPr>
        <w:t>ספק הלכה כדעה שצריך רביעית, וספק שמא הלכה כדעה שבשתייה בכלל שיעורו בכדי אכילת</w:t>
      </w:r>
      <w:r w:rsidRPr="005E07EC">
        <w:t xml:space="preserve"> </w:t>
      </w:r>
      <w:r w:rsidRPr="005E07EC">
        <w:rPr>
          <w:rtl/>
        </w:rPr>
        <w:t>פרס, והרי בספק ספיקא לא אמרינן ספק ברכות להקל (כמבואר בשוע</w:t>
      </w:r>
      <w:r w:rsidRPr="005E07EC">
        <w:t>"</w:t>
      </w:r>
      <w:r w:rsidRPr="005E07EC">
        <w:rPr>
          <w:rtl/>
        </w:rPr>
        <w:t>ר סי' תפט)</w:t>
      </w:r>
      <w:r>
        <w:rPr>
          <w:rFonts w:hint="cs"/>
          <w:rtl/>
        </w:rPr>
        <w:t>".</w:t>
      </w:r>
    </w:p>
    <w:p w14:paraId="1F23C245" w14:textId="77777777" w:rsidR="004D06EF" w:rsidRPr="005E07EC" w:rsidRDefault="004D06EF" w:rsidP="00186078">
      <w:pPr>
        <w:pStyle w:val="FootnoteText"/>
        <w:rPr>
          <w:rtl/>
        </w:rPr>
      </w:pPr>
      <w:r w:rsidRPr="005E07EC">
        <w:rPr>
          <w:rFonts w:hint="cs"/>
          <w:rtl/>
        </w:rPr>
        <w:t xml:space="preserve">ולענ״ד </w:t>
      </w:r>
      <w:r w:rsidRPr="005E07EC">
        <w:rPr>
          <w:rtl/>
        </w:rPr>
        <w:t>ע״פ</w:t>
      </w:r>
      <w:r w:rsidRPr="005E07EC">
        <w:rPr>
          <w:rFonts w:hint="cs"/>
          <w:rtl/>
        </w:rPr>
        <w:t xml:space="preserve"> המבואר בשארית יהודה,</w:t>
      </w:r>
      <w:r w:rsidRPr="005E07EC">
        <w:rPr>
          <w:rtl/>
        </w:rPr>
        <w:t xml:space="preserve"> דברי הבדי השולחן שרירין וקיימין</w:t>
      </w:r>
      <w:r w:rsidRPr="005E07EC">
        <w:rPr>
          <w:rFonts w:hint="cs"/>
          <w:rtl/>
        </w:rPr>
        <w:t xml:space="preserve"> ואין מקום להשגה זו, ואין ראי׳ מסי׳ ת</w:t>
      </w:r>
      <w:r w:rsidRPr="00186078">
        <w:rPr>
          <w:rFonts w:hint="cs"/>
          <w:rtl/>
        </w:rPr>
        <w:t>פט,</w:t>
      </w:r>
      <w:r w:rsidRPr="00186078">
        <w:rPr>
          <w:rtl/>
        </w:rPr>
        <w:t xml:space="preserve"> </w:t>
      </w:r>
      <w:r w:rsidRPr="00186078">
        <w:rPr>
          <w:rFonts w:hint="cs"/>
          <w:rtl/>
        </w:rPr>
        <w:t>דאם השיעור הוא כז</w:t>
      </w:r>
      <w:r w:rsidRPr="005E07EC">
        <w:rPr>
          <w:rFonts w:hint="cs"/>
          <w:rtl/>
        </w:rPr>
        <w:t>ית, צריך לשתותו בכדי שתיית רביעית, וכדעת הרמב״ם.</w:t>
      </w:r>
    </w:p>
    <w:p w14:paraId="39E08764" w14:textId="77777777" w:rsidR="004D06EF" w:rsidRPr="005E07EC" w:rsidRDefault="004D06EF" w:rsidP="00186078">
      <w:pPr>
        <w:pStyle w:val="FootnoteText"/>
        <w:rPr>
          <w:rtl/>
        </w:rPr>
      </w:pPr>
      <w:r w:rsidRPr="005E07EC">
        <w:rPr>
          <w:rFonts w:hint="cs"/>
          <w:rtl/>
        </w:rPr>
        <w:t>ולא באתי בזה אלא להעיר.</w:t>
      </w:r>
    </w:p>
    <w:p w14:paraId="75B6E0C1" w14:textId="77777777" w:rsidR="004D06EF" w:rsidRDefault="004D06EF" w:rsidP="00186078">
      <w:pPr>
        <w:pStyle w:val="FootnoteText"/>
        <w:rPr>
          <w:rtl/>
        </w:rPr>
      </w:pPr>
    </w:p>
  </w:footnote>
  <w:footnote w:id="107">
    <w:p w14:paraId="1757FD8E" w14:textId="77777777" w:rsidR="004D06EF" w:rsidRPr="004D70DE" w:rsidRDefault="004D06EF" w:rsidP="004D70DE">
      <w:pPr>
        <w:pStyle w:val="FootnoteText"/>
      </w:pPr>
      <w:r w:rsidRPr="004D70DE">
        <w:rPr>
          <w:rStyle w:val="FootnoteReference"/>
          <w:vertAlign w:val="baseline"/>
        </w:rPr>
        <w:footnoteRef/>
      </w:r>
      <w:r w:rsidRPr="004D70DE">
        <w:t xml:space="preserve"> </w:t>
      </w:r>
      <w:r w:rsidRPr="004D70DE">
        <w:rPr>
          <w:rFonts w:hint="cs"/>
          <w:rtl/>
        </w:rPr>
        <w:t>) ח"א סימן קא</w:t>
      </w:r>
    </w:p>
  </w:footnote>
  <w:footnote w:id="108">
    <w:p w14:paraId="25A6FA8B" w14:textId="77777777" w:rsidR="004D06EF" w:rsidRPr="004D70DE" w:rsidRDefault="004D06EF" w:rsidP="004D70DE">
      <w:pPr>
        <w:pStyle w:val="FootnoteText"/>
      </w:pPr>
      <w:r w:rsidRPr="004D70DE">
        <w:rPr>
          <w:rtl/>
        </w:rPr>
        <w:t xml:space="preserve"> </w:t>
      </w:r>
      <w:r w:rsidRPr="004D70DE">
        <w:footnoteRef/>
      </w:r>
      <w:r w:rsidRPr="004D70DE">
        <w:rPr>
          <w:rFonts w:hint="cs"/>
          <w:rtl/>
        </w:rPr>
        <w:t>) הל' תפילה פי"ב הל' כ-כב</w:t>
      </w:r>
    </w:p>
  </w:footnote>
  <w:footnote w:id="109">
    <w:p w14:paraId="11E664B1" w14:textId="77777777" w:rsidR="004D06EF" w:rsidRDefault="004D06EF" w:rsidP="004D70DE">
      <w:pPr>
        <w:pStyle w:val="FootnoteText"/>
      </w:pPr>
      <w:r w:rsidRPr="004D70DE">
        <w:rPr>
          <w:rStyle w:val="FootnoteReference"/>
          <w:vertAlign w:val="baseline"/>
        </w:rPr>
        <w:footnoteRef/>
      </w:r>
      <w:r w:rsidRPr="004D70DE">
        <w:t xml:space="preserve"> </w:t>
      </w:r>
      <w:r w:rsidRPr="004D70DE">
        <w:rPr>
          <w:rFonts w:hint="cs"/>
          <w:rtl/>
        </w:rPr>
        <w:t>) סימן קמט</w:t>
      </w:r>
    </w:p>
  </w:footnote>
  <w:footnote w:id="110">
    <w:p w14:paraId="4EB184A2" w14:textId="77777777" w:rsidR="004D06EF" w:rsidRPr="004D70DE" w:rsidRDefault="004D06EF" w:rsidP="004D70DE">
      <w:pPr>
        <w:pStyle w:val="FootnoteText"/>
      </w:pPr>
      <w:r w:rsidRPr="004D70DE">
        <w:rPr>
          <w:rStyle w:val="FootnoteReference"/>
          <w:vertAlign w:val="baseline"/>
        </w:rPr>
        <w:footnoteRef/>
      </w:r>
      <w:r w:rsidRPr="004D70DE">
        <w:t xml:space="preserve"> </w:t>
      </w:r>
      <w:r w:rsidRPr="004D70DE">
        <w:rPr>
          <w:rFonts w:hint="cs"/>
          <w:rtl/>
        </w:rPr>
        <w:t>) ראה שוע"ר סימן רפב סעיף יב, עפ"י תוספות, רא"ש ומרדכי.</w:t>
      </w:r>
    </w:p>
  </w:footnote>
  <w:footnote w:id="111">
    <w:p w14:paraId="0B3A2CBF" w14:textId="77777777" w:rsidR="004D06EF" w:rsidRPr="004D70DE" w:rsidRDefault="004D06EF" w:rsidP="004D70DE">
      <w:pPr>
        <w:pStyle w:val="FootnoteText"/>
      </w:pPr>
      <w:r w:rsidRPr="004D70DE">
        <w:rPr>
          <w:rStyle w:val="FootnoteReference"/>
          <w:vertAlign w:val="baseline"/>
        </w:rPr>
        <w:footnoteRef/>
      </w:r>
      <w:r w:rsidRPr="004D70DE">
        <w:t xml:space="preserve"> </w:t>
      </w:r>
      <w:r w:rsidRPr="004D70DE">
        <w:rPr>
          <w:rFonts w:hint="cs"/>
          <w:rtl/>
        </w:rPr>
        <w:t>) שוע"ר שם סעי' יא-יב</w:t>
      </w:r>
    </w:p>
  </w:footnote>
  <w:footnote w:id="112">
    <w:p w14:paraId="51D35275" w14:textId="77777777" w:rsidR="004D06EF" w:rsidRPr="004D70DE" w:rsidRDefault="004D06EF" w:rsidP="004D70DE">
      <w:pPr>
        <w:pStyle w:val="FootnoteText"/>
      </w:pPr>
      <w:r w:rsidRPr="004D70DE">
        <w:rPr>
          <w:rStyle w:val="FootnoteReference"/>
          <w:vertAlign w:val="baseline"/>
        </w:rPr>
        <w:footnoteRef/>
      </w:r>
      <w:r w:rsidRPr="004D70DE">
        <w:t xml:space="preserve"> </w:t>
      </w:r>
      <w:r w:rsidRPr="004D70DE">
        <w:rPr>
          <w:rFonts w:hint="cs"/>
          <w:rtl/>
        </w:rPr>
        <w:t>) שוע"ר סי' רצב סעי' ד</w:t>
      </w:r>
    </w:p>
  </w:footnote>
  <w:footnote w:id="113">
    <w:p w14:paraId="330F3FC0" w14:textId="77777777" w:rsidR="004D06EF" w:rsidRDefault="004D06EF" w:rsidP="004D70DE">
      <w:pPr>
        <w:pStyle w:val="FootnoteText"/>
      </w:pPr>
      <w:r w:rsidRPr="004D70DE">
        <w:rPr>
          <w:rStyle w:val="FootnoteReference"/>
          <w:vertAlign w:val="baseline"/>
        </w:rPr>
        <w:footnoteRef/>
      </w:r>
      <w:r w:rsidRPr="004D70DE">
        <w:t xml:space="preserve"> </w:t>
      </w:r>
      <w:r w:rsidRPr="004D70DE">
        <w:rPr>
          <w:rFonts w:hint="cs"/>
          <w:rtl/>
        </w:rPr>
        <w:t>) סימן רפב סעיף ה</w:t>
      </w:r>
    </w:p>
  </w:footnote>
  <w:footnote w:id="114">
    <w:p w14:paraId="6B0D7C25" w14:textId="624BEB9F" w:rsidR="004D06EF" w:rsidRPr="004D70DE" w:rsidRDefault="004D06EF" w:rsidP="004D70DE">
      <w:pPr>
        <w:pStyle w:val="FootnoteText"/>
      </w:pPr>
      <w:r w:rsidRPr="004D70DE">
        <w:rPr>
          <w:rStyle w:val="FootnoteReference"/>
          <w:vertAlign w:val="baseline"/>
        </w:rPr>
        <w:footnoteRef/>
      </w:r>
      <w:r w:rsidRPr="004D70DE">
        <w:rPr>
          <w:rFonts w:hint="cs"/>
          <w:rtl/>
        </w:rPr>
        <w:t>) הגהות סי' תקנ"ט ד"ה וקורין</w:t>
      </w:r>
    </w:p>
  </w:footnote>
  <w:footnote w:id="115">
    <w:p w14:paraId="7F6077A5" w14:textId="3A4C70CD" w:rsidR="004D06EF" w:rsidRPr="004D70DE" w:rsidRDefault="004D06EF" w:rsidP="004D70DE">
      <w:pPr>
        <w:pStyle w:val="FootnoteText"/>
      </w:pPr>
      <w:r w:rsidRPr="004D70DE">
        <w:rPr>
          <w:rStyle w:val="FootnoteReference"/>
          <w:vertAlign w:val="baseline"/>
        </w:rPr>
        <w:footnoteRef/>
      </w:r>
      <w:r w:rsidRPr="004D70DE">
        <w:rPr>
          <w:rFonts w:hint="cs"/>
          <w:rtl/>
        </w:rPr>
        <w:t xml:space="preserve">) כצ"ל במקום 'הר"י מינץ', וכנראה הוא טעות הדפוס.  </w:t>
      </w:r>
    </w:p>
  </w:footnote>
  <w:footnote w:id="116">
    <w:p w14:paraId="32DAFDD6" w14:textId="3BDA21B8" w:rsidR="004D06EF" w:rsidRDefault="004D06EF" w:rsidP="004D70DE">
      <w:pPr>
        <w:pStyle w:val="FootnoteText"/>
      </w:pPr>
      <w:r w:rsidRPr="004D70DE">
        <w:rPr>
          <w:rStyle w:val="FootnoteReference"/>
          <w:vertAlign w:val="baseline"/>
        </w:rPr>
        <w:footnoteRef/>
      </w:r>
      <w:r w:rsidRPr="004D70DE">
        <w:rPr>
          <w:rFonts w:hint="cs"/>
          <w:rtl/>
        </w:rPr>
        <w:t>) ר"א טירנא מנהגי ת"ב עמוד עח. מהרי"ל סדר תפילת ט"ב אות כג. לבוש מנהגים סוף או"ח אות כד. שערי אפרים שער ז סעיף לח בפתחי שערים. ועוד</w:t>
      </w:r>
    </w:p>
  </w:footnote>
  <w:footnote w:id="117">
    <w:p w14:paraId="3202D010" w14:textId="77777777" w:rsidR="004D06EF" w:rsidRPr="0090571E" w:rsidRDefault="004D06EF" w:rsidP="0090571E">
      <w:pPr>
        <w:pStyle w:val="FootnoteText"/>
        <w:rPr>
          <w:rtl/>
        </w:rPr>
      </w:pPr>
      <w:r w:rsidRPr="0090571E">
        <w:rPr>
          <w:rStyle w:val="FootnoteReference"/>
          <w:vertAlign w:val="baseline"/>
        </w:rPr>
        <w:footnoteRef/>
      </w:r>
      <w:r w:rsidRPr="0090571E">
        <w:rPr>
          <w:rStyle w:val="FootnoteReference"/>
          <w:rFonts w:hint="cs"/>
          <w:vertAlign w:val="baseline"/>
          <w:rtl/>
        </w:rPr>
        <w:t>)</w:t>
      </w:r>
      <w:r w:rsidRPr="0090571E">
        <w:rPr>
          <w:rFonts w:hint="cs"/>
          <w:rtl/>
        </w:rPr>
        <w:t xml:space="preserve"> ממהרי"ל, מהר"י וייל ורמ"א</w:t>
      </w:r>
    </w:p>
  </w:footnote>
  <w:footnote w:id="118">
    <w:p w14:paraId="30F4B8BA" w14:textId="77777777" w:rsidR="004D06EF" w:rsidRPr="0090571E" w:rsidRDefault="004D06EF" w:rsidP="0090571E">
      <w:pPr>
        <w:pStyle w:val="FootnoteText"/>
        <w:rPr>
          <w:rtl/>
        </w:rPr>
      </w:pPr>
      <w:r w:rsidRPr="0090571E">
        <w:rPr>
          <w:rStyle w:val="FootnoteReference"/>
          <w:vertAlign w:val="baseline"/>
        </w:rPr>
        <w:footnoteRef/>
      </w:r>
      <w:r w:rsidRPr="0090571E">
        <w:rPr>
          <w:rFonts w:hint="cs"/>
          <w:rtl/>
        </w:rPr>
        <w:t>)</w:t>
      </w:r>
      <w:r w:rsidRPr="0090571E">
        <w:rPr>
          <w:rStyle w:val="FootnoteReference"/>
          <w:vertAlign w:val="baseline"/>
          <w:rtl/>
        </w:rPr>
        <w:t xml:space="preserve"> </w:t>
      </w:r>
      <w:r w:rsidRPr="0090571E">
        <w:rPr>
          <w:rStyle w:val="FootnoteReference"/>
          <w:rFonts w:hint="cs"/>
          <w:vertAlign w:val="baseline"/>
          <w:rtl/>
        </w:rPr>
        <w:t xml:space="preserve">בס׳ </w:t>
      </w:r>
      <w:r w:rsidRPr="0090571E">
        <w:rPr>
          <w:rFonts w:hint="cs"/>
          <w:rtl/>
        </w:rPr>
        <w:t xml:space="preserve">שו"ת </w:t>
      </w:r>
      <w:r w:rsidRPr="0090571E">
        <w:rPr>
          <w:rStyle w:val="FootnoteReference"/>
          <w:rFonts w:hint="cs"/>
          <w:vertAlign w:val="baseline"/>
          <w:rtl/>
        </w:rPr>
        <w:t>משנת יוסף (ליברמן) חלק י׳ סימן קי</w:t>
      </w:r>
      <w:r w:rsidRPr="0090571E">
        <w:rPr>
          <w:rFonts w:hint="cs"/>
          <w:rtl/>
        </w:rPr>
        <w:t>"ח (בענין גניזת סכך וערבות אחרי מצותן) אות ד'</w:t>
      </w:r>
      <w:r w:rsidRPr="0090571E">
        <w:rPr>
          <w:rStyle w:val="FootnoteReference"/>
          <w:rFonts w:hint="cs"/>
          <w:vertAlign w:val="baseline"/>
          <w:rtl/>
        </w:rPr>
        <w:t xml:space="preserve"> מדייק בלשון שועה״ר 'לגונזן או להניחן תוך ספר אחד לסימן', וז״ל: ׳וכידוע לשונו לשון זהב ומדוקדק, א״כ הבין שאה״נ יש הידור לגונזן </w:t>
      </w:r>
      <w:r w:rsidRPr="0090571E">
        <w:rPr>
          <w:rFonts w:hint="cs"/>
          <w:rtl/>
        </w:rPr>
        <w:t xml:space="preserve">ממש, </w:t>
      </w:r>
      <w:r w:rsidRPr="0090571E">
        <w:rPr>
          <w:rStyle w:val="FootnoteReference"/>
          <w:rFonts w:hint="cs"/>
          <w:vertAlign w:val="baseline"/>
          <w:rtl/>
        </w:rPr>
        <w:t xml:space="preserve">או </w:t>
      </w:r>
      <w:r w:rsidRPr="0090571E">
        <w:rPr>
          <w:rFonts w:hint="cs"/>
          <w:rtl/>
        </w:rPr>
        <w:t>[</w:t>
      </w:r>
      <w:r w:rsidRPr="0090571E">
        <w:rPr>
          <w:rStyle w:val="FootnoteReference"/>
          <w:rFonts w:hint="cs"/>
          <w:vertAlign w:val="baseline"/>
          <w:rtl/>
        </w:rPr>
        <w:t>יותר טוב</w:t>
      </w:r>
      <w:r w:rsidRPr="0090571E">
        <w:rPr>
          <w:rFonts w:hint="cs"/>
          <w:rtl/>
        </w:rPr>
        <w:t>]</w:t>
      </w:r>
      <w:r w:rsidRPr="0090571E">
        <w:rPr>
          <w:rStyle w:val="FootnoteReference"/>
          <w:rFonts w:hint="cs"/>
          <w:vertAlign w:val="baseline"/>
          <w:rtl/>
        </w:rPr>
        <w:t xml:space="preserve"> להשתמש בהן למצוה אחרת׳.</w:t>
      </w:r>
    </w:p>
    <w:p w14:paraId="375F72EA" w14:textId="77777777" w:rsidR="004D06EF" w:rsidRPr="00BA6315" w:rsidRDefault="004D06EF" w:rsidP="0090571E">
      <w:pPr>
        <w:pStyle w:val="FootnoteText"/>
        <w:rPr>
          <w:rFonts w:eastAsia="Calibri"/>
          <w:b/>
          <w:bCs/>
          <w:u w:color="000000"/>
          <w:rtl/>
        </w:rPr>
      </w:pPr>
      <w:r w:rsidRPr="00BA6315">
        <w:rPr>
          <w:rFonts w:eastAsia="Calibri" w:hint="eastAsia"/>
          <w:b/>
          <w:bCs/>
          <w:u w:color="000000"/>
          <w:rtl/>
        </w:rPr>
        <w:t>האם</w:t>
      </w:r>
      <w:r w:rsidRPr="00BA6315">
        <w:rPr>
          <w:rFonts w:eastAsia="Calibri"/>
          <w:b/>
          <w:bCs/>
          <w:u w:color="000000"/>
          <w:rtl/>
        </w:rPr>
        <w:t xml:space="preserve"> ענפי הסכך </w:t>
      </w:r>
      <w:r w:rsidRPr="00BA6315">
        <w:rPr>
          <w:rFonts w:eastAsia="Calibri" w:hint="eastAsia"/>
          <w:b/>
          <w:bCs/>
          <w:u w:color="000000"/>
          <w:rtl/>
        </w:rPr>
        <w:t>טעונים</w:t>
      </w:r>
      <w:r w:rsidRPr="00BA6315">
        <w:rPr>
          <w:rFonts w:eastAsia="Calibri"/>
          <w:b/>
          <w:bCs/>
          <w:u w:color="000000"/>
          <w:rtl/>
        </w:rPr>
        <w:t xml:space="preserve"> </w:t>
      </w:r>
      <w:r w:rsidRPr="00BA6315">
        <w:rPr>
          <w:rFonts w:eastAsia="Calibri" w:hint="eastAsia"/>
          <w:b/>
          <w:bCs/>
          <w:u w:color="000000"/>
          <w:rtl/>
        </w:rPr>
        <w:t>גניזה</w:t>
      </w:r>
      <w:r w:rsidRPr="00BA6315">
        <w:rPr>
          <w:rFonts w:eastAsia="Calibri"/>
          <w:b/>
          <w:bCs/>
          <w:u w:color="000000"/>
          <w:rtl/>
        </w:rPr>
        <w:t>?</w:t>
      </w:r>
    </w:p>
    <w:p w14:paraId="169CE3D1" w14:textId="2D96F3B5" w:rsidR="004D06EF" w:rsidRPr="00BA6315" w:rsidRDefault="004D06EF" w:rsidP="0090571E">
      <w:pPr>
        <w:pStyle w:val="FootnoteText"/>
        <w:rPr>
          <w:rFonts w:eastAsia="Calibri"/>
          <w:u w:color="000000"/>
          <w:rtl/>
        </w:rPr>
      </w:pPr>
      <w:r w:rsidRPr="00BA6315">
        <w:rPr>
          <w:rFonts w:eastAsia="Calibri" w:hint="eastAsia"/>
          <w:u w:color="000000"/>
          <w:rtl/>
        </w:rPr>
        <w:t>לכאורה</w:t>
      </w:r>
      <w:r w:rsidRPr="00BA6315">
        <w:rPr>
          <w:rFonts w:eastAsia="Calibri"/>
          <w:u w:color="000000"/>
          <w:rtl/>
        </w:rPr>
        <w:t xml:space="preserve">,  </w:t>
      </w:r>
      <w:r w:rsidRPr="00BA6315">
        <w:rPr>
          <w:rFonts w:eastAsia="Calibri" w:hint="eastAsia"/>
          <w:u w:color="000000"/>
          <w:rtl/>
        </w:rPr>
        <w:t>יש</w:t>
      </w:r>
      <w:r w:rsidRPr="00BA6315">
        <w:rPr>
          <w:rFonts w:eastAsia="Calibri"/>
          <w:u w:color="000000"/>
          <w:rtl/>
        </w:rPr>
        <w:t xml:space="preserve"> </w:t>
      </w:r>
      <w:r w:rsidRPr="00BA6315">
        <w:rPr>
          <w:rFonts w:eastAsia="Calibri" w:hint="eastAsia"/>
          <w:u w:color="000000"/>
          <w:rtl/>
        </w:rPr>
        <w:t>להעיר</w:t>
      </w:r>
      <w:r w:rsidRPr="00BA6315">
        <w:rPr>
          <w:rFonts w:eastAsia="Calibri"/>
          <w:u w:color="000000"/>
          <w:rtl/>
        </w:rPr>
        <w:t xml:space="preserve"> </w:t>
      </w:r>
      <w:r w:rsidRPr="00BA6315">
        <w:rPr>
          <w:rFonts w:eastAsia="Calibri" w:hint="eastAsia"/>
          <w:u w:color="000000"/>
          <w:rtl/>
        </w:rPr>
        <w:t>שבנר</w:t>
      </w:r>
      <w:r w:rsidRPr="00BA6315">
        <w:rPr>
          <w:rFonts w:eastAsia="Calibri"/>
          <w:u w:color="000000"/>
          <w:rtl/>
        </w:rPr>
        <w:t xml:space="preserve"> </w:t>
      </w:r>
      <w:r w:rsidRPr="00BA6315">
        <w:rPr>
          <w:rFonts w:eastAsia="Calibri" w:hint="eastAsia"/>
          <w:u w:color="000000"/>
          <w:rtl/>
        </w:rPr>
        <w:t>חנוכה</w:t>
      </w:r>
      <w:r w:rsidRPr="00BA6315">
        <w:rPr>
          <w:rFonts w:eastAsia="Calibri"/>
          <w:u w:color="000000"/>
          <w:rtl/>
        </w:rPr>
        <w:t xml:space="preserve">, </w:t>
      </w:r>
      <w:r w:rsidRPr="00BA6315">
        <w:rPr>
          <w:rFonts w:eastAsia="Calibri" w:hint="eastAsia"/>
          <w:u w:color="000000"/>
          <w:rtl/>
        </w:rPr>
        <w:t>כיסוי</w:t>
      </w:r>
      <w:r w:rsidRPr="00BA6315">
        <w:rPr>
          <w:rFonts w:eastAsia="Calibri"/>
          <w:u w:color="000000"/>
          <w:rtl/>
        </w:rPr>
        <w:t xml:space="preserve"> </w:t>
      </w:r>
      <w:r w:rsidRPr="00BA6315">
        <w:rPr>
          <w:rFonts w:eastAsia="Calibri" w:hint="eastAsia"/>
          <w:u w:color="000000"/>
          <w:rtl/>
        </w:rPr>
        <w:t>הדם</w:t>
      </w:r>
      <w:r w:rsidRPr="00BA6315">
        <w:rPr>
          <w:rFonts w:eastAsia="Calibri"/>
          <w:u w:color="000000"/>
          <w:rtl/>
        </w:rPr>
        <w:t xml:space="preserve">, </w:t>
      </w:r>
      <w:r w:rsidRPr="00BA6315">
        <w:rPr>
          <w:rFonts w:eastAsia="Calibri" w:hint="eastAsia"/>
          <w:u w:color="000000"/>
          <w:rtl/>
        </w:rPr>
        <w:t>נוי</w:t>
      </w:r>
      <w:r w:rsidRPr="00BA6315">
        <w:rPr>
          <w:rFonts w:eastAsia="Calibri"/>
          <w:u w:color="000000"/>
          <w:rtl/>
        </w:rPr>
        <w:t xml:space="preserve"> </w:t>
      </w:r>
      <w:r w:rsidRPr="00BA6315">
        <w:rPr>
          <w:rFonts w:eastAsia="Calibri" w:hint="eastAsia"/>
          <w:u w:color="000000"/>
          <w:rtl/>
        </w:rPr>
        <w:t>סוכה</w:t>
      </w:r>
      <w:r w:rsidRPr="00BA6315">
        <w:rPr>
          <w:rFonts w:eastAsia="Calibri"/>
          <w:u w:color="000000"/>
          <w:rtl/>
        </w:rPr>
        <w:t xml:space="preserve"> </w:t>
      </w:r>
      <w:r w:rsidRPr="00BA6315">
        <w:rPr>
          <w:rFonts w:eastAsia="Calibri" w:hint="eastAsia"/>
          <w:u w:color="000000"/>
          <w:rtl/>
        </w:rPr>
        <w:t>וכו׳</w:t>
      </w:r>
      <w:r w:rsidRPr="00BA6315">
        <w:rPr>
          <w:rFonts w:eastAsia="Calibri"/>
          <w:u w:color="000000"/>
          <w:rtl/>
        </w:rPr>
        <w:t xml:space="preserve"> </w:t>
      </w:r>
      <w:r w:rsidRPr="00BA6315">
        <w:rPr>
          <w:rFonts w:eastAsia="Calibri" w:hint="eastAsia"/>
          <w:u w:color="000000"/>
          <w:rtl/>
        </w:rPr>
        <w:t>זהו</w:t>
      </w:r>
      <w:r w:rsidRPr="00BA6315">
        <w:rPr>
          <w:rFonts w:eastAsia="Calibri"/>
          <w:u w:color="000000"/>
          <w:rtl/>
        </w:rPr>
        <w:t xml:space="preserve"> </w:t>
      </w:r>
      <w:r w:rsidRPr="00BA6315">
        <w:rPr>
          <w:rFonts w:eastAsia="Calibri" w:hint="eastAsia"/>
          <w:u w:color="000000"/>
          <w:rtl/>
        </w:rPr>
        <w:t>זהירות</w:t>
      </w:r>
      <w:r w:rsidRPr="00BA6315">
        <w:rPr>
          <w:rFonts w:eastAsia="Calibri"/>
          <w:u w:color="000000"/>
          <w:rtl/>
        </w:rPr>
        <w:t xml:space="preserve"> </w:t>
      </w:r>
      <w:r w:rsidRPr="00BA6315">
        <w:rPr>
          <w:rFonts w:eastAsia="Calibri" w:hint="eastAsia"/>
          <w:u w:color="000000"/>
          <w:rtl/>
        </w:rPr>
        <w:t>מ</w:t>
      </w:r>
      <w:r w:rsidRPr="00BA6315">
        <w:rPr>
          <w:rFonts w:eastAsia="Calibri" w:hint="eastAsia"/>
          <w:b/>
          <w:bCs/>
          <w:u w:color="000000"/>
          <w:rtl/>
        </w:rPr>
        <w:t>שלילה</w:t>
      </w:r>
      <w:r w:rsidRPr="00BA6315">
        <w:rPr>
          <w:rFonts w:eastAsia="Calibri"/>
          <w:b/>
          <w:bCs/>
          <w:u w:color="000000"/>
          <w:rtl/>
        </w:rPr>
        <w:t xml:space="preserve"> (</w:t>
      </w:r>
      <w:r w:rsidRPr="00BA6315">
        <w:rPr>
          <w:rFonts w:eastAsia="Calibri" w:hint="eastAsia"/>
          <w:u w:color="000000"/>
          <w:rtl/>
        </w:rPr>
        <w:t>שלא</w:t>
      </w:r>
      <w:r w:rsidRPr="00BA6315">
        <w:rPr>
          <w:rFonts w:eastAsia="Calibri"/>
          <w:u w:color="000000"/>
          <w:rtl/>
        </w:rPr>
        <w:t xml:space="preserve"> קיצר רב יוסף לומר ׳שלא לבזות את </w:t>
      </w:r>
      <w:r w:rsidRPr="00BA6315">
        <w:rPr>
          <w:rFonts w:eastAsia="Calibri" w:hint="eastAsia"/>
          <w:u w:color="000000"/>
          <w:rtl/>
        </w:rPr>
        <w:t>המצוה׳</w:t>
      </w:r>
      <w:r w:rsidRPr="00BA6315">
        <w:rPr>
          <w:rFonts w:eastAsia="Calibri"/>
          <w:u w:color="000000"/>
          <w:rtl/>
        </w:rPr>
        <w:t xml:space="preserve"> אלא) 'שלא יהיו מצוות </w:t>
      </w:r>
      <w:r w:rsidRPr="00BA6315">
        <w:rPr>
          <w:rFonts w:eastAsia="Calibri" w:hint="eastAsia"/>
          <w:b/>
          <w:bCs/>
          <w:u w:color="000000"/>
          <w:rtl/>
        </w:rPr>
        <w:t>בזויות</w:t>
      </w:r>
      <w:r w:rsidRPr="00BA6315">
        <w:rPr>
          <w:rFonts w:eastAsia="Calibri"/>
          <w:u w:color="000000"/>
          <w:rtl/>
        </w:rPr>
        <w:t xml:space="preserve"> </w:t>
      </w:r>
      <w:r w:rsidRPr="00BA6315">
        <w:rPr>
          <w:rFonts w:eastAsia="Calibri" w:hint="eastAsia"/>
          <w:b/>
          <w:bCs/>
          <w:u w:color="000000"/>
          <w:rtl/>
        </w:rPr>
        <w:t>עליו</w:t>
      </w:r>
      <w:r w:rsidRPr="00BA6315">
        <w:rPr>
          <w:rFonts w:eastAsia="Calibri"/>
          <w:u w:color="000000"/>
          <w:rtl/>
        </w:rPr>
        <w:t>'</w:t>
      </w:r>
      <w:r w:rsidRPr="00BA6315">
        <w:rPr>
          <w:rFonts w:eastAsia="Calibri"/>
          <w:b/>
          <w:bCs/>
          <w:u w:color="000000"/>
          <w:rtl/>
        </w:rPr>
        <w:t xml:space="preserve"> (</w:t>
      </w:r>
      <w:r w:rsidRPr="00BA6315">
        <w:rPr>
          <w:rFonts w:eastAsia="Calibri" w:hint="eastAsia"/>
          <w:u w:color="000000"/>
          <w:rtl/>
        </w:rPr>
        <w:t>היינו</w:t>
      </w:r>
      <w:r w:rsidRPr="00BA6315">
        <w:rPr>
          <w:rFonts w:eastAsia="Calibri"/>
          <w:u w:color="000000"/>
          <w:rtl/>
        </w:rPr>
        <w:t xml:space="preserve"> </w:t>
      </w:r>
      <w:r w:rsidRPr="00BA6315">
        <w:rPr>
          <w:rFonts w:eastAsia="Calibri" w:hint="eastAsia"/>
          <w:u w:color="000000"/>
          <w:rtl/>
        </w:rPr>
        <w:t>על</w:t>
      </w:r>
      <w:r w:rsidRPr="00BA6315">
        <w:rPr>
          <w:rFonts w:eastAsia="Calibri"/>
          <w:b/>
          <w:bCs/>
          <w:u w:color="000000"/>
          <w:rtl/>
        </w:rPr>
        <w:t xml:space="preserve"> האדם)</w:t>
      </w:r>
      <w:r w:rsidRPr="00BA6315">
        <w:rPr>
          <w:rFonts w:eastAsia="Calibri"/>
          <w:u w:color="000000"/>
          <w:rtl/>
        </w:rPr>
        <w:t xml:space="preserve">, אבל לא ענין חיובי, לכבד </w:t>
      </w:r>
      <w:r w:rsidRPr="00BA6315">
        <w:rPr>
          <w:rFonts w:eastAsia="Calibri" w:hint="eastAsia"/>
          <w:u w:color="000000"/>
          <w:rtl/>
        </w:rPr>
        <w:t>חפצא</w:t>
      </w:r>
      <w:r w:rsidRPr="00BA6315">
        <w:rPr>
          <w:rFonts w:eastAsia="Calibri"/>
          <w:u w:color="000000"/>
          <w:rtl/>
        </w:rPr>
        <w:t xml:space="preserve"> </w:t>
      </w:r>
      <w:r w:rsidRPr="00BA6315">
        <w:rPr>
          <w:rFonts w:eastAsia="Calibri" w:hint="eastAsia"/>
          <w:u w:color="000000"/>
          <w:rtl/>
        </w:rPr>
        <w:t>דמצוה</w:t>
      </w:r>
      <w:r w:rsidRPr="00BA6315">
        <w:rPr>
          <w:rFonts w:eastAsia="Calibri"/>
          <w:u w:color="000000"/>
          <w:rtl/>
        </w:rPr>
        <w:t xml:space="preserve"> שנפסל או שעבר זמנה.</w:t>
      </w:r>
    </w:p>
    <w:p w14:paraId="78C4DD3C" w14:textId="667CD53A" w:rsidR="004D06EF" w:rsidRPr="00BA6315" w:rsidRDefault="004D06EF" w:rsidP="0090571E">
      <w:pPr>
        <w:pStyle w:val="FootnoteText"/>
        <w:rPr>
          <w:rFonts w:eastAsia="Calibri"/>
          <w:u w:color="000000"/>
          <w:rtl/>
        </w:rPr>
      </w:pPr>
      <w:r w:rsidRPr="00BA6315">
        <w:rPr>
          <w:rFonts w:eastAsia="Calibri" w:hint="eastAsia"/>
          <w:u w:color="000000"/>
          <w:rtl/>
        </w:rPr>
        <w:t>ואולי</w:t>
      </w:r>
      <w:r w:rsidRPr="00BA6315">
        <w:rPr>
          <w:rFonts w:eastAsia="Calibri"/>
          <w:u w:color="000000"/>
          <w:rtl/>
        </w:rPr>
        <w:t xml:space="preserve"> </w:t>
      </w:r>
      <w:r w:rsidRPr="00BA6315">
        <w:rPr>
          <w:rFonts w:eastAsia="Calibri" w:hint="eastAsia"/>
          <w:u w:color="000000"/>
          <w:rtl/>
        </w:rPr>
        <w:t>י״ל</w:t>
      </w:r>
      <w:r w:rsidRPr="00BA6315">
        <w:rPr>
          <w:rFonts w:eastAsia="Calibri"/>
          <w:u w:color="000000"/>
          <w:rtl/>
        </w:rPr>
        <w:t xml:space="preserve"> נפקא מינה </w:t>
      </w:r>
      <w:r w:rsidRPr="00BA6315">
        <w:rPr>
          <w:rFonts w:eastAsia="Calibri" w:hint="eastAsia"/>
          <w:u w:color="000000"/>
          <w:rtl/>
        </w:rPr>
        <w:t>לענין</w:t>
      </w:r>
      <w:r w:rsidRPr="00BA6315">
        <w:rPr>
          <w:rFonts w:eastAsia="Calibri"/>
          <w:u w:color="000000"/>
          <w:rtl/>
        </w:rPr>
        <w:t xml:space="preserve"> </w:t>
      </w:r>
      <w:r w:rsidRPr="00BA6315">
        <w:rPr>
          <w:rFonts w:eastAsia="Calibri" w:hint="eastAsia"/>
          <w:b/>
          <w:bCs/>
          <w:u w:color="000000"/>
          <w:rtl/>
        </w:rPr>
        <w:t>ענפי</w:t>
      </w:r>
      <w:r w:rsidRPr="00BA6315">
        <w:rPr>
          <w:rFonts w:eastAsia="Calibri"/>
          <w:b/>
          <w:bCs/>
          <w:u w:color="000000"/>
          <w:rtl/>
        </w:rPr>
        <w:t xml:space="preserve"> </w:t>
      </w:r>
      <w:r w:rsidRPr="00BA6315">
        <w:rPr>
          <w:rFonts w:eastAsia="Calibri" w:hint="eastAsia"/>
          <w:b/>
          <w:bCs/>
          <w:u w:color="000000"/>
          <w:rtl/>
        </w:rPr>
        <w:t>הסכך</w:t>
      </w:r>
      <w:r w:rsidRPr="00BA6315">
        <w:rPr>
          <w:rFonts w:eastAsia="Calibri"/>
          <w:u w:color="000000"/>
          <w:rtl/>
        </w:rPr>
        <w:t xml:space="preserve">, שאף שבחג יש בסכך קדושה </w:t>
      </w:r>
      <w:r w:rsidRPr="00BA6315">
        <w:rPr>
          <w:rFonts w:eastAsia="Calibri" w:hint="eastAsia"/>
          <w:b/>
          <w:bCs/>
          <w:u w:color="000000"/>
          <w:rtl/>
        </w:rPr>
        <w:t>מן</w:t>
      </w:r>
      <w:r w:rsidRPr="00BA6315">
        <w:rPr>
          <w:rFonts w:eastAsia="Calibri"/>
          <w:b/>
          <w:bCs/>
          <w:u w:color="000000"/>
          <w:rtl/>
        </w:rPr>
        <w:t xml:space="preserve"> </w:t>
      </w:r>
      <w:r w:rsidRPr="00BA6315">
        <w:rPr>
          <w:rFonts w:eastAsia="Calibri" w:hint="eastAsia"/>
          <w:b/>
          <w:bCs/>
          <w:u w:color="000000"/>
          <w:rtl/>
        </w:rPr>
        <w:t>התורה</w:t>
      </w:r>
      <w:r w:rsidRPr="00BA6315">
        <w:rPr>
          <w:rFonts w:eastAsia="Calibri"/>
          <w:u w:color="000000"/>
          <w:rtl/>
        </w:rPr>
        <w:t xml:space="preserve"> יותר מנוי סוכה, </w:t>
      </w:r>
      <w:r>
        <w:rPr>
          <w:rFonts w:eastAsia="Calibri" w:hint="cs"/>
          <w:u w:color="000000"/>
          <w:rtl/>
        </w:rPr>
        <w:t>ש</w:t>
      </w:r>
      <w:r w:rsidRPr="00BA6315">
        <w:rPr>
          <w:rFonts w:eastAsia="Calibri"/>
          <w:u w:color="000000"/>
          <w:rtl/>
        </w:rPr>
        <w:t xml:space="preserve">׳מנין לעצי סוכה </w:t>
      </w:r>
      <w:r w:rsidRPr="00BA6315">
        <w:rPr>
          <w:rFonts w:eastAsia="Calibri" w:hint="eastAsia"/>
          <w:u w:color="000000"/>
          <w:rtl/>
        </w:rPr>
        <w:t>שאסורין</w:t>
      </w:r>
      <w:r w:rsidRPr="00BA6315">
        <w:rPr>
          <w:rFonts w:eastAsia="Calibri"/>
          <w:u w:color="000000"/>
          <w:rtl/>
        </w:rPr>
        <w:t xml:space="preserve"> כל שבעה</w:t>
      </w:r>
      <w:r>
        <w:rPr>
          <w:rFonts w:eastAsia="Calibri" w:hint="cs"/>
          <w:u w:color="000000"/>
          <w:rtl/>
        </w:rPr>
        <w:t>,</w:t>
      </w:r>
      <w:r w:rsidRPr="00BA6315">
        <w:rPr>
          <w:rFonts w:eastAsia="Calibri"/>
          <w:u w:color="000000"/>
          <w:rtl/>
        </w:rPr>
        <w:t xml:space="preserve"> ת"ל חג הסוכות שבעת ימים לה׳ . . כשם שחל שם שמים על החגיגה כך חל שם שמים על הסוכה׳ . . </w:t>
      </w:r>
    </w:p>
    <w:p w14:paraId="3368504B" w14:textId="77777777" w:rsidR="004D06EF" w:rsidRPr="0090571E" w:rsidRDefault="004D06EF" w:rsidP="0090571E">
      <w:pPr>
        <w:pStyle w:val="FootnoteText"/>
        <w:rPr>
          <w:rtl/>
        </w:rPr>
      </w:pPr>
      <w:r w:rsidRPr="0090571E">
        <w:rPr>
          <w:rFonts w:hint="eastAsia"/>
          <w:rtl/>
        </w:rPr>
        <w:t>אבל</w:t>
      </w:r>
      <w:r w:rsidRPr="0090571E">
        <w:rPr>
          <w:rtl/>
        </w:rPr>
        <w:t xml:space="preserve"> </w:t>
      </w:r>
      <w:r w:rsidRPr="0090571E">
        <w:rPr>
          <w:rFonts w:hint="eastAsia"/>
          <w:rtl/>
        </w:rPr>
        <w:t>אחר</w:t>
      </w:r>
      <w:r w:rsidRPr="0090571E">
        <w:rPr>
          <w:rtl/>
        </w:rPr>
        <w:t xml:space="preserve"> </w:t>
      </w:r>
      <w:r w:rsidRPr="0090571E">
        <w:rPr>
          <w:rFonts w:hint="eastAsia"/>
          <w:rtl/>
        </w:rPr>
        <w:t>סוכות</w:t>
      </w:r>
      <w:r w:rsidRPr="0090571E">
        <w:rPr>
          <w:rtl/>
        </w:rPr>
        <w:t xml:space="preserve"> </w:t>
      </w:r>
      <w:r w:rsidRPr="0090571E">
        <w:rPr>
          <w:rFonts w:hint="eastAsia"/>
          <w:rtl/>
        </w:rPr>
        <w:t>׳מותר</w:t>
      </w:r>
      <w:r w:rsidRPr="0090571E">
        <w:rPr>
          <w:rtl/>
        </w:rPr>
        <w:t xml:space="preserve"> להסתפק מהן ולהשתמש בהן לכל מה שירצה', אלא ש'מכל מקום נכון ליזהר שלא להשתמש בהן תשמיש בזיון, ואין צריך לומר שאין </w:t>
      </w:r>
      <w:r w:rsidRPr="0090571E">
        <w:rPr>
          <w:rFonts w:hint="eastAsia"/>
          <w:rtl/>
        </w:rPr>
        <w:t>לפסוע</w:t>
      </w:r>
      <w:r w:rsidRPr="0090571E">
        <w:rPr>
          <w:rtl/>
        </w:rPr>
        <w:t xml:space="preserve"> </w:t>
      </w:r>
      <w:r w:rsidRPr="0090571E">
        <w:rPr>
          <w:rFonts w:hint="eastAsia"/>
          <w:rtl/>
        </w:rPr>
        <w:t>עליהם</w:t>
      </w:r>
      <w:r w:rsidRPr="0090571E">
        <w:rPr>
          <w:rtl/>
        </w:rPr>
        <w:t xml:space="preserve">, </w:t>
      </w:r>
      <w:r w:rsidRPr="0090571E">
        <w:rPr>
          <w:rFonts w:hint="eastAsia"/>
          <w:rtl/>
        </w:rPr>
        <w:t>שלא</w:t>
      </w:r>
      <w:r w:rsidRPr="0090571E">
        <w:rPr>
          <w:rtl/>
        </w:rPr>
        <w:t xml:space="preserve"> </w:t>
      </w:r>
      <w:r w:rsidRPr="0090571E">
        <w:rPr>
          <w:rFonts w:hint="eastAsia"/>
          <w:rtl/>
        </w:rPr>
        <w:t>ינהג</w:t>
      </w:r>
      <w:r w:rsidRPr="0090571E">
        <w:rPr>
          <w:rtl/>
        </w:rPr>
        <w:t xml:space="preserve"> </w:t>
      </w:r>
      <w:r w:rsidRPr="0090571E">
        <w:rPr>
          <w:rFonts w:hint="eastAsia"/>
          <w:rtl/>
        </w:rPr>
        <w:t>בהם</w:t>
      </w:r>
      <w:r w:rsidRPr="0090571E">
        <w:rPr>
          <w:rtl/>
        </w:rPr>
        <w:t xml:space="preserve"> </w:t>
      </w:r>
      <w:r w:rsidRPr="0090571E">
        <w:rPr>
          <w:rFonts w:hint="eastAsia"/>
          <w:rtl/>
        </w:rPr>
        <w:t>מנהג</w:t>
      </w:r>
      <w:r w:rsidRPr="0090571E">
        <w:rPr>
          <w:rtl/>
        </w:rPr>
        <w:t xml:space="preserve"> </w:t>
      </w:r>
      <w:r w:rsidRPr="0090571E">
        <w:rPr>
          <w:rFonts w:hint="eastAsia"/>
          <w:rtl/>
        </w:rPr>
        <w:t>בזיון</w:t>
      </w:r>
      <w:r w:rsidRPr="0090571E">
        <w:rPr>
          <w:rtl/>
        </w:rPr>
        <w:t>'.</w:t>
      </w:r>
    </w:p>
    <w:p w14:paraId="43DD0CB6" w14:textId="77777777" w:rsidR="004D06EF" w:rsidRPr="0090571E" w:rsidRDefault="004D06EF" w:rsidP="0090571E">
      <w:pPr>
        <w:pStyle w:val="FootnoteText"/>
      </w:pPr>
      <w:r w:rsidRPr="0090571E">
        <w:rPr>
          <w:rFonts w:hint="cs"/>
          <w:rtl/>
        </w:rPr>
        <w:t>[</w:t>
      </w:r>
      <w:r w:rsidRPr="0090571E">
        <w:rPr>
          <w:rStyle w:val="FootnoteReference"/>
          <w:rFonts w:hint="cs"/>
          <w:vertAlign w:val="baseline"/>
          <w:rtl/>
        </w:rPr>
        <w:t xml:space="preserve">אבל </w:t>
      </w:r>
      <w:r w:rsidRPr="0090571E">
        <w:rPr>
          <w:rFonts w:hint="cs"/>
          <w:rtl/>
        </w:rPr>
        <w:t xml:space="preserve">בפועל, בנוגע לענפי הסכך ודפנות הסוכה </w:t>
      </w:r>
      <w:r w:rsidRPr="0090571E">
        <w:rPr>
          <w:rStyle w:val="FootnoteReference"/>
          <w:rFonts w:hint="cs"/>
          <w:vertAlign w:val="baseline"/>
          <w:rtl/>
        </w:rPr>
        <w:t xml:space="preserve">דן </w:t>
      </w:r>
      <w:r w:rsidRPr="0090571E">
        <w:rPr>
          <w:rFonts w:hint="cs"/>
          <w:rtl/>
        </w:rPr>
        <w:t xml:space="preserve">במשנת יוסף </w:t>
      </w:r>
      <w:r w:rsidRPr="0090571E">
        <w:rPr>
          <w:rStyle w:val="FootnoteReference"/>
          <w:rFonts w:hint="cs"/>
          <w:vertAlign w:val="baseline"/>
          <w:rtl/>
        </w:rPr>
        <w:t>שם</w:t>
      </w:r>
      <w:r w:rsidRPr="0090571E">
        <w:rPr>
          <w:rFonts w:hint="cs"/>
          <w:rtl/>
        </w:rPr>
        <w:t xml:space="preserve"> בסוף</w:t>
      </w:r>
      <w:r w:rsidRPr="0090571E">
        <w:rPr>
          <w:rStyle w:val="FootnoteReference"/>
          <w:rFonts w:hint="cs"/>
          <w:vertAlign w:val="baseline"/>
          <w:rtl/>
        </w:rPr>
        <w:t xml:space="preserve"> </w:t>
      </w:r>
      <w:r w:rsidRPr="0090571E">
        <w:rPr>
          <w:rFonts w:hint="cs"/>
          <w:rtl/>
        </w:rPr>
        <w:t xml:space="preserve">(באות ו') </w:t>
      </w:r>
      <w:r w:rsidRPr="0090571E">
        <w:rPr>
          <w:rStyle w:val="FootnoteReference"/>
          <w:rFonts w:hint="cs"/>
          <w:vertAlign w:val="baseline"/>
          <w:rtl/>
        </w:rPr>
        <w:t>בקושי המציאות לגנוז א</w:t>
      </w:r>
      <w:r w:rsidRPr="0090571E">
        <w:rPr>
          <w:rFonts w:hint="cs"/>
          <w:rtl/>
        </w:rPr>
        <w:t>ת הסכך]</w:t>
      </w:r>
      <w:r w:rsidRPr="0090571E">
        <w:rPr>
          <w:rStyle w:val="FootnoteReference"/>
          <w:rFonts w:hint="cs"/>
          <w:vertAlign w:val="baseline"/>
          <w:rtl/>
        </w:rPr>
        <w:t>.</w:t>
      </w:r>
    </w:p>
    <w:p w14:paraId="123D7631" w14:textId="77777777" w:rsidR="004D06EF" w:rsidRPr="0090571E" w:rsidRDefault="004D06EF" w:rsidP="0090571E">
      <w:pPr>
        <w:pStyle w:val="FootnoteText"/>
        <w:rPr>
          <w:rtl/>
        </w:rPr>
      </w:pPr>
      <w:r w:rsidRPr="0090571E">
        <w:rPr>
          <w:rStyle w:val="FootnoteReference"/>
          <w:rFonts w:hint="eastAsia"/>
          <w:vertAlign w:val="baseline"/>
          <w:rtl/>
        </w:rPr>
        <w:t>וכ״כ</w:t>
      </w:r>
      <w:r w:rsidRPr="0090571E">
        <w:rPr>
          <w:rStyle w:val="FootnoteReference"/>
          <w:vertAlign w:val="baseline"/>
          <w:rtl/>
        </w:rPr>
        <w:t xml:space="preserve"> </w:t>
      </w:r>
      <w:r w:rsidRPr="0090571E">
        <w:rPr>
          <w:rStyle w:val="FootnoteReference"/>
          <w:rFonts w:hint="eastAsia"/>
          <w:vertAlign w:val="baseline"/>
          <w:rtl/>
        </w:rPr>
        <w:t>הט״ז</w:t>
      </w:r>
      <w:r w:rsidRPr="0090571E">
        <w:rPr>
          <w:rStyle w:val="FootnoteReference"/>
          <w:vertAlign w:val="baseline"/>
          <w:rtl/>
        </w:rPr>
        <w:t xml:space="preserve"> </w:t>
      </w:r>
      <w:r w:rsidRPr="0090571E">
        <w:rPr>
          <w:rFonts w:hint="cs"/>
          <w:rtl/>
        </w:rPr>
        <w:t xml:space="preserve">בהל' ציצית </w:t>
      </w:r>
      <w:r w:rsidRPr="0090571E">
        <w:rPr>
          <w:rStyle w:val="FootnoteReference"/>
          <w:rFonts w:hint="eastAsia"/>
          <w:vertAlign w:val="baseline"/>
          <w:rtl/>
        </w:rPr>
        <w:t>ס״ק</w:t>
      </w:r>
      <w:r w:rsidRPr="0090571E">
        <w:rPr>
          <w:rStyle w:val="FootnoteReference"/>
          <w:vertAlign w:val="baseline"/>
          <w:rtl/>
        </w:rPr>
        <w:t xml:space="preserve"> ב׳</w:t>
      </w:r>
      <w:r w:rsidRPr="0090571E">
        <w:rPr>
          <w:rFonts w:hint="cs"/>
          <w:rtl/>
        </w:rPr>
        <w:t xml:space="preserve"> בהמשך למ"ש שם שהרמ"א 'מסיים בשם מהרי"ל (שנהג לגנזם ולהניחם תוך ספר אחד, או </w:t>
      </w:r>
      <w:r w:rsidRPr="0090571E">
        <w:rPr>
          <w:rFonts w:hint="eastAsia"/>
          <w:rtl/>
        </w:rPr>
        <w:t>לעשות</w:t>
      </w:r>
      <w:r w:rsidRPr="0090571E">
        <w:rPr>
          <w:rtl/>
        </w:rPr>
        <w:t xml:space="preserve"> </w:t>
      </w:r>
      <w:r w:rsidRPr="0090571E">
        <w:rPr>
          <w:rFonts w:hint="eastAsia"/>
          <w:rtl/>
        </w:rPr>
        <w:t>בהם</w:t>
      </w:r>
      <w:r w:rsidRPr="0090571E">
        <w:rPr>
          <w:rtl/>
        </w:rPr>
        <w:t xml:space="preserve"> </w:t>
      </w:r>
      <w:r w:rsidRPr="0090571E">
        <w:rPr>
          <w:rFonts w:hint="eastAsia"/>
          <w:rtl/>
        </w:rPr>
        <w:t>שום</w:t>
      </w:r>
      <w:r w:rsidRPr="0090571E">
        <w:rPr>
          <w:rtl/>
        </w:rPr>
        <w:t xml:space="preserve"> </w:t>
      </w:r>
      <w:r w:rsidRPr="0090571E">
        <w:rPr>
          <w:rFonts w:hint="eastAsia"/>
          <w:rtl/>
        </w:rPr>
        <w:t>מצוה</w:t>
      </w:r>
      <w:r w:rsidRPr="0090571E">
        <w:rPr>
          <w:rtl/>
        </w:rPr>
        <w:t>')</w:t>
      </w:r>
      <w:r w:rsidRPr="0090571E">
        <w:rPr>
          <w:rStyle w:val="FootnoteReference"/>
          <w:vertAlign w:val="baseline"/>
          <w:rtl/>
        </w:rPr>
        <w:t xml:space="preserve">: </w:t>
      </w:r>
      <w:r w:rsidRPr="0090571E">
        <w:rPr>
          <w:rStyle w:val="FootnoteReference"/>
          <w:rFonts w:hint="eastAsia"/>
          <w:vertAlign w:val="baseline"/>
          <w:rtl/>
        </w:rPr>
        <w:t>׳ו</w:t>
      </w:r>
      <w:r w:rsidRPr="0090571E">
        <w:rPr>
          <w:rFonts w:hint="cs"/>
          <w:rtl/>
        </w:rPr>
        <w:t>לפי זה נראה ד</w:t>
      </w:r>
      <w:r w:rsidRPr="0090571E">
        <w:rPr>
          <w:rStyle w:val="FootnoteReference"/>
          <w:rFonts w:hint="eastAsia"/>
          <w:vertAlign w:val="baseline"/>
          <w:rtl/>
        </w:rPr>
        <w:t>הוא</w:t>
      </w:r>
      <w:r w:rsidRPr="0090571E">
        <w:rPr>
          <w:rStyle w:val="FootnoteReference"/>
          <w:vertAlign w:val="baseline"/>
          <w:rtl/>
        </w:rPr>
        <w:t xml:space="preserve"> הדין </w:t>
      </w:r>
      <w:r w:rsidRPr="0090571E">
        <w:rPr>
          <w:rFonts w:hint="cs"/>
          <w:rtl/>
        </w:rPr>
        <w:t>ב</w:t>
      </w:r>
      <w:r w:rsidRPr="0090571E">
        <w:rPr>
          <w:rStyle w:val="FootnoteReference"/>
          <w:rFonts w:hint="eastAsia"/>
          <w:vertAlign w:val="baseline"/>
          <w:rtl/>
        </w:rPr>
        <w:t>סכך</w:t>
      </w:r>
      <w:r w:rsidRPr="0090571E">
        <w:rPr>
          <w:rStyle w:val="FootnoteReference"/>
          <w:vertAlign w:val="baseline"/>
          <w:rtl/>
        </w:rPr>
        <w:t xml:space="preserve"> </w:t>
      </w:r>
      <w:r w:rsidRPr="0090571E">
        <w:rPr>
          <w:rStyle w:val="FootnoteReference"/>
          <w:rFonts w:hint="eastAsia"/>
          <w:vertAlign w:val="baseline"/>
          <w:rtl/>
        </w:rPr>
        <w:t>סוכה</w:t>
      </w:r>
      <w:r w:rsidRPr="0090571E">
        <w:rPr>
          <w:rStyle w:val="FootnoteReference"/>
          <w:vertAlign w:val="baseline"/>
          <w:rtl/>
        </w:rPr>
        <w:t>,</w:t>
      </w:r>
      <w:r w:rsidRPr="0090571E">
        <w:rPr>
          <w:rFonts w:hint="cs"/>
          <w:rtl/>
        </w:rPr>
        <w:t xml:space="preserve"> טוב שלא לעשות בו לצורך דבר שאינו כבוד למצוה שעברה</w:t>
      </w:r>
      <w:r w:rsidRPr="0090571E">
        <w:rPr>
          <w:rStyle w:val="FootnoteReference"/>
          <w:rFonts w:hint="eastAsia"/>
          <w:vertAlign w:val="baseline"/>
          <w:rtl/>
        </w:rPr>
        <w:t>׳</w:t>
      </w:r>
      <w:r w:rsidRPr="0090571E">
        <w:rPr>
          <w:rFonts w:hint="cs"/>
          <w:rtl/>
        </w:rPr>
        <w:t>.</w:t>
      </w:r>
    </w:p>
    <w:p w14:paraId="5AEBE1A2" w14:textId="77777777" w:rsidR="004D06EF" w:rsidRPr="0090571E" w:rsidRDefault="004D06EF" w:rsidP="0090571E">
      <w:pPr>
        <w:pStyle w:val="FootnoteText"/>
        <w:rPr>
          <w:rtl/>
        </w:rPr>
      </w:pPr>
      <w:r w:rsidRPr="0090571E">
        <w:rPr>
          <w:rStyle w:val="FootnoteReference"/>
          <w:rFonts w:hint="eastAsia"/>
          <w:vertAlign w:val="baseline"/>
          <w:rtl/>
        </w:rPr>
        <w:t>ובפרי</w:t>
      </w:r>
      <w:r w:rsidRPr="0090571E">
        <w:rPr>
          <w:rStyle w:val="FootnoteReference"/>
          <w:vertAlign w:val="baseline"/>
          <w:rtl/>
        </w:rPr>
        <w:t xml:space="preserve"> מגדים </w:t>
      </w:r>
      <w:r w:rsidRPr="0090571E">
        <w:rPr>
          <w:rFonts w:hint="cs"/>
          <w:rtl/>
        </w:rPr>
        <w:t>(</w:t>
      </w:r>
      <w:r w:rsidRPr="0090571E">
        <w:rPr>
          <w:rStyle w:val="FootnoteReference"/>
          <w:rFonts w:hint="eastAsia"/>
          <w:vertAlign w:val="baseline"/>
          <w:rtl/>
        </w:rPr>
        <w:t>משבצות</w:t>
      </w:r>
      <w:r w:rsidRPr="0090571E">
        <w:rPr>
          <w:rStyle w:val="FootnoteReference"/>
          <w:vertAlign w:val="baseline"/>
          <w:rtl/>
        </w:rPr>
        <w:t xml:space="preserve"> </w:t>
      </w:r>
      <w:r w:rsidRPr="0090571E">
        <w:rPr>
          <w:rStyle w:val="FootnoteReference"/>
          <w:rFonts w:hint="eastAsia"/>
          <w:vertAlign w:val="baseline"/>
          <w:rtl/>
        </w:rPr>
        <w:t>זהב</w:t>
      </w:r>
      <w:r w:rsidRPr="0090571E">
        <w:rPr>
          <w:rFonts w:hint="cs"/>
          <w:rtl/>
        </w:rPr>
        <w:t>) שם אות ב'</w:t>
      </w:r>
      <w:r w:rsidRPr="0090571E">
        <w:rPr>
          <w:rStyle w:val="FootnoteReference"/>
          <w:vertAlign w:val="baseline"/>
          <w:rtl/>
        </w:rPr>
        <w:t xml:space="preserve"> </w:t>
      </w:r>
      <w:r w:rsidRPr="0090571E">
        <w:rPr>
          <w:rFonts w:hint="cs"/>
          <w:rtl/>
        </w:rPr>
        <w:t xml:space="preserve">כותב 'ודפנות הסוכה יש לעיין ביה, ומ"מ נכון שלא לעשות תשמיש מגונה מהם', שלדעתו יתכן שצריך </w:t>
      </w:r>
      <w:r w:rsidRPr="0090571E">
        <w:rPr>
          <w:rStyle w:val="FootnoteReference"/>
          <w:rFonts w:hint="eastAsia"/>
          <w:vertAlign w:val="baseline"/>
          <w:rtl/>
        </w:rPr>
        <w:t>לגנוז</w:t>
      </w:r>
      <w:r w:rsidRPr="0090571E">
        <w:rPr>
          <w:rStyle w:val="FootnoteReference"/>
          <w:vertAlign w:val="baseline"/>
          <w:rtl/>
        </w:rPr>
        <w:t xml:space="preserve"> גם דפנות </w:t>
      </w:r>
      <w:r w:rsidRPr="0090571E">
        <w:rPr>
          <w:rFonts w:hint="cs"/>
          <w:rtl/>
        </w:rPr>
        <w:t>ה</w:t>
      </w:r>
      <w:r w:rsidRPr="0090571E">
        <w:rPr>
          <w:rStyle w:val="FootnoteReference"/>
          <w:rFonts w:hint="eastAsia"/>
          <w:vertAlign w:val="baseline"/>
          <w:rtl/>
        </w:rPr>
        <w:t>סוכה</w:t>
      </w:r>
      <w:r w:rsidRPr="0090571E">
        <w:rPr>
          <w:rStyle w:val="FootnoteReference"/>
          <w:vertAlign w:val="baseline"/>
          <w:rtl/>
        </w:rPr>
        <w:t>.</w:t>
      </w:r>
    </w:p>
    <w:p w14:paraId="263BE7A8" w14:textId="77777777" w:rsidR="004D06EF" w:rsidRPr="0090571E" w:rsidRDefault="004D06EF" w:rsidP="0090571E">
      <w:pPr>
        <w:pStyle w:val="FootnoteText"/>
        <w:rPr>
          <w:rtl/>
        </w:rPr>
      </w:pPr>
      <w:r w:rsidRPr="0090571E">
        <w:rPr>
          <w:rFonts w:hint="eastAsia"/>
          <w:rtl/>
        </w:rPr>
        <w:t>וז״ל</w:t>
      </w:r>
      <w:r w:rsidRPr="0090571E">
        <w:rPr>
          <w:rtl/>
        </w:rPr>
        <w:t xml:space="preserve"> ס' נטעי גבריאל הלכות חג הסוכות </w:t>
      </w:r>
      <w:r w:rsidRPr="0090571E">
        <w:rPr>
          <w:rFonts w:hint="eastAsia"/>
          <w:rtl/>
        </w:rPr>
        <w:t>פ</w:t>
      </w:r>
      <w:r w:rsidRPr="0090571E">
        <w:rPr>
          <w:rtl/>
        </w:rPr>
        <w:t xml:space="preserve">"ל אות ט' (ע׳ </w:t>
      </w:r>
      <w:r w:rsidRPr="0090571E">
        <w:rPr>
          <w:rFonts w:hint="eastAsia"/>
          <w:rtl/>
        </w:rPr>
        <w:t>קסד</w:t>
      </w:r>
      <w:r w:rsidRPr="0090571E">
        <w:rPr>
          <w:rtl/>
        </w:rPr>
        <w:t xml:space="preserve">): ׳בזמנינו שאוספים את הסכך מרחובות העיר יש </w:t>
      </w:r>
      <w:r w:rsidRPr="0090571E">
        <w:rPr>
          <w:rFonts w:hint="eastAsia"/>
          <w:rtl/>
        </w:rPr>
        <w:t>להזהר</w:t>
      </w:r>
      <w:r w:rsidRPr="0090571E">
        <w:rPr>
          <w:rtl/>
        </w:rPr>
        <w:t xml:space="preserve"> שלא יאספו אותו במכוניות האשפה, ואם אי אפשר באופן אחר יכניסם בשקיות ניילון </w:t>
      </w:r>
      <w:r w:rsidRPr="0090571E">
        <w:rPr>
          <w:rFonts w:hint="eastAsia"/>
          <w:rtl/>
        </w:rPr>
        <w:t>אטום</w:t>
      </w:r>
      <w:r w:rsidRPr="0090571E">
        <w:rPr>
          <w:rtl/>
        </w:rPr>
        <w:t xml:space="preserve"> </w:t>
      </w:r>
      <w:r w:rsidRPr="0090571E">
        <w:rPr>
          <w:rFonts w:hint="eastAsia"/>
          <w:rtl/>
        </w:rPr>
        <w:t>שלא</w:t>
      </w:r>
      <w:r w:rsidRPr="0090571E">
        <w:rPr>
          <w:rtl/>
        </w:rPr>
        <w:t xml:space="preserve"> יראה דרכה'. </w:t>
      </w:r>
    </w:p>
    <w:p w14:paraId="6332EFC5" w14:textId="77777777" w:rsidR="004D06EF" w:rsidRPr="0090571E" w:rsidRDefault="004D06EF" w:rsidP="0090571E">
      <w:pPr>
        <w:pStyle w:val="FootnoteText"/>
        <w:rPr>
          <w:rtl/>
        </w:rPr>
      </w:pPr>
      <w:r w:rsidRPr="0090571E">
        <w:rPr>
          <w:rFonts w:hint="eastAsia"/>
          <w:rtl/>
        </w:rPr>
        <w:t>וראה</w:t>
      </w:r>
      <w:r w:rsidRPr="0090571E">
        <w:rPr>
          <w:rtl/>
        </w:rPr>
        <w:t xml:space="preserve"> גם </w:t>
      </w:r>
      <w:r w:rsidRPr="0090571E">
        <w:rPr>
          <w:rFonts w:hint="eastAsia"/>
          <w:rtl/>
        </w:rPr>
        <w:t>שו</w:t>
      </w:r>
      <w:r w:rsidRPr="0090571E">
        <w:rPr>
          <w:rtl/>
        </w:rPr>
        <w:t xml:space="preserve">"ת ראש אליהו (א. </w:t>
      </w:r>
      <w:r w:rsidRPr="0090571E">
        <w:rPr>
          <w:rFonts w:hint="eastAsia"/>
          <w:rtl/>
        </w:rPr>
        <w:t>כ</w:t>
      </w:r>
      <w:r w:rsidRPr="0090571E">
        <w:rPr>
          <w:rtl/>
        </w:rPr>
        <w:t xml:space="preserve">"ץ, בני ברק תשס"ח) </w:t>
      </w:r>
      <w:r w:rsidRPr="0090571E">
        <w:rPr>
          <w:rFonts w:hint="eastAsia"/>
          <w:rtl/>
        </w:rPr>
        <w:t>ח</w:t>
      </w:r>
      <w:r w:rsidRPr="0090571E">
        <w:rPr>
          <w:rtl/>
        </w:rPr>
        <w:t xml:space="preserve">"ב </w:t>
      </w:r>
      <w:r w:rsidRPr="0090571E">
        <w:rPr>
          <w:rFonts w:hint="eastAsia"/>
          <w:rtl/>
        </w:rPr>
        <w:t>או</w:t>
      </w:r>
      <w:r w:rsidRPr="0090571E">
        <w:rPr>
          <w:rtl/>
        </w:rPr>
        <w:t>"ח סי' ע"ב ענפים א-ה.</w:t>
      </w:r>
    </w:p>
    <w:p w14:paraId="34254D4E" w14:textId="77777777" w:rsidR="004D06EF" w:rsidRPr="0090571E" w:rsidRDefault="004D06EF" w:rsidP="0090571E">
      <w:pPr>
        <w:pStyle w:val="FootnoteText"/>
        <w:rPr>
          <w:rStyle w:val="FootnoteReference"/>
          <w:vertAlign w:val="baseline"/>
          <w:rtl/>
        </w:rPr>
      </w:pPr>
      <w:r w:rsidRPr="0090571E">
        <w:rPr>
          <w:rStyle w:val="FootnoteReference"/>
          <w:vertAlign w:val="baseline"/>
          <w:rtl/>
        </w:rPr>
        <w:t xml:space="preserve">אבל </w:t>
      </w:r>
      <w:r w:rsidRPr="0090571E">
        <w:rPr>
          <w:rStyle w:val="FootnoteReference"/>
          <w:rFonts w:hint="eastAsia"/>
          <w:vertAlign w:val="baseline"/>
          <w:rtl/>
        </w:rPr>
        <w:t>פוק</w:t>
      </w:r>
      <w:r w:rsidRPr="0090571E">
        <w:rPr>
          <w:rStyle w:val="FootnoteReference"/>
          <w:vertAlign w:val="baseline"/>
          <w:rtl/>
        </w:rPr>
        <w:t xml:space="preserve"> חזי מאי עמא דבר, שאין ג</w:t>
      </w:r>
      <w:r w:rsidRPr="0090571E">
        <w:rPr>
          <w:rStyle w:val="FootnoteReference"/>
          <w:rFonts w:hint="eastAsia"/>
          <w:vertAlign w:val="baseline"/>
          <w:rtl/>
        </w:rPr>
        <w:t>ונ</w:t>
      </w:r>
      <w:r w:rsidRPr="0090571E">
        <w:rPr>
          <w:rStyle w:val="FootnoteReference"/>
          <w:vertAlign w:val="baseline"/>
          <w:rtl/>
        </w:rPr>
        <w:t>ז</w:t>
      </w:r>
      <w:r w:rsidRPr="0090571E">
        <w:rPr>
          <w:rStyle w:val="FootnoteReference"/>
          <w:rFonts w:hint="eastAsia"/>
          <w:vertAlign w:val="baseline"/>
          <w:rtl/>
        </w:rPr>
        <w:t>ין</w:t>
      </w:r>
      <w:r w:rsidRPr="0090571E">
        <w:rPr>
          <w:rStyle w:val="FootnoteReference"/>
          <w:vertAlign w:val="baseline"/>
          <w:rtl/>
        </w:rPr>
        <w:t xml:space="preserve"> </w:t>
      </w:r>
      <w:r w:rsidRPr="0090571E">
        <w:rPr>
          <w:rFonts w:hint="cs"/>
          <w:rtl/>
        </w:rPr>
        <w:t>את ה</w:t>
      </w:r>
      <w:r w:rsidRPr="0090571E">
        <w:rPr>
          <w:rStyle w:val="FootnoteReference"/>
          <w:vertAlign w:val="baseline"/>
          <w:rtl/>
        </w:rPr>
        <w:t>סכך</w:t>
      </w:r>
      <w:r w:rsidRPr="0090571E">
        <w:rPr>
          <w:rFonts w:hint="cs"/>
          <w:rtl/>
        </w:rPr>
        <w:t>.</w:t>
      </w:r>
    </w:p>
    <w:p w14:paraId="16138307" w14:textId="77777777" w:rsidR="004D06EF" w:rsidRPr="0090571E" w:rsidRDefault="004D06EF" w:rsidP="0090571E">
      <w:pPr>
        <w:pStyle w:val="FootnoteText"/>
        <w:rPr>
          <w:rStyle w:val="FootnoteReference"/>
          <w:vertAlign w:val="baseline"/>
          <w:rtl/>
        </w:rPr>
      </w:pPr>
      <w:r w:rsidRPr="0090571E">
        <w:rPr>
          <w:rStyle w:val="FootnoteReference"/>
          <w:vertAlign w:val="baseline"/>
          <w:rtl/>
        </w:rPr>
        <w:t>ו</w:t>
      </w:r>
      <w:r w:rsidRPr="0090571E">
        <w:rPr>
          <w:rFonts w:hint="cs"/>
          <w:rtl/>
        </w:rPr>
        <w:t xml:space="preserve">לולי דמסתפינא, </w:t>
      </w:r>
      <w:r w:rsidRPr="0090571E">
        <w:rPr>
          <w:rStyle w:val="FootnoteReference"/>
          <w:vertAlign w:val="baseline"/>
          <w:rtl/>
        </w:rPr>
        <w:t xml:space="preserve">אולי יש ללמד </w:t>
      </w:r>
      <w:r w:rsidRPr="0090571E">
        <w:rPr>
          <w:rFonts w:hint="cs"/>
          <w:rtl/>
        </w:rPr>
        <w:t xml:space="preserve">עליהם </w:t>
      </w:r>
      <w:r w:rsidRPr="0090571E">
        <w:rPr>
          <w:rStyle w:val="FootnoteReference"/>
          <w:vertAlign w:val="baseline"/>
          <w:rtl/>
        </w:rPr>
        <w:t xml:space="preserve">זכות, שאין </w:t>
      </w:r>
      <w:r w:rsidRPr="0090571E">
        <w:rPr>
          <w:rFonts w:hint="cs"/>
          <w:rtl/>
        </w:rPr>
        <w:t>ב</w:t>
      </w:r>
      <w:r w:rsidRPr="0090571E">
        <w:rPr>
          <w:rStyle w:val="FootnoteReference"/>
          <w:vertAlign w:val="baseline"/>
          <w:rtl/>
        </w:rPr>
        <w:t xml:space="preserve">ענפי הסכך </w:t>
      </w:r>
      <w:r w:rsidRPr="0090571E">
        <w:rPr>
          <w:rFonts w:hint="cs"/>
          <w:rtl/>
        </w:rPr>
        <w:t>חזות ו</w:t>
      </w:r>
      <w:r w:rsidRPr="0090571E">
        <w:rPr>
          <w:rStyle w:val="FootnoteReference"/>
          <w:vertAlign w:val="baseline"/>
          <w:rtl/>
        </w:rPr>
        <w:t>ציור של מצוה</w:t>
      </w:r>
      <w:r w:rsidRPr="0090571E">
        <w:rPr>
          <w:rFonts w:hint="cs"/>
          <w:rtl/>
        </w:rPr>
        <w:t xml:space="preserve"> שהם רק פסולת גורן ויקב,</w:t>
      </w:r>
      <w:r w:rsidRPr="0090571E">
        <w:rPr>
          <w:rStyle w:val="FootnoteReference"/>
          <w:vertAlign w:val="baseline"/>
          <w:rtl/>
        </w:rPr>
        <w:t xml:space="preserve"> </w:t>
      </w:r>
      <w:r w:rsidRPr="0090571E">
        <w:rPr>
          <w:rFonts w:hint="cs"/>
          <w:rtl/>
        </w:rPr>
        <w:t xml:space="preserve">(שאינו </w:t>
      </w:r>
      <w:r w:rsidRPr="0090571E">
        <w:rPr>
          <w:rStyle w:val="FootnoteReference"/>
          <w:vertAlign w:val="baseline"/>
          <w:rtl/>
        </w:rPr>
        <w:t xml:space="preserve">כמו </w:t>
      </w:r>
      <w:r w:rsidRPr="0090571E">
        <w:rPr>
          <w:rFonts w:hint="cs"/>
          <w:rtl/>
        </w:rPr>
        <w:t>שנצטויונו  על ציור ה</w:t>
      </w:r>
      <w:r w:rsidRPr="0090571E">
        <w:rPr>
          <w:rStyle w:val="FootnoteReference"/>
          <w:vertAlign w:val="baseline"/>
          <w:rtl/>
        </w:rPr>
        <w:t>לולב</w:t>
      </w:r>
      <w:r w:rsidRPr="0090571E">
        <w:rPr>
          <w:rFonts w:hint="cs"/>
          <w:rtl/>
        </w:rPr>
        <w:t>, ההדס וערבה),</w:t>
      </w:r>
      <w:r w:rsidRPr="0090571E">
        <w:rPr>
          <w:rStyle w:val="FootnoteReference"/>
          <w:vertAlign w:val="baseline"/>
          <w:rtl/>
        </w:rPr>
        <w:t xml:space="preserve"> </w:t>
      </w:r>
      <w:r w:rsidRPr="0090571E">
        <w:rPr>
          <w:rStyle w:val="FootnoteReference"/>
          <w:rFonts w:hint="eastAsia"/>
          <w:vertAlign w:val="baseline"/>
          <w:rtl/>
        </w:rPr>
        <w:t>ו</w:t>
      </w:r>
      <w:r w:rsidRPr="0090571E">
        <w:rPr>
          <w:rFonts w:hint="cs"/>
          <w:rtl/>
        </w:rPr>
        <w:t>א״כ לא</w:t>
      </w:r>
      <w:r w:rsidRPr="0090571E">
        <w:rPr>
          <w:rStyle w:val="FootnoteReference"/>
          <w:vertAlign w:val="baseline"/>
          <w:rtl/>
        </w:rPr>
        <w:t xml:space="preserve"> שייך</w:t>
      </w:r>
      <w:r w:rsidRPr="0090571E">
        <w:rPr>
          <w:rFonts w:hint="cs"/>
          <w:rtl/>
        </w:rPr>
        <w:t xml:space="preserve"> בהם </w:t>
      </w:r>
      <w:r w:rsidRPr="0090571E">
        <w:rPr>
          <w:rStyle w:val="FootnoteReference"/>
          <w:vertAlign w:val="baseline"/>
          <w:rtl/>
        </w:rPr>
        <w:t xml:space="preserve"> </w:t>
      </w:r>
      <w:r w:rsidRPr="0090571E">
        <w:rPr>
          <w:rFonts w:hint="cs"/>
          <w:rtl/>
        </w:rPr>
        <w:t xml:space="preserve">כ"כ </w:t>
      </w:r>
      <w:r w:rsidRPr="0090571E">
        <w:rPr>
          <w:rStyle w:val="FootnoteReference"/>
          <w:vertAlign w:val="baseline"/>
          <w:rtl/>
        </w:rPr>
        <w:t xml:space="preserve">ביזוי. </w:t>
      </w:r>
    </w:p>
    <w:p w14:paraId="05966748" w14:textId="77777777" w:rsidR="004D06EF" w:rsidRPr="0090571E" w:rsidRDefault="004D06EF" w:rsidP="0090571E">
      <w:pPr>
        <w:pStyle w:val="FootnoteText"/>
        <w:rPr>
          <w:rStyle w:val="FootnoteReference"/>
          <w:vertAlign w:val="baseline"/>
          <w:rtl/>
        </w:rPr>
      </w:pPr>
      <w:r w:rsidRPr="0090571E">
        <w:rPr>
          <w:rFonts w:hint="cs"/>
          <w:rtl/>
        </w:rPr>
        <w:t>[</w:t>
      </w:r>
      <w:r w:rsidRPr="0090571E">
        <w:rPr>
          <w:rStyle w:val="FootnoteReference"/>
          <w:rFonts w:hint="eastAsia"/>
          <w:vertAlign w:val="baseline"/>
          <w:rtl/>
        </w:rPr>
        <w:t>ו</w:t>
      </w:r>
      <w:r w:rsidRPr="0090571E">
        <w:rPr>
          <w:rFonts w:hint="cs"/>
          <w:rtl/>
        </w:rPr>
        <w:t xml:space="preserve">ז"ל </w:t>
      </w:r>
      <w:r w:rsidRPr="0090571E">
        <w:rPr>
          <w:rStyle w:val="FootnoteReference"/>
          <w:rFonts w:hint="eastAsia"/>
          <w:vertAlign w:val="baseline"/>
          <w:rtl/>
        </w:rPr>
        <w:t>הצ״צ</w:t>
      </w:r>
      <w:r w:rsidRPr="0090571E">
        <w:rPr>
          <w:rStyle w:val="FootnoteReference"/>
          <w:vertAlign w:val="baseline"/>
          <w:rtl/>
        </w:rPr>
        <w:t xml:space="preserve"> (</w:t>
      </w:r>
      <w:r w:rsidRPr="0090571E">
        <w:rPr>
          <w:rStyle w:val="FootnoteReference"/>
          <w:rFonts w:hint="eastAsia"/>
          <w:vertAlign w:val="baseline"/>
          <w:rtl/>
        </w:rPr>
        <w:t>חדושים</w:t>
      </w:r>
      <w:r w:rsidRPr="0090571E">
        <w:rPr>
          <w:rFonts w:hint="cs"/>
          <w:rtl/>
        </w:rPr>
        <w:t xml:space="preserve"> על הש"ס</w:t>
      </w:r>
      <w:r w:rsidRPr="0090571E">
        <w:rPr>
          <w:rStyle w:val="FootnoteReference"/>
          <w:vertAlign w:val="baseline"/>
          <w:rtl/>
        </w:rPr>
        <w:t xml:space="preserve"> מס׳ מגילה</w:t>
      </w:r>
      <w:r w:rsidRPr="0090571E">
        <w:rPr>
          <w:rFonts w:hint="cs"/>
          <w:rtl/>
        </w:rPr>
        <w:t xml:space="preserve"> ספ"ד </w:t>
      </w:r>
      <w:r w:rsidRPr="0090571E">
        <w:rPr>
          <w:rtl/>
        </w:rPr>
        <w:t xml:space="preserve">– </w:t>
      </w:r>
      <w:r w:rsidRPr="0090571E">
        <w:rPr>
          <w:rStyle w:val="FootnoteReference"/>
          <w:rFonts w:hint="eastAsia"/>
          <w:vertAlign w:val="baseline"/>
          <w:rtl/>
        </w:rPr>
        <w:t>עט</w:t>
      </w:r>
      <w:r w:rsidRPr="0090571E">
        <w:rPr>
          <w:rStyle w:val="FootnoteReference"/>
          <w:vertAlign w:val="baseline"/>
          <w:rtl/>
        </w:rPr>
        <w:t>,</w:t>
      </w:r>
      <w:r w:rsidRPr="0090571E">
        <w:rPr>
          <w:rFonts w:hint="cs"/>
          <w:rtl/>
        </w:rPr>
        <w:t xml:space="preserve"> </w:t>
      </w:r>
      <w:r w:rsidRPr="0090571E">
        <w:rPr>
          <w:rStyle w:val="FootnoteReference"/>
          <w:rFonts w:hint="eastAsia"/>
          <w:vertAlign w:val="baseline"/>
          <w:rtl/>
        </w:rPr>
        <w:t>ד</w:t>
      </w:r>
      <w:r w:rsidRPr="0090571E">
        <w:rPr>
          <w:rStyle w:val="FootnoteReference"/>
          <w:vertAlign w:val="baseline"/>
          <w:rtl/>
        </w:rPr>
        <w:t xml:space="preserve">): ׳ויש לחלק </w:t>
      </w:r>
      <w:r w:rsidRPr="0090571E">
        <w:rPr>
          <w:rFonts w:hint="cs"/>
          <w:rtl/>
        </w:rPr>
        <w:t xml:space="preserve">[בין ביהכ"נ לעצי סוכה] </w:t>
      </w:r>
      <w:r w:rsidRPr="0090571E">
        <w:rPr>
          <w:rStyle w:val="FootnoteReference"/>
          <w:rFonts w:hint="eastAsia"/>
          <w:vertAlign w:val="baseline"/>
          <w:rtl/>
        </w:rPr>
        <w:t>דביהכ״נ</w:t>
      </w:r>
      <w:r w:rsidRPr="0090571E">
        <w:rPr>
          <w:rStyle w:val="FootnoteReference"/>
          <w:vertAlign w:val="baseline"/>
          <w:rtl/>
        </w:rPr>
        <w:t xml:space="preserve"> ניכר טפי שהיה בו קדושה כמו שהוא עתה, </w:t>
      </w:r>
      <w:r w:rsidRPr="0090571E">
        <w:rPr>
          <w:rStyle w:val="FootnoteReference"/>
          <w:rFonts w:hint="eastAsia"/>
          <w:vertAlign w:val="baseline"/>
          <w:rtl/>
        </w:rPr>
        <w:t>משא״כ</w:t>
      </w:r>
      <w:r w:rsidRPr="0090571E">
        <w:rPr>
          <w:rStyle w:val="FootnoteReference"/>
          <w:vertAlign w:val="baseline"/>
          <w:rtl/>
        </w:rPr>
        <w:t xml:space="preserve"> בעצי סוכה שאחר </w:t>
      </w:r>
      <w:r w:rsidRPr="0090571E">
        <w:rPr>
          <w:rStyle w:val="FootnoteReference"/>
          <w:rFonts w:hint="eastAsia"/>
          <w:vertAlign w:val="baseline"/>
          <w:rtl/>
        </w:rPr>
        <w:t>מצותן</w:t>
      </w:r>
      <w:r w:rsidRPr="0090571E">
        <w:rPr>
          <w:rStyle w:val="FootnoteReference"/>
          <w:vertAlign w:val="baseline"/>
          <w:rtl/>
        </w:rPr>
        <w:t xml:space="preserve"> אין הסוכה כלל כ״א העצים, ואעפ״כ בעצי סוכה ודאי נ׳ להחמיר</w:t>
      </w:r>
      <w:r w:rsidRPr="0090571E">
        <w:rPr>
          <w:rFonts w:hint="cs"/>
          <w:rtl/>
        </w:rPr>
        <w:t>']</w:t>
      </w:r>
      <w:r w:rsidRPr="0090571E">
        <w:rPr>
          <w:rStyle w:val="FootnoteReference"/>
          <w:vertAlign w:val="baseline"/>
          <w:rtl/>
        </w:rPr>
        <w:t xml:space="preserve">. </w:t>
      </w:r>
    </w:p>
    <w:p w14:paraId="7604F06C" w14:textId="1019FD47" w:rsidR="004D06EF" w:rsidRPr="0090571E" w:rsidRDefault="004D06EF" w:rsidP="00AD388B">
      <w:pPr>
        <w:pStyle w:val="FootnoteText"/>
        <w:rPr>
          <w:rStyle w:val="FootnoteReference"/>
          <w:vertAlign w:val="baseline"/>
          <w:rtl/>
        </w:rPr>
      </w:pPr>
      <w:r w:rsidRPr="0090571E">
        <w:rPr>
          <w:rFonts w:hint="cs"/>
          <w:rtl/>
        </w:rPr>
        <w:t>ו</w:t>
      </w:r>
      <w:r w:rsidRPr="0090571E">
        <w:rPr>
          <w:rStyle w:val="FootnoteReference"/>
          <w:rFonts w:hint="eastAsia"/>
          <w:vertAlign w:val="baseline"/>
          <w:rtl/>
        </w:rPr>
        <w:t>כמובא</w:t>
      </w:r>
      <w:r w:rsidRPr="0090571E">
        <w:rPr>
          <w:rStyle w:val="FootnoteReference"/>
          <w:vertAlign w:val="baseline"/>
          <w:rtl/>
        </w:rPr>
        <w:t xml:space="preserve"> </w:t>
      </w:r>
      <w:r>
        <w:rPr>
          <w:rStyle w:val="FootnoteReference"/>
          <w:rFonts w:hint="cs"/>
          <w:vertAlign w:val="baseline"/>
          <w:rtl/>
        </w:rPr>
        <w:t>ל</w:t>
      </w:r>
      <w:r>
        <w:rPr>
          <w:rFonts w:hint="cs"/>
          <w:rtl/>
        </w:rPr>
        <w:t>עיל הע' 17 מ</w:t>
      </w:r>
      <w:r w:rsidRPr="0090571E">
        <w:rPr>
          <w:rFonts w:hint="cs"/>
          <w:rtl/>
        </w:rPr>
        <w:t xml:space="preserve">'תורת מנחם </w:t>
      </w:r>
      <w:r w:rsidRPr="0090571E">
        <w:rPr>
          <w:rtl/>
        </w:rPr>
        <w:t xml:space="preserve">– רשימת היומן' </w:t>
      </w:r>
      <w:r w:rsidRPr="0090571E">
        <w:rPr>
          <w:rFonts w:hint="eastAsia"/>
          <w:rtl/>
        </w:rPr>
        <w:t>ש</w:t>
      </w:r>
      <w:r w:rsidRPr="0090571E">
        <w:rPr>
          <w:rtl/>
        </w:rPr>
        <w:t xml:space="preserve">'הסכך היו שורפים [בליובאַוויטש] במרחץ' </w:t>
      </w:r>
      <w:r w:rsidRPr="0090571E">
        <w:rPr>
          <w:rStyle w:val="FootnoteReference"/>
          <w:vertAlign w:val="baseline"/>
          <w:rtl/>
        </w:rPr>
        <w:t>(</w:t>
      </w:r>
      <w:r w:rsidRPr="0090571E">
        <w:rPr>
          <w:rFonts w:hint="cs"/>
          <w:rtl/>
        </w:rPr>
        <w:t xml:space="preserve">כנראה </w:t>
      </w:r>
      <w:r w:rsidRPr="0090571E">
        <w:rPr>
          <w:rStyle w:val="FootnoteReference"/>
          <w:rFonts w:hint="eastAsia"/>
          <w:vertAlign w:val="baseline"/>
          <w:rtl/>
        </w:rPr>
        <w:t>להסיק</w:t>
      </w:r>
      <w:r w:rsidRPr="0090571E">
        <w:rPr>
          <w:rStyle w:val="FootnoteReference"/>
          <w:vertAlign w:val="baseline"/>
          <w:rtl/>
        </w:rPr>
        <w:t xml:space="preserve"> מי </w:t>
      </w:r>
      <w:r w:rsidRPr="0090571E">
        <w:rPr>
          <w:rStyle w:val="FootnoteReference"/>
          <w:rFonts w:hint="eastAsia"/>
          <w:vertAlign w:val="baseline"/>
          <w:rtl/>
        </w:rPr>
        <w:t>המקוה</w:t>
      </w:r>
      <w:r w:rsidRPr="0090571E">
        <w:rPr>
          <w:rStyle w:val="FootnoteReference"/>
          <w:vertAlign w:val="baseline"/>
          <w:rtl/>
        </w:rPr>
        <w:t>).</w:t>
      </w:r>
    </w:p>
    <w:p w14:paraId="36885313" w14:textId="77777777" w:rsidR="004D06EF" w:rsidRPr="0090571E" w:rsidRDefault="004D06EF" w:rsidP="0090571E">
      <w:pPr>
        <w:pStyle w:val="FootnoteText"/>
        <w:rPr>
          <w:rtl/>
        </w:rPr>
      </w:pPr>
      <w:r w:rsidRPr="0090571E">
        <w:rPr>
          <w:rStyle w:val="FootnoteReference"/>
          <w:rFonts w:hint="eastAsia"/>
          <w:vertAlign w:val="baseline"/>
          <w:rtl/>
        </w:rPr>
        <w:t>ובפסקי</w:t>
      </w:r>
      <w:r w:rsidRPr="0090571E">
        <w:rPr>
          <w:rStyle w:val="FootnoteReference"/>
          <w:vertAlign w:val="baseline"/>
          <w:rtl/>
        </w:rPr>
        <w:t xml:space="preserve"> </w:t>
      </w:r>
      <w:r w:rsidRPr="0090571E">
        <w:rPr>
          <w:rStyle w:val="FootnoteReference"/>
          <w:rFonts w:hint="eastAsia"/>
          <w:vertAlign w:val="baseline"/>
          <w:rtl/>
        </w:rPr>
        <w:t>תשובות</w:t>
      </w:r>
      <w:r w:rsidRPr="0090571E">
        <w:rPr>
          <w:rStyle w:val="FootnoteReference"/>
          <w:vertAlign w:val="baseline"/>
          <w:rtl/>
        </w:rPr>
        <w:t xml:space="preserve"> (</w:t>
      </w:r>
      <w:r w:rsidRPr="0090571E">
        <w:rPr>
          <w:rFonts w:hint="cs"/>
          <w:rtl/>
        </w:rPr>
        <w:t xml:space="preserve">רבינוביץ) ח"א </w:t>
      </w:r>
      <w:r w:rsidRPr="0090571E">
        <w:rPr>
          <w:rStyle w:val="FootnoteReference"/>
          <w:rFonts w:hint="eastAsia"/>
          <w:vertAlign w:val="baseline"/>
          <w:rtl/>
        </w:rPr>
        <w:t>סי׳</w:t>
      </w:r>
      <w:r w:rsidRPr="0090571E">
        <w:rPr>
          <w:rStyle w:val="FootnoteReference"/>
          <w:vertAlign w:val="baseline"/>
          <w:rtl/>
        </w:rPr>
        <w:t xml:space="preserve"> </w:t>
      </w:r>
      <w:r w:rsidRPr="0090571E">
        <w:rPr>
          <w:rStyle w:val="FootnoteReference"/>
          <w:rFonts w:hint="eastAsia"/>
          <w:vertAlign w:val="baseline"/>
          <w:rtl/>
        </w:rPr>
        <w:t>כ</w:t>
      </w:r>
      <w:r w:rsidRPr="0090571E">
        <w:rPr>
          <w:rFonts w:hint="cs"/>
          <w:rtl/>
        </w:rPr>
        <w:t>"</w:t>
      </w:r>
      <w:r w:rsidRPr="0090571E">
        <w:rPr>
          <w:rStyle w:val="FootnoteReference"/>
          <w:rFonts w:hint="eastAsia"/>
          <w:vertAlign w:val="baseline"/>
          <w:rtl/>
        </w:rPr>
        <w:t>א</w:t>
      </w:r>
      <w:r w:rsidRPr="0090571E">
        <w:rPr>
          <w:rFonts w:hint="cs"/>
          <w:rtl/>
        </w:rPr>
        <w:t xml:space="preserve"> ס"ב</w:t>
      </w:r>
      <w:r w:rsidRPr="0090571E">
        <w:rPr>
          <w:rStyle w:val="FootnoteReference"/>
          <w:vertAlign w:val="baseline"/>
          <w:rtl/>
        </w:rPr>
        <w:t xml:space="preserve"> </w:t>
      </w:r>
      <w:r w:rsidRPr="0090571E">
        <w:rPr>
          <w:rStyle w:val="FootnoteReference"/>
          <w:rFonts w:hint="eastAsia"/>
          <w:vertAlign w:val="baseline"/>
          <w:rtl/>
        </w:rPr>
        <w:t>הע׳</w:t>
      </w:r>
      <w:r w:rsidRPr="0090571E">
        <w:rPr>
          <w:rStyle w:val="FootnoteReference"/>
          <w:vertAlign w:val="baseline"/>
          <w:rtl/>
        </w:rPr>
        <w:t xml:space="preserve"> 23 מביא מספר </w:t>
      </w:r>
      <w:r w:rsidRPr="0090571E">
        <w:rPr>
          <w:rFonts w:hint="cs"/>
          <w:rtl/>
        </w:rPr>
        <w:t xml:space="preserve">שו"ת </w:t>
      </w:r>
      <w:r w:rsidRPr="0090571E">
        <w:rPr>
          <w:rStyle w:val="FootnoteReference"/>
          <w:rFonts w:hint="eastAsia"/>
          <w:vertAlign w:val="baseline"/>
          <w:rtl/>
        </w:rPr>
        <w:t>אבן</w:t>
      </w:r>
      <w:r w:rsidRPr="0090571E">
        <w:rPr>
          <w:rStyle w:val="FootnoteReference"/>
          <w:vertAlign w:val="baseline"/>
          <w:rtl/>
        </w:rPr>
        <w:t xml:space="preserve"> ישראל </w:t>
      </w:r>
      <w:r w:rsidRPr="0090571E">
        <w:rPr>
          <w:rFonts w:hint="cs"/>
          <w:rtl/>
        </w:rPr>
        <w:t>(</w:t>
      </w:r>
      <w:r w:rsidRPr="0090571E">
        <w:rPr>
          <w:rStyle w:val="FootnoteReference"/>
          <w:rFonts w:hint="eastAsia"/>
          <w:vertAlign w:val="baseline"/>
          <w:rtl/>
        </w:rPr>
        <w:t>להגרי״י</w:t>
      </w:r>
      <w:r w:rsidRPr="0090571E">
        <w:rPr>
          <w:rStyle w:val="FootnoteReference"/>
          <w:vertAlign w:val="baseline"/>
          <w:rtl/>
        </w:rPr>
        <w:t xml:space="preserve"> פישר</w:t>
      </w:r>
      <w:r w:rsidRPr="0090571E">
        <w:rPr>
          <w:rFonts w:hint="cs"/>
          <w:rtl/>
        </w:rPr>
        <w:t>)</w:t>
      </w:r>
      <w:r w:rsidRPr="0090571E">
        <w:rPr>
          <w:rStyle w:val="FootnoteReference"/>
          <w:vertAlign w:val="baseline"/>
          <w:rtl/>
        </w:rPr>
        <w:t xml:space="preserve"> </w:t>
      </w:r>
      <w:r w:rsidRPr="0090571E">
        <w:rPr>
          <w:rStyle w:val="FootnoteReference"/>
          <w:rFonts w:hint="eastAsia"/>
          <w:vertAlign w:val="baseline"/>
          <w:rtl/>
        </w:rPr>
        <w:t>ח״ט</w:t>
      </w:r>
      <w:r w:rsidRPr="0090571E">
        <w:rPr>
          <w:rStyle w:val="FootnoteReference"/>
          <w:vertAlign w:val="baseline"/>
          <w:rtl/>
        </w:rPr>
        <w:t xml:space="preserve"> סי׳ ס</w:t>
      </w:r>
      <w:r w:rsidRPr="0090571E">
        <w:rPr>
          <w:rFonts w:hint="cs"/>
          <w:rtl/>
        </w:rPr>
        <w:t>"</w:t>
      </w:r>
      <w:r w:rsidRPr="0090571E">
        <w:rPr>
          <w:rStyle w:val="FootnoteReference"/>
          <w:rFonts w:hint="eastAsia"/>
          <w:vertAlign w:val="baseline"/>
          <w:rtl/>
        </w:rPr>
        <w:t>ג</w:t>
      </w:r>
      <w:r w:rsidRPr="0090571E">
        <w:rPr>
          <w:rFonts w:hint="cs"/>
          <w:rtl/>
        </w:rPr>
        <w:t xml:space="preserve"> (להל' ציצית כאן</w:t>
      </w:r>
      <w:r w:rsidRPr="0090571E">
        <w:rPr>
          <w:rStyle w:val="FootnoteReference"/>
          <w:vertAlign w:val="baseline"/>
          <w:rtl/>
        </w:rPr>
        <w:t xml:space="preserve">) </w:t>
      </w:r>
      <w:r w:rsidRPr="0090571E">
        <w:rPr>
          <w:rFonts w:hint="cs"/>
          <w:rtl/>
        </w:rPr>
        <w:t>ש</w:t>
      </w:r>
      <w:r w:rsidRPr="0090571E">
        <w:rPr>
          <w:rStyle w:val="FootnoteReference"/>
          <w:rFonts w:hint="eastAsia"/>
          <w:vertAlign w:val="baseline"/>
          <w:rtl/>
        </w:rPr>
        <w:t>׳אין</w:t>
      </w:r>
      <w:r w:rsidRPr="0090571E">
        <w:rPr>
          <w:rStyle w:val="FootnoteReference"/>
          <w:vertAlign w:val="baseline"/>
          <w:rtl/>
        </w:rPr>
        <w:t xml:space="preserve"> האיסור אמור אלא אם ניכר עליהם שטלית </w:t>
      </w:r>
      <w:r w:rsidRPr="0090571E">
        <w:rPr>
          <w:rStyle w:val="FootnoteReference"/>
          <w:rFonts w:hint="eastAsia"/>
          <w:vertAlign w:val="baseline"/>
          <w:rtl/>
        </w:rPr>
        <w:t>או</w:t>
      </w:r>
      <w:r w:rsidRPr="0090571E">
        <w:rPr>
          <w:rStyle w:val="FootnoteReference"/>
          <w:vertAlign w:val="baseline"/>
          <w:rtl/>
        </w:rPr>
        <w:t xml:space="preserve"> ט״׳ק המה, אבל אם חתך אותם</w:t>
      </w:r>
      <w:r w:rsidRPr="0090571E">
        <w:rPr>
          <w:rFonts w:hint="cs"/>
          <w:rtl/>
        </w:rPr>
        <w:t>,</w:t>
      </w:r>
      <w:r w:rsidRPr="0090571E">
        <w:rPr>
          <w:rStyle w:val="FootnoteReference"/>
          <w:vertAlign w:val="baseline"/>
          <w:rtl/>
        </w:rPr>
        <w:t xml:space="preserve"> ואין ניכר שמטלית באו </w:t>
      </w:r>
      <w:r w:rsidRPr="0090571E">
        <w:rPr>
          <w:rFonts w:hint="cs"/>
          <w:rtl/>
        </w:rPr>
        <w:t xml:space="preserve">. . </w:t>
      </w:r>
      <w:r w:rsidRPr="0090571E">
        <w:rPr>
          <w:rStyle w:val="FootnoteReference"/>
          <w:rFonts w:hint="eastAsia"/>
          <w:vertAlign w:val="baseline"/>
          <w:rtl/>
        </w:rPr>
        <w:t>לא</w:t>
      </w:r>
      <w:r w:rsidRPr="0090571E">
        <w:rPr>
          <w:rStyle w:val="FootnoteReference"/>
          <w:vertAlign w:val="baseline"/>
          <w:rtl/>
        </w:rPr>
        <w:t xml:space="preserve"> </w:t>
      </w:r>
      <w:r w:rsidRPr="0090571E">
        <w:rPr>
          <w:rStyle w:val="FootnoteReference"/>
          <w:rFonts w:hint="eastAsia"/>
          <w:vertAlign w:val="baseline"/>
          <w:rtl/>
        </w:rPr>
        <w:t>שייך</w:t>
      </w:r>
      <w:r w:rsidRPr="0090571E">
        <w:rPr>
          <w:rStyle w:val="FootnoteReference"/>
          <w:vertAlign w:val="baseline"/>
          <w:rtl/>
        </w:rPr>
        <w:t xml:space="preserve"> </w:t>
      </w:r>
      <w:r w:rsidRPr="0090571E">
        <w:rPr>
          <w:rStyle w:val="FootnoteReference"/>
          <w:rFonts w:hint="eastAsia"/>
          <w:vertAlign w:val="baseline"/>
          <w:rtl/>
        </w:rPr>
        <w:t>בהם</w:t>
      </w:r>
      <w:r w:rsidRPr="0090571E">
        <w:rPr>
          <w:rStyle w:val="FootnoteReference"/>
          <w:vertAlign w:val="baseline"/>
          <w:rtl/>
        </w:rPr>
        <w:t xml:space="preserve"> </w:t>
      </w:r>
      <w:r w:rsidRPr="0090571E">
        <w:rPr>
          <w:rStyle w:val="FootnoteReference"/>
          <w:rFonts w:hint="eastAsia"/>
          <w:vertAlign w:val="baseline"/>
          <w:rtl/>
        </w:rPr>
        <w:t>ביזוי</w:t>
      </w:r>
      <w:r w:rsidRPr="0090571E">
        <w:rPr>
          <w:rStyle w:val="FootnoteReference"/>
          <w:vertAlign w:val="baseline"/>
          <w:rtl/>
        </w:rPr>
        <w:t xml:space="preserve"> </w:t>
      </w:r>
      <w:r w:rsidRPr="0090571E">
        <w:rPr>
          <w:rStyle w:val="FootnoteReference"/>
          <w:rFonts w:hint="eastAsia"/>
          <w:vertAlign w:val="baseline"/>
          <w:rtl/>
        </w:rPr>
        <w:t>כלל</w:t>
      </w:r>
      <w:r w:rsidRPr="0090571E">
        <w:rPr>
          <w:rStyle w:val="FootnoteReference"/>
          <w:vertAlign w:val="baseline"/>
          <w:rtl/>
        </w:rPr>
        <w:t xml:space="preserve"> </w:t>
      </w:r>
      <w:r w:rsidRPr="0090571E">
        <w:rPr>
          <w:rStyle w:val="FootnoteReference"/>
          <w:rFonts w:hint="eastAsia"/>
          <w:vertAlign w:val="baseline"/>
          <w:rtl/>
        </w:rPr>
        <w:t>ויכול</w:t>
      </w:r>
      <w:r w:rsidRPr="0090571E">
        <w:rPr>
          <w:rStyle w:val="FootnoteReference"/>
          <w:vertAlign w:val="baseline"/>
          <w:rtl/>
        </w:rPr>
        <w:t xml:space="preserve"> </w:t>
      </w:r>
      <w:r w:rsidRPr="0090571E">
        <w:rPr>
          <w:rStyle w:val="FootnoteReference"/>
          <w:rFonts w:hint="eastAsia"/>
          <w:vertAlign w:val="baseline"/>
          <w:rtl/>
        </w:rPr>
        <w:t>לעשות</w:t>
      </w:r>
      <w:r w:rsidRPr="0090571E">
        <w:rPr>
          <w:rStyle w:val="FootnoteReference"/>
          <w:vertAlign w:val="baseline"/>
          <w:rtl/>
        </w:rPr>
        <w:t xml:space="preserve"> </w:t>
      </w:r>
      <w:r w:rsidRPr="0090571E">
        <w:rPr>
          <w:rStyle w:val="FootnoteReference"/>
          <w:rFonts w:hint="eastAsia"/>
          <w:vertAlign w:val="baseline"/>
          <w:rtl/>
        </w:rPr>
        <w:t>בהם</w:t>
      </w:r>
      <w:r w:rsidRPr="0090571E">
        <w:rPr>
          <w:rStyle w:val="FootnoteReference"/>
          <w:vertAlign w:val="baseline"/>
          <w:rtl/>
        </w:rPr>
        <w:t xml:space="preserve"> </w:t>
      </w:r>
      <w:r w:rsidRPr="0090571E">
        <w:rPr>
          <w:rStyle w:val="FootnoteReference"/>
          <w:rFonts w:hint="eastAsia"/>
          <w:vertAlign w:val="baseline"/>
          <w:rtl/>
        </w:rPr>
        <w:t>ככל</w:t>
      </w:r>
      <w:r w:rsidRPr="0090571E">
        <w:rPr>
          <w:rStyle w:val="FootnoteReference"/>
          <w:vertAlign w:val="baseline"/>
          <w:rtl/>
        </w:rPr>
        <w:t xml:space="preserve"> </w:t>
      </w:r>
      <w:r w:rsidRPr="0090571E">
        <w:rPr>
          <w:rStyle w:val="FootnoteReference"/>
          <w:rFonts w:hint="eastAsia"/>
          <w:vertAlign w:val="baseline"/>
          <w:rtl/>
        </w:rPr>
        <w:t>אשר</w:t>
      </w:r>
      <w:r w:rsidRPr="0090571E">
        <w:rPr>
          <w:rStyle w:val="FootnoteReference"/>
          <w:vertAlign w:val="baseline"/>
          <w:rtl/>
        </w:rPr>
        <w:t xml:space="preserve"> </w:t>
      </w:r>
      <w:r w:rsidRPr="0090571E">
        <w:rPr>
          <w:rStyle w:val="FootnoteReference"/>
          <w:rFonts w:hint="eastAsia"/>
          <w:vertAlign w:val="baseline"/>
          <w:rtl/>
        </w:rPr>
        <w:t>ימצא</w:t>
      </w:r>
      <w:r w:rsidRPr="0090571E">
        <w:rPr>
          <w:rStyle w:val="FootnoteReference"/>
          <w:vertAlign w:val="baseline"/>
          <w:rtl/>
        </w:rPr>
        <w:t xml:space="preserve"> </w:t>
      </w:r>
      <w:r w:rsidRPr="0090571E">
        <w:rPr>
          <w:rStyle w:val="FootnoteReference"/>
          <w:rFonts w:hint="eastAsia"/>
          <w:vertAlign w:val="baseline"/>
          <w:rtl/>
        </w:rPr>
        <w:t>לנכון׳</w:t>
      </w:r>
      <w:r w:rsidRPr="0090571E">
        <w:rPr>
          <w:rStyle w:val="FootnoteReference"/>
          <w:vertAlign w:val="baseline"/>
          <w:rtl/>
        </w:rPr>
        <w:t>.</w:t>
      </w:r>
    </w:p>
    <w:p w14:paraId="26E7D2DA" w14:textId="77777777" w:rsidR="004D06EF" w:rsidRPr="0090571E" w:rsidRDefault="004D06EF" w:rsidP="0090571E">
      <w:pPr>
        <w:pStyle w:val="FootnoteText"/>
        <w:rPr>
          <w:rStyle w:val="FootnoteReference"/>
          <w:vertAlign w:val="baseline"/>
        </w:rPr>
      </w:pPr>
      <w:r w:rsidRPr="0090571E">
        <w:rPr>
          <w:rFonts w:hint="cs"/>
          <w:rtl/>
        </w:rPr>
        <w:t xml:space="preserve">וכעין זה כ׳ בס׳ שו"ת מחקרי ארץ (שעיו) ח"ד יו"ד סי' ל"ו, שמותר </w:t>
      </w:r>
      <w:r w:rsidRPr="0090571E">
        <w:rPr>
          <w:rtl/>
        </w:rPr>
        <w:t>להשליך בגד קריעת אבל ר״ל לאשפה</w:t>
      </w:r>
      <w:r w:rsidRPr="0090571E">
        <w:rPr>
          <w:rFonts w:hint="cs"/>
          <w:rtl/>
        </w:rPr>
        <w:t>, וכן גדר של מעקה: ׳פנים חדשות באו לכאן׳, כנ"ל שאין בהם צורת מצוה.</w:t>
      </w:r>
    </w:p>
  </w:footnote>
  <w:footnote w:id="119">
    <w:p w14:paraId="2690AB98" w14:textId="77777777" w:rsidR="004D06EF" w:rsidRPr="0090571E" w:rsidRDefault="004D06EF" w:rsidP="0090571E">
      <w:pPr>
        <w:pStyle w:val="FootnoteText"/>
        <w:rPr>
          <w:rtl/>
        </w:rPr>
      </w:pPr>
      <w:r w:rsidRPr="0090571E">
        <w:rPr>
          <w:rStyle w:val="FootnoteReference"/>
          <w:vertAlign w:val="baseline"/>
        </w:rPr>
        <w:footnoteRef/>
      </w:r>
      <w:r w:rsidRPr="0090571E">
        <w:rPr>
          <w:rFonts w:hint="cs"/>
          <w:rtl/>
        </w:rPr>
        <w:t>)</w:t>
      </w:r>
      <w:r w:rsidRPr="0090571E">
        <w:rPr>
          <w:rStyle w:val="FootnoteReference"/>
          <w:vertAlign w:val="baseline"/>
          <w:rtl/>
        </w:rPr>
        <w:t xml:space="preserve"> </w:t>
      </w:r>
      <w:r w:rsidRPr="0090571E">
        <w:rPr>
          <w:rStyle w:val="FootnoteReference"/>
          <w:rFonts w:hint="cs"/>
          <w:vertAlign w:val="baseline"/>
          <w:rtl/>
        </w:rPr>
        <w:t>ל</w:t>
      </w:r>
      <w:r w:rsidRPr="0090571E">
        <w:rPr>
          <w:rFonts w:hint="cs"/>
          <w:rtl/>
        </w:rPr>
        <w:t xml:space="preserve">כאורה אין </w:t>
      </w:r>
      <w:r w:rsidRPr="0090571E">
        <w:rPr>
          <w:rStyle w:val="FootnoteReference"/>
          <w:rFonts w:hint="cs"/>
          <w:vertAlign w:val="baseline"/>
          <w:rtl/>
        </w:rPr>
        <w:t>הכוונה למהרי״ל ומהר״י ווייל שנהגו כן</w:t>
      </w:r>
      <w:r w:rsidRPr="0090571E">
        <w:rPr>
          <w:rFonts w:hint="cs"/>
          <w:rtl/>
        </w:rPr>
        <w:t>.</w:t>
      </w:r>
    </w:p>
    <w:p w14:paraId="1713BB1E" w14:textId="77777777" w:rsidR="004D06EF" w:rsidRPr="0090571E" w:rsidRDefault="004D06EF" w:rsidP="0090571E">
      <w:pPr>
        <w:pStyle w:val="FootnoteText"/>
        <w:rPr>
          <w:rtl/>
        </w:rPr>
      </w:pPr>
      <w:r w:rsidRPr="0090571E">
        <w:rPr>
          <w:rStyle w:val="FootnoteReference"/>
          <w:rFonts w:hint="cs"/>
          <w:vertAlign w:val="baseline"/>
          <w:rtl/>
        </w:rPr>
        <w:t>בקובץ אור ישראל (</w:t>
      </w:r>
      <w:r w:rsidRPr="0090571E">
        <w:rPr>
          <w:rFonts w:hint="cs"/>
          <w:rtl/>
        </w:rPr>
        <w:t xml:space="preserve">מאָנסי, נ.י.) שנה כ"ד </w:t>
      </w:r>
      <w:r w:rsidRPr="0090571E">
        <w:rPr>
          <w:rStyle w:val="FootnoteReference"/>
          <w:rFonts w:hint="cs"/>
          <w:vertAlign w:val="baseline"/>
          <w:rtl/>
        </w:rPr>
        <w:t xml:space="preserve">גליון </w:t>
      </w:r>
      <w:r w:rsidRPr="0090571E">
        <w:rPr>
          <w:rFonts w:hint="cs"/>
          <w:rtl/>
        </w:rPr>
        <w:t>א' (</w:t>
      </w:r>
      <w:r w:rsidRPr="0090571E">
        <w:rPr>
          <w:rStyle w:val="FootnoteReference"/>
          <w:rFonts w:hint="cs"/>
          <w:vertAlign w:val="baseline"/>
          <w:rtl/>
        </w:rPr>
        <w:t>ע</w:t>
      </w:r>
      <w:r w:rsidRPr="0090571E">
        <w:rPr>
          <w:rFonts w:hint="cs"/>
          <w:rtl/>
        </w:rPr>
        <w:t>"</w:t>
      </w:r>
      <w:r w:rsidRPr="0090571E">
        <w:rPr>
          <w:rStyle w:val="FootnoteReference"/>
          <w:rFonts w:hint="cs"/>
          <w:vertAlign w:val="baseline"/>
          <w:rtl/>
        </w:rPr>
        <w:t xml:space="preserve">ז) תשרי תשע״ט דן הרב אברהם ברוך פעווזנער </w:t>
      </w:r>
      <w:r w:rsidRPr="0090571E">
        <w:rPr>
          <w:rFonts w:hint="cs"/>
          <w:rtl/>
        </w:rPr>
        <w:t xml:space="preserve">שי' </w:t>
      </w:r>
      <w:r w:rsidRPr="0090571E">
        <w:rPr>
          <w:rStyle w:val="FootnoteReference"/>
          <w:rFonts w:hint="cs"/>
          <w:vertAlign w:val="baseline"/>
          <w:rtl/>
        </w:rPr>
        <w:t>(פ</w:t>
      </w:r>
      <w:r w:rsidRPr="0090571E">
        <w:rPr>
          <w:rFonts w:hint="cs"/>
          <w:rtl/>
        </w:rPr>
        <w:t>ּ</w:t>
      </w:r>
      <w:r w:rsidRPr="0090571E">
        <w:rPr>
          <w:rStyle w:val="FootnoteReference"/>
          <w:rFonts w:hint="cs"/>
          <w:vertAlign w:val="baseline"/>
          <w:rtl/>
        </w:rPr>
        <w:t>א</w:t>
      </w:r>
      <w:r w:rsidRPr="0090571E">
        <w:rPr>
          <w:rFonts w:hint="cs"/>
          <w:rtl/>
        </w:rPr>
        <w:t>ַ</w:t>
      </w:r>
      <w:r w:rsidRPr="0090571E">
        <w:rPr>
          <w:rStyle w:val="FootnoteReference"/>
          <w:rFonts w:hint="cs"/>
          <w:vertAlign w:val="baseline"/>
          <w:rtl/>
        </w:rPr>
        <w:t xml:space="preserve">ריז) בביטויי ׳בעל נפש׳ בשועה״ר, </w:t>
      </w:r>
    </w:p>
    <w:p w14:paraId="6AFE19A7" w14:textId="77777777" w:rsidR="004D06EF" w:rsidRPr="0090571E" w:rsidRDefault="004D06EF" w:rsidP="0090571E">
      <w:pPr>
        <w:pStyle w:val="FootnoteText"/>
        <w:rPr>
          <w:rtl/>
        </w:rPr>
      </w:pPr>
      <w:r w:rsidRPr="0090571E">
        <w:rPr>
          <w:rStyle w:val="FootnoteReference"/>
          <w:rFonts w:hint="cs"/>
          <w:vertAlign w:val="baseline"/>
          <w:rtl/>
        </w:rPr>
        <w:t xml:space="preserve">אבל ׳ויש בעלי הנפש׳ שבהלכות ציצית </w:t>
      </w:r>
      <w:r w:rsidRPr="0090571E">
        <w:rPr>
          <w:rFonts w:hint="cs"/>
          <w:rtl/>
        </w:rPr>
        <w:t xml:space="preserve">הרי </w:t>
      </w:r>
      <w:r w:rsidRPr="0090571E">
        <w:rPr>
          <w:rStyle w:val="FootnoteReference"/>
          <w:rFonts w:hint="cs"/>
          <w:vertAlign w:val="baseline"/>
          <w:rtl/>
        </w:rPr>
        <w:t xml:space="preserve">בא להוסיף על מה שכבר הביא </w:t>
      </w:r>
      <w:r w:rsidRPr="0090571E">
        <w:rPr>
          <w:rFonts w:hint="cs"/>
          <w:rtl/>
        </w:rPr>
        <w:t>(</w:t>
      </w:r>
      <w:r w:rsidRPr="0090571E">
        <w:rPr>
          <w:rStyle w:val="FootnoteReference"/>
          <w:rFonts w:hint="cs"/>
          <w:vertAlign w:val="baseline"/>
          <w:rtl/>
        </w:rPr>
        <w:t>מ</w:t>
      </w:r>
      <w:r w:rsidRPr="0090571E">
        <w:rPr>
          <w:rFonts w:hint="cs"/>
          <w:rtl/>
        </w:rPr>
        <w:t>ה</w:t>
      </w:r>
      <w:r w:rsidRPr="0090571E">
        <w:rPr>
          <w:rStyle w:val="FootnoteReference"/>
          <w:rFonts w:hint="cs"/>
          <w:vertAlign w:val="baseline"/>
          <w:rtl/>
        </w:rPr>
        <w:t>רמ״א</w:t>
      </w:r>
      <w:r w:rsidRPr="0090571E">
        <w:rPr>
          <w:rFonts w:hint="cs"/>
          <w:rtl/>
        </w:rPr>
        <w:t>)</w:t>
      </w:r>
      <w:r w:rsidRPr="0090571E">
        <w:rPr>
          <w:rStyle w:val="FootnoteReference"/>
          <w:rFonts w:hint="cs"/>
          <w:vertAlign w:val="baseline"/>
          <w:rtl/>
        </w:rPr>
        <w:t xml:space="preserve"> </w:t>
      </w:r>
      <w:r w:rsidRPr="0090571E">
        <w:rPr>
          <w:rFonts w:hint="cs"/>
          <w:rtl/>
        </w:rPr>
        <w:t>ש</w:t>
      </w:r>
      <w:r w:rsidRPr="0090571E">
        <w:rPr>
          <w:rStyle w:val="FootnoteReference"/>
          <w:rFonts w:hint="cs"/>
          <w:vertAlign w:val="baseline"/>
          <w:rtl/>
        </w:rPr>
        <w:t>׳המחמיר תבוא עליו ברכה׳?</w:t>
      </w:r>
    </w:p>
    <w:p w14:paraId="312B1EDE" w14:textId="77777777" w:rsidR="004D06EF" w:rsidRPr="0090571E" w:rsidRDefault="004D06EF" w:rsidP="0090571E">
      <w:pPr>
        <w:pStyle w:val="FootnoteText"/>
        <w:rPr>
          <w:rtl/>
        </w:rPr>
      </w:pPr>
      <w:r w:rsidRPr="0090571E">
        <w:rPr>
          <w:rFonts w:hint="cs"/>
          <w:rtl/>
        </w:rPr>
        <w:t xml:space="preserve">    ובכלל, הרי ביטוי ׳כל בעל נפש יחמיר לעצמו׳ מתאים למי שחרד לנפשו מלעבור איסור, כמ״ש רבינו בסידור לברכת אורז, איסור הוצאה בצוה״פ רחב מי׳ אמה, אסור חדש (סי׳ תפט) כו׳. </w:t>
      </w:r>
    </w:p>
    <w:p w14:paraId="5E4C0695" w14:textId="77777777" w:rsidR="004D06EF" w:rsidRPr="0090571E" w:rsidRDefault="004D06EF" w:rsidP="0090571E">
      <w:pPr>
        <w:pStyle w:val="FootnoteText"/>
        <w:rPr>
          <w:rStyle w:val="FootnoteReference"/>
          <w:vertAlign w:val="baseline"/>
        </w:rPr>
      </w:pPr>
      <w:r w:rsidRPr="0090571E">
        <w:rPr>
          <w:rFonts w:hint="cs"/>
          <w:rtl/>
        </w:rPr>
        <w:t xml:space="preserve">     אבל בנדו״ד, צ״ע מהו החרדה לגנוז חוטי ציצית שבלו</w:t>
      </w:r>
      <w:r w:rsidRPr="0090571E">
        <w:rPr>
          <w:rStyle w:val="FootnoteReference"/>
          <w:rFonts w:hint="cs"/>
          <w:vertAlign w:val="baseline"/>
          <w:rtl/>
        </w:rPr>
        <w:t xml:space="preserve">? </w:t>
      </w:r>
      <w:r w:rsidRPr="0090571E">
        <w:rPr>
          <w:rFonts w:hint="cs"/>
          <w:rtl/>
        </w:rPr>
        <w:t xml:space="preserve"> גם צ״ע למה נקט כאן ׳יש בעלי הנפש׳ ל׳ רבים, ולמה ל׳ הווה?</w:t>
      </w:r>
    </w:p>
  </w:footnote>
  <w:footnote w:id="120">
    <w:p w14:paraId="25A57D76" w14:textId="77777777" w:rsidR="004D06EF" w:rsidRPr="0090571E" w:rsidRDefault="004D06EF" w:rsidP="0090571E">
      <w:pPr>
        <w:pStyle w:val="FootnoteText"/>
        <w:rPr>
          <w:rStyle w:val="FootnoteReference"/>
          <w:vertAlign w:val="baseline"/>
        </w:rPr>
      </w:pPr>
      <w:r w:rsidRPr="0090571E">
        <w:rPr>
          <w:rStyle w:val="FootnoteReference"/>
          <w:vertAlign w:val="baseline"/>
        </w:rPr>
        <w:footnoteRef/>
      </w:r>
      <w:r w:rsidRPr="0090571E">
        <w:rPr>
          <w:rFonts w:hint="cs"/>
          <w:rtl/>
        </w:rPr>
        <w:t xml:space="preserve">) </w:t>
      </w:r>
      <w:r w:rsidRPr="0090571E">
        <w:rPr>
          <w:rStyle w:val="FootnoteReference"/>
          <w:rFonts w:hint="cs"/>
          <w:vertAlign w:val="baseline"/>
          <w:rtl/>
        </w:rPr>
        <w:t>עד״ז שמעתי משליח</w:t>
      </w:r>
      <w:r w:rsidRPr="0090571E">
        <w:rPr>
          <w:rFonts w:hint="cs"/>
          <w:rtl/>
        </w:rPr>
        <w:t xml:space="preserve"> כ"ק אדמו"ר</w:t>
      </w:r>
      <w:r w:rsidRPr="0090571E">
        <w:rPr>
          <w:rStyle w:val="FootnoteReference"/>
          <w:rFonts w:hint="cs"/>
          <w:vertAlign w:val="baseline"/>
          <w:rtl/>
        </w:rPr>
        <w:t xml:space="preserve"> בברזיל</w:t>
      </w:r>
      <w:r w:rsidRPr="0090571E">
        <w:rPr>
          <w:rFonts w:hint="cs"/>
          <w:rtl/>
        </w:rPr>
        <w:t>,</w:t>
      </w:r>
      <w:r w:rsidRPr="0090571E">
        <w:rPr>
          <w:rStyle w:val="FootnoteReference"/>
          <w:rFonts w:hint="cs"/>
          <w:vertAlign w:val="baseline"/>
          <w:rtl/>
        </w:rPr>
        <w:t xml:space="preserve"> הרה״ח </w:t>
      </w:r>
      <w:r w:rsidRPr="0090571E">
        <w:rPr>
          <w:rFonts w:hint="cs"/>
          <w:rtl/>
        </w:rPr>
        <w:t xml:space="preserve">ר' </w:t>
      </w:r>
      <w:r w:rsidRPr="0090571E">
        <w:rPr>
          <w:rStyle w:val="FootnoteReference"/>
          <w:rFonts w:hint="cs"/>
          <w:vertAlign w:val="baseline"/>
          <w:rtl/>
        </w:rPr>
        <w:t>שבתי הלפרין שי</w:t>
      </w:r>
      <w:r w:rsidRPr="0090571E">
        <w:rPr>
          <w:rFonts w:hint="cs"/>
          <w:rtl/>
        </w:rPr>
        <w:t>חי</w:t>
      </w:r>
      <w:r w:rsidRPr="0090571E">
        <w:rPr>
          <w:rStyle w:val="FootnoteReference"/>
          <w:rFonts w:hint="cs"/>
          <w:vertAlign w:val="baseline"/>
          <w:rtl/>
        </w:rPr>
        <w:t>׳, שקיבל הרגש יראת שמים מאאמו״ר הרה״ח ר׳ משה רובין ז״ל כששהה בעיר וואוסטר מא</w:t>
      </w:r>
      <w:r w:rsidRPr="0090571E">
        <w:rPr>
          <w:rFonts w:hint="cs"/>
          <w:rtl/>
        </w:rPr>
        <w:t>ַ</w:t>
      </w:r>
      <w:r w:rsidRPr="0090571E">
        <w:rPr>
          <w:rStyle w:val="FootnoteReference"/>
          <w:rFonts w:hint="cs"/>
          <w:vertAlign w:val="baseline"/>
          <w:rtl/>
        </w:rPr>
        <w:t>סס. (</w:t>
      </w:r>
      <w:r w:rsidRPr="0090571E">
        <w:rPr>
          <w:rFonts w:hint="cs"/>
          <w:rtl/>
        </w:rPr>
        <w:t>ב</w:t>
      </w:r>
      <w:r w:rsidRPr="0090571E">
        <w:rPr>
          <w:rStyle w:val="FootnoteReference"/>
          <w:rFonts w:hint="cs"/>
          <w:vertAlign w:val="baseline"/>
          <w:rtl/>
        </w:rPr>
        <w:t>שנת תש״ז)</w:t>
      </w:r>
      <w:r w:rsidRPr="0090571E">
        <w:rPr>
          <w:rFonts w:hint="cs"/>
          <w:rtl/>
        </w:rPr>
        <w:t>,</w:t>
      </w:r>
      <w:r w:rsidRPr="0090571E">
        <w:rPr>
          <w:rStyle w:val="FootnoteReference"/>
          <w:rFonts w:hint="cs"/>
          <w:vertAlign w:val="baseline"/>
          <w:rtl/>
        </w:rPr>
        <w:t xml:space="preserve"> שהיה </w:t>
      </w:r>
      <w:r w:rsidRPr="0090571E">
        <w:rPr>
          <w:rFonts w:hint="cs"/>
          <w:rtl/>
        </w:rPr>
        <w:t xml:space="preserve">אאמו"ר </w:t>
      </w:r>
      <w:r w:rsidRPr="0090571E">
        <w:rPr>
          <w:rStyle w:val="FootnoteReference"/>
          <w:rFonts w:hint="cs"/>
          <w:vertAlign w:val="baseline"/>
          <w:rtl/>
        </w:rPr>
        <w:t>א</w:t>
      </w:r>
      <w:r w:rsidRPr="0090571E">
        <w:rPr>
          <w:rFonts w:hint="cs"/>
          <w:rtl/>
        </w:rPr>
        <w:t>ו</w:t>
      </w:r>
      <w:r w:rsidRPr="0090571E">
        <w:rPr>
          <w:rStyle w:val="FootnoteReference"/>
          <w:rFonts w:hint="cs"/>
          <w:vertAlign w:val="baseline"/>
          <w:rtl/>
        </w:rPr>
        <w:t xml:space="preserve">סף פתיתי הקרעים של קצות דפי ספרים ישנים לגונזן. </w:t>
      </w:r>
    </w:p>
  </w:footnote>
  <w:footnote w:id="121">
    <w:p w14:paraId="3EB53054" w14:textId="081B4A35" w:rsidR="004D06EF" w:rsidRPr="0090571E" w:rsidRDefault="004D06EF" w:rsidP="0090571E">
      <w:pPr>
        <w:pStyle w:val="FootnoteText"/>
        <w:rPr>
          <w:rtl/>
        </w:rPr>
      </w:pPr>
      <w:r w:rsidRPr="0090571E">
        <w:rPr>
          <w:rStyle w:val="FootnoteReference"/>
          <w:vertAlign w:val="baseline"/>
        </w:rPr>
        <w:footnoteRef/>
      </w:r>
      <w:r>
        <w:rPr>
          <w:rFonts w:hint="cs"/>
          <w:rtl/>
        </w:rPr>
        <w:t xml:space="preserve">) </w:t>
      </w:r>
      <w:r w:rsidRPr="0090571E">
        <w:rPr>
          <w:rFonts w:hint="cs"/>
          <w:b/>
          <w:bCs/>
          <w:rtl/>
        </w:rPr>
        <w:t>הערת המערכת</w:t>
      </w:r>
      <w:r w:rsidRPr="0090571E">
        <w:rPr>
          <w:rFonts w:hint="cs"/>
          <w:rtl/>
        </w:rPr>
        <w:t xml:space="preserve">: לדידי נראה דיש לחלק בפשטות דעבד ושפחה שאני דהם עושים על דעת ישראל (כמדוייק בהלשון </w:t>
      </w:r>
      <w:r w:rsidRPr="0090571E">
        <w:rPr>
          <w:b/>
          <w:bCs/>
          <w:rtl/>
        </w:rPr>
        <w:t>כיון</w:t>
      </w:r>
      <w:r w:rsidRPr="0090571E">
        <w:rPr>
          <w:rtl/>
        </w:rPr>
        <w:t xml:space="preserve"> שעיקר ההליכה היא לצורך ישראל ובשבילו</w:t>
      </w:r>
      <w:r w:rsidRPr="0090571E">
        <w:rPr>
          <w:rFonts w:hint="cs"/>
          <w:rtl/>
        </w:rPr>
        <w:t>, ועוד דיד עבד כיד רבו)</w:t>
      </w:r>
      <w:r w:rsidRPr="0090571E">
        <w:rPr>
          <w:rtl/>
        </w:rPr>
        <w:t xml:space="preserve"> </w:t>
      </w:r>
      <w:r w:rsidRPr="0090571E">
        <w:rPr>
          <w:rFonts w:hint="cs"/>
          <w:rtl/>
        </w:rPr>
        <w:t>בניגוד לגוי סתם כנידן האמור.</w:t>
      </w:r>
    </w:p>
  </w:footnote>
  <w:footnote w:id="122">
    <w:p w14:paraId="55E8839A" w14:textId="64D9BB78"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קיג ע"ב</w:t>
      </w:r>
    </w:p>
  </w:footnote>
  <w:footnote w:id="123">
    <w:p w14:paraId="540D8B01" w14:textId="4D1CCC62"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קיד ע"א</w:t>
      </w:r>
      <w:r w:rsidRPr="00CA16C9">
        <w:t xml:space="preserve"> </w:t>
      </w:r>
    </w:p>
  </w:footnote>
  <w:footnote w:id="124">
    <w:p w14:paraId="269A79F6" w14:textId="7D087B73"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ראה שו"ע יו"ד סי' רסה סי"ב</w:t>
      </w:r>
      <w:r w:rsidRPr="00CA16C9">
        <w:t xml:space="preserve"> </w:t>
      </w:r>
    </w:p>
  </w:footnote>
  <w:footnote w:id="125">
    <w:p w14:paraId="0F45889E" w14:textId="22EC2D97"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ראה המובא בפתחי תשובה שם, וכן בס' נוהג כצאן יוסף הל' מילה סי"ז, ועוד</w:t>
      </w:r>
      <w:r w:rsidRPr="00CA16C9">
        <w:t xml:space="preserve"> </w:t>
      </w:r>
    </w:p>
  </w:footnote>
  <w:footnote w:id="126">
    <w:p w14:paraId="7996DC5A" w14:textId="39BDBFCB"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ל' הנוהג כצאן יוסף</w:t>
      </w:r>
      <w:r w:rsidRPr="00CA16C9">
        <w:t xml:space="preserve"> </w:t>
      </w:r>
    </w:p>
  </w:footnote>
  <w:footnote w:id="127">
    <w:p w14:paraId="2B90696C" w14:textId="6B064CCE"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פ"ה ה"ב</w:t>
      </w:r>
    </w:p>
  </w:footnote>
  <w:footnote w:id="128">
    <w:p w14:paraId="5E293078" w14:textId="5B0FAF74"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סי' תרד-ה</w:t>
      </w:r>
      <w:r w:rsidRPr="00CA16C9">
        <w:t xml:space="preserve"> </w:t>
      </w:r>
    </w:p>
  </w:footnote>
  <w:footnote w:id="129">
    <w:p w14:paraId="6D355C6F" w14:textId="2DA747A4"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ראה אג"ק אדמו"ר מוהר"ש ע' יו"ד וע' כו, וכן אג"ק אדמו"ר הרש"ב ח"א ע' קנט וע' קצד</w:t>
      </w:r>
    </w:p>
  </w:footnote>
  <w:footnote w:id="130">
    <w:p w14:paraId="3327FD4B" w14:textId="57040E46"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ראה ס' נישואי הנשיאים ח"ב ע' 83-93</w:t>
      </w:r>
      <w:r w:rsidRPr="00CA16C9">
        <w:t xml:space="preserve"> </w:t>
      </w:r>
    </w:p>
  </w:footnote>
  <w:footnote w:id="131">
    <w:p w14:paraId="202D0089" w14:textId="7BA3504B"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להגר"מ שטרנבוך ח"ב סי' תשמט</w:t>
      </w:r>
    </w:p>
  </w:footnote>
  <w:footnote w:id="132">
    <w:p w14:paraId="797A5CE3" w14:textId="5E6147D6"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פ"ה ה"ב</w:t>
      </w:r>
      <w:r w:rsidRPr="00CA16C9">
        <w:t xml:space="preserve"> </w:t>
      </w:r>
    </w:p>
  </w:footnote>
  <w:footnote w:id="133">
    <w:p w14:paraId="664A577D" w14:textId="09E5E685"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אג"ק שלו ח"א ע' קצד</w:t>
      </w:r>
      <w:r w:rsidRPr="00CA16C9">
        <w:t xml:space="preserve"> </w:t>
      </w:r>
    </w:p>
  </w:footnote>
  <w:footnote w:id="134">
    <w:p w14:paraId="4D0B4D52" w14:textId="57928450" w:rsidR="004D06EF" w:rsidRPr="00CA16C9" w:rsidRDefault="004D06EF" w:rsidP="00CA16C9">
      <w:pPr>
        <w:pStyle w:val="FootnoteText"/>
        <w:rPr>
          <w:rtl/>
        </w:rPr>
      </w:pPr>
      <w:r w:rsidRPr="00CA16C9">
        <w:rPr>
          <w:rStyle w:val="FootnoteReference"/>
          <w:vertAlign w:val="baseline"/>
        </w:rPr>
        <w:footnoteRef/>
      </w:r>
      <w:r>
        <w:rPr>
          <w:rFonts w:hint="cs"/>
          <w:rtl/>
        </w:rPr>
        <w:t>) א</w:t>
      </w:r>
      <w:r w:rsidRPr="00CA16C9">
        <w:rPr>
          <w:rFonts w:hint="cs"/>
          <w:rtl/>
        </w:rPr>
        <w:t>ג"ק שלו ע' כו</w:t>
      </w:r>
    </w:p>
  </w:footnote>
  <w:footnote w:id="135">
    <w:p w14:paraId="45A226BE" w14:textId="58F3E16B" w:rsidR="004D06EF" w:rsidRPr="00CA16C9"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הנ"ל, וראה ג"כ אג"ק אדמו"ר הריי"ץ ח"א ע' קנ</w:t>
      </w:r>
    </w:p>
  </w:footnote>
  <w:footnote w:id="136">
    <w:p w14:paraId="78B52CB3" w14:textId="7BB89695" w:rsidR="004D06EF" w:rsidRPr="00D636F7" w:rsidRDefault="004D06EF" w:rsidP="00CA16C9">
      <w:pPr>
        <w:pStyle w:val="FootnoteText"/>
        <w:rPr>
          <w:rtl/>
        </w:rPr>
      </w:pPr>
      <w:r w:rsidRPr="00CA16C9">
        <w:rPr>
          <w:rStyle w:val="FootnoteReference"/>
          <w:vertAlign w:val="baseline"/>
        </w:rPr>
        <w:footnoteRef/>
      </w:r>
      <w:r>
        <w:rPr>
          <w:rFonts w:hint="cs"/>
          <w:rtl/>
        </w:rPr>
        <w:t xml:space="preserve">) </w:t>
      </w:r>
      <w:r w:rsidRPr="00CA16C9">
        <w:rPr>
          <w:rFonts w:hint="cs"/>
          <w:rtl/>
        </w:rPr>
        <w:t xml:space="preserve">ולהעיר, שש"ז הוא צדי"ק שנה ליום החתונה י"ד כסלו תרפ"ט </w:t>
      </w:r>
      <w:r w:rsidRPr="00CA16C9">
        <w:rPr>
          <w:rtl/>
        </w:rPr>
        <w:t>–</w:t>
      </w:r>
      <w:r w:rsidRPr="00CA16C9">
        <w:rPr>
          <w:rFonts w:hint="cs"/>
          <w:rtl/>
        </w:rPr>
        <w:t xml:space="preserve"> וראה סה"ס תשנ"ב ע' 165 "שבשנת הצדי"ק נעשית שלימות הנישואין"</w:t>
      </w:r>
    </w:p>
  </w:footnote>
  <w:footnote w:id="137">
    <w:p w14:paraId="173A9EB9" w14:textId="35768DA5" w:rsidR="004D06EF" w:rsidRPr="005A6EB4" w:rsidRDefault="004D06EF" w:rsidP="005A6EB4">
      <w:pPr>
        <w:pStyle w:val="FootnoteText"/>
        <w:rPr>
          <w:rtl/>
        </w:rPr>
      </w:pPr>
      <w:r w:rsidRPr="005A6EB4">
        <w:rPr>
          <w:rStyle w:val="FootnoteReference"/>
          <w:vertAlign w:val="baseline"/>
        </w:rPr>
        <w:footnoteRef/>
      </w:r>
      <w:r w:rsidRPr="005A6EB4">
        <w:t xml:space="preserve"> </w:t>
      </w:r>
      <w:r>
        <w:rPr>
          <w:rFonts w:hint="cs"/>
          <w:rtl/>
        </w:rPr>
        <w:t xml:space="preserve">) </w:t>
      </w:r>
      <w:r w:rsidRPr="005A6EB4">
        <w:rPr>
          <w:rtl/>
        </w:rPr>
        <w:t>וג"ז (שאחותו יעבור על ע"ז) אינו מוכרח כ"כ, שהרי אפשר שהיא תשנה אותו לטוב כמו בדינה ועשו. ויל"ע אם היה עשו עוע"ז, ואכמ"ל. (וראה בכ"ז לקו"ש חט"ו עמ' 213 ואילך)</w:t>
      </w:r>
      <w:r w:rsidRPr="005A6EB4">
        <w:rPr>
          <w:rFonts w:hint="cs"/>
          <w:rtl/>
        </w:rPr>
        <w:t>.</w:t>
      </w:r>
    </w:p>
  </w:footnote>
  <w:footnote w:id="138">
    <w:p w14:paraId="3EE7E471" w14:textId="3F9FDD04" w:rsidR="004D06EF" w:rsidRPr="005A6EB4" w:rsidRDefault="004D06EF" w:rsidP="005A6EB4">
      <w:pPr>
        <w:pStyle w:val="FootnoteText"/>
        <w:rPr>
          <w:rtl/>
        </w:rPr>
      </w:pPr>
      <w:r w:rsidRPr="005A6EB4">
        <w:rPr>
          <w:rStyle w:val="FootnoteReference"/>
          <w:vertAlign w:val="baseline"/>
        </w:rPr>
        <w:footnoteRef/>
      </w:r>
      <w:r w:rsidRPr="005A6EB4">
        <w:t xml:space="preserve"> </w:t>
      </w:r>
      <w:r>
        <w:rPr>
          <w:rFonts w:hint="cs"/>
          <w:rtl/>
        </w:rPr>
        <w:t xml:space="preserve">) </w:t>
      </w:r>
      <w:r w:rsidRPr="005A6EB4">
        <w:rPr>
          <w:rtl/>
        </w:rPr>
        <w:t xml:space="preserve">ושתי הקושיות שהקשה </w:t>
      </w:r>
      <w:r w:rsidRPr="005A6EB4">
        <w:rPr>
          <w:rFonts w:hint="cs"/>
          <w:rtl/>
        </w:rPr>
        <w:t>בלקו"ש</w:t>
      </w:r>
      <w:r w:rsidRPr="005A6EB4">
        <w:rPr>
          <w:rtl/>
        </w:rPr>
        <w:t xml:space="preserve"> על פי' זה מפשוטו של מקרא, ומהטעם דשתי אחיות (שקיים אע"פ שאימן אחיות ע"פ דין), אינו שייך כאן שהרי מדובר לפי התוס' ולא לפי פשוטו של מקרא, ומדובר בנוגע לדין אחותו ולא בנוגע דשתי אחיות וכו', ובזה אין שייך הטעם שכותב שם, עיי"ש.</w:t>
      </w:r>
    </w:p>
  </w:footnote>
  <w:footnote w:id="139">
    <w:p w14:paraId="06DC75E7" w14:textId="242C6E12" w:rsidR="004D06EF" w:rsidRPr="003C4CF0" w:rsidRDefault="004D06EF" w:rsidP="003C4CF0">
      <w:pPr>
        <w:pStyle w:val="FootnoteText"/>
      </w:pPr>
      <w:r w:rsidRPr="003C4CF0">
        <w:footnoteRef/>
      </w:r>
      <w:r>
        <w:rPr>
          <w:rFonts w:hint="cs"/>
          <w:rtl/>
        </w:rPr>
        <w:t>)</w:t>
      </w:r>
      <w:r w:rsidRPr="003C4CF0">
        <w:rPr>
          <w:rtl/>
        </w:rPr>
        <w:t xml:space="preserve"> </w:t>
      </w:r>
      <w:r w:rsidRPr="003C4CF0">
        <w:rPr>
          <w:rFonts w:hint="cs"/>
          <w:rtl/>
        </w:rPr>
        <w:t>למעשה</w:t>
      </w:r>
      <w:r w:rsidRPr="003C4CF0">
        <w:rPr>
          <w:rtl/>
        </w:rPr>
        <w:t xml:space="preserve">, </w:t>
      </w:r>
      <w:r w:rsidRPr="003C4CF0">
        <w:rPr>
          <w:rFonts w:hint="cs"/>
          <w:rtl/>
        </w:rPr>
        <w:t>במדרש שם מפורש שאירעו באוהלה של שרה חמשה עניינים</w:t>
      </w:r>
      <w:r w:rsidRPr="003C4CF0">
        <w:rPr>
          <w:rtl/>
        </w:rPr>
        <w:t xml:space="preserve">; </w:t>
      </w:r>
      <w:r w:rsidRPr="003C4CF0">
        <w:rPr>
          <w:rFonts w:hint="cs"/>
          <w:rtl/>
        </w:rPr>
        <w:t>שלושת הנסים הנזכרים בפנים</w:t>
      </w:r>
      <w:r w:rsidRPr="003C4CF0">
        <w:rPr>
          <w:rtl/>
        </w:rPr>
        <w:t xml:space="preserve">, </w:t>
      </w:r>
      <w:r w:rsidRPr="003C4CF0">
        <w:rPr>
          <w:rFonts w:hint="cs"/>
          <w:rtl/>
        </w:rPr>
        <w:t>ועוד שתי עובדות הקשורות להנהגתה של שרה</w:t>
      </w:r>
      <w:r w:rsidRPr="003C4CF0">
        <w:rPr>
          <w:rtl/>
        </w:rPr>
        <w:t xml:space="preserve">, </w:t>
      </w:r>
      <w:r w:rsidRPr="003C4CF0">
        <w:rPr>
          <w:rFonts w:hint="cs"/>
          <w:rtl/>
        </w:rPr>
        <w:t xml:space="preserve">וכשבאה רבקה </w:t>
      </w:r>
      <w:r w:rsidRPr="003C4CF0">
        <w:rPr>
          <w:rtl/>
        </w:rPr>
        <w:t xml:space="preserve">– </w:t>
      </w:r>
      <w:r w:rsidRPr="003C4CF0">
        <w:rPr>
          <w:rFonts w:hint="cs"/>
          <w:rtl/>
        </w:rPr>
        <w:t>גם של רבקה</w:t>
      </w:r>
      <w:r w:rsidRPr="003C4CF0">
        <w:rPr>
          <w:rtl/>
        </w:rPr>
        <w:t xml:space="preserve">, </w:t>
      </w:r>
      <w:r w:rsidRPr="003C4CF0">
        <w:rPr>
          <w:rFonts w:hint="cs"/>
          <w:rtl/>
        </w:rPr>
        <w:t>והן</w:t>
      </w:r>
      <w:r w:rsidRPr="003C4CF0">
        <w:rPr>
          <w:rtl/>
        </w:rPr>
        <w:t xml:space="preserve">: </w:t>
      </w:r>
      <w:r w:rsidRPr="003C4CF0">
        <w:rPr>
          <w:rFonts w:hint="cs"/>
          <w:rtl/>
        </w:rPr>
        <w:t>א</w:t>
      </w:r>
      <w:r w:rsidRPr="003C4CF0">
        <w:rPr>
          <w:rtl/>
        </w:rPr>
        <w:t xml:space="preserve">. </w:t>
      </w:r>
      <w:r w:rsidRPr="003C4CF0">
        <w:rPr>
          <w:rFonts w:hint="cs"/>
          <w:rtl/>
        </w:rPr>
        <w:t xml:space="preserve">״דלתות פתוחות לרווחה״ </w:t>
      </w:r>
      <w:r w:rsidRPr="003C4CF0">
        <w:rPr>
          <w:rtl/>
        </w:rPr>
        <w:t xml:space="preserve">– </w:t>
      </w:r>
      <w:r w:rsidRPr="003C4CF0">
        <w:rPr>
          <w:rFonts w:hint="cs"/>
          <w:rtl/>
        </w:rPr>
        <w:t>ביטוי למדת גמילות החסד של שרה ורבקה</w:t>
      </w:r>
      <w:r w:rsidRPr="003C4CF0">
        <w:rPr>
          <w:rtl/>
        </w:rPr>
        <w:t xml:space="preserve">; </w:t>
      </w:r>
      <w:r w:rsidRPr="003C4CF0">
        <w:rPr>
          <w:rFonts w:hint="cs"/>
          <w:rtl/>
        </w:rPr>
        <w:t>ב</w:t>
      </w:r>
      <w:r w:rsidRPr="003C4CF0">
        <w:rPr>
          <w:rtl/>
        </w:rPr>
        <w:t xml:space="preserve">. </w:t>
      </w:r>
      <w:r w:rsidRPr="003C4CF0">
        <w:rPr>
          <w:rFonts w:hint="cs"/>
          <w:rtl/>
        </w:rPr>
        <w:t xml:space="preserve">״קוצה חלתה בטהרה וקוצה עיסתה בטהרה״ </w:t>
      </w:r>
      <w:r w:rsidRPr="003C4CF0">
        <w:rPr>
          <w:rtl/>
        </w:rPr>
        <w:t xml:space="preserve">– </w:t>
      </w:r>
      <w:r w:rsidRPr="003C4CF0">
        <w:rPr>
          <w:rFonts w:hint="cs"/>
          <w:rtl/>
        </w:rPr>
        <w:t>ביטוי למדת חסידותה של שרה ורבקה לאפות ולבשל חלתה ושאר המאכלים בטהרה</w:t>
      </w:r>
      <w:r w:rsidRPr="003C4CF0">
        <w:rPr>
          <w:rtl/>
        </w:rPr>
        <w:t xml:space="preserve">, </w:t>
      </w:r>
      <w:r w:rsidRPr="003C4CF0">
        <w:rPr>
          <w:rFonts w:hint="cs"/>
          <w:rtl/>
        </w:rPr>
        <w:t>עיי״ש</w:t>
      </w:r>
      <w:r w:rsidRPr="003C4CF0">
        <w:rPr>
          <w:rtl/>
        </w:rPr>
        <w:t>.</w:t>
      </w:r>
    </w:p>
    <w:p w14:paraId="52A3DA7C" w14:textId="77777777" w:rsidR="004D06EF" w:rsidRPr="003C4CF0" w:rsidRDefault="004D06EF" w:rsidP="003C4CF0">
      <w:pPr>
        <w:pStyle w:val="FootnoteText"/>
      </w:pPr>
      <w:r w:rsidRPr="003C4CF0">
        <w:rPr>
          <w:rFonts w:hint="cs"/>
          <w:rtl/>
        </w:rPr>
        <w:t>אלא ששתי עובדות אלו</w:t>
      </w:r>
      <w:r w:rsidRPr="003C4CF0">
        <w:rPr>
          <w:rtl/>
        </w:rPr>
        <w:t xml:space="preserve">, </w:t>
      </w:r>
      <w:r w:rsidRPr="003C4CF0">
        <w:rPr>
          <w:rFonts w:hint="cs"/>
          <w:rtl/>
        </w:rPr>
        <w:t>אם כי אכן אירעו אצל שרה ושוב חזרו אצל רבקה</w:t>
      </w:r>
      <w:r w:rsidRPr="003C4CF0">
        <w:rPr>
          <w:rtl/>
        </w:rPr>
        <w:t xml:space="preserve">, </w:t>
      </w:r>
      <w:r w:rsidRPr="003C4CF0">
        <w:rPr>
          <w:rFonts w:hint="cs"/>
          <w:rtl/>
        </w:rPr>
        <w:t>וכמפורש במדרש שם</w:t>
      </w:r>
      <w:r w:rsidRPr="003C4CF0">
        <w:rPr>
          <w:rtl/>
        </w:rPr>
        <w:t xml:space="preserve">, </w:t>
      </w:r>
      <w:r w:rsidRPr="003C4CF0">
        <w:rPr>
          <w:rFonts w:hint="cs"/>
          <w:rtl/>
        </w:rPr>
        <w:t>מכל מקום הרי לא השפיעו עניינים אלו על החלטתו של יצחק לישא את רבקה</w:t>
      </w:r>
      <w:r w:rsidRPr="003C4CF0">
        <w:rPr>
          <w:rtl/>
        </w:rPr>
        <w:t xml:space="preserve">, </w:t>
      </w:r>
      <w:r w:rsidRPr="003C4CF0">
        <w:rPr>
          <w:rFonts w:hint="cs"/>
          <w:rtl/>
        </w:rPr>
        <w:t>כי אם דווקא שלושת ה״נסים״ המיוחדים</w:t>
      </w:r>
      <w:r w:rsidRPr="003C4CF0">
        <w:rPr>
          <w:rtl/>
        </w:rPr>
        <w:t xml:space="preserve">, </w:t>
      </w:r>
      <w:r w:rsidRPr="003C4CF0">
        <w:rPr>
          <w:rFonts w:hint="cs"/>
          <w:rtl/>
        </w:rPr>
        <w:t xml:space="preserve">הם אלו שהיוו סימנים מכריעים להחלטתו של יצחק לישא את רבקה </w:t>
      </w:r>
      <w:r w:rsidRPr="003C4CF0">
        <w:rPr>
          <w:rtl/>
        </w:rPr>
        <w:t xml:space="preserve">– </w:t>
      </w:r>
      <w:r w:rsidRPr="003C4CF0">
        <w:rPr>
          <w:rFonts w:hint="cs"/>
          <w:rtl/>
        </w:rPr>
        <w:t xml:space="preserve">ראה לקוטי שיחות חט״ו עמ׳ </w:t>
      </w:r>
      <w:r w:rsidRPr="003C4CF0">
        <w:rPr>
          <w:rtl/>
        </w:rPr>
        <w:t xml:space="preserve">164 </w:t>
      </w:r>
      <w:r w:rsidRPr="003C4CF0">
        <w:rPr>
          <w:rFonts w:hint="cs"/>
          <w:rtl/>
        </w:rPr>
        <w:t xml:space="preserve">הערה </w:t>
      </w:r>
      <w:r w:rsidRPr="003C4CF0">
        <w:rPr>
          <w:rtl/>
        </w:rPr>
        <w:t xml:space="preserve">14; </w:t>
      </w:r>
      <w:r w:rsidRPr="003C4CF0">
        <w:rPr>
          <w:rFonts w:hint="cs"/>
          <w:rtl/>
        </w:rPr>
        <w:t xml:space="preserve">עמ׳ </w:t>
      </w:r>
      <w:r w:rsidRPr="003C4CF0">
        <w:rPr>
          <w:rtl/>
        </w:rPr>
        <w:t xml:space="preserve">166 </w:t>
      </w:r>
      <w:r w:rsidRPr="003C4CF0">
        <w:rPr>
          <w:rFonts w:hint="cs"/>
          <w:rtl/>
        </w:rPr>
        <w:t xml:space="preserve">הערה </w:t>
      </w:r>
      <w:r w:rsidRPr="003C4CF0">
        <w:rPr>
          <w:rtl/>
        </w:rPr>
        <w:t xml:space="preserve">23 </w:t>
      </w:r>
      <w:r w:rsidRPr="003C4CF0">
        <w:rPr>
          <w:rFonts w:hint="cs"/>
          <w:rtl/>
        </w:rPr>
        <w:t>וש״נ</w:t>
      </w:r>
      <w:r w:rsidRPr="003C4CF0">
        <w:rPr>
          <w:rtl/>
        </w:rPr>
        <w:t xml:space="preserve">. </w:t>
      </w:r>
    </w:p>
  </w:footnote>
  <w:footnote w:id="140">
    <w:p w14:paraId="7301B065" w14:textId="202E5C99" w:rsidR="004D06EF" w:rsidRDefault="004D06EF" w:rsidP="003C4CF0">
      <w:pPr>
        <w:pStyle w:val="FootnoteText"/>
      </w:pPr>
      <w:r w:rsidRPr="003C4CF0">
        <w:footnoteRef/>
      </w:r>
      <w:r>
        <w:rPr>
          <w:rFonts w:hint="cs"/>
          <w:rtl/>
        </w:rPr>
        <w:t>)</w:t>
      </w:r>
      <w:r w:rsidRPr="003C4CF0">
        <w:rPr>
          <w:rtl/>
        </w:rPr>
        <w:t xml:space="preserve"> </w:t>
      </w:r>
      <w:r w:rsidRPr="003C4CF0">
        <w:rPr>
          <w:rFonts w:hint="cs"/>
          <w:rtl/>
        </w:rPr>
        <w:t xml:space="preserve">ובפירוש רש״י עה״ת </w:t>
      </w:r>
      <w:r w:rsidRPr="003C4CF0">
        <w:rPr>
          <w:rtl/>
        </w:rPr>
        <w:t>(</w:t>
      </w:r>
      <w:r w:rsidRPr="003C4CF0">
        <w:rPr>
          <w:rFonts w:hint="cs"/>
          <w:rtl/>
        </w:rPr>
        <w:t>בראשית כד</w:t>
      </w:r>
      <w:r w:rsidRPr="003C4CF0">
        <w:rPr>
          <w:rtl/>
        </w:rPr>
        <w:t xml:space="preserve">, </w:t>
      </w:r>
      <w:r w:rsidRPr="003C4CF0">
        <w:rPr>
          <w:rFonts w:hint="cs"/>
          <w:rtl/>
        </w:rPr>
        <w:t>סז</w:t>
      </w:r>
      <w:r w:rsidRPr="003C4CF0">
        <w:rPr>
          <w:rtl/>
        </w:rPr>
        <w:t xml:space="preserve">) </w:t>
      </w:r>
      <w:r w:rsidRPr="003C4CF0">
        <w:rPr>
          <w:rFonts w:hint="cs"/>
          <w:rtl/>
        </w:rPr>
        <w:t>הלשון שלפנינו הוא ״וברכה מצויה בעיסה״</w:t>
      </w:r>
      <w:r w:rsidRPr="003C4CF0">
        <w:rPr>
          <w:rtl/>
        </w:rPr>
        <w:t xml:space="preserve">. </w:t>
      </w:r>
      <w:r w:rsidRPr="003C4CF0">
        <w:rPr>
          <w:rFonts w:hint="cs"/>
          <w:rtl/>
        </w:rPr>
        <w:t xml:space="preserve">וראה בלקוטי שיחות שם עמ׳ </w:t>
      </w:r>
      <w:r w:rsidRPr="003C4CF0">
        <w:rPr>
          <w:rtl/>
        </w:rPr>
        <w:t xml:space="preserve">164 </w:t>
      </w:r>
      <w:r w:rsidRPr="003C4CF0">
        <w:rPr>
          <w:rFonts w:hint="cs"/>
          <w:rtl/>
        </w:rPr>
        <w:t xml:space="preserve">בהערה </w:t>
      </w:r>
      <w:r w:rsidRPr="003C4CF0">
        <w:rPr>
          <w:rtl/>
        </w:rPr>
        <w:t>14</w:t>
      </w:r>
      <w:r>
        <w:rPr>
          <w:rFonts w:hint="cs"/>
          <w:rtl/>
        </w:rPr>
        <w:t>*</w:t>
      </w:r>
      <w:r w:rsidRPr="003C4CF0">
        <w:rPr>
          <w:rtl/>
        </w:rPr>
        <w:t xml:space="preserve"> </w:t>
      </w:r>
      <w:r w:rsidRPr="003C4CF0">
        <w:rPr>
          <w:rFonts w:hint="cs"/>
          <w:rtl/>
        </w:rPr>
        <w:t xml:space="preserve">שהעתיק גירסא אחת במדרש שם ״ברכה מוטלת בעיסה״ </w:t>
      </w:r>
      <w:r w:rsidRPr="003C4CF0">
        <w:t>(</w:t>
      </w:r>
      <w:r w:rsidRPr="003C4CF0">
        <w:rPr>
          <w:rFonts w:hint="cs"/>
          <w:rtl/>
        </w:rPr>
        <w:t>ראה בזה בבראשית רבה עם שינויי נוסחאות</w:t>
      </w:r>
      <w:r w:rsidRPr="003C4CF0">
        <w:rPr>
          <w:rtl/>
        </w:rPr>
        <w:t xml:space="preserve">, </w:t>
      </w:r>
      <w:r w:rsidRPr="003C4CF0">
        <w:rPr>
          <w:rFonts w:hint="cs"/>
          <w:rtl/>
        </w:rPr>
        <w:t>הוצאת תיאדור</w:t>
      </w:r>
      <w:r w:rsidRPr="003C4CF0">
        <w:t>-</w:t>
      </w:r>
      <w:r w:rsidRPr="003C4CF0">
        <w:rPr>
          <w:rFonts w:hint="cs"/>
          <w:rtl/>
        </w:rPr>
        <w:t>אלבק</w:t>
      </w:r>
      <w:r w:rsidRPr="003C4CF0">
        <w:rPr>
          <w:rtl/>
        </w:rPr>
        <w:t xml:space="preserve">, </w:t>
      </w:r>
      <w:r w:rsidRPr="003C4CF0">
        <w:rPr>
          <w:rFonts w:hint="cs"/>
          <w:rtl/>
        </w:rPr>
        <w:t>שם</w:t>
      </w:r>
      <w:r w:rsidRPr="003C4CF0">
        <w:t>)</w:t>
      </w:r>
      <w:r w:rsidRPr="003C4CF0">
        <w:rPr>
          <w:rtl/>
        </w:rPr>
        <w:t xml:space="preserve">. </w:t>
      </w:r>
      <w:r w:rsidRPr="003C4CF0">
        <w:rPr>
          <w:rFonts w:hint="cs"/>
          <w:rtl/>
        </w:rPr>
        <w:t>וראה עוד בהוצאה הנ״ל אשר לכמה גירסאות הלשון במדרש הוא ״היתה ברכה מושלכת בעיסה״</w:t>
      </w:r>
      <w:r w:rsidRPr="003C4CF0">
        <w:rPr>
          <w:rtl/>
        </w:rPr>
        <w:t>.</w:t>
      </w:r>
    </w:p>
  </w:footnote>
  <w:footnote w:id="141">
    <w:p w14:paraId="22D8FB5E" w14:textId="546484AB" w:rsidR="004D06EF" w:rsidRPr="004C43CB" w:rsidRDefault="004D06EF" w:rsidP="004C43CB">
      <w:pPr>
        <w:pStyle w:val="FootnoteText"/>
      </w:pPr>
      <w:r w:rsidRPr="004C43CB">
        <w:footnoteRef/>
      </w:r>
      <w:r>
        <w:rPr>
          <w:rFonts w:hint="cs"/>
          <w:rtl/>
        </w:rPr>
        <w:t>)</w:t>
      </w:r>
      <w:r w:rsidRPr="004C43CB">
        <w:rPr>
          <w:rtl/>
        </w:rPr>
        <w:t xml:space="preserve"> </w:t>
      </w:r>
      <w:r w:rsidRPr="004C43CB">
        <w:rPr>
          <w:rFonts w:hint="cs"/>
          <w:rtl/>
        </w:rPr>
        <w:t xml:space="preserve">כן מתבאר בפשטות כוונת הגמרא ביומא שם במשמעות הנס שבלחם הפנים </w:t>
      </w:r>
      <w:r w:rsidRPr="004C43CB">
        <w:rPr>
          <w:rtl/>
        </w:rPr>
        <w:t>[</w:t>
      </w:r>
      <w:r w:rsidRPr="004C43CB">
        <w:rPr>
          <w:rFonts w:hint="cs"/>
          <w:rtl/>
        </w:rPr>
        <w:t>ובעומר ובשתי הלחם</w:t>
      </w:r>
      <w:r w:rsidRPr="004C43CB">
        <w:rPr>
          <w:rtl/>
        </w:rPr>
        <w:t xml:space="preserve">], </w:t>
      </w:r>
      <w:r w:rsidRPr="004C43CB">
        <w:rPr>
          <w:rFonts w:hint="cs"/>
          <w:rtl/>
        </w:rPr>
        <w:t>והיינו שהנס היה בהשביעה</w:t>
      </w:r>
      <w:r w:rsidRPr="004C43CB">
        <w:rPr>
          <w:rtl/>
        </w:rPr>
        <w:t xml:space="preserve">, </w:t>
      </w:r>
      <w:r w:rsidRPr="004C43CB">
        <w:rPr>
          <w:rFonts w:hint="cs"/>
          <w:rtl/>
        </w:rPr>
        <w:t>שגם כמות קטנה של כזית היתה משבעת את הכהן</w:t>
      </w:r>
      <w:r w:rsidRPr="004C43CB">
        <w:rPr>
          <w:rtl/>
        </w:rPr>
        <w:t xml:space="preserve">. </w:t>
      </w:r>
    </w:p>
    <w:p w14:paraId="7930158B" w14:textId="77777777" w:rsidR="004D06EF" w:rsidRPr="004C43CB" w:rsidRDefault="004D06EF" w:rsidP="004C43CB">
      <w:pPr>
        <w:pStyle w:val="FootnoteText"/>
      </w:pPr>
      <w:r w:rsidRPr="004C43CB">
        <w:rPr>
          <w:rFonts w:hint="cs"/>
          <w:rtl/>
        </w:rPr>
        <w:t>אולם יש עוד שפירשו את המשך דברי הגמרא שם ״ונשתלחה ברכה בעומר ובשתי הלחם ובלחם הפנים</w:t>
      </w:r>
      <w:r w:rsidRPr="004C43CB">
        <w:rPr>
          <w:rtl/>
        </w:rPr>
        <w:t>,</w:t>
      </w:r>
      <w:r w:rsidRPr="004C43CB">
        <w:rPr>
          <w:rFonts w:hint="cs"/>
          <w:rtl/>
        </w:rPr>
        <w:t xml:space="preserve"> וכל כהן שמגיעו כזית יש אוכלו ושבע ויש אוכלו ומותיר״</w:t>
      </w:r>
      <w:r w:rsidRPr="004C43CB">
        <w:rPr>
          <w:rtl/>
        </w:rPr>
        <w:t xml:space="preserve">, </w:t>
      </w:r>
      <w:r w:rsidRPr="004C43CB">
        <w:rPr>
          <w:rFonts w:hint="cs"/>
          <w:rtl/>
        </w:rPr>
        <w:t>שלמעשה היו בזה שתי ברכות ונסים</w:t>
      </w:r>
      <w:r w:rsidRPr="004C43CB">
        <w:rPr>
          <w:rtl/>
        </w:rPr>
        <w:t xml:space="preserve">, </w:t>
      </w:r>
      <w:r w:rsidRPr="004C43CB">
        <w:rPr>
          <w:rFonts w:hint="cs"/>
          <w:rtl/>
        </w:rPr>
        <w:t>הא׳ בכמות הלחם</w:t>
      </w:r>
      <w:r w:rsidRPr="004C43CB">
        <w:rPr>
          <w:rtl/>
        </w:rPr>
        <w:t xml:space="preserve">, </w:t>
      </w:r>
      <w:r w:rsidRPr="004C43CB">
        <w:rPr>
          <w:rFonts w:hint="cs"/>
          <w:rtl/>
        </w:rPr>
        <w:t>והיינו שהיה מגיע לכל כהן וכהן כמות של כזית מן הלחם</w:t>
      </w:r>
      <w:r w:rsidRPr="004C43CB">
        <w:rPr>
          <w:rtl/>
        </w:rPr>
        <w:t xml:space="preserve">, </w:t>
      </w:r>
      <w:r w:rsidRPr="004C43CB">
        <w:rPr>
          <w:rFonts w:hint="cs"/>
          <w:rtl/>
        </w:rPr>
        <w:t>והב׳ שהיה נס גם בהשביעה</w:t>
      </w:r>
      <w:r w:rsidRPr="004C43CB">
        <w:rPr>
          <w:rtl/>
        </w:rPr>
        <w:t xml:space="preserve">, </w:t>
      </w:r>
      <w:r w:rsidRPr="004C43CB">
        <w:rPr>
          <w:rFonts w:hint="cs"/>
          <w:rtl/>
        </w:rPr>
        <w:t>והיינו שמכזית הלחם שבעו וכו׳</w:t>
      </w:r>
      <w:r w:rsidRPr="004C43CB">
        <w:rPr>
          <w:rtl/>
        </w:rPr>
        <w:t xml:space="preserve">, </w:t>
      </w:r>
      <w:r w:rsidRPr="004C43CB">
        <w:rPr>
          <w:rFonts w:hint="cs"/>
          <w:rtl/>
        </w:rPr>
        <w:t xml:space="preserve">והדבר תלוי בגירסת הגמרא </w:t>
      </w:r>
      <w:r w:rsidRPr="004C43CB">
        <w:rPr>
          <w:rtl/>
        </w:rPr>
        <w:t>(</w:t>
      </w:r>
      <w:r w:rsidRPr="004C43CB">
        <w:rPr>
          <w:rFonts w:hint="cs"/>
          <w:rtl/>
        </w:rPr>
        <w:t>״שמגיעו״ או ״מגיעו״</w:t>
      </w:r>
      <w:r w:rsidRPr="004C43CB">
        <w:rPr>
          <w:rtl/>
        </w:rPr>
        <w:t xml:space="preserve">)  – </w:t>
      </w:r>
      <w:r w:rsidRPr="004C43CB">
        <w:rPr>
          <w:rFonts w:hint="cs"/>
          <w:rtl/>
        </w:rPr>
        <w:t>יעויין בכל זה בפרש״י</w:t>
      </w:r>
      <w:r w:rsidRPr="004C43CB">
        <w:rPr>
          <w:rtl/>
        </w:rPr>
        <w:t xml:space="preserve">, </w:t>
      </w:r>
      <w:r w:rsidRPr="004C43CB">
        <w:rPr>
          <w:rFonts w:hint="cs"/>
          <w:rtl/>
        </w:rPr>
        <w:t>מהרש״א</w:t>
      </w:r>
      <w:r w:rsidRPr="004C43CB">
        <w:rPr>
          <w:rtl/>
        </w:rPr>
        <w:t xml:space="preserve">, </w:t>
      </w:r>
      <w:r w:rsidRPr="004C43CB">
        <w:rPr>
          <w:rFonts w:hint="cs"/>
          <w:rtl/>
        </w:rPr>
        <w:t>תוספות רי״ד ליומא שם</w:t>
      </w:r>
      <w:r w:rsidRPr="004C43CB">
        <w:rPr>
          <w:rtl/>
        </w:rPr>
        <w:t xml:space="preserve">. </w:t>
      </w:r>
      <w:r w:rsidRPr="004C43CB">
        <w:rPr>
          <w:rFonts w:hint="cs"/>
          <w:rtl/>
        </w:rPr>
        <w:t>ועוד</w:t>
      </w:r>
      <w:r w:rsidRPr="004C43CB">
        <w:rPr>
          <w:rtl/>
        </w:rPr>
        <w:t>.</w:t>
      </w:r>
    </w:p>
  </w:footnote>
  <w:footnote w:id="142">
    <w:p w14:paraId="44B771E1" w14:textId="24D44D45" w:rsidR="004D06EF" w:rsidRPr="004C43CB" w:rsidRDefault="004D06EF" w:rsidP="004C43CB">
      <w:pPr>
        <w:pStyle w:val="FootnoteText"/>
      </w:pPr>
      <w:r w:rsidRPr="004C43CB">
        <w:footnoteRef/>
      </w:r>
      <w:r>
        <w:rPr>
          <w:rFonts w:hint="cs"/>
          <w:rtl/>
        </w:rPr>
        <w:t>)</w:t>
      </w:r>
      <w:r w:rsidRPr="004C43CB">
        <w:rPr>
          <w:rtl/>
        </w:rPr>
        <w:t xml:space="preserve"> </w:t>
      </w:r>
      <w:r w:rsidRPr="004C43CB">
        <w:rPr>
          <w:rFonts w:hint="cs"/>
          <w:rtl/>
        </w:rPr>
        <w:t xml:space="preserve">ראה ׳שם משמואל׳ </w:t>
      </w:r>
      <w:r w:rsidRPr="004C43CB">
        <w:t>(</w:t>
      </w:r>
      <w:r w:rsidRPr="004C43CB">
        <w:rPr>
          <w:rFonts w:hint="cs"/>
          <w:rtl/>
        </w:rPr>
        <w:t>חיי שרה שם</w:t>
      </w:r>
      <w:r w:rsidRPr="004C43CB">
        <w:t xml:space="preserve">); </w:t>
      </w:r>
      <w:r w:rsidRPr="004C43CB">
        <w:rPr>
          <w:rFonts w:hint="cs"/>
          <w:rtl/>
        </w:rPr>
        <w:t xml:space="preserve">מהר״י שטייף </w:t>
      </w:r>
      <w:r w:rsidRPr="004C43CB">
        <w:t>(</w:t>
      </w:r>
      <w:r w:rsidRPr="004C43CB">
        <w:rPr>
          <w:rFonts w:hint="cs"/>
          <w:rtl/>
        </w:rPr>
        <w:t>חיי שרה</w:t>
      </w:r>
      <w:r w:rsidRPr="004C43CB">
        <w:rPr>
          <w:rtl/>
        </w:rPr>
        <w:t xml:space="preserve">, </w:t>
      </w:r>
      <w:r w:rsidRPr="004C43CB">
        <w:rPr>
          <w:rFonts w:hint="cs"/>
          <w:rtl/>
        </w:rPr>
        <w:t>דרוש ה</w:t>
      </w:r>
      <w:r w:rsidRPr="004C43CB">
        <w:t>).</w:t>
      </w:r>
    </w:p>
  </w:footnote>
  <w:footnote w:id="143">
    <w:p w14:paraId="4C988C4B" w14:textId="6752E224" w:rsidR="004D06EF" w:rsidRDefault="004D06EF" w:rsidP="004C43CB">
      <w:pPr>
        <w:pStyle w:val="FootnoteText"/>
      </w:pPr>
      <w:r w:rsidRPr="004C43CB">
        <w:footnoteRef/>
      </w:r>
      <w:r>
        <w:rPr>
          <w:rFonts w:hint="cs"/>
          <w:rtl/>
        </w:rPr>
        <w:t>)</w:t>
      </w:r>
      <w:r w:rsidRPr="004C43CB">
        <w:rPr>
          <w:rtl/>
        </w:rPr>
        <w:t xml:space="preserve"> </w:t>
      </w:r>
      <w:r w:rsidRPr="004C43CB">
        <w:rPr>
          <w:rFonts w:hint="cs"/>
          <w:rtl/>
        </w:rPr>
        <w:t>ראה אמרי פנחס</w:t>
      </w:r>
      <w:r w:rsidRPr="004C43CB">
        <w:rPr>
          <w:rtl/>
        </w:rPr>
        <w:t xml:space="preserve">, </w:t>
      </w:r>
      <w:r w:rsidRPr="004C43CB">
        <w:rPr>
          <w:rFonts w:hint="cs"/>
          <w:rtl/>
        </w:rPr>
        <w:t>חיי שרה</w:t>
      </w:r>
      <w:r w:rsidRPr="004C43CB">
        <w:rPr>
          <w:rtl/>
        </w:rPr>
        <w:t xml:space="preserve">, </w:t>
      </w:r>
      <w:r w:rsidRPr="004C43CB">
        <w:rPr>
          <w:rFonts w:hint="cs"/>
          <w:rtl/>
        </w:rPr>
        <w:t>אות לה</w:t>
      </w:r>
      <w:r w:rsidRPr="004C43CB">
        <w:rPr>
          <w:rtl/>
        </w:rPr>
        <w:t>.</w:t>
      </w:r>
    </w:p>
  </w:footnote>
  <w:footnote w:id="144">
    <w:p w14:paraId="134B04FF" w14:textId="1135D7B3" w:rsidR="004D06EF" w:rsidRPr="003C4CF0" w:rsidRDefault="004D06EF" w:rsidP="003C4CF0">
      <w:pPr>
        <w:pStyle w:val="FootnoteText"/>
      </w:pPr>
      <w:r w:rsidRPr="003C4CF0">
        <w:footnoteRef/>
      </w:r>
      <w:r w:rsidRPr="003C4CF0">
        <w:rPr>
          <w:rFonts w:hint="cs"/>
          <w:rtl/>
        </w:rPr>
        <w:t>)</w:t>
      </w:r>
      <w:r w:rsidRPr="003C4CF0">
        <w:rPr>
          <w:rtl/>
        </w:rPr>
        <w:t xml:space="preserve"> </w:t>
      </w:r>
      <w:r w:rsidRPr="003C4CF0">
        <w:rPr>
          <w:rFonts w:hint="cs"/>
          <w:rtl/>
        </w:rPr>
        <w:t xml:space="preserve">וראה לעיל בהערה </w:t>
      </w:r>
      <w:r w:rsidRPr="003C4CF0">
        <w:rPr>
          <w:rtl/>
        </w:rPr>
        <w:t xml:space="preserve">2 </w:t>
      </w:r>
      <w:r w:rsidRPr="003C4CF0">
        <w:rPr>
          <w:rFonts w:hint="cs"/>
          <w:rtl/>
        </w:rPr>
        <w:t>שמצינו גירסאות שונות במדרש שם</w:t>
      </w:r>
      <w:r w:rsidRPr="003C4CF0">
        <w:rPr>
          <w:rtl/>
        </w:rPr>
        <w:t xml:space="preserve">. </w:t>
      </w:r>
      <w:r w:rsidRPr="003C4CF0">
        <w:rPr>
          <w:rFonts w:hint="cs"/>
          <w:rtl/>
        </w:rPr>
        <w:t xml:space="preserve">ולהעיר גם מדברי המפרשים הנ״ל </w:t>
      </w:r>
      <w:r w:rsidRPr="003C4CF0">
        <w:rPr>
          <w:rtl/>
        </w:rPr>
        <w:t>(</w:t>
      </w:r>
      <w:r w:rsidRPr="003C4CF0">
        <w:rPr>
          <w:rFonts w:hint="cs"/>
          <w:rtl/>
        </w:rPr>
        <w:t xml:space="preserve">בהערה </w:t>
      </w:r>
      <w:r w:rsidRPr="003C4CF0">
        <w:rPr>
          <w:rtl/>
        </w:rPr>
        <w:t xml:space="preserve">3) </w:t>
      </w:r>
      <w:r w:rsidRPr="003C4CF0">
        <w:rPr>
          <w:rFonts w:hint="cs"/>
          <w:rtl/>
        </w:rPr>
        <w:t>בפירוש משמעות הנס ביומא שם</w:t>
      </w:r>
      <w:r w:rsidRPr="003C4CF0">
        <w:rPr>
          <w:rtl/>
        </w:rPr>
        <w:t>.</w:t>
      </w:r>
    </w:p>
  </w:footnote>
  <w:footnote w:id="145">
    <w:p w14:paraId="400B65C1" w14:textId="0160CF0D" w:rsidR="004D06EF" w:rsidRDefault="004D06EF" w:rsidP="003C4CF0">
      <w:pPr>
        <w:pStyle w:val="FootnoteText"/>
      </w:pPr>
      <w:r w:rsidRPr="003C4CF0">
        <w:footnoteRef/>
      </w:r>
      <w:r w:rsidRPr="003C4CF0">
        <w:rPr>
          <w:rFonts w:hint="cs"/>
          <w:rtl/>
        </w:rPr>
        <w:t>)</w:t>
      </w:r>
      <w:r w:rsidRPr="003C4CF0">
        <w:rPr>
          <w:rtl/>
        </w:rPr>
        <w:t xml:space="preserve"> </w:t>
      </w:r>
      <w:r w:rsidRPr="003C4CF0">
        <w:rPr>
          <w:rFonts w:hint="cs"/>
          <w:rtl/>
        </w:rPr>
        <w:t>ראה ׳אמרי פנחס׳ שם שמציע אופן כזה במשמעות הנס</w:t>
      </w:r>
      <w:r w:rsidRPr="003C4CF0">
        <w:rPr>
          <w:rtl/>
        </w:rPr>
        <w:t xml:space="preserve">, </w:t>
      </w:r>
      <w:r w:rsidRPr="003C4CF0">
        <w:rPr>
          <w:rFonts w:hint="cs"/>
          <w:rtl/>
        </w:rPr>
        <w:t xml:space="preserve">אלא שלפי דרכו שם </w:t>
      </w:r>
      <w:r w:rsidRPr="003C4CF0">
        <w:t xml:space="preserve">– </w:t>
      </w:r>
      <w:r w:rsidRPr="003C4CF0">
        <w:rPr>
          <w:rFonts w:hint="cs"/>
          <w:rtl/>
        </w:rPr>
        <w:t>שוללו</w:t>
      </w:r>
      <w:r w:rsidRPr="003C4CF0">
        <w:rPr>
          <w:rtl/>
        </w:rPr>
        <w:t xml:space="preserve">. </w:t>
      </w:r>
      <w:r w:rsidRPr="003C4CF0">
        <w:rPr>
          <w:rFonts w:hint="cs"/>
          <w:rtl/>
        </w:rPr>
        <w:t>עיי״ש</w:t>
      </w:r>
      <w:r w:rsidRPr="003C4CF0">
        <w:rPr>
          <w:rtl/>
        </w:rPr>
        <w:t xml:space="preserve">. </w:t>
      </w:r>
    </w:p>
  </w:footnote>
  <w:footnote w:id="146">
    <w:p w14:paraId="104B8305" w14:textId="38A8BEF1" w:rsidR="004D06EF" w:rsidRPr="005A6EB4" w:rsidRDefault="004D06EF" w:rsidP="005A6EB4">
      <w:pPr>
        <w:pStyle w:val="FootnoteText"/>
      </w:pPr>
      <w:r w:rsidRPr="005A6EB4">
        <w:footnoteRef/>
      </w:r>
      <w:r>
        <w:rPr>
          <w:rFonts w:hint="cs"/>
          <w:rtl/>
        </w:rPr>
        <w:t>)</w:t>
      </w:r>
      <w:r w:rsidRPr="005A6EB4">
        <w:rPr>
          <w:rtl/>
        </w:rPr>
        <w:t xml:space="preserve"> </w:t>
      </w:r>
      <w:r w:rsidRPr="005A6EB4">
        <w:rPr>
          <w:rFonts w:hint="cs"/>
          <w:rtl/>
        </w:rPr>
        <w:t xml:space="preserve">ויש להעיר בזה עוד מלקוטי שיחות חט״ז עמ׳ </w:t>
      </w:r>
      <w:r w:rsidRPr="005A6EB4">
        <w:rPr>
          <w:rtl/>
        </w:rPr>
        <w:t xml:space="preserve">375 </w:t>
      </w:r>
      <w:r w:rsidRPr="005A6EB4">
        <w:rPr>
          <w:rFonts w:hint="cs"/>
          <w:rtl/>
        </w:rPr>
        <w:t xml:space="preserve">בביאור יסוד החילוק שבין לשון הבבלי </w:t>
      </w:r>
      <w:r w:rsidRPr="005A6EB4">
        <w:rPr>
          <w:rtl/>
        </w:rPr>
        <w:t>(</w:t>
      </w:r>
      <w:r w:rsidRPr="005A6EB4">
        <w:rPr>
          <w:rFonts w:hint="cs"/>
          <w:rtl/>
        </w:rPr>
        <w:t>ברכות לב</w:t>
      </w:r>
      <w:r w:rsidRPr="005A6EB4">
        <w:rPr>
          <w:rtl/>
        </w:rPr>
        <w:t xml:space="preserve">, </w:t>
      </w:r>
      <w:r w:rsidRPr="005A6EB4">
        <w:rPr>
          <w:rFonts w:hint="cs"/>
          <w:rtl/>
        </w:rPr>
        <w:t>ב</w:t>
      </w:r>
      <w:r w:rsidRPr="005A6EB4">
        <w:rPr>
          <w:rtl/>
        </w:rPr>
        <w:t xml:space="preserve">) </w:t>
      </w:r>
      <w:r w:rsidRPr="005A6EB4">
        <w:rPr>
          <w:rFonts w:hint="cs"/>
          <w:rtl/>
        </w:rPr>
        <w:t xml:space="preserve">״חסידים הראשונים היו שוהים </w:t>
      </w:r>
      <w:r w:rsidRPr="005A6EB4">
        <w:rPr>
          <w:rtl/>
        </w:rPr>
        <w:t xml:space="preserve">. . </w:t>
      </w:r>
      <w:r w:rsidRPr="005A6EB4">
        <w:rPr>
          <w:rFonts w:hint="cs"/>
          <w:rtl/>
        </w:rPr>
        <w:t xml:space="preserve">תשע שעות ביום התפלה </w:t>
      </w:r>
      <w:r w:rsidRPr="005A6EB4">
        <w:rPr>
          <w:rtl/>
        </w:rPr>
        <w:t xml:space="preserve">. . </w:t>
      </w:r>
      <w:r w:rsidRPr="005A6EB4">
        <w:rPr>
          <w:rFonts w:hint="cs"/>
          <w:rtl/>
        </w:rPr>
        <w:t>תורתן היאך משתמרת ומלאכתן היאך נעשית</w:t>
      </w:r>
      <w:r w:rsidRPr="005A6EB4">
        <w:rPr>
          <w:rtl/>
        </w:rPr>
        <w:t xml:space="preserve">, </w:t>
      </w:r>
      <w:r w:rsidRPr="005A6EB4">
        <w:rPr>
          <w:rFonts w:hint="cs"/>
          <w:rtl/>
        </w:rPr>
        <w:t xml:space="preserve">אלא מתוך שחסידים הם </w:t>
      </w:r>
      <w:r w:rsidRPr="005A6EB4">
        <w:rPr>
          <w:rtl/>
        </w:rPr>
        <w:t xml:space="preserve">– </w:t>
      </w:r>
      <w:r w:rsidRPr="005A6EB4">
        <w:rPr>
          <w:rFonts w:hint="cs"/>
          <w:rtl/>
        </w:rPr>
        <w:t>תורתם משתמרת ומלאכתן מתברכת״</w:t>
      </w:r>
      <w:r w:rsidRPr="005A6EB4">
        <w:rPr>
          <w:rtl/>
        </w:rPr>
        <w:t xml:space="preserve">, </w:t>
      </w:r>
      <w:r w:rsidRPr="005A6EB4">
        <w:rPr>
          <w:rFonts w:hint="cs"/>
          <w:rtl/>
        </w:rPr>
        <w:t xml:space="preserve">לבין לשון הירושלמי </w:t>
      </w:r>
      <w:r w:rsidRPr="005A6EB4">
        <w:rPr>
          <w:rtl/>
        </w:rPr>
        <w:t>(</w:t>
      </w:r>
      <w:r w:rsidRPr="005A6EB4">
        <w:rPr>
          <w:rFonts w:hint="cs"/>
          <w:rtl/>
        </w:rPr>
        <w:t>שם פ״ה ה״א</w:t>
      </w:r>
      <w:r w:rsidRPr="005A6EB4">
        <w:rPr>
          <w:rtl/>
        </w:rPr>
        <w:t xml:space="preserve">) </w:t>
      </w:r>
      <w:r w:rsidRPr="005A6EB4">
        <w:rPr>
          <w:rFonts w:hint="cs"/>
          <w:rtl/>
        </w:rPr>
        <w:t>״על ידי שהיו חסידים</w:t>
      </w:r>
      <w:r w:rsidRPr="005A6EB4">
        <w:rPr>
          <w:rtl/>
        </w:rPr>
        <w:t xml:space="preserve">, </w:t>
      </w:r>
      <w:r w:rsidRPr="005A6EB4">
        <w:rPr>
          <w:rFonts w:hint="cs"/>
          <w:rtl/>
        </w:rPr>
        <w:t>היתה ברכה ניתנת בתורתן</w:t>
      </w:r>
      <w:r w:rsidRPr="005A6EB4">
        <w:rPr>
          <w:rtl/>
        </w:rPr>
        <w:t xml:space="preserve">, </w:t>
      </w:r>
      <w:r w:rsidRPr="005A6EB4">
        <w:rPr>
          <w:rFonts w:hint="cs"/>
          <w:rtl/>
        </w:rPr>
        <w:t>וברכה ניתנת במלאכתן״</w:t>
      </w:r>
      <w:r w:rsidRPr="005A6EB4">
        <w:rPr>
          <w:rtl/>
        </w:rPr>
        <w:t xml:space="preserve">. </w:t>
      </w:r>
    </w:p>
    <w:p w14:paraId="3BEE0B7E" w14:textId="77777777" w:rsidR="004D06EF" w:rsidRPr="005A6EB4" w:rsidRDefault="004D06EF" w:rsidP="005A6EB4">
      <w:pPr>
        <w:pStyle w:val="FootnoteText"/>
      </w:pPr>
      <w:r w:rsidRPr="005A6EB4">
        <w:rPr>
          <w:rFonts w:hint="cs"/>
          <w:rtl/>
        </w:rPr>
        <w:t>ומבאר שם</w:t>
      </w:r>
      <w:r w:rsidRPr="005A6EB4">
        <w:rPr>
          <w:rtl/>
        </w:rPr>
        <w:t xml:space="preserve">, </w:t>
      </w:r>
      <w:r w:rsidRPr="005A6EB4">
        <w:rPr>
          <w:rFonts w:hint="cs"/>
          <w:rtl/>
        </w:rPr>
        <w:t xml:space="preserve">ש״משתמרת״ פירושו רק ״שאין תלמודם משתכח״ </w:t>
      </w:r>
      <w:r w:rsidRPr="005A6EB4">
        <w:rPr>
          <w:rtl/>
        </w:rPr>
        <w:t>(</w:t>
      </w:r>
      <w:r w:rsidRPr="005A6EB4">
        <w:rPr>
          <w:rFonts w:hint="cs"/>
          <w:rtl/>
        </w:rPr>
        <w:t>כפרש״י שם</w:t>
      </w:r>
      <w:r w:rsidRPr="005A6EB4">
        <w:rPr>
          <w:rtl/>
        </w:rPr>
        <w:t xml:space="preserve">), </w:t>
      </w:r>
      <w:r w:rsidRPr="005A6EB4">
        <w:rPr>
          <w:rFonts w:hint="cs"/>
          <w:rtl/>
        </w:rPr>
        <w:t>אמנם לא מיתוסף דבר נוסף בתורתן</w:t>
      </w:r>
      <w:r w:rsidRPr="005A6EB4">
        <w:rPr>
          <w:rtl/>
        </w:rPr>
        <w:t xml:space="preserve">, </w:t>
      </w:r>
      <w:r w:rsidRPr="005A6EB4">
        <w:rPr>
          <w:rFonts w:hint="cs"/>
          <w:rtl/>
        </w:rPr>
        <w:t xml:space="preserve">מה שאין כן הלשון ״ברכה ניתנת בתורתן״ משמעותו </w:t>
      </w:r>
      <w:r w:rsidRPr="005A6EB4">
        <w:rPr>
          <w:rtl/>
        </w:rPr>
        <w:t xml:space="preserve">– </w:t>
      </w:r>
      <w:r w:rsidRPr="005A6EB4">
        <w:rPr>
          <w:rFonts w:hint="cs"/>
          <w:rtl/>
        </w:rPr>
        <w:t>לא רק שאין תלמודם משתכח</w:t>
      </w:r>
      <w:r w:rsidRPr="005A6EB4">
        <w:rPr>
          <w:rtl/>
        </w:rPr>
        <w:t xml:space="preserve">, </w:t>
      </w:r>
      <w:r w:rsidRPr="005A6EB4">
        <w:rPr>
          <w:rFonts w:hint="cs"/>
          <w:rtl/>
        </w:rPr>
        <w:t xml:space="preserve">אלא גם </w:t>
      </w:r>
      <w:r w:rsidRPr="005A6EB4">
        <w:rPr>
          <w:rtl/>
        </w:rPr>
        <w:t xml:space="preserve">– </w:t>
      </w:r>
      <w:r w:rsidRPr="005A6EB4">
        <w:rPr>
          <w:rFonts w:hint="cs"/>
          <w:rtl/>
        </w:rPr>
        <w:t>שמיתוסף בהבנתם וידיעתם בתורה</w:t>
      </w:r>
      <w:r w:rsidRPr="005A6EB4">
        <w:rPr>
          <w:rtl/>
        </w:rPr>
        <w:t xml:space="preserve">, </w:t>
      </w:r>
      <w:r w:rsidRPr="005A6EB4">
        <w:rPr>
          <w:rFonts w:hint="cs"/>
          <w:rtl/>
        </w:rPr>
        <w:t>והיינו שבזמן מועט</w:t>
      </w:r>
      <w:r w:rsidRPr="005A6EB4">
        <w:rPr>
          <w:rtl/>
        </w:rPr>
        <w:t xml:space="preserve">, </w:t>
      </w:r>
      <w:r w:rsidRPr="005A6EB4">
        <w:rPr>
          <w:rFonts w:hint="cs"/>
          <w:rtl/>
        </w:rPr>
        <w:t>מצליחים להבין ולהשיג מה שבדרך כלל היה דורש זמן רב יותר</w:t>
      </w:r>
      <w:r w:rsidRPr="005A6EB4">
        <w:rPr>
          <w:rtl/>
        </w:rPr>
        <w:t xml:space="preserve">, </w:t>
      </w:r>
      <w:r w:rsidRPr="005A6EB4">
        <w:rPr>
          <w:rFonts w:hint="cs"/>
          <w:rtl/>
        </w:rPr>
        <w:t>עיי״ש</w:t>
      </w:r>
      <w:r w:rsidRPr="005A6EB4">
        <w:rPr>
          <w:rtl/>
        </w:rPr>
        <w:t xml:space="preserve">. </w:t>
      </w:r>
      <w:r w:rsidRPr="005A6EB4">
        <w:rPr>
          <w:rFonts w:hint="cs"/>
          <w:rtl/>
        </w:rPr>
        <w:t xml:space="preserve">ומבואר מזה שהלשון ״ברכה וכו׳״ משמעותו בפשטות </w:t>
      </w:r>
      <w:r w:rsidRPr="005A6EB4">
        <w:rPr>
          <w:rtl/>
        </w:rPr>
        <w:t xml:space="preserve">– </w:t>
      </w:r>
      <w:r w:rsidRPr="005A6EB4">
        <w:rPr>
          <w:rFonts w:hint="cs"/>
          <w:rtl/>
        </w:rPr>
        <w:t>הוספה</w:t>
      </w:r>
      <w:r w:rsidRPr="005A6EB4">
        <w:rPr>
          <w:rtl/>
        </w:rPr>
        <w:t>.</w:t>
      </w:r>
    </w:p>
    <w:p w14:paraId="363BAEDA" w14:textId="77777777" w:rsidR="004D06EF" w:rsidRPr="005A6EB4" w:rsidRDefault="004D06EF" w:rsidP="005A6EB4">
      <w:pPr>
        <w:pStyle w:val="FootnoteText"/>
      </w:pPr>
      <w:r w:rsidRPr="005A6EB4">
        <w:rPr>
          <w:rFonts w:hint="cs"/>
          <w:rtl/>
        </w:rPr>
        <w:t>ולפי זה היה מקום לומר בנידון דידן במשמעות נס העיסה של שרה</w:t>
      </w:r>
      <w:r w:rsidRPr="005A6EB4">
        <w:rPr>
          <w:rtl/>
        </w:rPr>
        <w:t xml:space="preserve">, </w:t>
      </w:r>
      <w:r w:rsidRPr="005A6EB4">
        <w:rPr>
          <w:rFonts w:hint="cs"/>
          <w:rtl/>
        </w:rPr>
        <w:t>שהלשון ״ברכה מצויה בעיסה״ מתאים היטב עם הפירוש שהיתה העיסה מתגדלת ומתרבה</w:t>
      </w:r>
      <w:r w:rsidRPr="005A6EB4">
        <w:rPr>
          <w:rtl/>
        </w:rPr>
        <w:t xml:space="preserve">, </w:t>
      </w:r>
      <w:r w:rsidRPr="005A6EB4">
        <w:rPr>
          <w:rFonts w:hint="cs"/>
          <w:rtl/>
        </w:rPr>
        <w:t>וכהכרעת הרלוי״צ ז״ל</w:t>
      </w:r>
      <w:r w:rsidRPr="005A6EB4">
        <w:rPr>
          <w:rtl/>
        </w:rPr>
        <w:t xml:space="preserve">, </w:t>
      </w:r>
      <w:r w:rsidRPr="005A6EB4">
        <w:rPr>
          <w:rFonts w:hint="cs"/>
          <w:rtl/>
        </w:rPr>
        <w:t>שכן זוהי פשטות משמעותו של לשון ״ברכה״</w:t>
      </w:r>
      <w:r w:rsidRPr="005A6EB4">
        <w:rPr>
          <w:rtl/>
        </w:rPr>
        <w:t xml:space="preserve">, </w:t>
      </w:r>
      <w:r w:rsidRPr="005A6EB4">
        <w:rPr>
          <w:rFonts w:hint="cs"/>
          <w:rtl/>
        </w:rPr>
        <w:t>וכנ״ל</w:t>
      </w:r>
      <w:r w:rsidRPr="005A6EB4">
        <w:rPr>
          <w:rtl/>
        </w:rPr>
        <w:t>.</w:t>
      </w:r>
    </w:p>
    <w:p w14:paraId="2AAF9F03" w14:textId="77777777" w:rsidR="004D06EF" w:rsidRDefault="004D06EF" w:rsidP="005A6EB4">
      <w:pPr>
        <w:pStyle w:val="FootnoteText"/>
      </w:pPr>
      <w:r w:rsidRPr="005A6EB4">
        <w:rPr>
          <w:rFonts w:hint="cs"/>
          <w:rtl/>
        </w:rPr>
        <w:t>אלא שלאחר העיון נראה ששפיר יש להעמיס בלשון זה גם הפירוש הראשון הנ״ל במשמעות הנס אשר כמות קטנה של פת היתה משבעת את האוכלו</w:t>
      </w:r>
      <w:r w:rsidRPr="005A6EB4">
        <w:rPr>
          <w:rtl/>
        </w:rPr>
        <w:t xml:space="preserve">, </w:t>
      </w:r>
      <w:r w:rsidRPr="005A6EB4">
        <w:rPr>
          <w:rFonts w:hint="cs"/>
          <w:rtl/>
        </w:rPr>
        <w:t>שכן גם זה נכלל בברכה והוספה</w:t>
      </w:r>
      <w:r w:rsidRPr="005A6EB4">
        <w:rPr>
          <w:rtl/>
        </w:rPr>
        <w:t xml:space="preserve">, </w:t>
      </w:r>
      <w:r w:rsidRPr="005A6EB4">
        <w:rPr>
          <w:rFonts w:hint="cs"/>
          <w:rtl/>
        </w:rPr>
        <w:t>והיינו שניתוסף באיכות וטבע השביעה של הלחם</w:t>
      </w:r>
      <w:r w:rsidRPr="005A6EB4">
        <w:rPr>
          <w:rtl/>
        </w:rPr>
        <w:t xml:space="preserve">, </w:t>
      </w:r>
      <w:r w:rsidRPr="005A6EB4">
        <w:rPr>
          <w:rFonts w:hint="cs"/>
          <w:rtl/>
        </w:rPr>
        <w:t xml:space="preserve">עד כי גם מעט לחם משביעו </w:t>
      </w:r>
      <w:r w:rsidRPr="005A6EB4">
        <w:rPr>
          <w:rtl/>
        </w:rPr>
        <w:t>[</w:t>
      </w:r>
      <w:r w:rsidRPr="005A6EB4">
        <w:rPr>
          <w:rFonts w:hint="cs"/>
          <w:rtl/>
        </w:rPr>
        <w:t>וע״ד הנ״ל בלימוד התורה של חסידים הראשונים</w:t>
      </w:r>
      <w:r w:rsidRPr="005A6EB4">
        <w:rPr>
          <w:rtl/>
        </w:rPr>
        <w:t xml:space="preserve">, </w:t>
      </w:r>
      <w:r w:rsidRPr="005A6EB4">
        <w:rPr>
          <w:rFonts w:hint="cs"/>
          <w:rtl/>
        </w:rPr>
        <w:t>שהברכה וההוספה מתבטאת בכך שגם בזמן מועט הספיקו והצליחו ללמוד ולהבין בתורה מה שבדרך כלל היה דורש להם זמן מרובה יותר</w:t>
      </w:r>
      <w:r w:rsidRPr="005A6EB4">
        <w:rPr>
          <w:rtl/>
        </w:rPr>
        <w:t xml:space="preserve">]. </w:t>
      </w:r>
    </w:p>
  </w:footnote>
  <w:footnote w:id="147">
    <w:p w14:paraId="0DA1D1AC" w14:textId="38B04C83" w:rsidR="004D06EF" w:rsidRPr="00213797" w:rsidRDefault="004D06EF" w:rsidP="004C43CB">
      <w:pPr>
        <w:pStyle w:val="FootnoteText"/>
        <w:rPr>
          <w:rtl/>
        </w:rPr>
      </w:pPr>
      <w:r w:rsidRPr="00213797">
        <w:rPr>
          <w:rStyle w:val="FootnoteReference"/>
          <w:vertAlign w:val="baseline"/>
        </w:rPr>
        <w:footnoteRef/>
      </w:r>
      <w:r w:rsidRPr="00213797">
        <w:t xml:space="preserve"> </w:t>
      </w:r>
      <w:r>
        <w:rPr>
          <w:rFonts w:hint="cs"/>
          <w:rtl/>
        </w:rPr>
        <w:t xml:space="preserve">) </w:t>
      </w:r>
      <w:r w:rsidRPr="00213797">
        <w:rPr>
          <w:rFonts w:hint="cs"/>
          <w:rtl/>
        </w:rPr>
        <w:t xml:space="preserve">לא </w:t>
      </w:r>
      <w:r>
        <w:rPr>
          <w:rFonts w:hint="cs"/>
          <w:rtl/>
        </w:rPr>
        <w:t>מי</w:t>
      </w:r>
      <w:r w:rsidRPr="00213797">
        <w:rPr>
          <w:rFonts w:hint="cs"/>
          <w:rtl/>
        </w:rPr>
        <w:t>בעי לפי האבן עזרא האומר "שלא דיבר [יעקב] אמת", אלא אפי' לפי המפרשים דבריו כאמת (ראה כלי יקר) הרי כנ"ל, העלמת האמת היא היפך מדת האמת.</w:t>
      </w:r>
    </w:p>
  </w:footnote>
  <w:footnote w:id="148">
    <w:p w14:paraId="13F55B20" w14:textId="0BFD6899" w:rsidR="004D06EF" w:rsidRPr="00F21F8C" w:rsidRDefault="004D06EF" w:rsidP="00F21F8C">
      <w:pPr>
        <w:pStyle w:val="FootnoteText"/>
        <w:rPr>
          <w:rtl/>
        </w:rPr>
      </w:pPr>
      <w:r w:rsidRPr="00F21F8C">
        <w:rPr>
          <w:rStyle w:val="FootnoteReference"/>
          <w:vertAlign w:val="baseline"/>
        </w:rPr>
        <w:footnoteRef/>
      </w:r>
      <w:r w:rsidRPr="00F21F8C">
        <w:t xml:space="preserve"> </w:t>
      </w:r>
      <w:r>
        <w:rPr>
          <w:rFonts w:hint="cs"/>
          <w:rtl/>
        </w:rPr>
        <w:t xml:space="preserve">) </w:t>
      </w:r>
      <w:r w:rsidRPr="00F21F8C">
        <w:rPr>
          <w:rFonts w:hint="cs"/>
          <w:rtl/>
        </w:rPr>
        <w:t>תודתי נתונה לר' מאיר אפשטיין שהאיר עיני בזה.</w:t>
      </w:r>
    </w:p>
  </w:footnote>
  <w:footnote w:id="149">
    <w:p w14:paraId="6B48245F" w14:textId="77777777" w:rsidR="004D06EF" w:rsidRDefault="004D06EF" w:rsidP="00BA4997">
      <w:pPr>
        <w:pStyle w:val="FootnoteText"/>
        <w:rPr>
          <w:rtl/>
        </w:rPr>
      </w:pPr>
      <w:r w:rsidRPr="00682009">
        <w:rPr>
          <w:rStyle w:val="FootnoteReference"/>
          <w:vertAlign w:val="baseline"/>
        </w:rPr>
        <w:footnoteRef/>
      </w:r>
      <w:r w:rsidRPr="00682009">
        <w:rPr>
          <w:rtl/>
        </w:rPr>
        <w:t>) וקשה לתרץ שלא הי' לו שום ברירה אחרת, כיון שרצה לומר "אנכי עשיו בכורך", "אנכי מי שאנכי" ולהמשיך ולומר מיהו עשיו, ואשר לכן בלית ברירה ענה שעשיו הוא בכורך.</w:t>
      </w:r>
    </w:p>
    <w:p w14:paraId="49A852BD" w14:textId="77777777" w:rsidR="004D06EF" w:rsidRPr="001A6F3A" w:rsidRDefault="004D06EF" w:rsidP="00BA4997">
      <w:pPr>
        <w:pStyle w:val="FootnoteText"/>
        <w:rPr>
          <w:rtl/>
        </w:rPr>
      </w:pPr>
      <w:r w:rsidRPr="005F3A49">
        <w:rPr>
          <w:rtl/>
        </w:rPr>
        <w:t>שהרי א"כ יוצא שהוציא דבר שאינו כהוגן מפיו, וכבר האריכו כל המפרשים לפרש למה א"א שיעקב יאמר שום דבר שלא כהוגן, וכל' המדרש ש"יעקב אמיתי הי'", ואם "בלית ברירה" יש לו דבר ככה – הו"ל לדבר ככה.</w:t>
      </w:r>
    </w:p>
  </w:footnote>
  <w:footnote w:id="150">
    <w:p w14:paraId="6444E8D7" w14:textId="25CDC69B" w:rsidR="004D06EF" w:rsidRDefault="004D06EF" w:rsidP="00E260A1">
      <w:pPr>
        <w:pStyle w:val="FootnoteText"/>
        <w:rPr>
          <w:rFonts w:asciiTheme="minorHAnsi" w:hAnsiTheme="minorHAnsi" w:cstheme="minorBidi"/>
        </w:rPr>
      </w:pPr>
      <w:r w:rsidRPr="00E260A1">
        <w:footnoteRef/>
      </w:r>
      <w:r>
        <w:rPr>
          <w:rFonts w:hint="cs"/>
          <w:rtl/>
        </w:rPr>
        <w:t>)</w:t>
      </w:r>
      <w:r w:rsidRPr="00E260A1">
        <w:rPr>
          <w:rtl/>
        </w:rPr>
        <w:t xml:space="preserve"> </w:t>
      </w:r>
      <w:r>
        <w:rPr>
          <w:rtl/>
        </w:rPr>
        <w:t>וממשיך שם: "ע</w:t>
      </w:r>
      <w:r>
        <w:rPr>
          <w:rFonts w:cs="Times New Roman"/>
          <w:rtl/>
        </w:rPr>
        <w:t>"</w:t>
      </w:r>
      <w:r>
        <w:rPr>
          <w:rtl/>
        </w:rPr>
        <w:t>ד דוגמא מי שבטבעו הוא איש רחב לבב וגס הרוח במילי דעלמא</w:t>
      </w:r>
      <w:r>
        <w:rPr>
          <w:rFonts w:cs="Times New Roman"/>
          <w:rtl/>
        </w:rPr>
        <w:t xml:space="preserve">, </w:t>
      </w:r>
      <w:r>
        <w:rPr>
          <w:rtl/>
        </w:rPr>
        <w:t>גם בעבודה שבלבו בתפלה ילך ברחבה</w:t>
      </w:r>
      <w:r>
        <w:rPr>
          <w:rFonts w:cs="Times New Roman"/>
          <w:rtl/>
        </w:rPr>
        <w:t xml:space="preserve">, </w:t>
      </w:r>
      <w:r>
        <w:rPr>
          <w:rtl/>
        </w:rPr>
        <w:t>שלא ישפיל לבו</w:t>
      </w:r>
      <w:r>
        <w:rPr>
          <w:rFonts w:cs="Times New Roman"/>
          <w:rtl/>
        </w:rPr>
        <w:t xml:space="preserve">, </w:t>
      </w:r>
      <w:r>
        <w:rPr>
          <w:rtl/>
        </w:rPr>
        <w:t>אלא יגבה לבו בעבודה להרים ראש</w:t>
      </w:r>
      <w:r>
        <w:rPr>
          <w:rFonts w:cs="Times New Roman"/>
          <w:rtl/>
        </w:rPr>
        <w:t xml:space="preserve">, </w:t>
      </w:r>
      <w:r>
        <w:rPr>
          <w:rtl/>
        </w:rPr>
        <w:t>וידמה לו שמגיע לרום המעלות</w:t>
      </w:r>
      <w:r>
        <w:rPr>
          <w:rFonts w:cs="Times New Roman"/>
          <w:rtl/>
        </w:rPr>
        <w:t xml:space="preserve">, </w:t>
      </w:r>
      <w:r>
        <w:rPr>
          <w:rtl/>
        </w:rPr>
        <w:t>וכל חפצו בעבודה ברוממות הערך בהשגה והתפעלות כו</w:t>
      </w:r>
      <w:r>
        <w:rPr>
          <w:rFonts w:cs="Times New Roman"/>
          <w:rtl/>
        </w:rPr>
        <w:t xml:space="preserve">', </w:t>
      </w:r>
      <w:r>
        <w:rPr>
          <w:rtl/>
        </w:rPr>
        <w:t>ואם איש רך הלבב הוא ושפל רוח בטבעו במילי דעלמ</w:t>
      </w:r>
      <w:r>
        <w:rPr>
          <w:rFonts w:cs="Times New Roman"/>
          <w:rtl/>
        </w:rPr>
        <w:t xml:space="preserve">', </w:t>
      </w:r>
      <w:r>
        <w:rPr>
          <w:rtl/>
        </w:rPr>
        <w:t>גם בעבוד</w:t>
      </w:r>
      <w:r>
        <w:rPr>
          <w:rFonts w:cs="Times New Roman"/>
          <w:rtl/>
        </w:rPr>
        <w:t xml:space="preserve">' </w:t>
      </w:r>
      <w:r>
        <w:rPr>
          <w:rtl/>
        </w:rPr>
        <w:t>שבלבו בתפלה ישפיל לבו</w:t>
      </w:r>
      <w:r>
        <w:rPr>
          <w:rFonts w:cs="Times New Roman"/>
          <w:rtl/>
        </w:rPr>
        <w:t xml:space="preserve">, </w:t>
      </w:r>
      <w:r>
        <w:rPr>
          <w:rtl/>
        </w:rPr>
        <w:t>ויהיה שפל בעצמו ונבזה בעיניו נמאס כו</w:t>
      </w:r>
      <w:r>
        <w:rPr>
          <w:rFonts w:cs="Times New Roman"/>
          <w:rtl/>
        </w:rPr>
        <w:t xml:space="preserve">'. </w:t>
      </w:r>
      <w:r>
        <w:rPr>
          <w:rtl/>
        </w:rPr>
        <w:t>וגם ההתבוננ</w:t>
      </w:r>
      <w:r>
        <w:rPr>
          <w:rFonts w:cs="Times New Roman"/>
          <w:rtl/>
        </w:rPr>
        <w:t xml:space="preserve">' </w:t>
      </w:r>
      <w:r>
        <w:rPr>
          <w:rtl/>
        </w:rPr>
        <w:t>שמחמתה יתפעל</w:t>
      </w:r>
      <w:r>
        <w:rPr>
          <w:rFonts w:cs="Times New Roman"/>
          <w:rtl/>
        </w:rPr>
        <w:t xml:space="preserve">, </w:t>
      </w:r>
      <w:r>
        <w:rPr>
          <w:rtl/>
        </w:rPr>
        <w:t>אע</w:t>
      </w:r>
      <w:r>
        <w:rPr>
          <w:rFonts w:cs="Times New Roman"/>
          <w:rtl/>
        </w:rPr>
        <w:t>"</w:t>
      </w:r>
      <w:r>
        <w:rPr>
          <w:rtl/>
        </w:rPr>
        <w:t>פ שאחת היא בשניהם</w:t>
      </w:r>
      <w:r>
        <w:rPr>
          <w:rFonts w:cs="Times New Roman"/>
          <w:rtl/>
        </w:rPr>
        <w:t xml:space="preserve">, </w:t>
      </w:r>
      <w:r>
        <w:rPr>
          <w:rtl/>
        </w:rPr>
        <w:t>מ</w:t>
      </w:r>
      <w:r>
        <w:rPr>
          <w:rFonts w:cs="Times New Roman"/>
          <w:rtl/>
        </w:rPr>
        <w:t>"</w:t>
      </w:r>
      <w:r>
        <w:rPr>
          <w:rtl/>
        </w:rPr>
        <w:t>מ זה יקח התפעלות לבו לרוממות וחדות הלב וגסותו עד שיגבה לבו בדרכי העבודה</w:t>
      </w:r>
      <w:r>
        <w:rPr>
          <w:rFonts w:cs="Times New Roman"/>
          <w:rtl/>
        </w:rPr>
        <w:t xml:space="preserve">, </w:t>
      </w:r>
      <w:r>
        <w:rPr>
          <w:rtl/>
        </w:rPr>
        <w:t>וזה יקח התפעלות הלב בבחי</w:t>
      </w:r>
      <w:r>
        <w:rPr>
          <w:rFonts w:cs="Times New Roman"/>
          <w:rtl/>
        </w:rPr>
        <w:t xml:space="preserve">' </w:t>
      </w:r>
      <w:r>
        <w:rPr>
          <w:rtl/>
        </w:rPr>
        <w:t>השפלו</w:t>
      </w:r>
      <w:r>
        <w:rPr>
          <w:rFonts w:cs="Times New Roman"/>
          <w:rtl/>
        </w:rPr>
        <w:t xml:space="preserve">' </w:t>
      </w:r>
      <w:r>
        <w:rPr>
          <w:rtl/>
        </w:rPr>
        <w:t>ולב נשבר ונפשו כעפר ולא יגבה לבבו לילך בגדולות כו</w:t>
      </w:r>
      <w:r>
        <w:rPr>
          <w:rFonts w:cs="Times New Roman"/>
          <w:rtl/>
        </w:rPr>
        <w:t xml:space="preserve">'. </w:t>
      </w:r>
      <w:r>
        <w:rPr>
          <w:rtl/>
        </w:rPr>
        <w:t>וזה השינוי מצד אופן שינוי בטבע השכל</w:t>
      </w:r>
      <w:r>
        <w:rPr>
          <w:rFonts w:cs="Times New Roman"/>
          <w:rtl/>
        </w:rPr>
        <w:t xml:space="preserve">, </w:t>
      </w:r>
      <w:r>
        <w:rPr>
          <w:rtl/>
        </w:rPr>
        <w:t>שיש שכל מתפעל בחדוה בגדולת ה</w:t>
      </w:r>
      <w:r>
        <w:rPr>
          <w:rFonts w:cs="Times New Roman"/>
          <w:rtl/>
        </w:rPr>
        <w:t xml:space="preserve">', </w:t>
      </w:r>
      <w:r>
        <w:rPr>
          <w:rtl/>
        </w:rPr>
        <w:t>ואיננו משים לבו ודעתו אם ה</w:t>
      </w:r>
      <w:r>
        <w:rPr>
          <w:rFonts w:cs="Times New Roman"/>
          <w:rtl/>
        </w:rPr>
        <w:t xml:space="preserve">' </w:t>
      </w:r>
      <w:r>
        <w:rPr>
          <w:rtl/>
        </w:rPr>
        <w:t>הוא אלקים וכולא קמי</w:t>
      </w:r>
      <w:r>
        <w:rPr>
          <w:rFonts w:cs="Times New Roman"/>
          <w:rtl/>
        </w:rPr>
        <w:t xml:space="preserve">' </w:t>
      </w:r>
      <w:r>
        <w:rPr>
          <w:rtl/>
        </w:rPr>
        <w:t>כו</w:t>
      </w:r>
      <w:r>
        <w:rPr>
          <w:rFonts w:cs="Times New Roman"/>
          <w:rtl/>
        </w:rPr>
        <w:t xml:space="preserve">' </w:t>
      </w:r>
      <w:r>
        <w:rPr>
          <w:rtl/>
        </w:rPr>
        <w:t>איך יחיה חיי הבל לתפוס הטפל לעיקר כו</w:t>
      </w:r>
      <w:r>
        <w:rPr>
          <w:rFonts w:cs="Times New Roman"/>
          <w:rtl/>
        </w:rPr>
        <w:t xml:space="preserve">', </w:t>
      </w:r>
      <w:r>
        <w:rPr>
          <w:rtl/>
        </w:rPr>
        <w:t>רק יתפעל בחדוה אלקי</w:t>
      </w:r>
      <w:r>
        <w:rPr>
          <w:rFonts w:cs="Times New Roman"/>
          <w:rtl/>
        </w:rPr>
        <w:t xml:space="preserve">', </w:t>
      </w:r>
      <w:r>
        <w:rPr>
          <w:rtl/>
        </w:rPr>
        <w:t>ויש שכל מתפעל מהתבוננות גדולו</w:t>
      </w:r>
      <w:r>
        <w:rPr>
          <w:rFonts w:cs="Times New Roman"/>
          <w:rtl/>
        </w:rPr>
        <w:t>'</w:t>
      </w:r>
      <w:r>
        <w:rPr>
          <w:rtl/>
        </w:rPr>
        <w:t xml:space="preserve"> ה</w:t>
      </w:r>
      <w:r>
        <w:rPr>
          <w:rFonts w:cs="Times New Roman"/>
          <w:rtl/>
        </w:rPr>
        <w:t xml:space="preserve">' </w:t>
      </w:r>
      <w:r>
        <w:rPr>
          <w:rtl/>
        </w:rPr>
        <w:t>להיפך</w:t>
      </w:r>
      <w:r>
        <w:rPr>
          <w:rFonts w:cs="Times New Roman"/>
          <w:rtl/>
        </w:rPr>
        <w:t xml:space="preserve">, </w:t>
      </w:r>
      <w:r>
        <w:rPr>
          <w:rtl/>
        </w:rPr>
        <w:t>שיתמרמר בנפשו מאד מאד אם ה</w:t>
      </w:r>
      <w:r>
        <w:rPr>
          <w:rFonts w:cs="Times New Roman"/>
          <w:rtl/>
        </w:rPr>
        <w:t xml:space="preserve">' </w:t>
      </w:r>
      <w:r>
        <w:rPr>
          <w:rtl/>
        </w:rPr>
        <w:t>הוא עיקרא ושרשא דכולהו כו</w:t>
      </w:r>
      <w:r>
        <w:rPr>
          <w:rFonts w:cs="Times New Roman"/>
          <w:rtl/>
        </w:rPr>
        <w:t xml:space="preserve">' </w:t>
      </w:r>
      <w:r>
        <w:rPr>
          <w:rtl/>
        </w:rPr>
        <w:t>איך תופס הטפל לעיקר ונדבק בחיי הבל כל ימיו כו</w:t>
      </w:r>
      <w:r>
        <w:rPr>
          <w:rFonts w:cs="Times New Roman"/>
          <w:rtl/>
        </w:rPr>
        <w:t xml:space="preserve">', </w:t>
      </w:r>
      <w:r>
        <w:rPr>
          <w:rtl/>
        </w:rPr>
        <w:t>עד שנבזה בעיניו ומואס בחייו</w:t>
      </w:r>
      <w:r>
        <w:rPr>
          <w:rFonts w:cs="Times New Roman"/>
          <w:rtl/>
        </w:rPr>
        <w:t xml:space="preserve">. </w:t>
      </w:r>
      <w:r>
        <w:rPr>
          <w:rtl/>
        </w:rPr>
        <w:t>נמצא שני מיני עבודו</w:t>
      </w:r>
      <w:r>
        <w:rPr>
          <w:rFonts w:cs="Times New Roman"/>
          <w:rtl/>
        </w:rPr>
        <w:t xml:space="preserve">' </w:t>
      </w:r>
      <w:r>
        <w:rPr>
          <w:rtl/>
        </w:rPr>
        <w:t>אלה ב</w:t>
      </w:r>
      <w:r>
        <w:rPr>
          <w:rFonts w:cs="Times New Roman"/>
          <w:rtl/>
        </w:rPr>
        <w:t xml:space="preserve">' </w:t>
      </w:r>
      <w:r>
        <w:rPr>
          <w:rtl/>
        </w:rPr>
        <w:t>הפכים מן הקצה</w:t>
      </w:r>
      <w:r>
        <w:rPr>
          <w:rFonts w:cs="Times New Roman"/>
          <w:rtl/>
        </w:rPr>
        <w:t xml:space="preserve">, </w:t>
      </w:r>
      <w:r>
        <w:rPr>
          <w:rtl/>
        </w:rPr>
        <w:t>זה שמח וטוב לבב אחר העבודה מן החדוה אלקית</w:t>
      </w:r>
      <w:r>
        <w:rPr>
          <w:rFonts w:cs="Times New Roman"/>
          <w:rtl/>
        </w:rPr>
        <w:t xml:space="preserve">, </w:t>
      </w:r>
      <w:r>
        <w:rPr>
          <w:rtl/>
        </w:rPr>
        <w:t>וזה שפל ונבזה בעיניו נאנח ומיצר על ריחוקו מה</w:t>
      </w:r>
      <w:r>
        <w:rPr>
          <w:rFonts w:cs="Times New Roman"/>
          <w:rtl/>
        </w:rPr>
        <w:t xml:space="preserve">' </w:t>
      </w:r>
      <w:r>
        <w:rPr>
          <w:rtl/>
        </w:rPr>
        <w:t>כו</w:t>
      </w:r>
      <w:r>
        <w:rPr>
          <w:rFonts w:cs="Times New Roman"/>
          <w:rtl/>
        </w:rPr>
        <w:t xml:space="preserve">', </w:t>
      </w:r>
      <w:r>
        <w:rPr>
          <w:rtl/>
        </w:rPr>
        <w:t>ונפשו כעפר לכל</w:t>
      </w:r>
      <w:r>
        <w:rPr>
          <w:rFonts w:cs="Times New Roman"/>
          <w:rtl/>
        </w:rPr>
        <w:t xml:space="preserve">, </w:t>
      </w:r>
      <w:r>
        <w:rPr>
          <w:rtl/>
        </w:rPr>
        <w:t>עד שיחזיק לכל אדם טוב הרבה ממנו כו</w:t>
      </w:r>
      <w:r>
        <w:rPr>
          <w:rFonts w:cs="Times New Roman"/>
          <w:rtl/>
        </w:rPr>
        <w:t xml:space="preserve">'. </w:t>
      </w:r>
      <w:r>
        <w:rPr>
          <w:rtl/>
        </w:rPr>
        <w:t>וב</w:t>
      </w:r>
      <w:r>
        <w:rPr>
          <w:rFonts w:cs="Times New Roman"/>
          <w:rtl/>
        </w:rPr>
        <w:t xml:space="preserve">' </w:t>
      </w:r>
      <w:r>
        <w:rPr>
          <w:rtl/>
        </w:rPr>
        <w:t>אלה ההפכיים תלוי בשנוי אופן הטבעיות דנה</w:t>
      </w:r>
      <w:r>
        <w:rPr>
          <w:rFonts w:cs="Times New Roman"/>
          <w:rtl/>
        </w:rPr>
        <w:t>"</w:t>
      </w:r>
      <w:r>
        <w:rPr>
          <w:rtl/>
        </w:rPr>
        <w:t>ט לבד</w:t>
      </w:r>
      <w:r>
        <w:rPr>
          <w:rFonts w:cs="Times New Roman"/>
          <w:rtl/>
        </w:rPr>
        <w:t xml:space="preserve">, </w:t>
      </w:r>
      <w:r>
        <w:rPr>
          <w:rtl/>
        </w:rPr>
        <w:t>דזה טבעו בבחי</w:t>
      </w:r>
      <w:r>
        <w:rPr>
          <w:rFonts w:cs="Times New Roman"/>
          <w:rtl/>
        </w:rPr>
        <w:t xml:space="preserve">' </w:t>
      </w:r>
      <w:r>
        <w:rPr>
          <w:rtl/>
        </w:rPr>
        <w:t>החדוה שהוא טבע מרה לבנה</w:t>
      </w:r>
      <w:r>
        <w:rPr>
          <w:rFonts w:cs="Times New Roman"/>
          <w:rtl/>
        </w:rPr>
        <w:t xml:space="preserve">, </w:t>
      </w:r>
      <w:r>
        <w:rPr>
          <w:rtl/>
        </w:rPr>
        <w:t>וזה טבעו בעוצב שנקרא מרה שחורה</w:t>
      </w:r>
      <w:r>
        <w:rPr>
          <w:rFonts w:cs="Times New Roman"/>
          <w:rtl/>
        </w:rPr>
        <w:t xml:space="preserve">, </w:t>
      </w:r>
      <w:r>
        <w:rPr>
          <w:rtl/>
        </w:rPr>
        <w:t>ומן המרה לבנה נמשך ההוללות והשחוק והעדר הרגשת עצמו במילי דעלמא</w:t>
      </w:r>
      <w:r>
        <w:rPr>
          <w:rFonts w:cs="Times New Roman"/>
          <w:rtl/>
        </w:rPr>
        <w:t xml:space="preserve">, </w:t>
      </w:r>
      <w:r>
        <w:rPr>
          <w:rtl/>
        </w:rPr>
        <w:t>ובמילי דשמיא טבעו להתפעל ברוב חדוה ועוז</w:t>
      </w:r>
      <w:r>
        <w:rPr>
          <w:rFonts w:cs="Times New Roman"/>
          <w:rtl/>
        </w:rPr>
        <w:t xml:space="preserve">, </w:t>
      </w:r>
      <w:r>
        <w:rPr>
          <w:rtl/>
        </w:rPr>
        <w:t>ולא ימשיך עוצב לנפשו כלל וכלל מאשר רואה בעצמו היפוכו כו</w:t>
      </w:r>
      <w:r>
        <w:rPr>
          <w:rFonts w:cs="Times New Roman"/>
          <w:rtl/>
        </w:rPr>
        <w:t xml:space="preserve">', </w:t>
      </w:r>
      <w:r>
        <w:rPr>
          <w:rtl/>
        </w:rPr>
        <w:t>וע</w:t>
      </w:r>
      <w:r>
        <w:rPr>
          <w:rFonts w:cs="Times New Roman"/>
          <w:rtl/>
        </w:rPr>
        <w:t>"</w:t>
      </w:r>
      <w:r>
        <w:rPr>
          <w:rtl/>
        </w:rPr>
        <w:t>כ יכול להסתעף שיגבה לבו ודעתו עליו כנ</w:t>
      </w:r>
      <w:r>
        <w:rPr>
          <w:rFonts w:cs="Times New Roman"/>
          <w:rtl/>
        </w:rPr>
        <w:t>"</w:t>
      </w:r>
      <w:r>
        <w:rPr>
          <w:rtl/>
        </w:rPr>
        <w:t>ל</w:t>
      </w:r>
      <w:r>
        <w:rPr>
          <w:rFonts w:cs="Times New Roman"/>
          <w:rtl/>
        </w:rPr>
        <w:t xml:space="preserve">. </w:t>
      </w:r>
      <w:r>
        <w:rPr>
          <w:rtl/>
        </w:rPr>
        <w:t>ומן טבע המ</w:t>
      </w:r>
      <w:r>
        <w:rPr>
          <w:rFonts w:cs="Times New Roman"/>
          <w:rtl/>
        </w:rPr>
        <w:t>"</w:t>
      </w:r>
      <w:r>
        <w:rPr>
          <w:rtl/>
        </w:rPr>
        <w:t>ש יסתעף העוצב לרדוף רק אחר עצמו</w:t>
      </w:r>
      <w:r>
        <w:rPr>
          <w:rFonts w:cs="Times New Roman"/>
          <w:rtl/>
        </w:rPr>
        <w:t xml:space="preserve">, </w:t>
      </w:r>
      <w:r>
        <w:rPr>
          <w:rtl/>
        </w:rPr>
        <w:t>שהוא בחי</w:t>
      </w:r>
      <w:r>
        <w:rPr>
          <w:rFonts w:cs="Times New Roman"/>
          <w:rtl/>
        </w:rPr>
        <w:t xml:space="preserve">' </w:t>
      </w:r>
      <w:r>
        <w:rPr>
          <w:rtl/>
        </w:rPr>
        <w:t>לגרמיה</w:t>
      </w:r>
      <w:r>
        <w:footnoteRef/>
      </w:r>
      <w:r>
        <w:rPr>
          <w:rFonts w:cs="Times New Roman"/>
          <w:rtl/>
        </w:rPr>
        <w:t xml:space="preserve">, </w:t>
      </w:r>
      <w:r>
        <w:rPr>
          <w:rtl/>
        </w:rPr>
        <w:t>שירע לו מה שיחסר לו דבר מה בעניני גופו</w:t>
      </w:r>
      <w:r>
        <w:rPr>
          <w:rFonts w:cs="Times New Roman"/>
          <w:rtl/>
        </w:rPr>
        <w:t xml:space="preserve">, </w:t>
      </w:r>
      <w:r>
        <w:rPr>
          <w:rtl/>
        </w:rPr>
        <w:t>מצד עוצם הרגשת עצמו ביותר</w:t>
      </w:r>
      <w:r>
        <w:rPr>
          <w:rFonts w:cs="Times New Roman"/>
          <w:rtl/>
        </w:rPr>
        <w:t xml:space="preserve">, </w:t>
      </w:r>
      <w:r>
        <w:rPr>
          <w:rtl/>
        </w:rPr>
        <w:t>וזהו במילי דעלמא בחיי גופו</w:t>
      </w:r>
      <w:r>
        <w:rPr>
          <w:rFonts w:cs="Times New Roman"/>
          <w:rtl/>
        </w:rPr>
        <w:t xml:space="preserve">, </w:t>
      </w:r>
      <w:r>
        <w:rPr>
          <w:rtl/>
        </w:rPr>
        <w:t>וכך הוא בעבודתו בתפלה</w:t>
      </w:r>
      <w:r>
        <w:rPr>
          <w:rFonts w:cs="Times New Roman"/>
          <w:rtl/>
        </w:rPr>
        <w:t xml:space="preserve">, </w:t>
      </w:r>
      <w:r>
        <w:rPr>
          <w:rtl/>
        </w:rPr>
        <w:t>יתפעל במרירות על עצמו</w:t>
      </w:r>
      <w:r>
        <w:rPr>
          <w:rFonts w:cs="Times New Roman"/>
          <w:rtl/>
        </w:rPr>
        <w:t xml:space="preserve">, </w:t>
      </w:r>
      <w:r>
        <w:rPr>
          <w:rtl/>
        </w:rPr>
        <w:t>כי לא ירגיש בנפשו חיי האלקי</w:t>
      </w:r>
      <w:r>
        <w:rPr>
          <w:rFonts w:cs="Times New Roman"/>
          <w:rtl/>
        </w:rPr>
        <w:t xml:space="preserve">, </w:t>
      </w:r>
      <w:r>
        <w:rPr>
          <w:rtl/>
        </w:rPr>
        <w:t>וכל חפצו בקרבת אלקי</w:t>
      </w:r>
      <w:r>
        <w:rPr>
          <w:rFonts w:cs="Times New Roman"/>
          <w:rtl/>
        </w:rPr>
        <w:t xml:space="preserve">' </w:t>
      </w:r>
      <w:r>
        <w:rPr>
          <w:rtl/>
        </w:rPr>
        <w:t>שיהי</w:t>
      </w:r>
      <w:r>
        <w:rPr>
          <w:rFonts w:cs="Times New Roman"/>
          <w:rtl/>
        </w:rPr>
        <w:t xml:space="preserve">' </w:t>
      </w:r>
      <w:r>
        <w:rPr>
          <w:rtl/>
        </w:rPr>
        <w:t>חי במורגש בחיי אלקי</w:t>
      </w:r>
      <w:r>
        <w:rPr>
          <w:rFonts w:cs="Times New Roman"/>
          <w:rtl/>
        </w:rPr>
        <w:t xml:space="preserve">' </w:t>
      </w:r>
      <w:r>
        <w:rPr>
          <w:rtl/>
        </w:rPr>
        <w:t>ממש</w:t>
      </w:r>
      <w:r>
        <w:rPr>
          <w:rFonts w:cs="Times New Roman"/>
          <w:rtl/>
        </w:rPr>
        <w:t xml:space="preserve">, </w:t>
      </w:r>
      <w:r>
        <w:rPr>
          <w:rtl/>
        </w:rPr>
        <w:t>ורואה בעצמו היפוכו יתמרמר מזה מאד כו</w:t>
      </w:r>
      <w:r>
        <w:rPr>
          <w:rFonts w:cs="Times New Roman"/>
          <w:rtl/>
        </w:rPr>
        <w:t xml:space="preserve">'. </w:t>
      </w:r>
      <w:r>
        <w:rPr>
          <w:rtl/>
        </w:rPr>
        <w:t>ונמצא לא ראי זה כו</w:t>
      </w:r>
      <w:r>
        <w:rPr>
          <w:rFonts w:cs="Times New Roman"/>
          <w:rtl/>
        </w:rPr>
        <w:t xml:space="preserve">', </w:t>
      </w:r>
      <w:r>
        <w:rPr>
          <w:rtl/>
        </w:rPr>
        <w:t>ויש מעלה בזה מה שאין בזה</w:t>
      </w:r>
      <w:r>
        <w:rPr>
          <w:rFonts w:cs="Times New Roman"/>
          <w:rtl/>
        </w:rPr>
        <w:t xml:space="preserve">, </w:t>
      </w:r>
      <w:r>
        <w:rPr>
          <w:rtl/>
        </w:rPr>
        <w:t>ויש חסרון בזה מה שאין בזה</w:t>
      </w:r>
      <w:r>
        <w:rPr>
          <w:rFonts w:cs="Times New Roman"/>
          <w:rtl/>
        </w:rPr>
        <w:t xml:space="preserve">, </w:t>
      </w:r>
      <w:r>
        <w:rPr>
          <w:rtl/>
        </w:rPr>
        <w:t>ושניהם אמת</w:t>
      </w:r>
      <w:r>
        <w:rPr>
          <w:rFonts w:cs="Times New Roman"/>
          <w:rtl/>
        </w:rPr>
        <w:t xml:space="preserve">, </w:t>
      </w:r>
      <w:r>
        <w:rPr>
          <w:rtl/>
        </w:rPr>
        <w:t>וירצה לפני ה</w:t>
      </w:r>
      <w:r>
        <w:rPr>
          <w:rFonts w:cs="Times New Roman"/>
          <w:rtl/>
        </w:rPr>
        <w:t xml:space="preserve">' </w:t>
      </w:r>
      <w:r>
        <w:rPr>
          <w:rtl/>
        </w:rPr>
        <w:t>כונה הטובה שבשניהם</w:t>
      </w:r>
      <w:r>
        <w:rPr>
          <w:rFonts w:cs="Times New Roman"/>
          <w:rtl/>
        </w:rPr>
        <w:t xml:space="preserve">, </w:t>
      </w:r>
      <w:r>
        <w:rPr>
          <w:rtl/>
        </w:rPr>
        <w:t>כי זה וזה חפצם באלקים</w:t>
      </w:r>
      <w:r>
        <w:rPr>
          <w:rFonts w:cs="Times New Roman"/>
          <w:rtl/>
        </w:rPr>
        <w:t xml:space="preserve">, </w:t>
      </w:r>
      <w:r>
        <w:rPr>
          <w:rtl/>
        </w:rPr>
        <w:t>רק זה הילוכו בחדוה וזה הילוכו במרירות</w:t>
      </w:r>
      <w:r>
        <w:rPr>
          <w:rFonts w:cs="Times New Roman"/>
          <w:rtl/>
        </w:rPr>
        <w:t xml:space="preserve">, </w:t>
      </w:r>
      <w:r>
        <w:rPr>
          <w:rtl/>
        </w:rPr>
        <w:t>איש איש כפי טבעו בחיי גופו</w:t>
      </w:r>
      <w:r>
        <w:rPr>
          <w:rFonts w:cs="Times New Roman"/>
          <w:rtl/>
        </w:rPr>
        <w:t xml:space="preserve">, </w:t>
      </w:r>
      <w:r>
        <w:rPr>
          <w:rtl/>
        </w:rPr>
        <w:t>כי נה</w:t>
      </w:r>
      <w:r>
        <w:rPr>
          <w:rFonts w:cs="Times New Roman"/>
          <w:rtl/>
        </w:rPr>
        <w:t>"</w:t>
      </w:r>
      <w:r>
        <w:rPr>
          <w:rtl/>
        </w:rPr>
        <w:t>ט היא העולה למעלה בתפלה רק כפי אופן טבעה דוקא</w:t>
      </w:r>
      <w:r>
        <w:rPr>
          <w:rFonts w:cs="Times New Roman"/>
          <w:rtl/>
        </w:rPr>
        <w:t>.</w:t>
      </w:r>
      <w:r>
        <w:rPr>
          <w:rtl/>
        </w:rPr>
        <w:t>"</w:t>
      </w:r>
    </w:p>
    <w:p w14:paraId="42A57717" w14:textId="77777777" w:rsidR="004D06EF" w:rsidRDefault="004D06EF" w:rsidP="00E260A1">
      <w:pPr>
        <w:pStyle w:val="FootnoteText"/>
        <w:bidi w:val="0"/>
        <w:rPr>
          <w:rtl/>
        </w:rPr>
      </w:pPr>
    </w:p>
  </w:footnote>
  <w:footnote w:id="151">
    <w:p w14:paraId="60D69847" w14:textId="0960FBA4" w:rsidR="004D06EF" w:rsidRPr="00E260A1" w:rsidRDefault="004D06EF" w:rsidP="00E260A1">
      <w:pPr>
        <w:pStyle w:val="FootnoteText"/>
        <w:rPr>
          <w:rtl/>
          <w:lang w:bidi="ar-SA"/>
        </w:rPr>
      </w:pPr>
      <w:r w:rsidRPr="00E260A1">
        <w:footnoteRef/>
      </w:r>
      <w:r>
        <w:rPr>
          <w:rFonts w:hint="cs"/>
          <w:rtl/>
        </w:rPr>
        <w:t>)</w:t>
      </w:r>
      <w:r w:rsidRPr="00E260A1">
        <w:rPr>
          <w:rtl/>
        </w:rPr>
        <w:t xml:space="preserve"> ראה סנהדרין קא, א.</w:t>
      </w:r>
    </w:p>
  </w:footnote>
  <w:footnote w:id="152">
    <w:p w14:paraId="239CBD5A" w14:textId="151C9BDF" w:rsidR="004D06EF" w:rsidRDefault="004D06EF" w:rsidP="00E260A1">
      <w:pPr>
        <w:pStyle w:val="FootnoteText"/>
      </w:pPr>
      <w:r w:rsidRPr="00E260A1">
        <w:footnoteRef/>
      </w:r>
      <w:r>
        <w:rPr>
          <w:rFonts w:hint="cs"/>
          <w:rtl/>
        </w:rPr>
        <w:t>)</w:t>
      </w:r>
      <w:r w:rsidRPr="00E260A1">
        <w:rPr>
          <w:rtl/>
        </w:rPr>
        <w:t xml:space="preserve"> כ"ה בדפו"ר ואוצ"ל: עצמה.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D06EF" w:rsidRPr="00425748" w14:paraId="1B3EA0F3" w14:textId="77777777" w:rsidTr="0097105B">
      <w:trPr>
        <w:trHeight w:val="80"/>
      </w:trPr>
      <w:tc>
        <w:tcPr>
          <w:tcW w:w="1008" w:type="dxa"/>
          <w:vAlign w:val="center"/>
        </w:tcPr>
        <w:p w14:paraId="4FD7CFCE" w14:textId="77777777" w:rsidR="004D06EF" w:rsidRPr="002F63A9" w:rsidRDefault="004D06EF"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A41789">
            <w:rPr>
              <w:rFonts w:ascii="Calibri Light" w:hAnsi="Calibri Light" w:cs="AAd_LivornaB4"/>
              <w:noProof/>
              <w:szCs w:val="28"/>
              <w:rtl/>
            </w:rPr>
            <w:t>100</w:t>
          </w:r>
          <w:r w:rsidRPr="002F63A9">
            <w:rPr>
              <w:rFonts w:ascii="Calibri Light" w:hAnsi="Calibri Light" w:cs="AAd_LivornaB4"/>
              <w:noProof/>
              <w:szCs w:val="28"/>
            </w:rPr>
            <w:fldChar w:fldCharType="end"/>
          </w:r>
        </w:p>
      </w:tc>
      <w:tc>
        <w:tcPr>
          <w:tcW w:w="4176" w:type="dxa"/>
          <w:vAlign w:val="center"/>
        </w:tcPr>
        <w:p w14:paraId="254BFA96" w14:textId="77777777" w:rsidR="004D06EF" w:rsidRPr="00140022" w:rsidRDefault="004D06EF" w:rsidP="008E66C8">
          <w:pPr>
            <w:tabs>
              <w:tab w:val="center" w:pos="4680"/>
              <w:tab w:val="right" w:pos="9360"/>
            </w:tabs>
            <w:spacing w:after="0" w:line="240" w:lineRule="auto"/>
            <w:jc w:val="center"/>
            <w:rPr>
              <w:rFonts w:ascii="FbSfaradi Medium" w:hAnsi="FbSfaradi Medium" w:cs="AAd_LivornaB4"/>
              <w:sz w:val="25"/>
              <w:szCs w:val="25"/>
              <w:rtl/>
            </w:rPr>
          </w:pPr>
          <w:r w:rsidRPr="00140022">
            <w:rPr>
              <w:rFonts w:ascii="FbSfaradi Medium" w:hAnsi="FbSfaradi Medium" w:cs="AAd_LivornaB4" w:hint="cs"/>
              <w:sz w:val="25"/>
              <w:szCs w:val="25"/>
              <w:rtl/>
            </w:rPr>
            <w:t>הערות וביאורים</w:t>
          </w:r>
        </w:p>
      </w:tc>
      <w:tc>
        <w:tcPr>
          <w:tcW w:w="1008" w:type="dxa"/>
          <w:vAlign w:val="center"/>
        </w:tcPr>
        <w:p w14:paraId="6ED923C8" w14:textId="77777777" w:rsidR="004D06EF" w:rsidRPr="00425748" w:rsidRDefault="004D06EF"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4D06EF" w:rsidRDefault="004D06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D06EF" w:rsidRPr="00425748" w14:paraId="43FF9611" w14:textId="77777777" w:rsidTr="0097105B">
      <w:trPr>
        <w:trHeight w:val="80"/>
      </w:trPr>
      <w:tc>
        <w:tcPr>
          <w:tcW w:w="1008" w:type="dxa"/>
        </w:tcPr>
        <w:p w14:paraId="09CC328D" w14:textId="77777777" w:rsidR="004D06EF" w:rsidRPr="00425748" w:rsidRDefault="004D06EF" w:rsidP="007F107E">
          <w:pPr>
            <w:tabs>
              <w:tab w:val="center" w:pos="4680"/>
              <w:tab w:val="right" w:pos="9360"/>
            </w:tabs>
            <w:rPr>
              <w:rFonts w:ascii="FbSfaradi Medium" w:hAnsi="FbSfaradi Medium" w:cs="FbSfaradi Medium"/>
              <w:sz w:val="36"/>
              <w:szCs w:val="32"/>
              <w:rtl/>
            </w:rPr>
          </w:pPr>
        </w:p>
      </w:tc>
      <w:tc>
        <w:tcPr>
          <w:tcW w:w="4176" w:type="dxa"/>
        </w:tcPr>
        <w:p w14:paraId="79BBFAE0" w14:textId="104AC1DA" w:rsidR="004D06EF" w:rsidRPr="00140022" w:rsidRDefault="004D06EF" w:rsidP="00140022">
          <w:pPr>
            <w:tabs>
              <w:tab w:val="center" w:pos="4680"/>
              <w:tab w:val="right" w:pos="9360"/>
            </w:tabs>
            <w:bidi/>
            <w:jc w:val="center"/>
            <w:rPr>
              <w:rFonts w:ascii="FbSfaradi Medium" w:hAnsi="FbSfaradi Medium" w:cs="AAd_LivornaB4"/>
              <w:sz w:val="25"/>
              <w:szCs w:val="25"/>
              <w:rtl/>
            </w:rPr>
          </w:pPr>
          <w:r w:rsidRPr="00140022">
            <w:rPr>
              <w:rFonts w:ascii="FbSfaradi Medium" w:hAnsi="FbSfaradi Medium" w:cs="AAd_LivornaB4" w:hint="cs"/>
              <w:b/>
              <w:bCs/>
              <w:sz w:val="25"/>
              <w:szCs w:val="25"/>
              <w:rtl/>
            </w:rPr>
            <w:t xml:space="preserve">יום הבהיר י"ד </w:t>
          </w:r>
          <w:r w:rsidRPr="00140022">
            <w:rPr>
              <w:rFonts w:ascii="FbSfaradi Medium" w:hAnsi="FbSfaradi Medium" w:cs="AAd_LivornaB4"/>
              <w:b/>
              <w:bCs/>
              <w:sz w:val="25"/>
              <w:szCs w:val="25"/>
              <w:rtl/>
            </w:rPr>
            <w:t>–</w:t>
          </w:r>
          <w:r w:rsidRPr="00140022">
            <w:rPr>
              <w:rFonts w:ascii="FbSfaradi Medium" w:hAnsi="FbSfaradi Medium" w:cs="AAd_LivornaB4" w:hint="cs"/>
              <w:b/>
              <w:bCs/>
              <w:sz w:val="25"/>
              <w:szCs w:val="25"/>
              <w:rtl/>
            </w:rPr>
            <w:t xml:space="preserve"> י"ט כסלו - פרשת וישב ה</w:t>
          </w:r>
          <w:r w:rsidRPr="00140022">
            <w:rPr>
              <w:rFonts w:ascii="AAd_LivornaR2" w:hAnsi="AAd_LivornaR2" w:cs="AAd_LivornaR2"/>
              <w:b/>
              <w:bCs/>
              <w:sz w:val="25"/>
              <w:szCs w:val="25"/>
              <w:rtl/>
            </w:rPr>
            <w:t>'</w:t>
          </w:r>
          <w:r w:rsidRPr="00140022">
            <w:rPr>
              <w:rFonts w:ascii="FbSfaradi Medium" w:hAnsi="FbSfaradi Medium" w:cs="AAd_LivornaB4" w:hint="cs"/>
              <w:b/>
              <w:bCs/>
              <w:sz w:val="25"/>
              <w:szCs w:val="25"/>
              <w:rtl/>
            </w:rPr>
            <w:t>תשע"ט</w:t>
          </w:r>
        </w:p>
      </w:tc>
      <w:tc>
        <w:tcPr>
          <w:tcW w:w="1008" w:type="dxa"/>
          <w:vAlign w:val="bottom"/>
        </w:tcPr>
        <w:p w14:paraId="3B94514C" w14:textId="77777777" w:rsidR="004D06EF" w:rsidRPr="00425748" w:rsidRDefault="004D06EF"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A41789">
            <w:rPr>
              <w:rFonts w:ascii="FbSfaradi Medium" w:hAnsi="FbSfaradi Medium" w:cs="AAd_LivornaB4"/>
              <w:noProof/>
              <w:szCs w:val="28"/>
              <w:rtl/>
            </w:rPr>
            <w:t>99</w:t>
          </w:r>
          <w:r w:rsidRPr="00425748">
            <w:rPr>
              <w:rFonts w:ascii="FbSfaradi Medium" w:hAnsi="FbSfaradi Medium" w:cs="AAd_LivornaB4"/>
              <w:szCs w:val="28"/>
            </w:rPr>
            <w:fldChar w:fldCharType="end"/>
          </w:r>
        </w:p>
      </w:tc>
    </w:tr>
  </w:tbl>
  <w:p w14:paraId="3F2CF2A0" w14:textId="77777777" w:rsidR="004D06EF" w:rsidRDefault="004D06EF"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hideSpellingErrors/>
  <w:defaultTabStop w:val="14"/>
  <w:evenAndOddHeaders/>
  <w:characterSpacingControl w:val="doNotCompress"/>
  <w:hdrShapeDefaults>
    <o:shapedefaults v:ext="edit" spidmax="1228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59A2"/>
    <w:rsid w:val="000170E6"/>
    <w:rsid w:val="00020968"/>
    <w:rsid w:val="000209AA"/>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507"/>
    <w:rsid w:val="0003760C"/>
    <w:rsid w:val="00041B7C"/>
    <w:rsid w:val="00043A3B"/>
    <w:rsid w:val="0004421E"/>
    <w:rsid w:val="000443D5"/>
    <w:rsid w:val="00044A11"/>
    <w:rsid w:val="00045A42"/>
    <w:rsid w:val="00045D79"/>
    <w:rsid w:val="000468FD"/>
    <w:rsid w:val="00047AF0"/>
    <w:rsid w:val="00050834"/>
    <w:rsid w:val="00052089"/>
    <w:rsid w:val="0005211B"/>
    <w:rsid w:val="0005371E"/>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336F"/>
    <w:rsid w:val="000735AB"/>
    <w:rsid w:val="00073F49"/>
    <w:rsid w:val="0007440B"/>
    <w:rsid w:val="000752D6"/>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1EDC"/>
    <w:rsid w:val="000B292E"/>
    <w:rsid w:val="000B36C7"/>
    <w:rsid w:val="000B3BB7"/>
    <w:rsid w:val="000B4A87"/>
    <w:rsid w:val="000B52F5"/>
    <w:rsid w:val="000B5EC4"/>
    <w:rsid w:val="000B6406"/>
    <w:rsid w:val="000B69A1"/>
    <w:rsid w:val="000B6EE8"/>
    <w:rsid w:val="000C3D2A"/>
    <w:rsid w:val="000C5267"/>
    <w:rsid w:val="000D0F11"/>
    <w:rsid w:val="000D13A0"/>
    <w:rsid w:val="000D2F9E"/>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DB0"/>
    <w:rsid w:val="00181234"/>
    <w:rsid w:val="001819D4"/>
    <w:rsid w:val="001819D5"/>
    <w:rsid w:val="00182105"/>
    <w:rsid w:val="001822FE"/>
    <w:rsid w:val="00182528"/>
    <w:rsid w:val="00183B87"/>
    <w:rsid w:val="00183D8E"/>
    <w:rsid w:val="00185563"/>
    <w:rsid w:val="00186078"/>
    <w:rsid w:val="001862F1"/>
    <w:rsid w:val="0018708C"/>
    <w:rsid w:val="001900D4"/>
    <w:rsid w:val="00190577"/>
    <w:rsid w:val="00190D8C"/>
    <w:rsid w:val="00191B64"/>
    <w:rsid w:val="0019237D"/>
    <w:rsid w:val="00193441"/>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3CD"/>
    <w:rsid w:val="001C6522"/>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4863"/>
    <w:rsid w:val="001E5812"/>
    <w:rsid w:val="001E5F2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46A1"/>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669"/>
    <w:rsid w:val="00244BF5"/>
    <w:rsid w:val="00245F1E"/>
    <w:rsid w:val="0024638F"/>
    <w:rsid w:val="002470C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8BD"/>
    <w:rsid w:val="002B5B0C"/>
    <w:rsid w:val="002B5C3E"/>
    <w:rsid w:val="002B6010"/>
    <w:rsid w:val="002B74E9"/>
    <w:rsid w:val="002B7662"/>
    <w:rsid w:val="002B7762"/>
    <w:rsid w:val="002C0E3F"/>
    <w:rsid w:val="002C0F48"/>
    <w:rsid w:val="002C2598"/>
    <w:rsid w:val="002C2B83"/>
    <w:rsid w:val="002C3003"/>
    <w:rsid w:val="002C32AD"/>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010"/>
    <w:rsid w:val="002F5FE0"/>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278A"/>
    <w:rsid w:val="00362ACA"/>
    <w:rsid w:val="0036387E"/>
    <w:rsid w:val="00364351"/>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4417"/>
    <w:rsid w:val="00394717"/>
    <w:rsid w:val="00395394"/>
    <w:rsid w:val="00395825"/>
    <w:rsid w:val="003959BE"/>
    <w:rsid w:val="00395CEE"/>
    <w:rsid w:val="00395E1A"/>
    <w:rsid w:val="0039651F"/>
    <w:rsid w:val="003968D2"/>
    <w:rsid w:val="00396AD8"/>
    <w:rsid w:val="003A31E9"/>
    <w:rsid w:val="003A3C4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A29"/>
    <w:rsid w:val="003F7AD2"/>
    <w:rsid w:val="003F7DFE"/>
    <w:rsid w:val="003F7EF1"/>
    <w:rsid w:val="00400BA9"/>
    <w:rsid w:val="00402318"/>
    <w:rsid w:val="0040343F"/>
    <w:rsid w:val="00403856"/>
    <w:rsid w:val="00403954"/>
    <w:rsid w:val="00403BC9"/>
    <w:rsid w:val="00405362"/>
    <w:rsid w:val="004059F7"/>
    <w:rsid w:val="00405D23"/>
    <w:rsid w:val="00406FEE"/>
    <w:rsid w:val="004118E9"/>
    <w:rsid w:val="00411EAA"/>
    <w:rsid w:val="00412E15"/>
    <w:rsid w:val="00412EBA"/>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59C"/>
    <w:rsid w:val="00455686"/>
    <w:rsid w:val="004558C2"/>
    <w:rsid w:val="00457DF4"/>
    <w:rsid w:val="00460A02"/>
    <w:rsid w:val="00460ACE"/>
    <w:rsid w:val="00460D44"/>
    <w:rsid w:val="00460E5D"/>
    <w:rsid w:val="0046113A"/>
    <w:rsid w:val="00462133"/>
    <w:rsid w:val="00462EAC"/>
    <w:rsid w:val="00462ECD"/>
    <w:rsid w:val="00463102"/>
    <w:rsid w:val="00463235"/>
    <w:rsid w:val="0046467F"/>
    <w:rsid w:val="00464AFE"/>
    <w:rsid w:val="00465394"/>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419C"/>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10DF9"/>
    <w:rsid w:val="00513513"/>
    <w:rsid w:val="005137BB"/>
    <w:rsid w:val="005144AE"/>
    <w:rsid w:val="00516C8A"/>
    <w:rsid w:val="00516D20"/>
    <w:rsid w:val="00516F1D"/>
    <w:rsid w:val="005174D5"/>
    <w:rsid w:val="00517587"/>
    <w:rsid w:val="005201EA"/>
    <w:rsid w:val="0052063D"/>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5637"/>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440A"/>
    <w:rsid w:val="00594C7D"/>
    <w:rsid w:val="00595B0A"/>
    <w:rsid w:val="0059756D"/>
    <w:rsid w:val="005A086F"/>
    <w:rsid w:val="005A281A"/>
    <w:rsid w:val="005A411A"/>
    <w:rsid w:val="005A5852"/>
    <w:rsid w:val="005A663D"/>
    <w:rsid w:val="005A6EB4"/>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600F46"/>
    <w:rsid w:val="00601B55"/>
    <w:rsid w:val="00601D41"/>
    <w:rsid w:val="006033AC"/>
    <w:rsid w:val="00603E0A"/>
    <w:rsid w:val="00604784"/>
    <w:rsid w:val="0060545A"/>
    <w:rsid w:val="00605DCE"/>
    <w:rsid w:val="00606F98"/>
    <w:rsid w:val="00607B7D"/>
    <w:rsid w:val="006107B5"/>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2896"/>
    <w:rsid w:val="00652BA0"/>
    <w:rsid w:val="0065657F"/>
    <w:rsid w:val="00656BD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7334"/>
    <w:rsid w:val="006B7AF4"/>
    <w:rsid w:val="006C0FA7"/>
    <w:rsid w:val="006C1663"/>
    <w:rsid w:val="006C301F"/>
    <w:rsid w:val="006C3076"/>
    <w:rsid w:val="006C32F9"/>
    <w:rsid w:val="006C5704"/>
    <w:rsid w:val="006C6E33"/>
    <w:rsid w:val="006C7050"/>
    <w:rsid w:val="006D01B3"/>
    <w:rsid w:val="006D01F4"/>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8F3"/>
    <w:rsid w:val="00733A4F"/>
    <w:rsid w:val="00733FC1"/>
    <w:rsid w:val="00733FE2"/>
    <w:rsid w:val="00735E49"/>
    <w:rsid w:val="0073644F"/>
    <w:rsid w:val="0074064A"/>
    <w:rsid w:val="00742A74"/>
    <w:rsid w:val="00743E04"/>
    <w:rsid w:val="00743E29"/>
    <w:rsid w:val="00744193"/>
    <w:rsid w:val="00744449"/>
    <w:rsid w:val="00746C5F"/>
    <w:rsid w:val="007475C0"/>
    <w:rsid w:val="0075010A"/>
    <w:rsid w:val="0075189F"/>
    <w:rsid w:val="00752EE9"/>
    <w:rsid w:val="00754E77"/>
    <w:rsid w:val="00755723"/>
    <w:rsid w:val="00756517"/>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4FC"/>
    <w:rsid w:val="007932DC"/>
    <w:rsid w:val="00793465"/>
    <w:rsid w:val="00793999"/>
    <w:rsid w:val="00793B8B"/>
    <w:rsid w:val="0079448C"/>
    <w:rsid w:val="00794A9B"/>
    <w:rsid w:val="00794BA6"/>
    <w:rsid w:val="0079565A"/>
    <w:rsid w:val="00796E60"/>
    <w:rsid w:val="007972F1"/>
    <w:rsid w:val="007A03CB"/>
    <w:rsid w:val="007A05B6"/>
    <w:rsid w:val="007A0A11"/>
    <w:rsid w:val="007A2275"/>
    <w:rsid w:val="007A389C"/>
    <w:rsid w:val="007A4B1D"/>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2DFB"/>
    <w:rsid w:val="00813E9E"/>
    <w:rsid w:val="00814833"/>
    <w:rsid w:val="008151D8"/>
    <w:rsid w:val="0081592B"/>
    <w:rsid w:val="008159B7"/>
    <w:rsid w:val="00817299"/>
    <w:rsid w:val="00817580"/>
    <w:rsid w:val="0081768B"/>
    <w:rsid w:val="0081786A"/>
    <w:rsid w:val="00821CCA"/>
    <w:rsid w:val="00822354"/>
    <w:rsid w:val="00824351"/>
    <w:rsid w:val="00826EFB"/>
    <w:rsid w:val="00827182"/>
    <w:rsid w:val="008304B9"/>
    <w:rsid w:val="008307D7"/>
    <w:rsid w:val="008319B6"/>
    <w:rsid w:val="00832806"/>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6AF"/>
    <w:rsid w:val="008443D3"/>
    <w:rsid w:val="00845A75"/>
    <w:rsid w:val="00845D64"/>
    <w:rsid w:val="008471B3"/>
    <w:rsid w:val="00847743"/>
    <w:rsid w:val="008478AC"/>
    <w:rsid w:val="008502AB"/>
    <w:rsid w:val="00850C92"/>
    <w:rsid w:val="0085101C"/>
    <w:rsid w:val="00851278"/>
    <w:rsid w:val="00852802"/>
    <w:rsid w:val="00853BC3"/>
    <w:rsid w:val="008553FA"/>
    <w:rsid w:val="008555C0"/>
    <w:rsid w:val="008567B0"/>
    <w:rsid w:val="00857650"/>
    <w:rsid w:val="00860713"/>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A9B"/>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BD0"/>
    <w:rsid w:val="008C5E36"/>
    <w:rsid w:val="008C6D48"/>
    <w:rsid w:val="008C76D5"/>
    <w:rsid w:val="008D010F"/>
    <w:rsid w:val="008D2508"/>
    <w:rsid w:val="008D26C0"/>
    <w:rsid w:val="008D3CE5"/>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DFE"/>
    <w:rsid w:val="0099520B"/>
    <w:rsid w:val="00995A6F"/>
    <w:rsid w:val="00996E0D"/>
    <w:rsid w:val="00996ECA"/>
    <w:rsid w:val="009A02F4"/>
    <w:rsid w:val="009A167C"/>
    <w:rsid w:val="009A2679"/>
    <w:rsid w:val="009A369B"/>
    <w:rsid w:val="009A5C5D"/>
    <w:rsid w:val="009A6AE7"/>
    <w:rsid w:val="009B0546"/>
    <w:rsid w:val="009B0A80"/>
    <w:rsid w:val="009B1829"/>
    <w:rsid w:val="009B249B"/>
    <w:rsid w:val="009B35B1"/>
    <w:rsid w:val="009B38B9"/>
    <w:rsid w:val="009B3EF5"/>
    <w:rsid w:val="009B3FE3"/>
    <w:rsid w:val="009B4B07"/>
    <w:rsid w:val="009B4B1A"/>
    <w:rsid w:val="009B4C04"/>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3FE3"/>
    <w:rsid w:val="00A04535"/>
    <w:rsid w:val="00A05AF6"/>
    <w:rsid w:val="00A06E4D"/>
    <w:rsid w:val="00A075A0"/>
    <w:rsid w:val="00A1177B"/>
    <w:rsid w:val="00A11CEE"/>
    <w:rsid w:val="00A1242A"/>
    <w:rsid w:val="00A12D81"/>
    <w:rsid w:val="00A13257"/>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C29"/>
    <w:rsid w:val="00A5774B"/>
    <w:rsid w:val="00A57A23"/>
    <w:rsid w:val="00A6294F"/>
    <w:rsid w:val="00A63F94"/>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2AD1"/>
    <w:rsid w:val="00A830F1"/>
    <w:rsid w:val="00A835F3"/>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B0CBB"/>
    <w:rsid w:val="00AB1B69"/>
    <w:rsid w:val="00AB3305"/>
    <w:rsid w:val="00AB3621"/>
    <w:rsid w:val="00AB5645"/>
    <w:rsid w:val="00AC0189"/>
    <w:rsid w:val="00AC083A"/>
    <w:rsid w:val="00AC2179"/>
    <w:rsid w:val="00AC23C7"/>
    <w:rsid w:val="00AC38AB"/>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497F"/>
    <w:rsid w:val="00B74ABD"/>
    <w:rsid w:val="00B75032"/>
    <w:rsid w:val="00B75265"/>
    <w:rsid w:val="00B77E18"/>
    <w:rsid w:val="00B77FC8"/>
    <w:rsid w:val="00B8032A"/>
    <w:rsid w:val="00B80935"/>
    <w:rsid w:val="00B81587"/>
    <w:rsid w:val="00B81A18"/>
    <w:rsid w:val="00B821E0"/>
    <w:rsid w:val="00B830FF"/>
    <w:rsid w:val="00B84C85"/>
    <w:rsid w:val="00B851CA"/>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913"/>
    <w:rsid w:val="00BB257E"/>
    <w:rsid w:val="00BB339F"/>
    <w:rsid w:val="00BB4410"/>
    <w:rsid w:val="00BB49AE"/>
    <w:rsid w:val="00BB5F1E"/>
    <w:rsid w:val="00BC3247"/>
    <w:rsid w:val="00BC356B"/>
    <w:rsid w:val="00BC3F18"/>
    <w:rsid w:val="00BC4439"/>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CFC"/>
    <w:rsid w:val="00BF33C4"/>
    <w:rsid w:val="00BF3802"/>
    <w:rsid w:val="00BF39E5"/>
    <w:rsid w:val="00BF5D69"/>
    <w:rsid w:val="00BF7897"/>
    <w:rsid w:val="00C02908"/>
    <w:rsid w:val="00C03306"/>
    <w:rsid w:val="00C05B3D"/>
    <w:rsid w:val="00C07960"/>
    <w:rsid w:val="00C109B1"/>
    <w:rsid w:val="00C12070"/>
    <w:rsid w:val="00C1261E"/>
    <w:rsid w:val="00C142DE"/>
    <w:rsid w:val="00C14A1A"/>
    <w:rsid w:val="00C14A3C"/>
    <w:rsid w:val="00C16AB7"/>
    <w:rsid w:val="00C16EA7"/>
    <w:rsid w:val="00C172FD"/>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1628"/>
    <w:rsid w:val="00C51AD8"/>
    <w:rsid w:val="00C51CA6"/>
    <w:rsid w:val="00C52694"/>
    <w:rsid w:val="00C56932"/>
    <w:rsid w:val="00C6015C"/>
    <w:rsid w:val="00C61BD9"/>
    <w:rsid w:val="00C6208A"/>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461F"/>
    <w:rsid w:val="00C75692"/>
    <w:rsid w:val="00C76ECA"/>
    <w:rsid w:val="00C778D2"/>
    <w:rsid w:val="00C779EF"/>
    <w:rsid w:val="00C77E25"/>
    <w:rsid w:val="00C77FC3"/>
    <w:rsid w:val="00C80981"/>
    <w:rsid w:val="00C814E6"/>
    <w:rsid w:val="00C81B32"/>
    <w:rsid w:val="00C82419"/>
    <w:rsid w:val="00C83A77"/>
    <w:rsid w:val="00C83E16"/>
    <w:rsid w:val="00C8741E"/>
    <w:rsid w:val="00C87BFC"/>
    <w:rsid w:val="00C905AB"/>
    <w:rsid w:val="00C90FE2"/>
    <w:rsid w:val="00C910F4"/>
    <w:rsid w:val="00C91474"/>
    <w:rsid w:val="00C91641"/>
    <w:rsid w:val="00C93457"/>
    <w:rsid w:val="00C93C82"/>
    <w:rsid w:val="00C93F65"/>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8DE"/>
    <w:rsid w:val="00CE7A5C"/>
    <w:rsid w:val="00CF0023"/>
    <w:rsid w:val="00CF02B7"/>
    <w:rsid w:val="00CF0563"/>
    <w:rsid w:val="00CF08CC"/>
    <w:rsid w:val="00CF0E10"/>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5B6F"/>
    <w:rsid w:val="00D26081"/>
    <w:rsid w:val="00D26370"/>
    <w:rsid w:val="00D26FA8"/>
    <w:rsid w:val="00D274EF"/>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385E"/>
    <w:rsid w:val="00D44CA4"/>
    <w:rsid w:val="00D4503B"/>
    <w:rsid w:val="00D45714"/>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86F"/>
    <w:rsid w:val="00D70CFA"/>
    <w:rsid w:val="00D70DD0"/>
    <w:rsid w:val="00D7117B"/>
    <w:rsid w:val="00D71621"/>
    <w:rsid w:val="00D71D8D"/>
    <w:rsid w:val="00D74DA3"/>
    <w:rsid w:val="00D76006"/>
    <w:rsid w:val="00D77CEC"/>
    <w:rsid w:val="00D814CC"/>
    <w:rsid w:val="00D826B3"/>
    <w:rsid w:val="00D8292A"/>
    <w:rsid w:val="00D83823"/>
    <w:rsid w:val="00D841B3"/>
    <w:rsid w:val="00D844CF"/>
    <w:rsid w:val="00D849A8"/>
    <w:rsid w:val="00D850DE"/>
    <w:rsid w:val="00D85B19"/>
    <w:rsid w:val="00D908AF"/>
    <w:rsid w:val="00D91A24"/>
    <w:rsid w:val="00D92FF1"/>
    <w:rsid w:val="00D93120"/>
    <w:rsid w:val="00D93DD6"/>
    <w:rsid w:val="00D93DF3"/>
    <w:rsid w:val="00D9518A"/>
    <w:rsid w:val="00D958AF"/>
    <w:rsid w:val="00D95DAB"/>
    <w:rsid w:val="00D96A7F"/>
    <w:rsid w:val="00D96BE1"/>
    <w:rsid w:val="00DA006A"/>
    <w:rsid w:val="00DA0F5B"/>
    <w:rsid w:val="00DA2118"/>
    <w:rsid w:val="00DA2274"/>
    <w:rsid w:val="00DA3A5A"/>
    <w:rsid w:val="00DA439D"/>
    <w:rsid w:val="00DA460D"/>
    <w:rsid w:val="00DA47C4"/>
    <w:rsid w:val="00DA5EC9"/>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10E"/>
    <w:rsid w:val="00DE3853"/>
    <w:rsid w:val="00DE3F77"/>
    <w:rsid w:val="00DE524E"/>
    <w:rsid w:val="00DE6CE7"/>
    <w:rsid w:val="00DF0861"/>
    <w:rsid w:val="00DF15C2"/>
    <w:rsid w:val="00DF27CC"/>
    <w:rsid w:val="00DF2A45"/>
    <w:rsid w:val="00DF34F8"/>
    <w:rsid w:val="00DF41D9"/>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1035B"/>
    <w:rsid w:val="00E105AF"/>
    <w:rsid w:val="00E11F84"/>
    <w:rsid w:val="00E13ADF"/>
    <w:rsid w:val="00E16BEF"/>
    <w:rsid w:val="00E16CFF"/>
    <w:rsid w:val="00E173C7"/>
    <w:rsid w:val="00E21E7B"/>
    <w:rsid w:val="00E24510"/>
    <w:rsid w:val="00E247F4"/>
    <w:rsid w:val="00E260A1"/>
    <w:rsid w:val="00E26331"/>
    <w:rsid w:val="00E30CCA"/>
    <w:rsid w:val="00E32089"/>
    <w:rsid w:val="00E32490"/>
    <w:rsid w:val="00E33A19"/>
    <w:rsid w:val="00E34DBE"/>
    <w:rsid w:val="00E358DA"/>
    <w:rsid w:val="00E36D1A"/>
    <w:rsid w:val="00E40610"/>
    <w:rsid w:val="00E40CB5"/>
    <w:rsid w:val="00E40D02"/>
    <w:rsid w:val="00E4173B"/>
    <w:rsid w:val="00E41976"/>
    <w:rsid w:val="00E432D9"/>
    <w:rsid w:val="00E43731"/>
    <w:rsid w:val="00E438DA"/>
    <w:rsid w:val="00E43EA0"/>
    <w:rsid w:val="00E44318"/>
    <w:rsid w:val="00E44625"/>
    <w:rsid w:val="00E4517E"/>
    <w:rsid w:val="00E4561F"/>
    <w:rsid w:val="00E45C0A"/>
    <w:rsid w:val="00E476E2"/>
    <w:rsid w:val="00E50BCA"/>
    <w:rsid w:val="00E5265D"/>
    <w:rsid w:val="00E52F8C"/>
    <w:rsid w:val="00E53E73"/>
    <w:rsid w:val="00E53F19"/>
    <w:rsid w:val="00E54DA6"/>
    <w:rsid w:val="00E559CB"/>
    <w:rsid w:val="00E55A04"/>
    <w:rsid w:val="00E56B0E"/>
    <w:rsid w:val="00E57648"/>
    <w:rsid w:val="00E5787F"/>
    <w:rsid w:val="00E57ACA"/>
    <w:rsid w:val="00E61E25"/>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F2B"/>
    <w:rsid w:val="00E800AB"/>
    <w:rsid w:val="00E80214"/>
    <w:rsid w:val="00E81B34"/>
    <w:rsid w:val="00E835A6"/>
    <w:rsid w:val="00E8370C"/>
    <w:rsid w:val="00E83C56"/>
    <w:rsid w:val="00E83F64"/>
    <w:rsid w:val="00E86B5D"/>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18FE"/>
    <w:rsid w:val="00EA2C54"/>
    <w:rsid w:val="00EA33A5"/>
    <w:rsid w:val="00EA3794"/>
    <w:rsid w:val="00EA3BD3"/>
    <w:rsid w:val="00EA4317"/>
    <w:rsid w:val="00EA4A3B"/>
    <w:rsid w:val="00EA6DA3"/>
    <w:rsid w:val="00EA6FAC"/>
    <w:rsid w:val="00EA7750"/>
    <w:rsid w:val="00EA7CB3"/>
    <w:rsid w:val="00EB0426"/>
    <w:rsid w:val="00EB0B36"/>
    <w:rsid w:val="00EB2A34"/>
    <w:rsid w:val="00EB35A4"/>
    <w:rsid w:val="00EB549C"/>
    <w:rsid w:val="00EB5CE2"/>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6386"/>
    <w:rsid w:val="00F26627"/>
    <w:rsid w:val="00F26944"/>
    <w:rsid w:val="00F26EBF"/>
    <w:rsid w:val="00F27D92"/>
    <w:rsid w:val="00F337F8"/>
    <w:rsid w:val="00F3532E"/>
    <w:rsid w:val="00F35C21"/>
    <w:rsid w:val="00F368B7"/>
    <w:rsid w:val="00F370D1"/>
    <w:rsid w:val="00F37828"/>
    <w:rsid w:val="00F37FC3"/>
    <w:rsid w:val="00F40CE3"/>
    <w:rsid w:val="00F432D2"/>
    <w:rsid w:val="00F44158"/>
    <w:rsid w:val="00F455F7"/>
    <w:rsid w:val="00F46279"/>
    <w:rsid w:val="00F50E4D"/>
    <w:rsid w:val="00F51780"/>
    <w:rsid w:val="00F522CD"/>
    <w:rsid w:val="00F52D74"/>
    <w:rsid w:val="00F54220"/>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C40DBA"/>
    <w:pPr>
      <w:tabs>
        <w:tab w:val="left" w:pos="1895"/>
        <w:tab w:val="center" w:pos="3096"/>
        <w:tab w:val="left" w:pos="4086"/>
        <w:tab w:val="right" w:pos="6192"/>
      </w:tabs>
      <w:bidi/>
      <w:spacing w:before="0"/>
      <w:jc w:val="right"/>
    </w:pPr>
    <w:rPr>
      <w:rFonts w:asciiTheme="majorBidi" w:eastAsia="David" w:hAnsiTheme="majorBidi" w:cs="AAd_Livorna"/>
      <w:b/>
      <w:bCs/>
      <w:color w:val="auto"/>
      <w:sz w:val="28"/>
      <w:szCs w:val="28"/>
      <w:lang w:val="en-GB" w:bidi="ar-SA"/>
    </w:rPr>
  </w:style>
  <w:style w:type="character" w:customStyle="1" w:styleId="Char0">
    <w:name w:val="שם Char"/>
    <w:basedOn w:val="DefaultParagraphFont"/>
    <w:link w:val="a0"/>
    <w:rsid w:val="00C40DBA"/>
    <w:rPr>
      <w:rFonts w:asciiTheme="majorBidi" w:eastAsia="David" w:hAnsiTheme="majorBidi" w:cs="AAd_Livorna"/>
      <w:b/>
      <w:bCs/>
      <w:sz w:val="28"/>
      <w:szCs w:val="28"/>
      <w:lang w:val="en-GB"/>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423C6D"/>
    <w:pPr>
      <w:widowControl w:val="0"/>
      <w:bidi/>
      <w:spacing w:before="240" w:after="120" w:line="300" w:lineRule="atLeast"/>
      <w:ind w:firstLine="432"/>
      <w:jc w:val="both"/>
      <w:outlineLvl w:val="7"/>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423C6D"/>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71D4C"/>
    <w:pPr>
      <w:tabs>
        <w:tab w:val="left" w:pos="2171"/>
        <w:tab w:val="center" w:pos="3096"/>
      </w:tabs>
      <w:bidi/>
      <w:spacing w:before="240" w:after="240" w:line="360"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571D4C"/>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uiPriority w:val="99"/>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uiPriority w:val="99"/>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qFormat/>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qFormat/>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faria.org/Exodus.27.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he.wikipedia.org/wiki/%D7%9E%D7%A2%D7%92%D7%9C" TargetMode="External"/><Relationship Id="rId2" Type="http://schemas.openxmlformats.org/officeDocument/2006/relationships/hyperlink" Target="https://he.wikipedia.org/wiki/%D7%94%D7%99%D7%A7%D7%A3" TargetMode="External"/><Relationship Id="rId1" Type="http://schemas.openxmlformats.org/officeDocument/2006/relationships/hyperlink" Target="https://he.wikipedia.org/wiki/%D7%99%D7%97%D7%A1_(%D7%91%D7%99%D7%9F_%D7%9E%D7%A1%D7%A4%D7%A8%D7%99%D7%9D)" TargetMode="External"/><Relationship Id="rId5" Type="http://schemas.openxmlformats.org/officeDocument/2006/relationships/hyperlink" Target="https://docs.google.com/viewerng/viewer?url=https://w3.chabad.org/media/pdf/892/MtYg8926456.pdf" TargetMode="External"/><Relationship Id="rId4" Type="http://schemas.openxmlformats.org/officeDocument/2006/relationships/hyperlink" Target="https://he.wikipedia.org/wiki/%D7%A7%D7%95%D7%98%D7%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8F705-6660-43DE-AA78-08F5133C4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172</Pages>
  <Words>38254</Words>
  <Characters>218054</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179</cp:revision>
  <cp:lastPrinted>2018-11-28T09:56:00Z</cp:lastPrinted>
  <dcterms:created xsi:type="dcterms:W3CDTF">2018-10-26T18:49:00Z</dcterms:created>
  <dcterms:modified xsi:type="dcterms:W3CDTF">2018-11-28T09:57:00Z</dcterms:modified>
</cp:coreProperties>
</file>