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8D7606">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E15FB0" w:rsidRDefault="00E15FB0" w:rsidP="004E6CD8">
                            <w:pPr>
                              <w:widowControl w:val="0"/>
                              <w:bidi/>
                              <w:spacing w:line="156" w:lineRule="auto"/>
                              <w:jc w:val="center"/>
                              <w:rPr>
                                <w:rFonts w:ascii="FbSfaradi Regular" w:hAnsi="FbSfaradi Regular" w:cs="FbSfaradi Regular"/>
                                <w:sz w:val="26"/>
                                <w:szCs w:val="26"/>
                                <w:rtl/>
                              </w:rPr>
                            </w:pPr>
                          </w:p>
                          <w:p w14:paraId="483A4320" w14:textId="03D4C189" w:rsidR="00E15FB0" w:rsidRPr="00827182" w:rsidRDefault="00E15FB0"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E15FB0" w:rsidRPr="00E967C0" w:rsidRDefault="00E15FB0" w:rsidP="00827182">
                            <w:pPr>
                              <w:widowControl w:val="0"/>
                              <w:bidi/>
                              <w:spacing w:line="240" w:lineRule="auto"/>
                              <w:jc w:val="center"/>
                              <w:rPr>
                                <w:rFonts w:ascii="FbSfaradi Regular" w:hAnsi="FbSfaradi Regular" w:cs="FbSfaradi Regular"/>
                                <w:sz w:val="2"/>
                                <w:szCs w:val="2"/>
                                <w:rtl/>
                              </w:rPr>
                            </w:pPr>
                          </w:p>
                          <w:p w14:paraId="7F38909B" w14:textId="77777777" w:rsidR="00E15FB0" w:rsidRPr="0041359D" w:rsidRDefault="00E15FB0"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E15FB0" w:rsidRPr="0041359D" w:rsidRDefault="00E15FB0"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E15FB0" w:rsidRPr="00827182" w:rsidRDefault="00E15FB0"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E15FB0" w:rsidRPr="0041359D" w:rsidRDefault="00E15FB0"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E15FB0" w:rsidRDefault="00E15FB0" w:rsidP="004E6CD8">
                      <w:pPr>
                        <w:widowControl w:val="0"/>
                        <w:bidi/>
                        <w:spacing w:line="156" w:lineRule="auto"/>
                        <w:jc w:val="center"/>
                        <w:rPr>
                          <w:rFonts w:ascii="FbSfaradi Regular" w:hAnsi="FbSfaradi Regular" w:cs="FbSfaradi Regular"/>
                          <w:sz w:val="26"/>
                          <w:szCs w:val="26"/>
                          <w:rtl/>
                        </w:rPr>
                      </w:pPr>
                    </w:p>
                    <w:p w14:paraId="483A4320" w14:textId="03D4C189" w:rsidR="00E15FB0" w:rsidRPr="00827182" w:rsidRDefault="00E15FB0"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E15FB0" w:rsidRPr="00E967C0" w:rsidRDefault="00E15FB0" w:rsidP="00827182">
                      <w:pPr>
                        <w:widowControl w:val="0"/>
                        <w:bidi/>
                        <w:spacing w:line="240" w:lineRule="auto"/>
                        <w:jc w:val="center"/>
                        <w:rPr>
                          <w:rFonts w:ascii="FbSfaradi Regular" w:hAnsi="FbSfaradi Regular" w:cs="FbSfaradi Regular"/>
                          <w:sz w:val="2"/>
                          <w:szCs w:val="2"/>
                          <w:rtl/>
                        </w:rPr>
                      </w:pPr>
                    </w:p>
                    <w:p w14:paraId="7F38909B" w14:textId="77777777" w:rsidR="00E15FB0" w:rsidRPr="0041359D" w:rsidRDefault="00E15FB0"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E15FB0" w:rsidRPr="0041359D" w:rsidRDefault="00E15FB0"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E15FB0" w:rsidRPr="00827182" w:rsidRDefault="00E15FB0"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E15FB0" w:rsidRPr="0041359D" w:rsidRDefault="00E15FB0"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E15FB0" w:rsidRPr="008A2DB0" w:rsidRDefault="00E15FB0"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0B68E9D" w:rsidR="00E15FB0" w:rsidRPr="008A2DB0" w:rsidRDefault="00E15FB0" w:rsidP="006F2212">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י"ב</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סא</w:t>
                            </w:r>
                            <w:r w:rsidRPr="008A2DB0">
                              <w:rPr>
                                <w:rFonts w:ascii="FbSfaradi Regular" w:hAnsi="FbSfaradi Regular" w:cs="PFT_Vilna"/>
                                <w:sz w:val="28"/>
                                <w:szCs w:val="28"/>
                                <w:rtl/>
                              </w:rPr>
                              <w:t>]</w:t>
                            </w:r>
                          </w:p>
                          <w:p w14:paraId="4ECF806B" w14:textId="7FB46FA7" w:rsidR="00E15FB0" w:rsidRPr="008A2DB0" w:rsidRDefault="00E15FB0" w:rsidP="009A3E7A">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ויקרא - זכור</w:t>
                            </w:r>
                          </w:p>
                          <w:p w14:paraId="097E572D" w14:textId="77777777" w:rsidR="00E15FB0" w:rsidRPr="008A2DB0" w:rsidRDefault="00E15FB0"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E15FB0" w:rsidRPr="008A2DB0" w:rsidRDefault="00E15FB0"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0B68E9D" w:rsidR="00E15FB0" w:rsidRPr="008A2DB0" w:rsidRDefault="00E15FB0" w:rsidP="006F2212">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י"ב</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סא</w:t>
                      </w:r>
                      <w:r w:rsidRPr="008A2DB0">
                        <w:rPr>
                          <w:rFonts w:ascii="FbSfaradi Regular" w:hAnsi="FbSfaradi Regular" w:cs="PFT_Vilna"/>
                          <w:sz w:val="28"/>
                          <w:szCs w:val="28"/>
                          <w:rtl/>
                        </w:rPr>
                        <w:t>]</w:t>
                      </w:r>
                    </w:p>
                    <w:p w14:paraId="4ECF806B" w14:textId="7FB46FA7" w:rsidR="00E15FB0" w:rsidRPr="008A2DB0" w:rsidRDefault="00E15FB0" w:rsidP="009A3E7A">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ויקרא - זכור</w:t>
                      </w:r>
                    </w:p>
                    <w:p w14:paraId="097E572D" w14:textId="77777777" w:rsidR="00E15FB0" w:rsidRPr="008A2DB0" w:rsidRDefault="00E15FB0"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E15FB0" w:rsidRPr="00A85094" w:rsidRDefault="00E15FB0"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E15FB0" w:rsidRPr="00A85094" w:rsidRDefault="00E15FB0"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E15FB0" w:rsidRPr="00A85094" w:rsidRDefault="00E15FB0"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E15FB0" w:rsidRDefault="00E15FB0"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E15FB0" w:rsidRPr="00A85094" w:rsidRDefault="00E15FB0"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E15FB0" w:rsidRPr="00A85094" w:rsidRDefault="00E15FB0"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E15FB0" w:rsidRPr="00A85094" w:rsidRDefault="00E15FB0"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E15FB0" w:rsidRPr="00A85094" w:rsidRDefault="00E15FB0"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E15FB0" w:rsidRDefault="00E15FB0"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E15FB0" w:rsidRPr="00A85094" w:rsidRDefault="00E15FB0"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E15FB0" w:rsidRPr="00880CC5" w:rsidRDefault="00E15FB0"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E15FB0" w:rsidRPr="00880CC5" w:rsidRDefault="00E15FB0"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0E319A2D" w:rsidR="00C63C03" w:rsidRPr="004F6AB2" w:rsidRDefault="00C45C4C" w:rsidP="006F2212">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A55BEB">
        <w:rPr>
          <w:rFonts w:ascii="FbFRealBelet Bold" w:hAnsi="FbFRealBelet Bold" w:cs="FbFRealBelet Bold" w:hint="cs"/>
          <w:b/>
          <w:bCs/>
          <w:sz w:val="32"/>
          <w:szCs w:val="32"/>
          <w:rtl/>
        </w:rPr>
        <w:t>וי</w:t>
      </w:r>
      <w:r w:rsidR="006F2212">
        <w:rPr>
          <w:rFonts w:ascii="FbFRealBelet Bold" w:hAnsi="FbFRealBelet Bold" w:cs="FbFRealBelet Bold" w:hint="cs"/>
          <w:b/>
          <w:bCs/>
          <w:sz w:val="32"/>
          <w:szCs w:val="32"/>
          <w:rtl/>
        </w:rPr>
        <w:t>קרא</w:t>
      </w:r>
      <w:r w:rsidR="009A3E7A">
        <w:rPr>
          <w:rFonts w:ascii="FbFRealBelet Bold" w:hAnsi="FbFRealBelet Bold" w:cs="FbFRealBelet Bold" w:hint="cs"/>
          <w:b/>
          <w:bCs/>
          <w:sz w:val="32"/>
          <w:szCs w:val="32"/>
          <w:rtl/>
        </w:rPr>
        <w:t xml:space="preserve"> - </w:t>
      </w:r>
      <w:r w:rsidR="006F2212">
        <w:rPr>
          <w:rFonts w:ascii="FbFRealBelet Bold" w:hAnsi="FbFRealBelet Bold" w:cs="FbFRealBelet Bold" w:hint="cs"/>
          <w:b/>
          <w:bCs/>
          <w:sz w:val="32"/>
          <w:szCs w:val="32"/>
          <w:rtl/>
        </w:rPr>
        <w:t>זכור</w:t>
      </w:r>
      <w:r w:rsidR="00C63C03" w:rsidRPr="004F6AB2">
        <w:rPr>
          <w:rFonts w:ascii="FbFRealBelet Bold" w:hAnsi="FbFRealBelet Bold" w:cs="FbFRealBelet Bold"/>
          <w:b/>
          <w:bCs/>
          <w:sz w:val="32"/>
          <w:szCs w:val="32"/>
          <w:rtl/>
        </w:rPr>
        <w:br/>
        <w:t xml:space="preserve">גליון </w:t>
      </w:r>
      <w:r w:rsidR="00A55BEB">
        <w:rPr>
          <w:rFonts w:ascii="FbFRealBelet Bold" w:hAnsi="FbFRealBelet Bold" w:cs="FbFRealBelet Bold" w:hint="cs"/>
          <w:b/>
          <w:bCs/>
          <w:sz w:val="32"/>
          <w:szCs w:val="32"/>
          <w:rtl/>
        </w:rPr>
        <w:t>י"</w:t>
      </w:r>
      <w:r w:rsidR="006F2212">
        <w:rPr>
          <w:rFonts w:ascii="FbFRealBelet Bold" w:hAnsi="FbFRealBelet Bold" w:cs="FbFRealBelet Bold" w:hint="cs"/>
          <w:b/>
          <w:bCs/>
          <w:sz w:val="32"/>
          <w:szCs w:val="32"/>
          <w:rtl/>
        </w:rPr>
        <w:t>ב</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sidR="006F2212">
        <w:rPr>
          <w:rFonts w:ascii="FbFRealBelet Bold" w:hAnsi="FbFRealBelet Bold" w:cs="FbFRealBelet Bold" w:hint="cs"/>
          <w:b/>
          <w:bCs/>
          <w:sz w:val="32"/>
          <w:szCs w:val="32"/>
          <w:rtl/>
        </w:rPr>
        <w:t>א</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bookmarkStart w:id="94" w:name="_Toc3515458"/>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87A5DE2" w14:textId="3FF8C274" w:rsidR="00E15FB0" w:rsidRDefault="00DC501D" w:rsidP="0047300E">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3515459" w:history="1">
            <w:r w:rsidR="00E15FB0" w:rsidRPr="008D54B7">
              <w:rPr>
                <w:rStyle w:val="Hyperlink"/>
                <w:rtl/>
              </w:rPr>
              <w:t>עניני משיח וגאולה</w:t>
            </w:r>
          </w:hyperlink>
        </w:p>
        <w:p w14:paraId="197070FC" w14:textId="77777777" w:rsidR="00E15FB0" w:rsidRDefault="00E15FB0" w:rsidP="0047300E">
          <w:pPr>
            <w:pStyle w:val="TOC2"/>
            <w:rPr>
              <w:rFonts w:asciiTheme="minorHAnsi" w:eastAsiaTheme="minorEastAsia" w:hAnsiTheme="minorHAnsi" w:cstheme="minorBidi"/>
            </w:rPr>
          </w:pPr>
          <w:hyperlink w:anchor="_Toc3515460" w:history="1">
            <w:r w:rsidRPr="008D54B7">
              <w:rPr>
                <w:rStyle w:val="Hyperlink"/>
                <w:rtl/>
              </w:rPr>
              <w:t>ברכת שעשה לי נס לעת"ל</w:t>
            </w:r>
            <w:r>
              <w:rPr>
                <w:webHidden/>
              </w:rPr>
              <w:tab/>
            </w:r>
            <w:r>
              <w:rPr>
                <w:webHidden/>
              </w:rPr>
              <w:fldChar w:fldCharType="begin"/>
            </w:r>
            <w:r>
              <w:rPr>
                <w:webHidden/>
              </w:rPr>
              <w:instrText xml:space="preserve"> PAGEREF _Toc3515460 \h </w:instrText>
            </w:r>
            <w:r>
              <w:rPr>
                <w:webHidden/>
              </w:rPr>
            </w:r>
            <w:r>
              <w:rPr>
                <w:webHidden/>
              </w:rPr>
              <w:fldChar w:fldCharType="separate"/>
            </w:r>
            <w:r>
              <w:rPr>
                <w:webHidden/>
              </w:rPr>
              <w:t>6</w:t>
            </w:r>
            <w:r>
              <w:rPr>
                <w:webHidden/>
              </w:rPr>
              <w:fldChar w:fldCharType="end"/>
            </w:r>
          </w:hyperlink>
        </w:p>
        <w:p w14:paraId="09AB2AC6" w14:textId="5E0EFC45" w:rsidR="00E15FB0" w:rsidRDefault="00E15FB0" w:rsidP="0047300E">
          <w:pPr>
            <w:pStyle w:val="TOC3"/>
            <w:rPr>
              <w:rFonts w:asciiTheme="minorHAnsi" w:eastAsiaTheme="minorEastAsia" w:hAnsiTheme="minorHAnsi" w:cstheme="minorBidi"/>
              <w:sz w:val="22"/>
              <w:szCs w:val="22"/>
              <w:lang w:val="en-US"/>
            </w:rPr>
          </w:pPr>
          <w:hyperlink w:anchor="_Toc3515461" w:history="1">
            <w:r w:rsidRPr="008D54B7">
              <w:rPr>
                <w:rStyle w:val="Hyperlink"/>
                <w:rtl/>
              </w:rPr>
              <w:t>הרב אברהם</w:t>
            </w:r>
            <w:r w:rsidRPr="008D54B7">
              <w:rPr>
                <w:rStyle w:val="Hyperlink"/>
              </w:rPr>
              <w:t xml:space="preserve"> </w:t>
            </w:r>
            <w:r w:rsidRPr="008D54B7">
              <w:rPr>
                <w:rStyle w:val="Hyperlink"/>
                <w:rtl/>
              </w:rPr>
              <w:t>יצחק</w:t>
            </w:r>
            <w:r w:rsidRPr="008D54B7">
              <w:rPr>
                <w:rStyle w:val="Hyperlink"/>
              </w:rPr>
              <w:t xml:space="preserve"> </w:t>
            </w:r>
            <w:r w:rsidRPr="008D54B7">
              <w:rPr>
                <w:rStyle w:val="Hyperlink"/>
                <w:rtl/>
              </w:rPr>
              <w:t>ברוך גערליצקי</w:t>
            </w:r>
          </w:hyperlink>
        </w:p>
        <w:p w14:paraId="06949C64" w14:textId="3D9806C5" w:rsidR="00E15FB0" w:rsidRDefault="00E15FB0" w:rsidP="0047300E">
          <w:pPr>
            <w:pStyle w:val="TOC1"/>
            <w:rPr>
              <w:rFonts w:asciiTheme="minorHAnsi" w:eastAsiaTheme="minorEastAsia" w:hAnsiTheme="minorHAnsi" w:cstheme="minorBidi"/>
              <w:sz w:val="22"/>
              <w:szCs w:val="22"/>
            </w:rPr>
          </w:pPr>
          <w:hyperlink w:anchor="_Toc3515462" w:history="1">
            <w:r w:rsidRPr="008D54B7">
              <w:rPr>
                <w:rStyle w:val="Hyperlink"/>
                <w:rtl/>
              </w:rPr>
              <w:t>תורת רבינו</w:t>
            </w:r>
          </w:hyperlink>
        </w:p>
        <w:p w14:paraId="0E404D1F" w14:textId="77777777" w:rsidR="00E15FB0" w:rsidRDefault="00E15FB0" w:rsidP="0047300E">
          <w:pPr>
            <w:pStyle w:val="TOC2"/>
            <w:rPr>
              <w:rFonts w:asciiTheme="minorHAnsi" w:eastAsiaTheme="minorEastAsia" w:hAnsiTheme="minorHAnsi" w:cstheme="minorBidi"/>
            </w:rPr>
          </w:pPr>
          <w:hyperlink w:anchor="_Toc3515463" w:history="1">
            <w:r w:rsidRPr="008D54B7">
              <w:rPr>
                <w:rStyle w:val="Hyperlink"/>
              </w:rPr>
              <w:t>"</w:t>
            </w:r>
            <w:r w:rsidRPr="008D54B7">
              <w:rPr>
                <w:rStyle w:val="Hyperlink"/>
                <w:rtl/>
              </w:rPr>
              <w:t>נותנו כולו כאחת בפעם אחת</w:t>
            </w:r>
            <w:r w:rsidRPr="008D54B7">
              <w:rPr>
                <w:rStyle w:val="Hyperlink"/>
              </w:rPr>
              <w:t>"</w:t>
            </w:r>
            <w:r>
              <w:rPr>
                <w:webHidden/>
              </w:rPr>
              <w:tab/>
            </w:r>
            <w:r>
              <w:rPr>
                <w:webHidden/>
              </w:rPr>
              <w:fldChar w:fldCharType="begin"/>
            </w:r>
            <w:r>
              <w:rPr>
                <w:webHidden/>
              </w:rPr>
              <w:instrText xml:space="preserve"> PAGEREF _Toc3515463 \h </w:instrText>
            </w:r>
            <w:r>
              <w:rPr>
                <w:webHidden/>
              </w:rPr>
            </w:r>
            <w:r>
              <w:rPr>
                <w:webHidden/>
              </w:rPr>
              <w:fldChar w:fldCharType="separate"/>
            </w:r>
            <w:r>
              <w:rPr>
                <w:webHidden/>
              </w:rPr>
              <w:t>12</w:t>
            </w:r>
            <w:r>
              <w:rPr>
                <w:webHidden/>
              </w:rPr>
              <w:fldChar w:fldCharType="end"/>
            </w:r>
          </w:hyperlink>
        </w:p>
        <w:p w14:paraId="53DB58DB" w14:textId="21C3367C" w:rsidR="00E15FB0" w:rsidRDefault="00E15FB0" w:rsidP="0047300E">
          <w:pPr>
            <w:pStyle w:val="TOC3"/>
            <w:rPr>
              <w:rFonts w:asciiTheme="minorHAnsi" w:eastAsiaTheme="minorEastAsia" w:hAnsiTheme="minorHAnsi" w:cstheme="minorBidi"/>
              <w:sz w:val="22"/>
              <w:szCs w:val="22"/>
              <w:lang w:val="en-US"/>
            </w:rPr>
          </w:pPr>
          <w:hyperlink w:anchor="_Toc3515464" w:history="1">
            <w:r w:rsidRPr="008D54B7">
              <w:rPr>
                <w:rStyle w:val="Hyperlink"/>
                <w:rtl/>
              </w:rPr>
              <w:t>הרב חנניא יוסף אייזנבך</w:t>
            </w:r>
          </w:hyperlink>
        </w:p>
        <w:p w14:paraId="20ECA50C" w14:textId="77777777" w:rsidR="00E15FB0" w:rsidRDefault="00E15FB0" w:rsidP="0047300E">
          <w:pPr>
            <w:pStyle w:val="TOC2"/>
            <w:rPr>
              <w:rFonts w:asciiTheme="minorHAnsi" w:eastAsiaTheme="minorEastAsia" w:hAnsiTheme="minorHAnsi" w:cstheme="minorBidi"/>
            </w:rPr>
          </w:pPr>
          <w:hyperlink w:anchor="_Toc3515465" w:history="1">
            <w:r w:rsidRPr="008D54B7">
              <w:rPr>
                <w:rStyle w:val="Hyperlink"/>
                <w:rtl/>
              </w:rPr>
              <w:t>הראהו מטבע של אש</w:t>
            </w:r>
            <w:r>
              <w:rPr>
                <w:webHidden/>
              </w:rPr>
              <w:tab/>
            </w:r>
            <w:r>
              <w:rPr>
                <w:webHidden/>
              </w:rPr>
              <w:fldChar w:fldCharType="begin"/>
            </w:r>
            <w:r>
              <w:rPr>
                <w:webHidden/>
              </w:rPr>
              <w:instrText xml:space="preserve"> PAGEREF _Toc3515465 \h </w:instrText>
            </w:r>
            <w:r>
              <w:rPr>
                <w:webHidden/>
              </w:rPr>
            </w:r>
            <w:r>
              <w:rPr>
                <w:webHidden/>
              </w:rPr>
              <w:fldChar w:fldCharType="separate"/>
            </w:r>
            <w:r>
              <w:rPr>
                <w:webHidden/>
              </w:rPr>
              <w:t>16</w:t>
            </w:r>
            <w:r>
              <w:rPr>
                <w:webHidden/>
              </w:rPr>
              <w:fldChar w:fldCharType="end"/>
            </w:r>
          </w:hyperlink>
        </w:p>
        <w:p w14:paraId="31848EE2" w14:textId="0D67202B" w:rsidR="00E15FB0" w:rsidRDefault="00E15FB0" w:rsidP="0047300E">
          <w:pPr>
            <w:pStyle w:val="TOC3"/>
            <w:rPr>
              <w:rFonts w:asciiTheme="minorHAnsi" w:eastAsiaTheme="minorEastAsia" w:hAnsiTheme="minorHAnsi" w:cstheme="minorBidi"/>
              <w:sz w:val="22"/>
              <w:szCs w:val="22"/>
              <w:lang w:val="en-US"/>
            </w:rPr>
          </w:pPr>
          <w:hyperlink w:anchor="_Toc3515466" w:history="1">
            <w:r w:rsidRPr="008D54B7">
              <w:rPr>
                <w:rStyle w:val="Hyperlink"/>
                <w:rtl/>
              </w:rPr>
              <w:t>הרב פישל אסטער</w:t>
            </w:r>
          </w:hyperlink>
        </w:p>
        <w:p w14:paraId="456A3F8E" w14:textId="77777777" w:rsidR="00E15FB0" w:rsidRDefault="00E15FB0" w:rsidP="0047300E">
          <w:pPr>
            <w:pStyle w:val="TOC2"/>
            <w:rPr>
              <w:rFonts w:asciiTheme="minorHAnsi" w:eastAsiaTheme="minorEastAsia" w:hAnsiTheme="minorHAnsi" w:cstheme="minorBidi"/>
            </w:rPr>
          </w:pPr>
          <w:hyperlink w:anchor="_Toc3515467" w:history="1">
            <w:r w:rsidRPr="008D54B7">
              <w:rPr>
                <w:rStyle w:val="Hyperlink"/>
                <w:rtl/>
              </w:rPr>
              <w:t>לימוד</w:t>
            </w:r>
            <w:r w:rsidRPr="008D54B7">
              <w:rPr>
                <w:rStyle w:val="Hyperlink"/>
              </w:rPr>
              <w:t xml:space="preserve"> </w:t>
            </w:r>
            <w:r w:rsidRPr="008D54B7">
              <w:rPr>
                <w:rStyle w:val="Hyperlink"/>
                <w:rtl/>
              </w:rPr>
              <w:t>תורה</w:t>
            </w:r>
            <w:r w:rsidRPr="008D54B7">
              <w:rPr>
                <w:rStyle w:val="Hyperlink"/>
              </w:rPr>
              <w:t xml:space="preserve"> </w:t>
            </w:r>
            <w:r w:rsidRPr="008D54B7">
              <w:rPr>
                <w:rStyle w:val="Hyperlink"/>
                <w:rtl/>
              </w:rPr>
              <w:t>שלא</w:t>
            </w:r>
            <w:r w:rsidRPr="008D54B7">
              <w:rPr>
                <w:rStyle w:val="Hyperlink"/>
              </w:rPr>
              <w:t xml:space="preserve"> </w:t>
            </w:r>
            <w:r w:rsidRPr="008D54B7">
              <w:rPr>
                <w:rStyle w:val="Hyperlink"/>
                <w:rtl/>
              </w:rPr>
              <w:t>לשמה</w:t>
            </w:r>
            <w:r>
              <w:rPr>
                <w:webHidden/>
              </w:rPr>
              <w:tab/>
            </w:r>
            <w:r>
              <w:rPr>
                <w:webHidden/>
              </w:rPr>
              <w:fldChar w:fldCharType="begin"/>
            </w:r>
            <w:r>
              <w:rPr>
                <w:webHidden/>
              </w:rPr>
              <w:instrText xml:space="preserve"> PAGEREF _Toc3515467 \h </w:instrText>
            </w:r>
            <w:r>
              <w:rPr>
                <w:webHidden/>
              </w:rPr>
            </w:r>
            <w:r>
              <w:rPr>
                <w:webHidden/>
              </w:rPr>
              <w:fldChar w:fldCharType="separate"/>
            </w:r>
            <w:r>
              <w:rPr>
                <w:webHidden/>
              </w:rPr>
              <w:t>17</w:t>
            </w:r>
            <w:r>
              <w:rPr>
                <w:webHidden/>
              </w:rPr>
              <w:fldChar w:fldCharType="end"/>
            </w:r>
          </w:hyperlink>
        </w:p>
        <w:p w14:paraId="1815010E" w14:textId="1529B6F9" w:rsidR="00E15FB0" w:rsidRDefault="00E15FB0" w:rsidP="0047300E">
          <w:pPr>
            <w:pStyle w:val="TOC3"/>
            <w:rPr>
              <w:rFonts w:asciiTheme="minorHAnsi" w:eastAsiaTheme="minorEastAsia" w:hAnsiTheme="minorHAnsi" w:cstheme="minorBidi"/>
              <w:sz w:val="22"/>
              <w:szCs w:val="22"/>
              <w:lang w:val="en-US"/>
            </w:rPr>
          </w:pPr>
          <w:hyperlink w:anchor="_Toc3515468" w:history="1">
            <w:r w:rsidRPr="008D54B7">
              <w:rPr>
                <w:rStyle w:val="Hyperlink"/>
                <w:rtl/>
              </w:rPr>
              <w:t>הרב</w:t>
            </w:r>
            <w:r w:rsidRPr="008D54B7">
              <w:rPr>
                <w:rStyle w:val="Hyperlink"/>
              </w:rPr>
              <w:t xml:space="preserve"> </w:t>
            </w:r>
            <w:r w:rsidRPr="008D54B7">
              <w:rPr>
                <w:rStyle w:val="Hyperlink"/>
                <w:rtl/>
              </w:rPr>
              <w:t>ישראל נחום וילהלם</w:t>
            </w:r>
          </w:hyperlink>
        </w:p>
        <w:p w14:paraId="78D64116" w14:textId="77777777" w:rsidR="00E15FB0" w:rsidRDefault="00E15FB0" w:rsidP="0047300E">
          <w:pPr>
            <w:pStyle w:val="TOC2"/>
            <w:rPr>
              <w:rFonts w:asciiTheme="minorHAnsi" w:eastAsiaTheme="minorEastAsia" w:hAnsiTheme="minorHAnsi" w:cstheme="minorBidi"/>
            </w:rPr>
          </w:pPr>
          <w:hyperlink w:anchor="_Toc3515469" w:history="1">
            <w:r w:rsidRPr="008D54B7">
              <w:rPr>
                <w:rStyle w:val="Hyperlink"/>
                <w:rtl/>
              </w:rPr>
              <w:t>הערה במקור בלקו"ש</w:t>
            </w:r>
            <w:r>
              <w:rPr>
                <w:webHidden/>
              </w:rPr>
              <w:tab/>
            </w:r>
            <w:r>
              <w:rPr>
                <w:webHidden/>
              </w:rPr>
              <w:fldChar w:fldCharType="begin"/>
            </w:r>
            <w:r>
              <w:rPr>
                <w:webHidden/>
              </w:rPr>
              <w:instrText xml:space="preserve"> PAGEREF _Toc3515469 \h </w:instrText>
            </w:r>
            <w:r>
              <w:rPr>
                <w:webHidden/>
              </w:rPr>
            </w:r>
            <w:r>
              <w:rPr>
                <w:webHidden/>
              </w:rPr>
              <w:fldChar w:fldCharType="separate"/>
            </w:r>
            <w:r>
              <w:rPr>
                <w:webHidden/>
              </w:rPr>
              <w:t>21</w:t>
            </w:r>
            <w:r>
              <w:rPr>
                <w:webHidden/>
              </w:rPr>
              <w:fldChar w:fldCharType="end"/>
            </w:r>
          </w:hyperlink>
        </w:p>
        <w:p w14:paraId="4E8BE260" w14:textId="77777777" w:rsidR="00E15FB0" w:rsidRDefault="00E15FB0" w:rsidP="0047300E">
          <w:pPr>
            <w:pStyle w:val="TOC3"/>
            <w:rPr>
              <w:rFonts w:asciiTheme="minorHAnsi" w:eastAsiaTheme="minorEastAsia" w:hAnsiTheme="minorHAnsi" w:cstheme="minorBidi"/>
              <w:sz w:val="22"/>
              <w:szCs w:val="22"/>
              <w:lang w:val="en-US"/>
            </w:rPr>
          </w:pPr>
          <w:hyperlink w:anchor="_Toc3515470" w:history="1">
            <w:r w:rsidRPr="008D54B7">
              <w:rPr>
                <w:rStyle w:val="Hyperlink"/>
                <w:rtl/>
              </w:rPr>
              <w:t>הת' שמואל גורארי</w:t>
            </w:r>
            <w:r w:rsidRPr="008D54B7">
              <w:rPr>
                <w:rStyle w:val="Hyperlink"/>
              </w:rPr>
              <w:t>'</w:t>
            </w:r>
            <w:r>
              <w:rPr>
                <w:webHidden/>
              </w:rPr>
              <w:tab/>
            </w:r>
            <w:r>
              <w:rPr>
                <w:webHidden/>
              </w:rPr>
              <w:fldChar w:fldCharType="begin"/>
            </w:r>
            <w:r>
              <w:rPr>
                <w:webHidden/>
              </w:rPr>
              <w:instrText xml:space="preserve"> PAGEREF _Toc3515470 \h </w:instrText>
            </w:r>
            <w:r>
              <w:rPr>
                <w:webHidden/>
              </w:rPr>
            </w:r>
            <w:r>
              <w:rPr>
                <w:webHidden/>
              </w:rPr>
              <w:fldChar w:fldCharType="separate"/>
            </w:r>
            <w:r>
              <w:rPr>
                <w:webHidden/>
              </w:rPr>
              <w:t>21</w:t>
            </w:r>
            <w:r>
              <w:rPr>
                <w:webHidden/>
              </w:rPr>
              <w:fldChar w:fldCharType="end"/>
            </w:r>
          </w:hyperlink>
        </w:p>
        <w:p w14:paraId="6778609A" w14:textId="79D2D1A7" w:rsidR="00E15FB0" w:rsidRDefault="00E15FB0" w:rsidP="0047300E">
          <w:pPr>
            <w:pStyle w:val="TOC1"/>
            <w:rPr>
              <w:rFonts w:asciiTheme="minorHAnsi" w:eastAsiaTheme="minorEastAsia" w:hAnsiTheme="minorHAnsi" w:cstheme="minorBidi"/>
              <w:sz w:val="22"/>
              <w:szCs w:val="22"/>
            </w:rPr>
          </w:pPr>
          <w:hyperlink w:anchor="_Toc3515471" w:history="1">
            <w:r w:rsidRPr="008D54B7">
              <w:rPr>
                <w:rStyle w:val="Hyperlink"/>
                <w:rtl/>
              </w:rPr>
              <w:t>רשימות</w:t>
            </w:r>
          </w:hyperlink>
        </w:p>
        <w:p w14:paraId="101EEB16" w14:textId="77777777" w:rsidR="00E15FB0" w:rsidRDefault="00E15FB0" w:rsidP="0047300E">
          <w:pPr>
            <w:pStyle w:val="TOC2"/>
            <w:rPr>
              <w:rFonts w:asciiTheme="minorHAnsi" w:eastAsiaTheme="minorEastAsia" w:hAnsiTheme="minorHAnsi" w:cstheme="minorBidi"/>
            </w:rPr>
          </w:pPr>
          <w:hyperlink w:anchor="_Toc3515472" w:history="1">
            <w:r w:rsidRPr="008D54B7">
              <w:rPr>
                <w:rStyle w:val="Hyperlink"/>
                <w:rtl/>
              </w:rPr>
              <w:t>שם המפורש</w:t>
            </w:r>
            <w:r>
              <w:rPr>
                <w:webHidden/>
              </w:rPr>
              <w:tab/>
            </w:r>
            <w:r>
              <w:rPr>
                <w:webHidden/>
              </w:rPr>
              <w:fldChar w:fldCharType="begin"/>
            </w:r>
            <w:r>
              <w:rPr>
                <w:webHidden/>
              </w:rPr>
              <w:instrText xml:space="preserve"> PAGEREF _Toc3515472 \h </w:instrText>
            </w:r>
            <w:r>
              <w:rPr>
                <w:webHidden/>
              </w:rPr>
            </w:r>
            <w:r>
              <w:rPr>
                <w:webHidden/>
              </w:rPr>
              <w:fldChar w:fldCharType="separate"/>
            </w:r>
            <w:r>
              <w:rPr>
                <w:webHidden/>
              </w:rPr>
              <w:t>22</w:t>
            </w:r>
            <w:r>
              <w:rPr>
                <w:webHidden/>
              </w:rPr>
              <w:fldChar w:fldCharType="end"/>
            </w:r>
          </w:hyperlink>
        </w:p>
        <w:p w14:paraId="0D2D5721" w14:textId="1D31D306" w:rsidR="00E15FB0" w:rsidRDefault="00E15FB0" w:rsidP="0047300E">
          <w:pPr>
            <w:pStyle w:val="TOC3"/>
            <w:rPr>
              <w:rFonts w:asciiTheme="minorHAnsi" w:eastAsiaTheme="minorEastAsia" w:hAnsiTheme="minorHAnsi" w:cstheme="minorBidi"/>
              <w:sz w:val="22"/>
              <w:szCs w:val="22"/>
              <w:lang w:val="en-US"/>
            </w:rPr>
          </w:pPr>
          <w:hyperlink w:anchor="_Toc3515473" w:history="1">
            <w:r w:rsidRPr="008D54B7">
              <w:rPr>
                <w:rStyle w:val="Hyperlink"/>
                <w:rtl/>
              </w:rPr>
              <w:t>הרב ראובן וויטקעס</w:t>
            </w:r>
          </w:hyperlink>
        </w:p>
        <w:p w14:paraId="1F743FF1" w14:textId="1B05BEE3" w:rsidR="00E15FB0" w:rsidRDefault="00E15FB0" w:rsidP="0047300E">
          <w:pPr>
            <w:pStyle w:val="TOC1"/>
            <w:rPr>
              <w:rFonts w:asciiTheme="minorHAnsi" w:eastAsiaTheme="minorEastAsia" w:hAnsiTheme="minorHAnsi" w:cstheme="minorBidi"/>
              <w:sz w:val="22"/>
              <w:szCs w:val="22"/>
            </w:rPr>
          </w:pPr>
          <w:hyperlink w:anchor="_Toc3515474" w:history="1">
            <w:r w:rsidRPr="008D54B7">
              <w:rPr>
                <w:rStyle w:val="Hyperlink"/>
                <w:rtl/>
              </w:rPr>
              <w:t>נגלה</w:t>
            </w:r>
          </w:hyperlink>
        </w:p>
        <w:p w14:paraId="49C5C7CF" w14:textId="77777777" w:rsidR="00E15FB0" w:rsidRDefault="00E15FB0" w:rsidP="0047300E">
          <w:pPr>
            <w:pStyle w:val="TOC2"/>
            <w:rPr>
              <w:rFonts w:asciiTheme="minorHAnsi" w:eastAsiaTheme="minorEastAsia" w:hAnsiTheme="minorHAnsi" w:cstheme="minorBidi"/>
            </w:rPr>
          </w:pPr>
          <w:hyperlink w:anchor="_Toc3515475" w:history="1">
            <w:r w:rsidRPr="008D54B7">
              <w:rPr>
                <w:rStyle w:val="Hyperlink"/>
                <w:rtl/>
              </w:rPr>
              <w:t>דעת רבינו הזקן בשיעורים של מאכל בן דרוסאי ויד סולדת בו בבישול בשבת</w:t>
            </w:r>
            <w:r>
              <w:rPr>
                <w:webHidden/>
              </w:rPr>
              <w:tab/>
            </w:r>
            <w:r>
              <w:rPr>
                <w:webHidden/>
              </w:rPr>
              <w:fldChar w:fldCharType="begin"/>
            </w:r>
            <w:r>
              <w:rPr>
                <w:webHidden/>
              </w:rPr>
              <w:instrText xml:space="preserve"> PAGEREF _Toc3515475 \h </w:instrText>
            </w:r>
            <w:r>
              <w:rPr>
                <w:webHidden/>
              </w:rPr>
            </w:r>
            <w:r>
              <w:rPr>
                <w:webHidden/>
              </w:rPr>
              <w:fldChar w:fldCharType="separate"/>
            </w:r>
            <w:r>
              <w:rPr>
                <w:webHidden/>
              </w:rPr>
              <w:t>23</w:t>
            </w:r>
            <w:r>
              <w:rPr>
                <w:webHidden/>
              </w:rPr>
              <w:fldChar w:fldCharType="end"/>
            </w:r>
          </w:hyperlink>
        </w:p>
        <w:p w14:paraId="438F2013" w14:textId="78CF19C4" w:rsidR="00E15FB0" w:rsidRDefault="00E15FB0" w:rsidP="0047300E">
          <w:pPr>
            <w:pStyle w:val="TOC3"/>
            <w:rPr>
              <w:rFonts w:asciiTheme="minorHAnsi" w:eastAsiaTheme="minorEastAsia" w:hAnsiTheme="minorHAnsi" w:cstheme="minorBidi"/>
              <w:sz w:val="22"/>
              <w:szCs w:val="22"/>
              <w:lang w:val="en-US"/>
            </w:rPr>
          </w:pPr>
          <w:hyperlink w:anchor="_Toc3515476" w:history="1">
            <w:r w:rsidRPr="008D54B7">
              <w:rPr>
                <w:rStyle w:val="Hyperlink"/>
                <w:rtl/>
                <w:lang w:val="en-US"/>
              </w:rPr>
              <w:t>הרב</w:t>
            </w:r>
            <w:r w:rsidRPr="008D54B7">
              <w:rPr>
                <w:rStyle w:val="Hyperlink"/>
                <w:lang w:val="en-US"/>
              </w:rPr>
              <w:t xml:space="preserve"> </w:t>
            </w:r>
            <w:r w:rsidRPr="008D54B7">
              <w:rPr>
                <w:rStyle w:val="Hyperlink"/>
                <w:rtl/>
              </w:rPr>
              <w:t>אלימלך יוסף הכהן סילבערבערג</w:t>
            </w:r>
          </w:hyperlink>
        </w:p>
        <w:p w14:paraId="64CE4481" w14:textId="77777777" w:rsidR="00E15FB0" w:rsidRDefault="00E15FB0" w:rsidP="0047300E">
          <w:pPr>
            <w:pStyle w:val="TOC2"/>
            <w:rPr>
              <w:rFonts w:asciiTheme="minorHAnsi" w:eastAsiaTheme="minorEastAsia" w:hAnsiTheme="minorHAnsi" w:cstheme="minorBidi"/>
            </w:rPr>
          </w:pPr>
          <w:hyperlink w:anchor="_Toc3515477" w:history="1">
            <w:r w:rsidRPr="008D54B7">
              <w:rPr>
                <w:rStyle w:val="Hyperlink"/>
                <w:rFonts w:eastAsia="David Libre"/>
                <w:rtl/>
              </w:rPr>
              <w:t>לחם עני הקרי והכתיב</w:t>
            </w:r>
            <w:r>
              <w:rPr>
                <w:webHidden/>
              </w:rPr>
              <w:tab/>
            </w:r>
            <w:r>
              <w:rPr>
                <w:webHidden/>
              </w:rPr>
              <w:fldChar w:fldCharType="begin"/>
            </w:r>
            <w:r>
              <w:rPr>
                <w:webHidden/>
              </w:rPr>
              <w:instrText xml:space="preserve"> PAGEREF _Toc3515477 \h </w:instrText>
            </w:r>
            <w:r>
              <w:rPr>
                <w:webHidden/>
              </w:rPr>
            </w:r>
            <w:r>
              <w:rPr>
                <w:webHidden/>
              </w:rPr>
              <w:fldChar w:fldCharType="separate"/>
            </w:r>
            <w:r>
              <w:rPr>
                <w:webHidden/>
              </w:rPr>
              <w:t>25</w:t>
            </w:r>
            <w:r>
              <w:rPr>
                <w:webHidden/>
              </w:rPr>
              <w:fldChar w:fldCharType="end"/>
            </w:r>
          </w:hyperlink>
        </w:p>
        <w:p w14:paraId="5826ED44" w14:textId="59BE4551" w:rsidR="00E15FB0" w:rsidRDefault="00E15FB0" w:rsidP="0047300E">
          <w:pPr>
            <w:pStyle w:val="TOC3"/>
            <w:rPr>
              <w:rFonts w:asciiTheme="minorHAnsi" w:eastAsiaTheme="minorEastAsia" w:hAnsiTheme="minorHAnsi" w:cstheme="minorBidi"/>
              <w:sz w:val="22"/>
              <w:szCs w:val="22"/>
              <w:lang w:val="en-US"/>
            </w:rPr>
          </w:pPr>
          <w:hyperlink w:anchor="_Toc3515478" w:history="1">
            <w:r w:rsidRPr="008D54B7">
              <w:rPr>
                <w:rStyle w:val="Hyperlink"/>
                <w:rtl/>
              </w:rPr>
              <w:t>הרב מרדכי</w:t>
            </w:r>
            <w:r w:rsidRPr="008D54B7">
              <w:rPr>
                <w:rStyle w:val="Hyperlink"/>
              </w:rPr>
              <w:t xml:space="preserve"> </w:t>
            </w:r>
            <w:r w:rsidRPr="008D54B7">
              <w:rPr>
                <w:rStyle w:val="Hyperlink"/>
                <w:rtl/>
              </w:rPr>
              <w:t>דובער ווילהעלם</w:t>
            </w:r>
          </w:hyperlink>
        </w:p>
        <w:p w14:paraId="686932D3" w14:textId="77777777" w:rsidR="00E15FB0" w:rsidRDefault="00E15FB0" w:rsidP="0047300E">
          <w:pPr>
            <w:pStyle w:val="TOC2"/>
            <w:rPr>
              <w:rFonts w:asciiTheme="minorHAnsi" w:eastAsiaTheme="minorEastAsia" w:hAnsiTheme="minorHAnsi" w:cstheme="minorBidi"/>
            </w:rPr>
          </w:pPr>
          <w:hyperlink w:anchor="_Toc3515479" w:history="1">
            <w:r w:rsidRPr="008D54B7">
              <w:rPr>
                <w:rStyle w:val="Hyperlink"/>
                <w:rtl/>
              </w:rPr>
              <w:t>קבוע עדיף מחזקה או לא</w:t>
            </w:r>
            <w:r>
              <w:rPr>
                <w:webHidden/>
              </w:rPr>
              <w:tab/>
            </w:r>
            <w:r>
              <w:rPr>
                <w:webHidden/>
              </w:rPr>
              <w:fldChar w:fldCharType="begin"/>
            </w:r>
            <w:r>
              <w:rPr>
                <w:webHidden/>
              </w:rPr>
              <w:instrText xml:space="preserve"> PAGEREF _Toc3515479 \h </w:instrText>
            </w:r>
            <w:r>
              <w:rPr>
                <w:webHidden/>
              </w:rPr>
            </w:r>
            <w:r>
              <w:rPr>
                <w:webHidden/>
              </w:rPr>
              <w:fldChar w:fldCharType="separate"/>
            </w:r>
            <w:r>
              <w:rPr>
                <w:webHidden/>
              </w:rPr>
              <w:t>27</w:t>
            </w:r>
            <w:r>
              <w:rPr>
                <w:webHidden/>
              </w:rPr>
              <w:fldChar w:fldCharType="end"/>
            </w:r>
          </w:hyperlink>
        </w:p>
        <w:p w14:paraId="26CFC2CA" w14:textId="3FCC5174" w:rsidR="00E15FB0" w:rsidRDefault="00E15FB0" w:rsidP="0047300E">
          <w:pPr>
            <w:pStyle w:val="TOC3"/>
            <w:rPr>
              <w:rFonts w:asciiTheme="minorHAnsi" w:eastAsiaTheme="minorEastAsia" w:hAnsiTheme="minorHAnsi" w:cstheme="minorBidi"/>
              <w:sz w:val="22"/>
              <w:szCs w:val="22"/>
              <w:lang w:val="en-US"/>
            </w:rPr>
          </w:pPr>
          <w:hyperlink w:anchor="_Toc3515480" w:history="1">
            <w:r w:rsidRPr="008D54B7">
              <w:rPr>
                <w:rStyle w:val="Hyperlink"/>
                <w:rtl/>
              </w:rPr>
              <w:t>הת' יוסף אברהם הלוי שטאל</w:t>
            </w:r>
          </w:hyperlink>
        </w:p>
        <w:p w14:paraId="0B7075B6" w14:textId="77777777" w:rsidR="00E15FB0" w:rsidRDefault="00E15FB0" w:rsidP="0047300E">
          <w:pPr>
            <w:pStyle w:val="TOC2"/>
            <w:rPr>
              <w:rFonts w:asciiTheme="minorHAnsi" w:eastAsiaTheme="minorEastAsia" w:hAnsiTheme="minorHAnsi" w:cstheme="minorBidi"/>
            </w:rPr>
          </w:pPr>
          <w:hyperlink w:anchor="_Toc3515481" w:history="1">
            <w:r w:rsidRPr="008D54B7">
              <w:rPr>
                <w:rStyle w:val="Hyperlink"/>
                <w:rtl/>
              </w:rPr>
              <w:t>הטעם שנשים חייבות במצות אכילת מצה</w:t>
            </w:r>
            <w:r>
              <w:rPr>
                <w:webHidden/>
              </w:rPr>
              <w:tab/>
            </w:r>
            <w:r>
              <w:rPr>
                <w:webHidden/>
              </w:rPr>
              <w:fldChar w:fldCharType="begin"/>
            </w:r>
            <w:r>
              <w:rPr>
                <w:webHidden/>
              </w:rPr>
              <w:instrText xml:space="preserve"> PAGEREF _Toc3515481 \h </w:instrText>
            </w:r>
            <w:r>
              <w:rPr>
                <w:webHidden/>
              </w:rPr>
            </w:r>
            <w:r>
              <w:rPr>
                <w:webHidden/>
              </w:rPr>
              <w:fldChar w:fldCharType="separate"/>
            </w:r>
            <w:r>
              <w:rPr>
                <w:webHidden/>
              </w:rPr>
              <w:t>29</w:t>
            </w:r>
            <w:r>
              <w:rPr>
                <w:webHidden/>
              </w:rPr>
              <w:fldChar w:fldCharType="end"/>
            </w:r>
          </w:hyperlink>
        </w:p>
        <w:p w14:paraId="74606EAD" w14:textId="29585122" w:rsidR="00E15FB0" w:rsidRDefault="00E15FB0" w:rsidP="0047300E">
          <w:pPr>
            <w:pStyle w:val="TOC3"/>
            <w:rPr>
              <w:rFonts w:asciiTheme="minorHAnsi" w:eastAsiaTheme="minorEastAsia" w:hAnsiTheme="minorHAnsi" w:cstheme="minorBidi"/>
              <w:sz w:val="22"/>
              <w:szCs w:val="22"/>
              <w:lang w:val="en-US"/>
            </w:rPr>
          </w:pPr>
          <w:hyperlink w:anchor="_Toc3515482" w:history="1">
            <w:r w:rsidRPr="008D54B7">
              <w:rPr>
                <w:rStyle w:val="Hyperlink"/>
                <w:rtl/>
              </w:rPr>
              <w:t>הת' נתן יהושע סטאליק</w:t>
            </w:r>
          </w:hyperlink>
        </w:p>
        <w:p w14:paraId="3282DF74" w14:textId="609FA2CC" w:rsidR="00E15FB0" w:rsidRDefault="00E15FB0" w:rsidP="0047300E">
          <w:pPr>
            <w:pStyle w:val="TOC2"/>
            <w:rPr>
              <w:rFonts w:asciiTheme="minorHAnsi" w:eastAsiaTheme="minorEastAsia" w:hAnsiTheme="minorHAnsi" w:cstheme="minorBidi"/>
            </w:rPr>
          </w:pPr>
          <w:hyperlink w:anchor="_Toc3515483" w:history="1">
            <w:r w:rsidRPr="008D54B7">
              <w:rPr>
                <w:rStyle w:val="Hyperlink"/>
                <w:rFonts w:asciiTheme="majorBidi" w:hAnsiTheme="majorBidi" w:cs="Times New Roman"/>
                <w:b/>
                <w:rtl/>
              </w:rPr>
              <w:t>בענין גיררה</w:t>
            </w:r>
            <w:r w:rsidRPr="008D54B7">
              <w:rPr>
                <w:rStyle w:val="Hyperlink"/>
                <w:rFonts w:asciiTheme="majorBidi" w:hAnsiTheme="majorBidi" w:cs="Times New Roman"/>
                <w:b/>
              </w:rPr>
              <w:t xml:space="preserve"> </w:t>
            </w:r>
            <w:r w:rsidRPr="008D54B7">
              <w:rPr>
                <w:rStyle w:val="Hyperlink"/>
                <w:rFonts w:asciiTheme="majorBidi" w:hAnsiTheme="majorBidi" w:cs="Times New Roman"/>
                <w:b/>
                <w:rtl/>
              </w:rPr>
              <w:t>חולדה היכא דחזינן</w:t>
            </w:r>
            <w:r w:rsidRPr="008D54B7">
              <w:rPr>
                <w:rStyle w:val="Hyperlink"/>
                <w:rFonts w:asciiTheme="majorBidi" w:hAnsiTheme="majorBidi" w:cs="Times New Roman"/>
                <w:b/>
              </w:rPr>
              <w:t xml:space="preserve"> </w:t>
            </w:r>
            <w:r w:rsidRPr="008D54B7">
              <w:rPr>
                <w:rStyle w:val="Hyperlink"/>
                <w:rFonts w:asciiTheme="majorBidi" w:hAnsiTheme="majorBidi" w:cs="Times New Roman"/>
                <w:b/>
                <w:rtl/>
              </w:rPr>
              <w:t>דשקל</w:t>
            </w:r>
            <w:r w:rsidRPr="008D54B7">
              <w:rPr>
                <w:rStyle w:val="Hyperlink"/>
                <w:rFonts w:asciiTheme="majorBidi" w:hAnsiTheme="majorBidi" w:cs="Times New Roman"/>
                <w:b/>
              </w:rPr>
              <w:t xml:space="preserve"> </w:t>
            </w:r>
            <w:r w:rsidR="0047300E">
              <w:rPr>
                <w:rStyle w:val="Hyperlink"/>
                <w:rFonts w:hint="cs"/>
                <w:rtl/>
              </w:rPr>
              <w:t>(</w:t>
            </w:r>
            <w:r w:rsidRPr="008D54B7">
              <w:rPr>
                <w:rStyle w:val="Hyperlink"/>
                <w:rtl/>
              </w:rPr>
              <w:t>גליון</w:t>
            </w:r>
            <w:r w:rsidR="0047300E">
              <w:rPr>
                <w:rStyle w:val="Hyperlink"/>
                <w:rFonts w:hint="cs"/>
                <w:rtl/>
              </w:rPr>
              <w:t>)</w:t>
            </w:r>
            <w:r>
              <w:rPr>
                <w:webHidden/>
              </w:rPr>
              <w:tab/>
            </w:r>
            <w:r>
              <w:rPr>
                <w:webHidden/>
              </w:rPr>
              <w:fldChar w:fldCharType="begin"/>
            </w:r>
            <w:r>
              <w:rPr>
                <w:webHidden/>
              </w:rPr>
              <w:instrText xml:space="preserve"> PAGEREF _Toc3515483 \h </w:instrText>
            </w:r>
            <w:r>
              <w:rPr>
                <w:webHidden/>
              </w:rPr>
            </w:r>
            <w:r>
              <w:rPr>
                <w:webHidden/>
              </w:rPr>
              <w:fldChar w:fldCharType="separate"/>
            </w:r>
            <w:r>
              <w:rPr>
                <w:webHidden/>
              </w:rPr>
              <w:t>31</w:t>
            </w:r>
            <w:r>
              <w:rPr>
                <w:webHidden/>
              </w:rPr>
              <w:fldChar w:fldCharType="end"/>
            </w:r>
          </w:hyperlink>
        </w:p>
        <w:p w14:paraId="61C341AD" w14:textId="67354DD0" w:rsidR="00E15FB0" w:rsidRDefault="00E15FB0" w:rsidP="0047300E">
          <w:pPr>
            <w:pStyle w:val="TOC3"/>
            <w:rPr>
              <w:rFonts w:asciiTheme="minorHAnsi" w:eastAsiaTheme="minorEastAsia" w:hAnsiTheme="minorHAnsi" w:cstheme="minorBidi"/>
              <w:sz w:val="22"/>
              <w:szCs w:val="22"/>
              <w:lang w:val="en-US"/>
            </w:rPr>
          </w:pPr>
          <w:hyperlink w:anchor="_Toc3515484" w:history="1">
            <w:r w:rsidRPr="008D54B7">
              <w:rPr>
                <w:rStyle w:val="Hyperlink"/>
                <w:rtl/>
              </w:rPr>
              <w:t>הרב יעקב משה וואלבערג</w:t>
            </w:r>
          </w:hyperlink>
        </w:p>
        <w:p w14:paraId="1ABB7034" w14:textId="09CF9BD6" w:rsidR="00E15FB0" w:rsidRDefault="00E15FB0" w:rsidP="0047300E">
          <w:pPr>
            <w:pStyle w:val="TOC1"/>
            <w:rPr>
              <w:rFonts w:asciiTheme="minorHAnsi" w:eastAsiaTheme="minorEastAsia" w:hAnsiTheme="minorHAnsi" w:cstheme="minorBidi"/>
              <w:sz w:val="22"/>
              <w:szCs w:val="22"/>
            </w:rPr>
          </w:pPr>
          <w:hyperlink w:anchor="_Toc3515485" w:history="1">
            <w:r w:rsidRPr="008D54B7">
              <w:rPr>
                <w:rStyle w:val="Hyperlink"/>
                <w:rtl/>
              </w:rPr>
              <w:t>חסידות</w:t>
            </w:r>
          </w:hyperlink>
        </w:p>
        <w:p w14:paraId="23CC3304" w14:textId="77777777" w:rsidR="00E15FB0" w:rsidRDefault="00E15FB0" w:rsidP="0047300E">
          <w:pPr>
            <w:pStyle w:val="TOC2"/>
            <w:rPr>
              <w:rFonts w:asciiTheme="minorHAnsi" w:eastAsiaTheme="minorEastAsia" w:hAnsiTheme="minorHAnsi" w:cstheme="minorBidi"/>
            </w:rPr>
          </w:pPr>
          <w:hyperlink w:anchor="_Toc3515486" w:history="1">
            <w:r w:rsidRPr="008D54B7">
              <w:rPr>
                <w:rStyle w:val="Hyperlink"/>
                <w:rFonts w:eastAsia="David Libre"/>
              </w:rPr>
              <w:t>"</w:t>
            </w:r>
            <w:r w:rsidRPr="008D54B7">
              <w:rPr>
                <w:rStyle w:val="Hyperlink"/>
                <w:rFonts w:eastAsia="David Libre"/>
                <w:rtl/>
              </w:rPr>
              <w:t>ומניקתו הרבה</w:t>
            </w:r>
            <w:r w:rsidRPr="008D54B7">
              <w:rPr>
                <w:rStyle w:val="Hyperlink"/>
                <w:rFonts w:eastAsia="David Libre"/>
              </w:rPr>
              <w:t>"</w:t>
            </w:r>
            <w:r>
              <w:rPr>
                <w:webHidden/>
              </w:rPr>
              <w:tab/>
            </w:r>
            <w:r>
              <w:rPr>
                <w:webHidden/>
              </w:rPr>
              <w:fldChar w:fldCharType="begin"/>
            </w:r>
            <w:r>
              <w:rPr>
                <w:webHidden/>
              </w:rPr>
              <w:instrText xml:space="preserve"> PAGEREF _Toc3515486 \h </w:instrText>
            </w:r>
            <w:r>
              <w:rPr>
                <w:webHidden/>
              </w:rPr>
            </w:r>
            <w:r>
              <w:rPr>
                <w:webHidden/>
              </w:rPr>
              <w:fldChar w:fldCharType="separate"/>
            </w:r>
            <w:r>
              <w:rPr>
                <w:webHidden/>
              </w:rPr>
              <w:t>32</w:t>
            </w:r>
            <w:r>
              <w:rPr>
                <w:webHidden/>
              </w:rPr>
              <w:fldChar w:fldCharType="end"/>
            </w:r>
          </w:hyperlink>
        </w:p>
        <w:p w14:paraId="6BCDD5CD" w14:textId="790B312B" w:rsidR="00E15FB0" w:rsidRDefault="00E15FB0" w:rsidP="0047300E">
          <w:pPr>
            <w:pStyle w:val="TOC3"/>
            <w:rPr>
              <w:rFonts w:asciiTheme="minorHAnsi" w:eastAsiaTheme="minorEastAsia" w:hAnsiTheme="minorHAnsi" w:cstheme="minorBidi"/>
              <w:sz w:val="22"/>
              <w:szCs w:val="22"/>
              <w:lang w:val="en-US"/>
            </w:rPr>
          </w:pPr>
          <w:hyperlink w:anchor="_Toc3515487" w:history="1">
            <w:r w:rsidRPr="008D54B7">
              <w:rPr>
                <w:rStyle w:val="Hyperlink"/>
                <w:rtl/>
              </w:rPr>
              <w:t>הרב</w:t>
            </w:r>
            <w:r w:rsidRPr="008D54B7">
              <w:rPr>
                <w:rStyle w:val="Hyperlink"/>
              </w:rPr>
              <w:t xml:space="preserve"> </w:t>
            </w:r>
            <w:r w:rsidRPr="008D54B7">
              <w:rPr>
                <w:rStyle w:val="Hyperlink"/>
                <w:rtl/>
              </w:rPr>
              <w:t>מרדכי דובער ווילהעלם</w:t>
            </w:r>
          </w:hyperlink>
        </w:p>
        <w:p w14:paraId="528FFFE6" w14:textId="4AACD191" w:rsidR="00E15FB0" w:rsidRDefault="00E15FB0" w:rsidP="0047300E">
          <w:pPr>
            <w:pStyle w:val="TOC1"/>
            <w:rPr>
              <w:rFonts w:asciiTheme="minorHAnsi" w:eastAsiaTheme="minorEastAsia" w:hAnsiTheme="minorHAnsi" w:cstheme="minorBidi"/>
              <w:sz w:val="22"/>
              <w:szCs w:val="22"/>
            </w:rPr>
          </w:pPr>
          <w:hyperlink w:anchor="_Toc3515488" w:history="1">
            <w:r w:rsidRPr="008D54B7">
              <w:rPr>
                <w:rStyle w:val="Hyperlink"/>
                <w:rtl/>
              </w:rPr>
              <w:t>הלכה ומנהג</w:t>
            </w:r>
          </w:hyperlink>
        </w:p>
        <w:p w14:paraId="79590014" w14:textId="77777777" w:rsidR="00E15FB0" w:rsidRDefault="00E15FB0" w:rsidP="0047300E">
          <w:pPr>
            <w:pStyle w:val="TOC2"/>
            <w:rPr>
              <w:rFonts w:asciiTheme="minorHAnsi" w:eastAsiaTheme="minorEastAsia" w:hAnsiTheme="minorHAnsi" w:cstheme="minorBidi"/>
            </w:rPr>
          </w:pPr>
          <w:hyperlink w:anchor="_Toc3515489" w:history="1">
            <w:r w:rsidRPr="008D54B7">
              <w:rPr>
                <w:rStyle w:val="Hyperlink"/>
                <w:rtl/>
              </w:rPr>
              <w:t>מנהג הדלקת נרות בבית הכנסת</w:t>
            </w:r>
            <w:r>
              <w:rPr>
                <w:webHidden/>
              </w:rPr>
              <w:tab/>
            </w:r>
            <w:r>
              <w:rPr>
                <w:webHidden/>
              </w:rPr>
              <w:fldChar w:fldCharType="begin"/>
            </w:r>
            <w:r>
              <w:rPr>
                <w:webHidden/>
              </w:rPr>
              <w:instrText xml:space="preserve"> PAGEREF _Toc3515489 \h </w:instrText>
            </w:r>
            <w:r>
              <w:rPr>
                <w:webHidden/>
              </w:rPr>
            </w:r>
            <w:r>
              <w:rPr>
                <w:webHidden/>
              </w:rPr>
              <w:fldChar w:fldCharType="separate"/>
            </w:r>
            <w:r>
              <w:rPr>
                <w:webHidden/>
              </w:rPr>
              <w:t>34</w:t>
            </w:r>
            <w:r>
              <w:rPr>
                <w:webHidden/>
              </w:rPr>
              <w:fldChar w:fldCharType="end"/>
            </w:r>
          </w:hyperlink>
        </w:p>
        <w:p w14:paraId="66650430" w14:textId="6475A806" w:rsidR="00E15FB0" w:rsidRDefault="00E15FB0" w:rsidP="0047300E">
          <w:pPr>
            <w:pStyle w:val="TOC3"/>
            <w:rPr>
              <w:rFonts w:asciiTheme="minorHAnsi" w:eastAsiaTheme="minorEastAsia" w:hAnsiTheme="minorHAnsi" w:cstheme="minorBidi"/>
              <w:sz w:val="22"/>
              <w:szCs w:val="22"/>
              <w:lang w:val="en-US"/>
            </w:rPr>
          </w:pPr>
          <w:hyperlink w:anchor="_Toc3515490" w:history="1">
            <w:r w:rsidRPr="008D54B7">
              <w:rPr>
                <w:rStyle w:val="Hyperlink"/>
                <w:rtl/>
              </w:rPr>
              <w:t>הרב ברוך אבערלאנדער</w:t>
            </w:r>
          </w:hyperlink>
        </w:p>
        <w:p w14:paraId="4C5E8844" w14:textId="77777777" w:rsidR="00E15FB0" w:rsidRDefault="00E15FB0" w:rsidP="0047300E">
          <w:pPr>
            <w:pStyle w:val="TOC2"/>
            <w:rPr>
              <w:rFonts w:asciiTheme="minorHAnsi" w:eastAsiaTheme="minorEastAsia" w:hAnsiTheme="minorHAnsi" w:cstheme="minorBidi"/>
            </w:rPr>
          </w:pPr>
          <w:hyperlink w:anchor="_Toc3515491" w:history="1">
            <w:r w:rsidRPr="008D54B7">
              <w:rPr>
                <w:rStyle w:val="Hyperlink"/>
                <w:rtl/>
              </w:rPr>
              <w:t>נשים במצות זכירת מעשה עמלק</w:t>
            </w:r>
            <w:r>
              <w:rPr>
                <w:webHidden/>
              </w:rPr>
              <w:tab/>
            </w:r>
            <w:r>
              <w:rPr>
                <w:webHidden/>
              </w:rPr>
              <w:fldChar w:fldCharType="begin"/>
            </w:r>
            <w:r>
              <w:rPr>
                <w:webHidden/>
              </w:rPr>
              <w:instrText xml:space="preserve"> PAGEREF _Toc3515491 \h </w:instrText>
            </w:r>
            <w:r>
              <w:rPr>
                <w:webHidden/>
              </w:rPr>
            </w:r>
            <w:r>
              <w:rPr>
                <w:webHidden/>
              </w:rPr>
              <w:fldChar w:fldCharType="separate"/>
            </w:r>
            <w:r>
              <w:rPr>
                <w:webHidden/>
              </w:rPr>
              <w:t>45</w:t>
            </w:r>
            <w:r>
              <w:rPr>
                <w:webHidden/>
              </w:rPr>
              <w:fldChar w:fldCharType="end"/>
            </w:r>
          </w:hyperlink>
        </w:p>
        <w:p w14:paraId="619E88F2" w14:textId="742EB908" w:rsidR="00E15FB0" w:rsidRDefault="00E15FB0" w:rsidP="0047300E">
          <w:pPr>
            <w:pStyle w:val="TOC3"/>
            <w:rPr>
              <w:rFonts w:asciiTheme="minorHAnsi" w:eastAsiaTheme="minorEastAsia" w:hAnsiTheme="minorHAnsi" w:cstheme="minorBidi"/>
              <w:sz w:val="22"/>
              <w:szCs w:val="22"/>
              <w:lang w:val="en-US"/>
            </w:rPr>
          </w:pPr>
          <w:hyperlink w:anchor="_Toc3515492" w:history="1">
            <w:r w:rsidRPr="008D54B7">
              <w:rPr>
                <w:rStyle w:val="Hyperlink"/>
                <w:rtl/>
              </w:rPr>
              <w:t>הרב חיים רפופורט</w:t>
            </w:r>
          </w:hyperlink>
        </w:p>
        <w:p w14:paraId="19F88981" w14:textId="77777777" w:rsidR="00E15FB0" w:rsidRDefault="00E15FB0" w:rsidP="0047300E">
          <w:pPr>
            <w:pStyle w:val="TOC2"/>
            <w:rPr>
              <w:rFonts w:asciiTheme="minorHAnsi" w:eastAsiaTheme="minorEastAsia" w:hAnsiTheme="minorHAnsi" w:cstheme="minorBidi"/>
            </w:rPr>
          </w:pPr>
          <w:hyperlink w:anchor="_Toc3515493" w:history="1">
            <w:r w:rsidRPr="008D54B7">
              <w:rPr>
                <w:rStyle w:val="Hyperlink"/>
                <w:rFonts w:eastAsia="Calibri"/>
                <w:rtl/>
              </w:rPr>
              <w:t>הלל בציבור</w:t>
            </w:r>
            <w:r>
              <w:rPr>
                <w:webHidden/>
              </w:rPr>
              <w:tab/>
            </w:r>
            <w:r>
              <w:rPr>
                <w:webHidden/>
              </w:rPr>
              <w:fldChar w:fldCharType="begin"/>
            </w:r>
            <w:r>
              <w:rPr>
                <w:webHidden/>
              </w:rPr>
              <w:instrText xml:space="preserve"> PAGEREF _Toc3515493 \h </w:instrText>
            </w:r>
            <w:r>
              <w:rPr>
                <w:webHidden/>
              </w:rPr>
            </w:r>
            <w:r>
              <w:rPr>
                <w:webHidden/>
              </w:rPr>
              <w:fldChar w:fldCharType="separate"/>
            </w:r>
            <w:r>
              <w:rPr>
                <w:webHidden/>
              </w:rPr>
              <w:t>52</w:t>
            </w:r>
            <w:r>
              <w:rPr>
                <w:webHidden/>
              </w:rPr>
              <w:fldChar w:fldCharType="end"/>
            </w:r>
          </w:hyperlink>
        </w:p>
        <w:p w14:paraId="6EBFC851" w14:textId="31E73404" w:rsidR="00E15FB0" w:rsidRDefault="00E15FB0" w:rsidP="0047300E">
          <w:pPr>
            <w:pStyle w:val="TOC3"/>
            <w:rPr>
              <w:rFonts w:asciiTheme="minorHAnsi" w:eastAsiaTheme="minorEastAsia" w:hAnsiTheme="minorHAnsi" w:cstheme="minorBidi"/>
              <w:sz w:val="22"/>
              <w:szCs w:val="22"/>
              <w:lang w:val="en-US"/>
            </w:rPr>
          </w:pPr>
          <w:hyperlink w:anchor="_Toc3515494" w:history="1">
            <w:r w:rsidRPr="008D54B7">
              <w:rPr>
                <w:rStyle w:val="Hyperlink"/>
                <w:rtl/>
              </w:rPr>
              <w:t>הרב</w:t>
            </w:r>
            <w:r w:rsidRPr="008D54B7">
              <w:rPr>
                <w:rStyle w:val="Hyperlink"/>
              </w:rPr>
              <w:t xml:space="preserve"> </w:t>
            </w:r>
            <w:r w:rsidRPr="008D54B7">
              <w:rPr>
                <w:rStyle w:val="Hyperlink"/>
                <w:rtl/>
              </w:rPr>
              <w:t>מנחם מענדל רייצס</w:t>
            </w:r>
          </w:hyperlink>
        </w:p>
        <w:p w14:paraId="4E74BCF1" w14:textId="77777777" w:rsidR="00E15FB0" w:rsidRDefault="00E15FB0" w:rsidP="0047300E">
          <w:pPr>
            <w:pStyle w:val="TOC2"/>
            <w:rPr>
              <w:rFonts w:asciiTheme="minorHAnsi" w:eastAsiaTheme="minorEastAsia" w:hAnsiTheme="minorHAnsi" w:cstheme="minorBidi"/>
            </w:rPr>
          </w:pPr>
          <w:hyperlink w:anchor="_Toc3515495" w:history="1">
            <w:r w:rsidRPr="008D54B7">
              <w:rPr>
                <w:rStyle w:val="Hyperlink"/>
                <w:rFonts w:eastAsia="Calibri"/>
                <w:rtl/>
              </w:rPr>
              <w:t>עניית 'אמן' דקדיש בפסוקי דזמרה</w:t>
            </w:r>
            <w:r>
              <w:rPr>
                <w:webHidden/>
              </w:rPr>
              <w:tab/>
            </w:r>
            <w:r>
              <w:rPr>
                <w:webHidden/>
              </w:rPr>
              <w:fldChar w:fldCharType="begin"/>
            </w:r>
            <w:r>
              <w:rPr>
                <w:webHidden/>
              </w:rPr>
              <w:instrText xml:space="preserve"> PAGEREF _Toc3515495 \h </w:instrText>
            </w:r>
            <w:r>
              <w:rPr>
                <w:webHidden/>
              </w:rPr>
            </w:r>
            <w:r>
              <w:rPr>
                <w:webHidden/>
              </w:rPr>
              <w:fldChar w:fldCharType="separate"/>
            </w:r>
            <w:r>
              <w:rPr>
                <w:webHidden/>
              </w:rPr>
              <w:t>54</w:t>
            </w:r>
            <w:r>
              <w:rPr>
                <w:webHidden/>
              </w:rPr>
              <w:fldChar w:fldCharType="end"/>
            </w:r>
          </w:hyperlink>
        </w:p>
        <w:p w14:paraId="6F814A95" w14:textId="27BF58FD" w:rsidR="00E15FB0" w:rsidRDefault="00E15FB0" w:rsidP="0047300E">
          <w:pPr>
            <w:pStyle w:val="TOC3"/>
            <w:rPr>
              <w:rFonts w:asciiTheme="minorHAnsi" w:eastAsiaTheme="minorEastAsia" w:hAnsiTheme="minorHAnsi" w:cstheme="minorBidi"/>
              <w:sz w:val="22"/>
              <w:szCs w:val="22"/>
              <w:lang w:val="en-US"/>
            </w:rPr>
          </w:pPr>
          <w:hyperlink w:anchor="_Toc3515496" w:history="1">
            <w:r w:rsidRPr="008D54B7">
              <w:rPr>
                <w:rStyle w:val="Hyperlink"/>
                <w:rtl/>
              </w:rPr>
              <w:t>הנ"ל</w:t>
            </w:r>
          </w:hyperlink>
        </w:p>
        <w:p w14:paraId="4E171896" w14:textId="77777777" w:rsidR="00E15FB0" w:rsidRDefault="00E15FB0" w:rsidP="0047300E">
          <w:pPr>
            <w:pStyle w:val="TOC2"/>
            <w:rPr>
              <w:rFonts w:asciiTheme="minorHAnsi" w:eastAsiaTheme="minorEastAsia" w:hAnsiTheme="minorHAnsi" w:cstheme="minorBidi"/>
            </w:rPr>
          </w:pPr>
          <w:hyperlink w:anchor="_Toc3515497" w:history="1">
            <w:r w:rsidRPr="008D54B7">
              <w:rPr>
                <w:rStyle w:val="Hyperlink"/>
                <w:rFonts w:eastAsia="Calibri"/>
              </w:rPr>
              <w:t>'</w:t>
            </w:r>
            <w:r w:rsidRPr="008D54B7">
              <w:rPr>
                <w:rStyle w:val="Hyperlink"/>
                <w:rFonts w:eastAsia="Calibri"/>
                <w:rtl/>
              </w:rPr>
              <w:t>מזרח' בקידוש לבנה וברכת החמה</w:t>
            </w:r>
            <w:r>
              <w:rPr>
                <w:webHidden/>
              </w:rPr>
              <w:tab/>
            </w:r>
            <w:r>
              <w:rPr>
                <w:webHidden/>
              </w:rPr>
              <w:fldChar w:fldCharType="begin"/>
            </w:r>
            <w:r>
              <w:rPr>
                <w:webHidden/>
              </w:rPr>
              <w:instrText xml:space="preserve"> PAGEREF _Toc3515497 \h </w:instrText>
            </w:r>
            <w:r>
              <w:rPr>
                <w:webHidden/>
              </w:rPr>
            </w:r>
            <w:r>
              <w:rPr>
                <w:webHidden/>
              </w:rPr>
              <w:fldChar w:fldCharType="separate"/>
            </w:r>
            <w:r>
              <w:rPr>
                <w:webHidden/>
              </w:rPr>
              <w:t>55</w:t>
            </w:r>
            <w:r>
              <w:rPr>
                <w:webHidden/>
              </w:rPr>
              <w:fldChar w:fldCharType="end"/>
            </w:r>
          </w:hyperlink>
        </w:p>
        <w:p w14:paraId="6717000A" w14:textId="0842D01E" w:rsidR="00E15FB0" w:rsidRDefault="00E15FB0" w:rsidP="0047300E">
          <w:pPr>
            <w:pStyle w:val="TOC3"/>
            <w:rPr>
              <w:rFonts w:asciiTheme="minorHAnsi" w:eastAsiaTheme="minorEastAsia" w:hAnsiTheme="minorHAnsi" w:cstheme="minorBidi"/>
              <w:sz w:val="22"/>
              <w:szCs w:val="22"/>
              <w:lang w:val="en-US"/>
            </w:rPr>
          </w:pPr>
          <w:hyperlink w:anchor="_Toc3515498" w:history="1">
            <w:r w:rsidRPr="008D54B7">
              <w:rPr>
                <w:rStyle w:val="Hyperlink"/>
                <w:rtl/>
              </w:rPr>
              <w:t>הנ"ל</w:t>
            </w:r>
          </w:hyperlink>
        </w:p>
        <w:p w14:paraId="78697FC2" w14:textId="77777777" w:rsidR="00E15FB0" w:rsidRDefault="00E15FB0" w:rsidP="0047300E">
          <w:pPr>
            <w:pStyle w:val="TOC2"/>
            <w:rPr>
              <w:rFonts w:asciiTheme="minorHAnsi" w:eastAsiaTheme="minorEastAsia" w:hAnsiTheme="minorHAnsi" w:cstheme="minorBidi"/>
            </w:rPr>
          </w:pPr>
          <w:hyperlink w:anchor="_Toc3515499" w:history="1">
            <w:r w:rsidRPr="008D54B7">
              <w:rPr>
                <w:rStyle w:val="Hyperlink"/>
                <w:rtl/>
              </w:rPr>
              <w:t>משלוח מנות על ידי רחפן</w:t>
            </w:r>
            <w:r>
              <w:rPr>
                <w:webHidden/>
              </w:rPr>
              <w:tab/>
            </w:r>
            <w:r>
              <w:rPr>
                <w:webHidden/>
              </w:rPr>
              <w:fldChar w:fldCharType="begin"/>
            </w:r>
            <w:r>
              <w:rPr>
                <w:webHidden/>
              </w:rPr>
              <w:instrText xml:space="preserve"> PAGEREF _Toc3515499 \h </w:instrText>
            </w:r>
            <w:r>
              <w:rPr>
                <w:webHidden/>
              </w:rPr>
            </w:r>
            <w:r>
              <w:rPr>
                <w:webHidden/>
              </w:rPr>
              <w:fldChar w:fldCharType="separate"/>
            </w:r>
            <w:r>
              <w:rPr>
                <w:webHidden/>
              </w:rPr>
              <w:t>56</w:t>
            </w:r>
            <w:r>
              <w:rPr>
                <w:webHidden/>
              </w:rPr>
              <w:fldChar w:fldCharType="end"/>
            </w:r>
          </w:hyperlink>
        </w:p>
        <w:p w14:paraId="0257268C" w14:textId="413653AE" w:rsidR="00E15FB0" w:rsidRDefault="00E15FB0" w:rsidP="0047300E">
          <w:pPr>
            <w:pStyle w:val="TOC3"/>
            <w:rPr>
              <w:rFonts w:asciiTheme="minorHAnsi" w:eastAsiaTheme="minorEastAsia" w:hAnsiTheme="minorHAnsi" w:cstheme="minorBidi"/>
              <w:sz w:val="22"/>
              <w:szCs w:val="22"/>
              <w:lang w:val="en-US"/>
            </w:rPr>
          </w:pPr>
          <w:hyperlink w:anchor="_Toc3515500" w:history="1">
            <w:r w:rsidRPr="008D54B7">
              <w:rPr>
                <w:rStyle w:val="Hyperlink"/>
                <w:rtl/>
              </w:rPr>
              <w:t>הרב</w:t>
            </w:r>
            <w:r w:rsidRPr="008D54B7">
              <w:rPr>
                <w:rStyle w:val="Hyperlink"/>
              </w:rPr>
              <w:t xml:space="preserve"> </w:t>
            </w:r>
            <w:r w:rsidRPr="008D54B7">
              <w:rPr>
                <w:rStyle w:val="Hyperlink"/>
                <w:rtl/>
              </w:rPr>
              <w:t>גמליאל הכהן רבינוביץ</w:t>
            </w:r>
          </w:hyperlink>
        </w:p>
        <w:p w14:paraId="646E8014" w14:textId="77777777" w:rsidR="00E15FB0" w:rsidRDefault="00E15FB0" w:rsidP="0047300E">
          <w:pPr>
            <w:pStyle w:val="TOC2"/>
            <w:rPr>
              <w:rFonts w:asciiTheme="minorHAnsi" w:eastAsiaTheme="minorEastAsia" w:hAnsiTheme="minorHAnsi" w:cstheme="minorBidi"/>
            </w:rPr>
          </w:pPr>
          <w:hyperlink w:anchor="_Toc3515501" w:history="1">
            <w:r w:rsidRPr="008D54B7">
              <w:rPr>
                <w:rStyle w:val="Hyperlink"/>
                <w:rtl/>
              </w:rPr>
              <w:t>נתינת שום ובצל לכלי שני בשבת</w:t>
            </w:r>
            <w:r>
              <w:rPr>
                <w:webHidden/>
              </w:rPr>
              <w:tab/>
            </w:r>
            <w:r>
              <w:rPr>
                <w:webHidden/>
              </w:rPr>
              <w:fldChar w:fldCharType="begin"/>
            </w:r>
            <w:r>
              <w:rPr>
                <w:webHidden/>
              </w:rPr>
              <w:instrText xml:space="preserve"> PAGEREF _Toc3515501 \h </w:instrText>
            </w:r>
            <w:r>
              <w:rPr>
                <w:webHidden/>
              </w:rPr>
            </w:r>
            <w:r>
              <w:rPr>
                <w:webHidden/>
              </w:rPr>
              <w:fldChar w:fldCharType="separate"/>
            </w:r>
            <w:r>
              <w:rPr>
                <w:webHidden/>
              </w:rPr>
              <w:t>59</w:t>
            </w:r>
            <w:r>
              <w:rPr>
                <w:webHidden/>
              </w:rPr>
              <w:fldChar w:fldCharType="end"/>
            </w:r>
          </w:hyperlink>
        </w:p>
        <w:p w14:paraId="7E347A72" w14:textId="36FF2786" w:rsidR="00E15FB0" w:rsidRDefault="00E15FB0" w:rsidP="0047300E">
          <w:pPr>
            <w:pStyle w:val="TOC3"/>
            <w:rPr>
              <w:rFonts w:asciiTheme="minorHAnsi" w:eastAsiaTheme="minorEastAsia" w:hAnsiTheme="minorHAnsi" w:cstheme="minorBidi"/>
              <w:sz w:val="22"/>
              <w:szCs w:val="22"/>
              <w:lang w:val="en-US"/>
            </w:rPr>
          </w:pPr>
          <w:hyperlink w:anchor="_Toc3515502" w:history="1">
            <w:r w:rsidRPr="008D54B7">
              <w:rPr>
                <w:rStyle w:val="Hyperlink"/>
                <w:rtl/>
              </w:rPr>
              <w:t>הרב יצחק קופמן</w:t>
            </w:r>
          </w:hyperlink>
        </w:p>
        <w:p w14:paraId="3E4A6FEF" w14:textId="77777777" w:rsidR="00E15FB0" w:rsidRDefault="00E15FB0" w:rsidP="0047300E">
          <w:pPr>
            <w:pStyle w:val="TOC2"/>
            <w:rPr>
              <w:rFonts w:asciiTheme="minorHAnsi" w:eastAsiaTheme="minorEastAsia" w:hAnsiTheme="minorHAnsi" w:cstheme="minorBidi"/>
            </w:rPr>
          </w:pPr>
          <w:hyperlink w:anchor="_Toc3515503" w:history="1">
            <w:r w:rsidRPr="008D54B7">
              <w:rPr>
                <w:rStyle w:val="Hyperlink"/>
                <w:rtl/>
              </w:rPr>
              <w:t>משלוח מנות</w:t>
            </w:r>
            <w:r w:rsidRPr="008D54B7">
              <w:rPr>
                <w:rStyle w:val="Hyperlink"/>
              </w:rPr>
              <w:t xml:space="preserve"> </w:t>
            </w:r>
            <w:r w:rsidRPr="008D54B7">
              <w:rPr>
                <w:rStyle w:val="Hyperlink"/>
                <w:rtl/>
              </w:rPr>
              <w:t>ממעות מעשר</w:t>
            </w:r>
            <w:r>
              <w:rPr>
                <w:webHidden/>
              </w:rPr>
              <w:tab/>
            </w:r>
            <w:r>
              <w:rPr>
                <w:webHidden/>
              </w:rPr>
              <w:fldChar w:fldCharType="begin"/>
            </w:r>
            <w:r>
              <w:rPr>
                <w:webHidden/>
              </w:rPr>
              <w:instrText xml:space="preserve"> PAGEREF _Toc3515503 \h </w:instrText>
            </w:r>
            <w:r>
              <w:rPr>
                <w:webHidden/>
              </w:rPr>
            </w:r>
            <w:r>
              <w:rPr>
                <w:webHidden/>
              </w:rPr>
              <w:fldChar w:fldCharType="separate"/>
            </w:r>
            <w:r>
              <w:rPr>
                <w:webHidden/>
              </w:rPr>
              <w:t>61</w:t>
            </w:r>
            <w:r>
              <w:rPr>
                <w:webHidden/>
              </w:rPr>
              <w:fldChar w:fldCharType="end"/>
            </w:r>
          </w:hyperlink>
        </w:p>
        <w:p w14:paraId="48B4FBDD" w14:textId="7FAEF267" w:rsidR="00E15FB0" w:rsidRDefault="00E15FB0" w:rsidP="0047300E">
          <w:pPr>
            <w:pStyle w:val="TOC3"/>
            <w:rPr>
              <w:rFonts w:asciiTheme="minorHAnsi" w:eastAsiaTheme="minorEastAsia" w:hAnsiTheme="minorHAnsi" w:cstheme="minorBidi"/>
              <w:sz w:val="22"/>
              <w:szCs w:val="22"/>
              <w:lang w:val="en-US"/>
            </w:rPr>
          </w:pPr>
          <w:hyperlink w:anchor="_Toc3515504" w:history="1">
            <w:r w:rsidRPr="008D54B7">
              <w:rPr>
                <w:rStyle w:val="Hyperlink"/>
                <w:rtl/>
              </w:rPr>
              <w:t>הרב</w:t>
            </w:r>
            <w:r w:rsidRPr="008D54B7">
              <w:rPr>
                <w:rStyle w:val="Hyperlink"/>
              </w:rPr>
              <w:t xml:space="preserve"> </w:t>
            </w:r>
            <w:r w:rsidRPr="008D54B7">
              <w:rPr>
                <w:rStyle w:val="Hyperlink"/>
                <w:rtl/>
              </w:rPr>
              <w:t>מאיר חיים בריקמאן</w:t>
            </w:r>
          </w:hyperlink>
        </w:p>
        <w:p w14:paraId="622F3788" w14:textId="6B218317" w:rsidR="00E15FB0" w:rsidRDefault="00E15FB0" w:rsidP="0047300E">
          <w:pPr>
            <w:pStyle w:val="TOC2"/>
            <w:rPr>
              <w:rFonts w:asciiTheme="minorHAnsi" w:eastAsiaTheme="minorEastAsia" w:hAnsiTheme="minorHAnsi" w:cstheme="minorBidi"/>
            </w:rPr>
          </w:pPr>
          <w:hyperlink w:anchor="_Toc3515505" w:history="1">
            <w:r w:rsidRPr="008D54B7">
              <w:rPr>
                <w:rStyle w:val="Hyperlink"/>
                <w:rtl/>
              </w:rPr>
              <w:t xml:space="preserve">ראיות נסיבתיות </w:t>
            </w:r>
            <w:r w:rsidR="0047300E">
              <w:rPr>
                <w:rStyle w:val="Hyperlink"/>
                <w:rFonts w:hint="cs"/>
                <w:rtl/>
              </w:rPr>
              <w:t>(</w:t>
            </w:r>
            <w:r w:rsidRPr="008D54B7">
              <w:rPr>
                <w:rStyle w:val="Hyperlink"/>
                <w:rtl/>
              </w:rPr>
              <w:t>המשך</w:t>
            </w:r>
            <w:r w:rsidR="0047300E">
              <w:rPr>
                <w:rStyle w:val="Hyperlink"/>
                <w:rFonts w:hint="cs"/>
                <w:rtl/>
              </w:rPr>
              <w:t>)</w:t>
            </w:r>
            <w:r>
              <w:rPr>
                <w:webHidden/>
              </w:rPr>
              <w:tab/>
            </w:r>
            <w:r>
              <w:rPr>
                <w:webHidden/>
              </w:rPr>
              <w:fldChar w:fldCharType="begin"/>
            </w:r>
            <w:r>
              <w:rPr>
                <w:webHidden/>
              </w:rPr>
              <w:instrText xml:space="preserve"> PAGEREF _Toc3515505 \h </w:instrText>
            </w:r>
            <w:r>
              <w:rPr>
                <w:webHidden/>
              </w:rPr>
            </w:r>
            <w:r>
              <w:rPr>
                <w:webHidden/>
              </w:rPr>
              <w:fldChar w:fldCharType="separate"/>
            </w:r>
            <w:r>
              <w:rPr>
                <w:webHidden/>
              </w:rPr>
              <w:t>69</w:t>
            </w:r>
            <w:r>
              <w:rPr>
                <w:webHidden/>
              </w:rPr>
              <w:fldChar w:fldCharType="end"/>
            </w:r>
          </w:hyperlink>
        </w:p>
        <w:p w14:paraId="48724BF9" w14:textId="00606CBD" w:rsidR="00E15FB0" w:rsidRDefault="00E15FB0" w:rsidP="0047300E">
          <w:pPr>
            <w:pStyle w:val="TOC3"/>
            <w:rPr>
              <w:rFonts w:asciiTheme="minorHAnsi" w:eastAsiaTheme="minorEastAsia" w:hAnsiTheme="minorHAnsi" w:cstheme="minorBidi"/>
              <w:sz w:val="22"/>
              <w:szCs w:val="22"/>
              <w:lang w:val="en-US"/>
            </w:rPr>
          </w:pPr>
          <w:hyperlink w:anchor="_Toc3515506" w:history="1">
            <w:r w:rsidRPr="008D54B7">
              <w:rPr>
                <w:rStyle w:val="Hyperlink"/>
                <w:rtl/>
              </w:rPr>
              <w:t>צבי רייזמן</w:t>
            </w:r>
          </w:hyperlink>
        </w:p>
        <w:p w14:paraId="63D97B0D" w14:textId="392F2607" w:rsidR="00E15FB0" w:rsidRDefault="00E15FB0" w:rsidP="0047300E">
          <w:pPr>
            <w:pStyle w:val="TOC2"/>
            <w:rPr>
              <w:rFonts w:asciiTheme="minorHAnsi" w:eastAsiaTheme="minorEastAsia" w:hAnsiTheme="minorHAnsi" w:cstheme="minorBidi"/>
            </w:rPr>
          </w:pPr>
          <w:hyperlink w:anchor="_Toc3515507" w:history="1">
            <w:r w:rsidRPr="008D54B7">
              <w:rPr>
                <w:rStyle w:val="Hyperlink"/>
                <w:rtl/>
              </w:rPr>
              <w:t>אמירה</w:t>
            </w:r>
            <w:r w:rsidRPr="008D54B7">
              <w:rPr>
                <w:rStyle w:val="Hyperlink"/>
              </w:rPr>
              <w:t xml:space="preserve"> </w:t>
            </w:r>
            <w:r w:rsidRPr="008D54B7">
              <w:rPr>
                <w:rStyle w:val="Hyperlink"/>
                <w:rtl/>
              </w:rPr>
              <w:t>לנכרי</w:t>
            </w:r>
            <w:r w:rsidRPr="008D54B7">
              <w:rPr>
                <w:rStyle w:val="Hyperlink"/>
              </w:rPr>
              <w:t xml:space="preserve"> </w:t>
            </w:r>
            <w:r w:rsidRPr="008D54B7">
              <w:rPr>
                <w:rStyle w:val="Hyperlink"/>
                <w:rtl/>
              </w:rPr>
              <w:t>בדרך</w:t>
            </w:r>
            <w:r w:rsidRPr="008D54B7">
              <w:rPr>
                <w:rStyle w:val="Hyperlink"/>
              </w:rPr>
              <w:t xml:space="preserve"> </w:t>
            </w:r>
            <w:r w:rsidRPr="008D54B7">
              <w:rPr>
                <w:rStyle w:val="Hyperlink"/>
                <w:rtl/>
              </w:rPr>
              <w:t>סיפור</w:t>
            </w:r>
            <w:r w:rsidRPr="008D54B7">
              <w:rPr>
                <w:rStyle w:val="Hyperlink"/>
              </w:rPr>
              <w:t xml:space="preserve"> </w:t>
            </w:r>
            <w:r w:rsidR="0047300E">
              <w:rPr>
                <w:rStyle w:val="Hyperlink"/>
                <w:rFonts w:hint="cs"/>
                <w:rtl/>
              </w:rPr>
              <w:t>(</w:t>
            </w:r>
            <w:r w:rsidRPr="008D54B7">
              <w:rPr>
                <w:rStyle w:val="Hyperlink"/>
                <w:rtl/>
              </w:rPr>
              <w:t>גליון</w:t>
            </w:r>
            <w:r w:rsidR="0047300E">
              <w:rPr>
                <w:rStyle w:val="Hyperlink"/>
                <w:rFonts w:hint="cs"/>
                <w:rtl/>
              </w:rPr>
              <w:t>)</w:t>
            </w:r>
            <w:r>
              <w:rPr>
                <w:webHidden/>
              </w:rPr>
              <w:tab/>
            </w:r>
            <w:r>
              <w:rPr>
                <w:webHidden/>
              </w:rPr>
              <w:fldChar w:fldCharType="begin"/>
            </w:r>
            <w:r>
              <w:rPr>
                <w:webHidden/>
              </w:rPr>
              <w:instrText xml:space="preserve"> PAGEREF _Toc3515507 \h </w:instrText>
            </w:r>
            <w:r>
              <w:rPr>
                <w:webHidden/>
              </w:rPr>
            </w:r>
            <w:r>
              <w:rPr>
                <w:webHidden/>
              </w:rPr>
              <w:fldChar w:fldCharType="separate"/>
            </w:r>
            <w:r>
              <w:rPr>
                <w:webHidden/>
              </w:rPr>
              <w:t>77</w:t>
            </w:r>
            <w:r>
              <w:rPr>
                <w:webHidden/>
              </w:rPr>
              <w:fldChar w:fldCharType="end"/>
            </w:r>
          </w:hyperlink>
        </w:p>
        <w:p w14:paraId="29529BA2" w14:textId="5C984213" w:rsidR="00E15FB0" w:rsidRDefault="00E15FB0" w:rsidP="0047300E">
          <w:pPr>
            <w:pStyle w:val="TOC3"/>
            <w:rPr>
              <w:rFonts w:asciiTheme="minorHAnsi" w:eastAsiaTheme="minorEastAsia" w:hAnsiTheme="minorHAnsi" w:cstheme="minorBidi"/>
              <w:sz w:val="22"/>
              <w:szCs w:val="22"/>
              <w:lang w:val="en-US"/>
            </w:rPr>
          </w:pPr>
          <w:hyperlink w:anchor="_Toc3515508" w:history="1">
            <w:r w:rsidRPr="008D54B7">
              <w:rPr>
                <w:rStyle w:val="Hyperlink"/>
                <w:rtl/>
              </w:rPr>
              <w:t>הרב</w:t>
            </w:r>
            <w:r w:rsidRPr="008D54B7">
              <w:rPr>
                <w:rStyle w:val="Hyperlink"/>
              </w:rPr>
              <w:t xml:space="preserve"> </w:t>
            </w:r>
            <w:r w:rsidRPr="008D54B7">
              <w:rPr>
                <w:rStyle w:val="Hyperlink"/>
                <w:rtl/>
              </w:rPr>
              <w:t>לוי יצחק ראסקין</w:t>
            </w:r>
          </w:hyperlink>
        </w:p>
        <w:p w14:paraId="61295DA2" w14:textId="7821212A" w:rsidR="00E15FB0" w:rsidRDefault="00E15FB0" w:rsidP="0047300E">
          <w:pPr>
            <w:pStyle w:val="TOC2"/>
            <w:rPr>
              <w:rFonts w:asciiTheme="minorHAnsi" w:eastAsiaTheme="minorEastAsia" w:hAnsiTheme="minorHAnsi" w:cstheme="minorBidi"/>
            </w:rPr>
          </w:pPr>
          <w:hyperlink w:anchor="_Toc3515509" w:history="1">
            <w:r w:rsidRPr="008D54B7">
              <w:rPr>
                <w:rStyle w:val="Hyperlink"/>
                <w:rtl/>
              </w:rPr>
              <w:t>בענין הנ"ל</w:t>
            </w:r>
            <w:r w:rsidRPr="008D54B7">
              <w:rPr>
                <w:rStyle w:val="Hyperlink"/>
              </w:rPr>
              <w:t xml:space="preserve"> </w:t>
            </w:r>
            <w:r w:rsidR="0047300E">
              <w:rPr>
                <w:rStyle w:val="Hyperlink"/>
                <w:rFonts w:hint="cs"/>
                <w:rtl/>
              </w:rPr>
              <w:t>(</w:t>
            </w:r>
            <w:r w:rsidRPr="008D54B7">
              <w:rPr>
                <w:rStyle w:val="Hyperlink"/>
                <w:rtl/>
              </w:rPr>
              <w:t>גליון</w:t>
            </w:r>
            <w:r w:rsidR="0047300E">
              <w:rPr>
                <w:rStyle w:val="Hyperlink"/>
                <w:rFonts w:hint="cs"/>
                <w:rtl/>
              </w:rPr>
              <w:t>)</w:t>
            </w:r>
            <w:r>
              <w:rPr>
                <w:webHidden/>
              </w:rPr>
              <w:tab/>
            </w:r>
            <w:r>
              <w:rPr>
                <w:webHidden/>
              </w:rPr>
              <w:fldChar w:fldCharType="begin"/>
            </w:r>
            <w:r>
              <w:rPr>
                <w:webHidden/>
              </w:rPr>
              <w:instrText xml:space="preserve"> PAGEREF _Toc3515509 \h </w:instrText>
            </w:r>
            <w:r>
              <w:rPr>
                <w:webHidden/>
              </w:rPr>
            </w:r>
            <w:r>
              <w:rPr>
                <w:webHidden/>
              </w:rPr>
              <w:fldChar w:fldCharType="separate"/>
            </w:r>
            <w:r>
              <w:rPr>
                <w:webHidden/>
              </w:rPr>
              <w:t>79</w:t>
            </w:r>
            <w:r>
              <w:rPr>
                <w:webHidden/>
              </w:rPr>
              <w:fldChar w:fldCharType="end"/>
            </w:r>
          </w:hyperlink>
        </w:p>
        <w:p w14:paraId="0AF9EA25" w14:textId="1D13AC27" w:rsidR="00E15FB0" w:rsidRDefault="00E15FB0" w:rsidP="0047300E">
          <w:pPr>
            <w:pStyle w:val="TOC3"/>
            <w:rPr>
              <w:rFonts w:asciiTheme="minorHAnsi" w:eastAsiaTheme="minorEastAsia" w:hAnsiTheme="minorHAnsi" w:cstheme="minorBidi"/>
              <w:sz w:val="22"/>
              <w:szCs w:val="22"/>
              <w:lang w:val="en-US"/>
            </w:rPr>
          </w:pPr>
          <w:hyperlink w:anchor="_Toc3515510" w:history="1">
            <w:r w:rsidRPr="008D54B7">
              <w:rPr>
                <w:rStyle w:val="Hyperlink"/>
                <w:rtl/>
              </w:rPr>
              <w:t>הרב</w:t>
            </w:r>
            <w:r w:rsidRPr="008D54B7">
              <w:rPr>
                <w:rStyle w:val="Hyperlink"/>
              </w:rPr>
              <w:t xml:space="preserve"> </w:t>
            </w:r>
            <w:r w:rsidRPr="008D54B7">
              <w:rPr>
                <w:rStyle w:val="Hyperlink"/>
                <w:rtl/>
              </w:rPr>
              <w:t>שבתי אשר טיאר</w:t>
            </w:r>
          </w:hyperlink>
        </w:p>
        <w:p w14:paraId="30983C33" w14:textId="53EA3D7E" w:rsidR="00E15FB0" w:rsidRDefault="00E15FB0" w:rsidP="0047300E">
          <w:pPr>
            <w:pStyle w:val="TOC2"/>
            <w:rPr>
              <w:rFonts w:asciiTheme="minorHAnsi" w:eastAsiaTheme="minorEastAsia" w:hAnsiTheme="minorHAnsi" w:cstheme="minorBidi"/>
            </w:rPr>
          </w:pPr>
          <w:hyperlink w:anchor="_Toc3515511" w:history="1">
            <w:r w:rsidRPr="008D54B7">
              <w:rPr>
                <w:rStyle w:val="Hyperlink"/>
                <w:rtl/>
              </w:rPr>
              <w:t>חילופי חפץ שהגיע מחוץ לתחום (גליון</w:t>
            </w:r>
            <w:r w:rsidR="0047300E">
              <w:rPr>
                <w:rStyle w:val="Hyperlink"/>
                <w:rFonts w:hint="cs"/>
                <w:rtl/>
              </w:rPr>
              <w:t>)</w:t>
            </w:r>
            <w:r>
              <w:rPr>
                <w:webHidden/>
              </w:rPr>
              <w:tab/>
            </w:r>
            <w:r>
              <w:rPr>
                <w:webHidden/>
              </w:rPr>
              <w:fldChar w:fldCharType="begin"/>
            </w:r>
            <w:r>
              <w:rPr>
                <w:webHidden/>
              </w:rPr>
              <w:instrText xml:space="preserve"> PAGEREF _Toc3515511 \h </w:instrText>
            </w:r>
            <w:r>
              <w:rPr>
                <w:webHidden/>
              </w:rPr>
            </w:r>
            <w:r>
              <w:rPr>
                <w:webHidden/>
              </w:rPr>
              <w:fldChar w:fldCharType="separate"/>
            </w:r>
            <w:r>
              <w:rPr>
                <w:webHidden/>
              </w:rPr>
              <w:t>81</w:t>
            </w:r>
            <w:r>
              <w:rPr>
                <w:webHidden/>
              </w:rPr>
              <w:fldChar w:fldCharType="end"/>
            </w:r>
          </w:hyperlink>
        </w:p>
        <w:p w14:paraId="5B4A3130" w14:textId="2360B665" w:rsidR="00E15FB0" w:rsidRDefault="00E15FB0" w:rsidP="0047300E">
          <w:pPr>
            <w:pStyle w:val="TOC3"/>
            <w:rPr>
              <w:rFonts w:asciiTheme="minorHAnsi" w:eastAsiaTheme="minorEastAsia" w:hAnsiTheme="minorHAnsi" w:cstheme="minorBidi"/>
              <w:sz w:val="22"/>
              <w:szCs w:val="22"/>
              <w:lang w:val="en-US"/>
            </w:rPr>
          </w:pPr>
          <w:hyperlink w:anchor="_Toc3515512" w:history="1">
            <w:r w:rsidRPr="008D54B7">
              <w:rPr>
                <w:rStyle w:val="Hyperlink"/>
                <w:rtl/>
              </w:rPr>
              <w:t>הרב</w:t>
            </w:r>
            <w:r w:rsidRPr="008D54B7">
              <w:rPr>
                <w:rStyle w:val="Hyperlink"/>
              </w:rPr>
              <w:t xml:space="preserve"> </w:t>
            </w:r>
            <w:r w:rsidRPr="008D54B7">
              <w:rPr>
                <w:rStyle w:val="Hyperlink"/>
                <w:rtl/>
              </w:rPr>
              <w:t>מאיר צירקינד</w:t>
            </w:r>
          </w:hyperlink>
        </w:p>
        <w:p w14:paraId="484DF546" w14:textId="1178FED6" w:rsidR="00E15FB0" w:rsidRDefault="00E15FB0" w:rsidP="0047300E">
          <w:pPr>
            <w:pStyle w:val="TOC2"/>
            <w:rPr>
              <w:rFonts w:asciiTheme="minorHAnsi" w:eastAsiaTheme="minorEastAsia" w:hAnsiTheme="minorHAnsi" w:cstheme="minorBidi"/>
            </w:rPr>
          </w:pPr>
          <w:hyperlink w:anchor="_Toc3515513" w:history="1">
            <w:r w:rsidRPr="008D54B7">
              <w:rPr>
                <w:rStyle w:val="Hyperlink"/>
                <w:rtl/>
              </w:rPr>
              <w:t>אופן לימוד הקריאה</w:t>
            </w:r>
            <w:r w:rsidRPr="008D54B7">
              <w:rPr>
                <w:rStyle w:val="Hyperlink"/>
              </w:rPr>
              <w:t xml:space="preserve"> </w:t>
            </w:r>
            <w:r w:rsidR="0047300E">
              <w:rPr>
                <w:rStyle w:val="Hyperlink"/>
                <w:rFonts w:hint="cs"/>
                <w:rtl/>
              </w:rPr>
              <w:t>(</w:t>
            </w:r>
            <w:r w:rsidRPr="008D54B7">
              <w:rPr>
                <w:rStyle w:val="Hyperlink"/>
                <w:rtl/>
              </w:rPr>
              <w:t>גליון</w:t>
            </w:r>
            <w:r w:rsidR="0047300E">
              <w:rPr>
                <w:rStyle w:val="Hyperlink"/>
                <w:rFonts w:hint="cs"/>
                <w:rtl/>
              </w:rPr>
              <w:t>)</w:t>
            </w:r>
            <w:r>
              <w:rPr>
                <w:webHidden/>
              </w:rPr>
              <w:tab/>
            </w:r>
            <w:r>
              <w:rPr>
                <w:webHidden/>
              </w:rPr>
              <w:fldChar w:fldCharType="begin"/>
            </w:r>
            <w:r>
              <w:rPr>
                <w:webHidden/>
              </w:rPr>
              <w:instrText xml:space="preserve"> PAGEREF _Toc3515513 \h </w:instrText>
            </w:r>
            <w:r>
              <w:rPr>
                <w:webHidden/>
              </w:rPr>
            </w:r>
            <w:r>
              <w:rPr>
                <w:webHidden/>
              </w:rPr>
              <w:fldChar w:fldCharType="separate"/>
            </w:r>
            <w:r>
              <w:rPr>
                <w:webHidden/>
              </w:rPr>
              <w:t>85</w:t>
            </w:r>
            <w:r>
              <w:rPr>
                <w:webHidden/>
              </w:rPr>
              <w:fldChar w:fldCharType="end"/>
            </w:r>
          </w:hyperlink>
        </w:p>
        <w:p w14:paraId="71C75B6A" w14:textId="69D506A5" w:rsidR="00E15FB0" w:rsidRDefault="00E15FB0" w:rsidP="0047300E">
          <w:pPr>
            <w:pStyle w:val="TOC3"/>
            <w:rPr>
              <w:rFonts w:asciiTheme="minorHAnsi" w:eastAsiaTheme="minorEastAsia" w:hAnsiTheme="minorHAnsi" w:cstheme="minorBidi"/>
              <w:sz w:val="22"/>
              <w:szCs w:val="22"/>
              <w:lang w:val="en-US"/>
            </w:rPr>
          </w:pPr>
          <w:hyperlink w:anchor="_Toc3515514" w:history="1">
            <w:r w:rsidRPr="008D54B7">
              <w:rPr>
                <w:rStyle w:val="Hyperlink"/>
                <w:rtl/>
              </w:rPr>
              <w:t>הרב אהרן פרידמן</w:t>
            </w:r>
          </w:hyperlink>
        </w:p>
        <w:p w14:paraId="080ADB4F" w14:textId="13B25B46" w:rsidR="00E15FB0" w:rsidRDefault="00E15FB0" w:rsidP="0047300E">
          <w:pPr>
            <w:pStyle w:val="TOC1"/>
            <w:rPr>
              <w:rFonts w:asciiTheme="minorHAnsi" w:eastAsiaTheme="minorEastAsia" w:hAnsiTheme="minorHAnsi" w:cstheme="minorBidi"/>
              <w:sz w:val="22"/>
              <w:szCs w:val="22"/>
            </w:rPr>
          </w:pPr>
          <w:hyperlink w:anchor="_Toc3515515" w:history="1">
            <w:r w:rsidRPr="008D54B7">
              <w:rPr>
                <w:rStyle w:val="Hyperlink"/>
                <w:rtl/>
              </w:rPr>
              <w:t>פשוטו של מקרא</w:t>
            </w:r>
          </w:hyperlink>
        </w:p>
        <w:p w14:paraId="238C2B76" w14:textId="77777777" w:rsidR="00E15FB0" w:rsidRDefault="00E15FB0" w:rsidP="0047300E">
          <w:pPr>
            <w:pStyle w:val="TOC2"/>
            <w:rPr>
              <w:rFonts w:asciiTheme="minorHAnsi" w:eastAsiaTheme="minorEastAsia" w:hAnsiTheme="minorHAnsi" w:cstheme="minorBidi"/>
            </w:rPr>
          </w:pPr>
          <w:hyperlink w:anchor="_Toc3515516" w:history="1">
            <w:r w:rsidRPr="008D54B7">
              <w:rPr>
                <w:rStyle w:val="Hyperlink"/>
                <w:rtl/>
              </w:rPr>
              <w:t>אם ב</w:t>
            </w:r>
            <w:r w:rsidRPr="008D54B7">
              <w:rPr>
                <w:rStyle w:val="Hyperlink"/>
                <w:rtl/>
              </w:rPr>
              <w:t>מ</w:t>
            </w:r>
            <w:r w:rsidRPr="008D54B7">
              <w:rPr>
                <w:rStyle w:val="Hyperlink"/>
                <w:rtl/>
              </w:rPr>
              <w:t>שמעות</w:t>
            </w:r>
            <w:r w:rsidRPr="008D54B7">
              <w:rPr>
                <w:rStyle w:val="Hyperlink"/>
              </w:rPr>
              <w:t xml:space="preserve"> </w:t>
            </w:r>
            <w:r w:rsidRPr="008D54B7">
              <w:rPr>
                <w:rStyle w:val="Hyperlink"/>
                <w:rtl/>
              </w:rPr>
              <w:t>או</w:t>
            </w:r>
            <w:r>
              <w:rPr>
                <w:webHidden/>
              </w:rPr>
              <w:tab/>
            </w:r>
            <w:r>
              <w:rPr>
                <w:webHidden/>
              </w:rPr>
              <w:fldChar w:fldCharType="begin"/>
            </w:r>
            <w:r>
              <w:rPr>
                <w:webHidden/>
              </w:rPr>
              <w:instrText xml:space="preserve"> PAGEREF _Toc3515516 \h </w:instrText>
            </w:r>
            <w:r>
              <w:rPr>
                <w:webHidden/>
              </w:rPr>
            </w:r>
            <w:r>
              <w:rPr>
                <w:webHidden/>
              </w:rPr>
              <w:fldChar w:fldCharType="separate"/>
            </w:r>
            <w:r>
              <w:rPr>
                <w:webHidden/>
              </w:rPr>
              <w:t>87</w:t>
            </w:r>
            <w:r>
              <w:rPr>
                <w:webHidden/>
              </w:rPr>
              <w:fldChar w:fldCharType="end"/>
            </w:r>
          </w:hyperlink>
        </w:p>
        <w:p w14:paraId="536C0577" w14:textId="010BC443" w:rsidR="00E15FB0" w:rsidRDefault="00E15FB0" w:rsidP="0047300E">
          <w:pPr>
            <w:pStyle w:val="TOC3"/>
            <w:rPr>
              <w:rFonts w:asciiTheme="minorHAnsi" w:eastAsiaTheme="minorEastAsia" w:hAnsiTheme="minorHAnsi" w:cstheme="minorBidi"/>
              <w:sz w:val="22"/>
              <w:szCs w:val="22"/>
              <w:lang w:val="en-US"/>
            </w:rPr>
          </w:pPr>
          <w:hyperlink w:anchor="_Toc3515517" w:history="1">
            <w:r w:rsidRPr="008D54B7">
              <w:rPr>
                <w:rStyle w:val="Hyperlink"/>
                <w:rtl/>
              </w:rPr>
              <w:t>הרב אברהם אלאשוילי</w:t>
            </w:r>
          </w:hyperlink>
        </w:p>
        <w:p w14:paraId="721A7786" w14:textId="77777777" w:rsidR="00E15FB0" w:rsidRDefault="00E15FB0" w:rsidP="0047300E">
          <w:pPr>
            <w:pStyle w:val="TOC2"/>
            <w:rPr>
              <w:rFonts w:asciiTheme="minorHAnsi" w:eastAsiaTheme="minorEastAsia" w:hAnsiTheme="minorHAnsi" w:cstheme="minorBidi"/>
            </w:rPr>
          </w:pPr>
          <w:hyperlink w:anchor="_Toc3515518" w:history="1">
            <w:r w:rsidRPr="008D54B7">
              <w:rPr>
                <w:rStyle w:val="Hyperlink"/>
                <w:rtl/>
              </w:rPr>
              <w:t>זה הדבר אשר צוה ה</w:t>
            </w:r>
            <w:r w:rsidRPr="008D54B7">
              <w:rPr>
                <w:rStyle w:val="Hyperlink"/>
              </w:rPr>
              <w:t>'</w:t>
            </w:r>
            <w:r>
              <w:rPr>
                <w:webHidden/>
              </w:rPr>
              <w:tab/>
            </w:r>
            <w:r>
              <w:rPr>
                <w:webHidden/>
              </w:rPr>
              <w:fldChar w:fldCharType="begin"/>
            </w:r>
            <w:r>
              <w:rPr>
                <w:webHidden/>
              </w:rPr>
              <w:instrText xml:space="preserve"> PAGEREF _Toc3515518 \h </w:instrText>
            </w:r>
            <w:r>
              <w:rPr>
                <w:webHidden/>
              </w:rPr>
            </w:r>
            <w:r>
              <w:rPr>
                <w:webHidden/>
              </w:rPr>
              <w:fldChar w:fldCharType="separate"/>
            </w:r>
            <w:r>
              <w:rPr>
                <w:webHidden/>
              </w:rPr>
              <w:t>89</w:t>
            </w:r>
            <w:r>
              <w:rPr>
                <w:webHidden/>
              </w:rPr>
              <w:fldChar w:fldCharType="end"/>
            </w:r>
          </w:hyperlink>
        </w:p>
        <w:p w14:paraId="7C6852F3" w14:textId="4D104DC8" w:rsidR="00E15FB0" w:rsidRDefault="00E15FB0" w:rsidP="0047300E">
          <w:pPr>
            <w:pStyle w:val="TOC3"/>
            <w:rPr>
              <w:rFonts w:asciiTheme="minorHAnsi" w:eastAsiaTheme="minorEastAsia" w:hAnsiTheme="minorHAnsi" w:cstheme="minorBidi"/>
              <w:sz w:val="22"/>
              <w:szCs w:val="22"/>
              <w:lang w:val="en-US"/>
            </w:rPr>
          </w:pPr>
          <w:hyperlink w:anchor="_Toc3515519" w:history="1">
            <w:r w:rsidRPr="008D54B7">
              <w:rPr>
                <w:rStyle w:val="Hyperlink"/>
                <w:rtl/>
              </w:rPr>
              <w:t>הרב שרגא פייוויל רימלער</w:t>
            </w:r>
          </w:hyperlink>
        </w:p>
        <w:p w14:paraId="49433D79" w14:textId="2B141251" w:rsidR="00E15FB0" w:rsidRDefault="00E15FB0" w:rsidP="0047300E">
          <w:pPr>
            <w:pStyle w:val="TOC1"/>
            <w:rPr>
              <w:rFonts w:asciiTheme="minorHAnsi" w:eastAsiaTheme="minorEastAsia" w:hAnsiTheme="minorHAnsi" w:cstheme="minorBidi"/>
              <w:sz w:val="22"/>
              <w:szCs w:val="22"/>
            </w:rPr>
          </w:pPr>
          <w:hyperlink w:anchor="_Toc3515520" w:history="1">
            <w:r w:rsidRPr="008D54B7">
              <w:rPr>
                <w:rStyle w:val="Hyperlink"/>
                <w:rtl/>
              </w:rPr>
              <w:t>שונות</w:t>
            </w:r>
          </w:hyperlink>
        </w:p>
        <w:p w14:paraId="339A14EA" w14:textId="5EFF8E97" w:rsidR="00E15FB0" w:rsidRDefault="00E15FB0" w:rsidP="0047300E">
          <w:pPr>
            <w:pStyle w:val="TOC2"/>
            <w:rPr>
              <w:rFonts w:asciiTheme="minorHAnsi" w:eastAsiaTheme="minorEastAsia" w:hAnsiTheme="minorHAnsi" w:cstheme="minorBidi"/>
            </w:rPr>
          </w:pPr>
          <w:hyperlink w:anchor="_Toc3515521" w:history="1">
            <w:r w:rsidRPr="008D54B7">
              <w:rPr>
                <w:rStyle w:val="Hyperlink"/>
                <w:rtl/>
              </w:rPr>
              <w:t>והסר ממנו יגון ואנחה (גליון</w:t>
            </w:r>
            <w:r w:rsidR="0047300E">
              <w:rPr>
                <w:rStyle w:val="Hyperlink"/>
                <w:rFonts w:hint="cs"/>
                <w:rtl/>
              </w:rPr>
              <w:t>)</w:t>
            </w:r>
            <w:r>
              <w:rPr>
                <w:webHidden/>
              </w:rPr>
              <w:tab/>
            </w:r>
            <w:r>
              <w:rPr>
                <w:webHidden/>
              </w:rPr>
              <w:fldChar w:fldCharType="begin"/>
            </w:r>
            <w:r>
              <w:rPr>
                <w:webHidden/>
              </w:rPr>
              <w:instrText xml:space="preserve"> PAGEREF _Toc3515521 \h </w:instrText>
            </w:r>
            <w:r>
              <w:rPr>
                <w:webHidden/>
              </w:rPr>
            </w:r>
            <w:r>
              <w:rPr>
                <w:webHidden/>
              </w:rPr>
              <w:fldChar w:fldCharType="separate"/>
            </w:r>
            <w:r>
              <w:rPr>
                <w:webHidden/>
              </w:rPr>
              <w:t>90</w:t>
            </w:r>
            <w:r>
              <w:rPr>
                <w:webHidden/>
              </w:rPr>
              <w:fldChar w:fldCharType="end"/>
            </w:r>
          </w:hyperlink>
        </w:p>
        <w:p w14:paraId="39211333" w14:textId="2B0BE5FA" w:rsidR="00E15FB0" w:rsidRDefault="00E15FB0" w:rsidP="0047300E">
          <w:pPr>
            <w:pStyle w:val="TOC3"/>
            <w:rPr>
              <w:rFonts w:asciiTheme="minorHAnsi" w:eastAsiaTheme="minorEastAsia" w:hAnsiTheme="minorHAnsi" w:cstheme="minorBidi"/>
              <w:sz w:val="22"/>
              <w:szCs w:val="22"/>
              <w:lang w:val="en-US"/>
            </w:rPr>
          </w:pPr>
          <w:hyperlink w:anchor="_Toc3515522" w:history="1">
            <w:r w:rsidRPr="008D54B7">
              <w:rPr>
                <w:rStyle w:val="Hyperlink"/>
                <w:rtl/>
              </w:rPr>
              <w:t>הרב משה מרקוביץ</w:t>
            </w:r>
          </w:hyperlink>
        </w:p>
        <w:p w14:paraId="44EA5C3A" w14:textId="7746BF73" w:rsidR="00E15FB0" w:rsidRDefault="00E15FB0" w:rsidP="0047300E">
          <w:pPr>
            <w:pStyle w:val="TOC2"/>
            <w:rPr>
              <w:rFonts w:asciiTheme="minorHAnsi" w:eastAsiaTheme="minorEastAsia" w:hAnsiTheme="minorHAnsi" w:cstheme="minorBidi"/>
            </w:rPr>
          </w:pPr>
          <w:hyperlink w:anchor="_Toc3515523" w:history="1">
            <w:r w:rsidRPr="008D54B7">
              <w:rPr>
                <w:rStyle w:val="Hyperlink"/>
                <w:rtl/>
              </w:rPr>
              <w:t>ספרים שהיו לפני רבינו הזקן (גליון</w:t>
            </w:r>
            <w:r w:rsidR="0047300E">
              <w:rPr>
                <w:rStyle w:val="Hyperlink"/>
                <w:rFonts w:hint="cs"/>
                <w:rtl/>
              </w:rPr>
              <w:t>)</w:t>
            </w:r>
            <w:r>
              <w:rPr>
                <w:webHidden/>
              </w:rPr>
              <w:tab/>
            </w:r>
            <w:r>
              <w:rPr>
                <w:webHidden/>
              </w:rPr>
              <w:fldChar w:fldCharType="begin"/>
            </w:r>
            <w:r>
              <w:rPr>
                <w:webHidden/>
              </w:rPr>
              <w:instrText xml:space="preserve"> PAGEREF _Toc3515523 \h </w:instrText>
            </w:r>
            <w:r>
              <w:rPr>
                <w:webHidden/>
              </w:rPr>
            </w:r>
            <w:r>
              <w:rPr>
                <w:webHidden/>
              </w:rPr>
              <w:fldChar w:fldCharType="separate"/>
            </w:r>
            <w:r>
              <w:rPr>
                <w:webHidden/>
              </w:rPr>
              <w:t>91</w:t>
            </w:r>
            <w:r>
              <w:rPr>
                <w:webHidden/>
              </w:rPr>
              <w:fldChar w:fldCharType="end"/>
            </w:r>
          </w:hyperlink>
        </w:p>
        <w:p w14:paraId="6DE0E898" w14:textId="101DE2D5" w:rsidR="00E15FB0" w:rsidRDefault="00E15FB0" w:rsidP="0047300E">
          <w:pPr>
            <w:pStyle w:val="TOC3"/>
            <w:rPr>
              <w:rFonts w:asciiTheme="minorHAnsi" w:eastAsiaTheme="minorEastAsia" w:hAnsiTheme="minorHAnsi" w:cstheme="minorBidi"/>
              <w:sz w:val="22"/>
              <w:szCs w:val="22"/>
              <w:lang w:val="en-US"/>
            </w:rPr>
          </w:pPr>
          <w:hyperlink w:anchor="_Toc3515524" w:history="1">
            <w:r w:rsidRPr="008D54B7">
              <w:rPr>
                <w:rStyle w:val="Hyperlink"/>
                <w:rtl/>
              </w:rPr>
              <w:t>הרב אלי' מטוסוב</w:t>
            </w:r>
          </w:hyperlink>
        </w:p>
        <w:p w14:paraId="3D344AA9" w14:textId="0BEC143F" w:rsidR="003D5804" w:rsidRPr="004F6AB2" w:rsidRDefault="00DC501D" w:rsidP="00343683">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80BC1">
      <w:pPr>
        <w:pStyle w:val="ac"/>
        <w:spacing w:after="0" w:line="276" w:lineRule="auto"/>
        <w:jc w:val="left"/>
        <w:rPr>
          <w:rFonts w:ascii="FbFrankReal" w:hAnsi="FbFrankReal" w:cs="1ShefaClassic"/>
          <w:b/>
          <w:bCs/>
          <w:sz w:val="22"/>
          <w:szCs w:val="22"/>
          <w:rtl/>
        </w:rPr>
      </w:pPr>
      <w:bookmarkStart w:id="95" w:name="_Toc504475482"/>
      <w:bookmarkStart w:id="96" w:name="_Toc403698996"/>
      <w:bookmarkStart w:id="97" w:name="_Toc405513659"/>
      <w:bookmarkStart w:id="98" w:name="_Toc408433553"/>
    </w:p>
    <w:p w14:paraId="7F0CCDF0" w14:textId="4836DEF2" w:rsidR="00BF26FE" w:rsidRDefault="00BF26FE" w:rsidP="00180BC1">
      <w:pPr>
        <w:pStyle w:val="ac"/>
        <w:spacing w:after="0" w:line="276" w:lineRule="auto"/>
        <w:jc w:val="left"/>
        <w:rPr>
          <w:rFonts w:ascii="FbFrankReal" w:hAnsi="FbFrankReal" w:cs="1ShefaClassic"/>
          <w:b/>
          <w:bCs/>
          <w:sz w:val="22"/>
          <w:szCs w:val="22"/>
          <w:rtl/>
        </w:rPr>
      </w:pPr>
    </w:p>
    <w:p w14:paraId="474EEDD4" w14:textId="77777777" w:rsidR="001E6BE9" w:rsidRDefault="001E6BE9" w:rsidP="00180BC1">
      <w:pPr>
        <w:pStyle w:val="ac"/>
        <w:spacing w:after="0" w:line="276" w:lineRule="auto"/>
        <w:jc w:val="left"/>
        <w:rPr>
          <w:rFonts w:ascii="FbFrankReal" w:hAnsi="FbFrankReal" w:cs="1ShefaClassic"/>
          <w:b/>
          <w:bCs/>
          <w:sz w:val="22"/>
          <w:szCs w:val="22"/>
          <w:rtl/>
        </w:rPr>
      </w:pPr>
    </w:p>
    <w:p w14:paraId="77CE1840" w14:textId="2530337D" w:rsidR="001E6BE9" w:rsidRPr="0078029C" w:rsidRDefault="006F2212" w:rsidP="0078029C">
      <w:pPr>
        <w:rPr>
          <w:rFonts w:ascii="FbFrankReal" w:eastAsia="Times New Roman" w:hAnsi="FbFrankReal" w:cs="1ShefaClassic"/>
          <w:b/>
          <w:bCs/>
          <w:noProof/>
          <w:rtl/>
        </w:rPr>
      </w:pPr>
      <w:r w:rsidRPr="004F477C">
        <w:rPr>
          <w:noProof/>
          <w:sz w:val="24"/>
          <w:szCs w:val="24"/>
        </w:rPr>
        <mc:AlternateContent>
          <mc:Choice Requires="wps">
            <w:drawing>
              <wp:anchor distT="0" distB="0" distL="114300" distR="114300" simplePos="0" relativeHeight="251713536" behindDoc="1" locked="0" layoutInCell="1" allowOverlap="1" wp14:anchorId="7FE73859" wp14:editId="6D6FFAC1">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E15FB0" w:rsidRDefault="00E15FB0"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3FE81DF" w:rsidR="00E15FB0" w:rsidRDefault="00E15FB0" w:rsidP="009A3E7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מצורע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ה' ניסן ה'תשע"ט </w:t>
                            </w:r>
                          </w:p>
                          <w:p w14:paraId="6C5E721D" w14:textId="77777777" w:rsidR="00E15FB0" w:rsidRDefault="00E15FB0"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E15FB0" w:rsidRDefault="00E15FB0" w:rsidP="00A16C17">
                            <w:pPr>
                              <w:pStyle w:val="Footer"/>
                              <w:bidi/>
                              <w:jc w:val="center"/>
                              <w:rPr>
                                <w:rFonts w:ascii="FbFrankReal" w:hAnsi="FbFrankReal" w:cs="Levenim MT"/>
                                <w:sz w:val="16"/>
                                <w:szCs w:val="16"/>
                                <w:rtl/>
                              </w:rPr>
                            </w:pPr>
                          </w:p>
                          <w:p w14:paraId="5DE6ABB9" w14:textId="77777777" w:rsidR="00E15FB0" w:rsidRDefault="00E15FB0"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E15FB0" w:rsidRDefault="00E15FB0" w:rsidP="00A16C17">
                            <w:pPr>
                              <w:bidi/>
                              <w:spacing w:after="0" w:line="240" w:lineRule="auto"/>
                              <w:jc w:val="center"/>
                              <w:rPr>
                                <w:rFonts w:ascii="FbFrankReal" w:hAnsi="FbFrankReal" w:cs="1ShefaClassic"/>
                                <w:b/>
                                <w:bCs/>
                                <w:rtl/>
                              </w:rPr>
                            </w:pPr>
                          </w:p>
                          <w:p w14:paraId="1DF899FE" w14:textId="77777777" w:rsidR="00E15FB0" w:rsidRDefault="00E15FB0"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E15FB0" w:rsidRDefault="00E15FB0"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E15FB0" w:rsidRDefault="00E15FB0"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E15FB0" w:rsidRDefault="00E15FB0"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E15FB0" w:rsidRDefault="00E15FB0"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E15FB0" w:rsidRDefault="00E15FB0"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E15FB0" w:rsidRDefault="00E15FB0"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E15FB0" w:rsidRDefault="00E15FB0"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E15FB0" w:rsidRPr="003234A3" w:rsidRDefault="00E15FB0"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E15FB0" w:rsidRDefault="00E15FB0"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3FE81DF" w:rsidR="00E15FB0" w:rsidRDefault="00E15FB0" w:rsidP="009A3E7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מצורע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ה' ניסן ה'תשע"ט </w:t>
                      </w:r>
                    </w:p>
                    <w:p w14:paraId="6C5E721D" w14:textId="77777777" w:rsidR="00E15FB0" w:rsidRDefault="00E15FB0"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E15FB0" w:rsidRDefault="00E15FB0" w:rsidP="00A16C17">
                      <w:pPr>
                        <w:pStyle w:val="Footer"/>
                        <w:bidi/>
                        <w:jc w:val="center"/>
                        <w:rPr>
                          <w:rFonts w:ascii="FbFrankReal" w:hAnsi="FbFrankReal" w:cs="Levenim MT"/>
                          <w:sz w:val="16"/>
                          <w:szCs w:val="16"/>
                          <w:rtl/>
                        </w:rPr>
                      </w:pPr>
                    </w:p>
                    <w:p w14:paraId="5DE6ABB9" w14:textId="77777777" w:rsidR="00E15FB0" w:rsidRDefault="00E15FB0"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E15FB0" w:rsidRDefault="00E15FB0" w:rsidP="00A16C17">
                      <w:pPr>
                        <w:bidi/>
                        <w:spacing w:after="0" w:line="240" w:lineRule="auto"/>
                        <w:jc w:val="center"/>
                        <w:rPr>
                          <w:rFonts w:ascii="FbFrankReal" w:hAnsi="FbFrankReal" w:cs="1ShefaClassic"/>
                          <w:b/>
                          <w:bCs/>
                          <w:rtl/>
                        </w:rPr>
                      </w:pPr>
                    </w:p>
                    <w:p w14:paraId="1DF899FE" w14:textId="77777777" w:rsidR="00E15FB0" w:rsidRDefault="00E15FB0"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E15FB0" w:rsidRDefault="00E15FB0"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E15FB0" w:rsidRDefault="00E15FB0"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E15FB0" w:rsidRDefault="00E15FB0"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E15FB0" w:rsidRDefault="00E15FB0"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E15FB0" w:rsidRDefault="00E15FB0"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E15FB0" w:rsidRDefault="00E15FB0"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E15FB0" w:rsidRDefault="00E15FB0"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E15FB0" w:rsidRPr="003234A3" w:rsidRDefault="00E15FB0"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0223381B" w:rsidR="00552D8B" w:rsidRDefault="00C8154B" w:rsidP="00C8154B">
      <w:pPr>
        <w:pStyle w:val="12"/>
        <w:rPr>
          <w:rtl/>
        </w:rPr>
      </w:pPr>
      <w:bookmarkStart w:id="99" w:name="_Toc3515459"/>
      <w:bookmarkEnd w:id="0"/>
      <w:bookmarkEnd w:id="95"/>
      <w:bookmarkEnd w:id="96"/>
      <w:bookmarkEnd w:id="97"/>
      <w:bookmarkEnd w:id="98"/>
      <w:r>
        <w:rPr>
          <w:rFonts w:hint="cs"/>
          <w:rtl/>
        </w:rPr>
        <w:lastRenderedPageBreak/>
        <w:t>עניני משיח וגאולה</w:t>
      </w:r>
      <w:bookmarkEnd w:id="99"/>
    </w:p>
    <w:p w14:paraId="45B26EDA" w14:textId="77777777" w:rsidR="00FE3F65" w:rsidRDefault="00FE3F65" w:rsidP="00FE3F65">
      <w:pPr>
        <w:pStyle w:val="a"/>
        <w:rPr>
          <w:rtl/>
        </w:rPr>
      </w:pPr>
      <w:bookmarkStart w:id="100" w:name="_Toc3515460"/>
      <w:r>
        <w:rPr>
          <w:rFonts w:hint="cs"/>
          <w:rtl/>
        </w:rPr>
        <w:t>ברכת שעשה לי נס לעת"ל</w:t>
      </w:r>
      <w:bookmarkEnd w:id="100"/>
    </w:p>
    <w:p w14:paraId="1CB6D59D" w14:textId="3CB00C13" w:rsidR="00C8154B" w:rsidRDefault="00C8154B" w:rsidP="00C40187">
      <w:pPr>
        <w:pStyle w:val="a0"/>
        <w:rPr>
          <w:rtl/>
        </w:rPr>
      </w:pPr>
      <w:bookmarkStart w:id="101" w:name="_Toc3515461"/>
      <w:r>
        <w:rPr>
          <w:rFonts w:hint="cs"/>
          <w:rtl/>
        </w:rPr>
        <w:t>הרב אברהם</w:t>
      </w:r>
      <w:r w:rsidR="00FE3F65">
        <w:rPr>
          <w:rFonts w:hint="cs"/>
          <w:rtl/>
        </w:rPr>
        <w:t xml:space="preserve"> יצחק</w:t>
      </w:r>
      <w:r>
        <w:rPr>
          <w:rFonts w:hint="cs"/>
          <w:rtl/>
        </w:rPr>
        <w:t xml:space="preserve"> ברוך גערליצקי</w:t>
      </w:r>
      <w:bookmarkEnd w:id="101"/>
    </w:p>
    <w:p w14:paraId="3DB24678" w14:textId="7503E303" w:rsidR="00C8154B" w:rsidRPr="00C8154B" w:rsidRDefault="00C8154B" w:rsidP="00F8255E">
      <w:pPr>
        <w:pStyle w:val="a1"/>
        <w:rPr>
          <w:rFonts w:hint="cs"/>
          <w:rtl/>
          <w:lang w:val="en-GB"/>
        </w:rPr>
      </w:pPr>
      <w:r>
        <w:rPr>
          <w:rFonts w:hint="cs"/>
          <w:rtl/>
          <w:lang w:val="en-GB"/>
        </w:rPr>
        <w:t>ר"מ בישיבה</w:t>
      </w:r>
    </w:p>
    <w:p w14:paraId="3F87F8A9" w14:textId="77777777" w:rsidR="00FE3F65" w:rsidRDefault="00FE3F65" w:rsidP="00F8255E">
      <w:pPr>
        <w:pStyle w:val="a2"/>
        <w:rPr>
          <w:rtl/>
        </w:rPr>
      </w:pPr>
      <w:r>
        <w:rPr>
          <w:rFonts w:hint="cs"/>
          <w:rtl/>
        </w:rPr>
        <w:t xml:space="preserve">בשו"ע או"ח </w:t>
      </w:r>
      <w:r>
        <w:rPr>
          <w:rtl/>
        </w:rPr>
        <w:t>סימן ריח</w:t>
      </w:r>
      <w:r>
        <w:rPr>
          <w:rFonts w:hint="cs"/>
          <w:rtl/>
        </w:rPr>
        <w:t xml:space="preserve"> איתא: "</w:t>
      </w:r>
      <w:r>
        <w:rPr>
          <w:rtl/>
        </w:rPr>
        <w:t>הרואה מקום שנעשו בו נסים לישראל, כגון: מעברות הים, ומעברות הירדן</w:t>
      </w:r>
      <w:r>
        <w:rPr>
          <w:rFonts w:hint="cs"/>
          <w:rtl/>
        </w:rPr>
        <w:t xml:space="preserve"> וכו' </w:t>
      </w:r>
      <w:r>
        <w:rPr>
          <w:rtl/>
        </w:rPr>
        <w:t>מברך: שעשה נסים לאבותינו במקום הזה.. הרואה מקום שנעשה נס ליחיד, אינו מברך; אבל הוא עצמו מברך שעשה לי נס במקום הזה</w:t>
      </w:r>
      <w:r>
        <w:rPr>
          <w:rFonts w:hint="cs"/>
          <w:rtl/>
        </w:rPr>
        <w:t xml:space="preserve"> </w:t>
      </w:r>
      <w:r>
        <w:rPr>
          <w:rtl/>
        </w:rPr>
        <w:t>וכל יוצאי</w:t>
      </w:r>
      <w:r>
        <w:rPr>
          <w:rFonts w:hint="cs"/>
          <w:rtl/>
        </w:rPr>
        <w:t xml:space="preserve"> </w:t>
      </w:r>
      <w:r>
        <w:rPr>
          <w:rtl/>
        </w:rPr>
        <w:t>ירכו גם כן מברכין שעשה נס לאבי במקום הזה</w:t>
      </w:r>
      <w:r>
        <w:rPr>
          <w:rFonts w:hint="cs"/>
          <w:rtl/>
        </w:rPr>
        <w:t>", וכ"כ אדה"ז בסדר ברכת הנהנין רפי"ג, ובלוח ברכת הנהנין רפי"ב, ומקורו הוא בברכות נד,א.</w:t>
      </w:r>
    </w:p>
    <w:p w14:paraId="5E5B3619" w14:textId="77777777" w:rsidR="00FE3F65" w:rsidRDefault="00FE3F65" w:rsidP="00F8255E">
      <w:pPr>
        <w:pStyle w:val="a2"/>
        <w:rPr>
          <w:rtl/>
        </w:rPr>
      </w:pPr>
      <w:r>
        <w:rPr>
          <w:rFonts w:hint="cs"/>
          <w:rtl/>
        </w:rPr>
        <w:t>ויש שנסתפק בזה</w:t>
      </w:r>
      <w:r>
        <w:rPr>
          <w:rStyle w:val="FootnoteReference"/>
          <w:rtl/>
        </w:rPr>
        <w:footnoteReference w:id="2"/>
      </w:r>
      <w:r>
        <w:rPr>
          <w:rFonts w:hint="cs"/>
          <w:rtl/>
        </w:rPr>
        <w:t xml:space="preserve"> אם ברכה זו תתקיים גם לעת"ל, והספק הוא דכיון דבשו"ע שם (סעי' ט') וכן פסק אדה"ז בהלוח שם סעי' ז': ד"</w:t>
      </w:r>
      <w:r>
        <w:rPr>
          <w:rtl/>
        </w:rPr>
        <w:t>אין מברכין על הנס אלא כשהוא יוצא ממנהג העולם אבל אם הוא מנהג העולם ותולדתו כגון שבא גנבים בלילה ובא לידי סכנה וניצול וכל כיוצא בזה אין זה קרוי נס ואינו מברך שעשה לי נס במקום הזה</w:t>
      </w:r>
      <w:r>
        <w:rPr>
          <w:rFonts w:hint="cs"/>
          <w:rtl/>
        </w:rPr>
        <w:t xml:space="preserve">" א"כ לעת"ל כשיתבטל מנהג העולם (בתקופה הב' לדעת הרמב"ם) ויהי' </w:t>
      </w:r>
      <w:r w:rsidRPr="00E52AE1">
        <w:rPr>
          <w:rFonts w:hint="cs"/>
          <w:bCs/>
          <w:rtl/>
        </w:rPr>
        <w:t>הנהגה נסית</w:t>
      </w:r>
      <w:r>
        <w:rPr>
          <w:rFonts w:hint="cs"/>
          <w:rtl/>
        </w:rPr>
        <w:t xml:space="preserve"> לא שייך ברכה זו, די"ל דהא דמברך על הנס, הוא משום שגם </w:t>
      </w:r>
      <w:r w:rsidRPr="00A86F39">
        <w:rPr>
          <w:rFonts w:hint="cs"/>
          <w:bCs/>
          <w:rtl/>
        </w:rPr>
        <w:t>עכשיו</w:t>
      </w:r>
      <w:r>
        <w:rPr>
          <w:rFonts w:hint="cs"/>
          <w:rtl/>
        </w:rPr>
        <w:t xml:space="preserve"> הוא מרגיש את גודל ההפלאה של הנס, אבל כאשר כל ההנהגה יהי' באופן נסי, לא שייך עוד ברכה זו. </w:t>
      </w:r>
    </w:p>
    <w:p w14:paraId="6C373A97" w14:textId="77777777" w:rsidR="00FE3F65" w:rsidRDefault="00FE3F65" w:rsidP="00F8255E">
      <w:pPr>
        <w:pStyle w:val="a2"/>
        <w:rPr>
          <w:rtl/>
        </w:rPr>
      </w:pPr>
      <w:r>
        <w:rPr>
          <w:rFonts w:hint="cs"/>
          <w:rtl/>
        </w:rPr>
        <w:t xml:space="preserve">ומצינו דוגמא כעין זה במה שהובא </w:t>
      </w:r>
      <w:r>
        <w:rPr>
          <w:rtl/>
        </w:rPr>
        <w:t>בס' זכרון למשה (שיצא לאור בשנת חצר"ת לכבוד שנת המאה להסתלקות החתם סופר) ע' פ"א שמסופר שהחת"ס בנסיעתו דרך פרשבורג הי' מסופק מה לעשות אודות הברכה שחלק מחכמתו ליראיו שהשמיטו הרמב"ם, ובלי ספק דסב"ל להרמב"ם דאין לנו חכמים כאלה הראויים לברך עליהם ברכה זו, אבל זה לא נאמר על גאון כרבינו משולם מטיסמאניץ זצ"ל, והתיישב כן, כי טרם פתח את הדלת אמר בלחש (ברכות נח,א): ת"ר הרואה מחכמי ישראל אומר [ופתח הדלת ואמר בשם ומלכות בקול רם] בא"י אמ"ה שחלק מחכמתו ליראיו</w:t>
      </w:r>
      <w:r>
        <w:rPr>
          <w:rFonts w:hint="cs"/>
          <w:rtl/>
        </w:rPr>
        <w:t>.</w:t>
      </w:r>
      <w:r>
        <w:rPr>
          <w:rtl/>
        </w:rPr>
        <w:t xml:space="preserve"> ושאלו: רבי למה לא הביא הרמב"ם הלכה זו? וע"ז השיב לו</w:t>
      </w:r>
      <w:r>
        <w:rPr>
          <w:rFonts w:hint="cs"/>
          <w:rtl/>
        </w:rPr>
        <w:t xml:space="preserve"> </w:t>
      </w:r>
      <w:r>
        <w:rPr>
          <w:rtl/>
        </w:rPr>
        <w:t>דהנה הטור ו</w:t>
      </w:r>
      <w:r>
        <w:rPr>
          <w:rFonts w:hint="cs"/>
          <w:rtl/>
        </w:rPr>
        <w:t>ה</w:t>
      </w:r>
      <w:r>
        <w:rPr>
          <w:rtl/>
        </w:rPr>
        <w:t>רי"ף ו</w:t>
      </w:r>
      <w:r>
        <w:rPr>
          <w:rFonts w:hint="cs"/>
          <w:rtl/>
        </w:rPr>
        <w:t>ה</w:t>
      </w:r>
      <w:r>
        <w:rPr>
          <w:rtl/>
        </w:rPr>
        <w:t>רא"ש הביא רק מה שהוא הלכה בזמן הזה כנודע, משא"כ הרמב"ם מביא גם הילכתא למשיחא, אבל ענינים שאינם לא בזמן הזה ולא לעתיד רק מה דהוה הוה לא הביא גם הרמב"ם בספרו יד החזקה, ו</w:t>
      </w:r>
      <w:r>
        <w:rPr>
          <w:rFonts w:hint="cs"/>
          <w:rtl/>
        </w:rPr>
        <w:t xml:space="preserve">הלכה זו ליתא </w:t>
      </w:r>
      <w:r>
        <w:rPr>
          <w:rtl/>
        </w:rPr>
        <w:t xml:space="preserve">לא בזה"ז ולא לעתיד, בזמן הזה אין לנו </w:t>
      </w:r>
      <w:r>
        <w:rPr>
          <w:rtl/>
        </w:rPr>
        <w:lastRenderedPageBreak/>
        <w:t>ת"ח כזה, ולעתיד הלא יחיו המתים ותמיד נראה את משה ואהרן והתנאים והאמוראים, ואטו אז שייך לומר ברכה בכל שעה לכן לא הביאו הרמב"ם</w:t>
      </w:r>
      <w:r>
        <w:rPr>
          <w:rFonts w:hint="cs"/>
          <w:rtl/>
        </w:rPr>
        <w:t xml:space="preserve"> עכת"ד</w:t>
      </w:r>
      <w:r>
        <w:rPr>
          <w:rStyle w:val="FootnoteReference"/>
          <w:rtl/>
        </w:rPr>
        <w:footnoteReference w:id="3"/>
      </w:r>
      <w:r>
        <w:rPr>
          <w:rFonts w:hint="cs"/>
          <w:rtl/>
        </w:rPr>
        <w:t>.</w:t>
      </w:r>
      <w:r>
        <w:rPr>
          <w:rtl/>
        </w:rPr>
        <w:t xml:space="preserve"> </w:t>
      </w:r>
    </w:p>
    <w:p w14:paraId="1DCFA712" w14:textId="77777777" w:rsidR="00FE3F65" w:rsidRDefault="00FE3F65" w:rsidP="00F8255E">
      <w:pPr>
        <w:pStyle w:val="a2"/>
        <w:rPr>
          <w:rtl/>
        </w:rPr>
      </w:pPr>
      <w:r>
        <w:rPr>
          <w:rFonts w:hint="cs"/>
          <w:rtl/>
        </w:rPr>
        <w:t xml:space="preserve">עוד דוגמא: דבשו"ת </w:t>
      </w:r>
      <w:r w:rsidRPr="000C50EC">
        <w:rPr>
          <w:rFonts w:hint="eastAsia"/>
          <w:rtl/>
        </w:rPr>
        <w:t>בקב</w:t>
      </w:r>
      <w:r w:rsidRPr="000C50EC">
        <w:rPr>
          <w:rtl/>
        </w:rPr>
        <w:t xml:space="preserve"> חיים </w:t>
      </w:r>
      <w:r>
        <w:rPr>
          <w:rFonts w:hint="cs"/>
          <w:rtl/>
        </w:rPr>
        <w:t xml:space="preserve">(סי' עא) הביא מה שמקשים בהא דאמרינן </w:t>
      </w:r>
      <w:r w:rsidRPr="000C50EC">
        <w:rPr>
          <w:rtl/>
        </w:rPr>
        <w:t xml:space="preserve">דלא ניתן שמירת התורה רק בדברים </w:t>
      </w:r>
      <w:r w:rsidRPr="000C50EC">
        <w:rPr>
          <w:rFonts w:hint="eastAsia"/>
          <w:rtl/>
        </w:rPr>
        <w:t>טבעיים</w:t>
      </w:r>
      <w:r w:rsidRPr="000C50EC">
        <w:rPr>
          <w:rtl/>
        </w:rPr>
        <w:t xml:space="preserve">, דאיך נפרנס הא דאיתא בשבת לה,א, הרוצה לראות בארה של מרים יעלה לראש הר </w:t>
      </w:r>
      <w:r w:rsidRPr="000C50EC">
        <w:rPr>
          <w:rFonts w:hint="eastAsia"/>
          <w:rtl/>
        </w:rPr>
        <w:t>כרמל</w:t>
      </w:r>
      <w:r w:rsidRPr="000C50EC">
        <w:rPr>
          <w:rtl/>
        </w:rPr>
        <w:t xml:space="preserve"> ויצפה וכו' אמר רב מעין המטלטל טהור וזהו בארה של מרים, ופירש"</w:t>
      </w:r>
      <w:r w:rsidRPr="000C50EC">
        <w:rPr>
          <w:rFonts w:hint="eastAsia"/>
          <w:rtl/>
        </w:rPr>
        <w:t>י</w:t>
      </w:r>
      <w:r w:rsidRPr="000C50EC">
        <w:rPr>
          <w:rtl/>
        </w:rPr>
        <w:t>: "</w:t>
      </w:r>
      <w:r w:rsidRPr="000C50EC">
        <w:rPr>
          <w:rFonts w:hint="eastAsia"/>
          <w:rtl/>
        </w:rPr>
        <w:t>זהו</w:t>
      </w:r>
      <w:r w:rsidRPr="000C50EC">
        <w:rPr>
          <w:rtl/>
        </w:rPr>
        <w:t xml:space="preserve"> בארה של מרים </w:t>
      </w:r>
      <w:r>
        <w:rPr>
          <w:rtl/>
        </w:rPr>
        <w:t>–</w:t>
      </w:r>
      <w:r w:rsidRPr="000C50EC">
        <w:rPr>
          <w:rtl/>
        </w:rPr>
        <w:t xml:space="preserve"> שהיה מתגלגל עם ישראל במדבר בזכותה של מרים, דכתיב (במדבר כ</w:t>
      </w:r>
      <w:r w:rsidRPr="000C50EC">
        <w:rPr>
          <w:rFonts w:hint="cs"/>
          <w:rtl/>
        </w:rPr>
        <w:t>,א</w:t>
      </w:r>
      <w:r w:rsidRPr="000C50EC">
        <w:rPr>
          <w:rtl/>
        </w:rPr>
        <w:t>) ותמת שם מרים וסמיך ליה</w:t>
      </w:r>
      <w:r w:rsidRPr="000C50EC">
        <w:rPr>
          <w:rFonts w:hint="cs"/>
          <w:rtl/>
        </w:rPr>
        <w:t xml:space="preserve"> (שם,ב)</w:t>
      </w:r>
      <w:r w:rsidRPr="000C50EC">
        <w:rPr>
          <w:rtl/>
        </w:rPr>
        <w:t xml:space="preserve"> ולא היה מים לעדה. טהור </w:t>
      </w:r>
      <w:r>
        <w:rPr>
          <w:rtl/>
        </w:rPr>
        <w:t>–</w:t>
      </w:r>
      <w:r w:rsidRPr="000C50EC">
        <w:rPr>
          <w:rtl/>
        </w:rPr>
        <w:t xml:space="preserve"> מלקבל טומאה, </w:t>
      </w:r>
      <w:r w:rsidRPr="000C50EC">
        <w:rPr>
          <w:rFonts w:hint="eastAsia"/>
          <w:bCs/>
          <w:rtl/>
        </w:rPr>
        <w:t>וטובלין</w:t>
      </w:r>
      <w:r w:rsidRPr="000C50EC">
        <w:rPr>
          <w:bCs/>
          <w:rtl/>
        </w:rPr>
        <w:t xml:space="preserve"> בו</w:t>
      </w:r>
      <w:r w:rsidRPr="000C50EC">
        <w:rPr>
          <w:rtl/>
        </w:rPr>
        <w:t xml:space="preserve"> </w:t>
      </w:r>
      <w:r>
        <w:rPr>
          <w:rtl/>
        </w:rPr>
        <w:t>–</w:t>
      </w:r>
      <w:r w:rsidRPr="000C50EC">
        <w:rPr>
          <w:rtl/>
        </w:rPr>
        <w:t xml:space="preserve"> דלאו ככלי דמי להיות המים </w:t>
      </w:r>
      <w:r w:rsidRPr="000C50EC">
        <w:rPr>
          <w:rFonts w:hint="eastAsia"/>
          <w:rtl/>
        </w:rPr>
        <w:t>הנובעין</w:t>
      </w:r>
      <w:r w:rsidRPr="000C50EC">
        <w:rPr>
          <w:rtl/>
        </w:rPr>
        <w:t xml:space="preserve"> ממנו כשאובין, ואין לך מעין מיטלטל אלא בארה של מרים", </w:t>
      </w:r>
      <w:r w:rsidRPr="000C50EC">
        <w:rPr>
          <w:rFonts w:hint="eastAsia"/>
          <w:rtl/>
        </w:rPr>
        <w:t>וכיון</w:t>
      </w:r>
      <w:r w:rsidRPr="000C50EC">
        <w:rPr>
          <w:rtl/>
        </w:rPr>
        <w:t xml:space="preserve"> שבאר זה הי' </w:t>
      </w:r>
      <w:r w:rsidRPr="000C50EC">
        <w:rPr>
          <w:rFonts w:hint="eastAsia"/>
          <w:bCs/>
          <w:rtl/>
        </w:rPr>
        <w:t>ע</w:t>
      </w:r>
      <w:r w:rsidRPr="000C50EC">
        <w:rPr>
          <w:bCs/>
          <w:rtl/>
        </w:rPr>
        <w:t>"</w:t>
      </w:r>
      <w:r w:rsidRPr="000C50EC">
        <w:rPr>
          <w:rFonts w:hint="eastAsia"/>
          <w:bCs/>
          <w:rtl/>
        </w:rPr>
        <w:t>י</w:t>
      </w:r>
      <w:r w:rsidRPr="000C50EC">
        <w:rPr>
          <w:bCs/>
          <w:rtl/>
        </w:rPr>
        <w:t xml:space="preserve"> נס</w:t>
      </w:r>
      <w:r w:rsidRPr="000C50EC">
        <w:rPr>
          <w:rtl/>
        </w:rPr>
        <w:t xml:space="preserve"> </w:t>
      </w:r>
      <w:r w:rsidRPr="000C50EC">
        <w:rPr>
          <w:rFonts w:hint="eastAsia"/>
          <w:rtl/>
        </w:rPr>
        <w:t>איך</w:t>
      </w:r>
      <w:r w:rsidRPr="000C50EC">
        <w:rPr>
          <w:rtl/>
        </w:rPr>
        <w:t xml:space="preserve"> </w:t>
      </w:r>
      <w:r w:rsidRPr="000C50EC">
        <w:rPr>
          <w:rFonts w:hint="eastAsia"/>
          <w:rtl/>
        </w:rPr>
        <w:t>היו</w:t>
      </w:r>
      <w:r w:rsidRPr="000C50EC">
        <w:rPr>
          <w:rtl/>
        </w:rPr>
        <w:t xml:space="preserve"> יכולים לטבול בו </w:t>
      </w:r>
      <w:r w:rsidRPr="000C50EC">
        <w:rPr>
          <w:rFonts w:hint="eastAsia"/>
          <w:rtl/>
        </w:rPr>
        <w:t>וכו</w:t>
      </w:r>
      <w:r w:rsidRPr="000C50EC">
        <w:rPr>
          <w:rtl/>
        </w:rPr>
        <w:t>' דהרי בדבר נסי לא ניתנה שמירת התורה? ו</w:t>
      </w:r>
      <w:r>
        <w:rPr>
          <w:rFonts w:hint="cs"/>
          <w:rtl/>
        </w:rPr>
        <w:t xml:space="preserve">מתרץ </w:t>
      </w:r>
      <w:r w:rsidRPr="000C50EC">
        <w:rPr>
          <w:rtl/>
        </w:rPr>
        <w:t xml:space="preserve">דהם לא דיברו רק על </w:t>
      </w:r>
      <w:r w:rsidRPr="000C50EC">
        <w:rPr>
          <w:rFonts w:hint="eastAsia"/>
          <w:rtl/>
        </w:rPr>
        <w:t>דורות</w:t>
      </w:r>
      <w:r w:rsidRPr="000C50EC">
        <w:rPr>
          <w:rtl/>
        </w:rPr>
        <w:t xml:space="preserve"> הבאים, משא"</w:t>
      </w:r>
      <w:r w:rsidRPr="000C50EC">
        <w:rPr>
          <w:rFonts w:hint="eastAsia"/>
          <w:rtl/>
        </w:rPr>
        <w:t>כ</w:t>
      </w:r>
      <w:r w:rsidRPr="000C50EC">
        <w:rPr>
          <w:rtl/>
        </w:rPr>
        <w:t xml:space="preserve"> בדור המדבר דעיקר חיותם הי' רק עפ"</w:t>
      </w:r>
      <w:r w:rsidRPr="000C50EC">
        <w:rPr>
          <w:rFonts w:hint="eastAsia"/>
          <w:rtl/>
        </w:rPr>
        <w:t>י</w:t>
      </w:r>
      <w:r w:rsidRPr="000C50EC">
        <w:rPr>
          <w:rtl/>
        </w:rPr>
        <w:t xml:space="preserve"> נס, כמו בירידת </w:t>
      </w:r>
      <w:r w:rsidRPr="000C50EC">
        <w:rPr>
          <w:rFonts w:hint="eastAsia"/>
          <w:rtl/>
        </w:rPr>
        <w:t>המן</w:t>
      </w:r>
      <w:r w:rsidRPr="000C50EC">
        <w:rPr>
          <w:rtl/>
        </w:rPr>
        <w:t xml:space="preserve">, ועמוד הענן וכדומה, בטח דגם המצוות נצטוו לעשות גם אם לא הי' להם לקיים רק על </w:t>
      </w:r>
      <w:r w:rsidRPr="000C50EC">
        <w:rPr>
          <w:rFonts w:hint="eastAsia"/>
          <w:rtl/>
        </w:rPr>
        <w:t>צד</w:t>
      </w:r>
      <w:r w:rsidRPr="000C50EC">
        <w:rPr>
          <w:rtl/>
        </w:rPr>
        <w:t xml:space="preserve"> הפלא והנס, כי מדוע יגרע צורך גבוה מצורך הדיוט</w:t>
      </w:r>
      <w:r w:rsidRPr="000C50EC">
        <w:rPr>
          <w:rFonts w:hint="cs"/>
          <w:rtl/>
        </w:rPr>
        <w:t>,</w:t>
      </w:r>
      <w:r w:rsidRPr="000C50EC">
        <w:rPr>
          <w:rtl/>
        </w:rPr>
        <w:t xml:space="preserve"> </w:t>
      </w:r>
      <w:r>
        <w:rPr>
          <w:rFonts w:hint="cs"/>
          <w:rtl/>
        </w:rPr>
        <w:t xml:space="preserve">ומסיק שם גם לגבי לעת"ל, </w:t>
      </w:r>
      <w:r w:rsidRPr="000C50EC">
        <w:rPr>
          <w:rFonts w:hint="eastAsia"/>
          <w:rtl/>
        </w:rPr>
        <w:t>שיהי</w:t>
      </w:r>
      <w:r w:rsidRPr="000C50EC">
        <w:rPr>
          <w:rtl/>
        </w:rPr>
        <w:t>' עולם התיקון ומלאה הארץ דעה את ה'</w:t>
      </w:r>
      <w:r w:rsidRPr="000C50EC">
        <w:rPr>
          <w:rFonts w:hint="cs"/>
          <w:rtl/>
        </w:rPr>
        <w:t xml:space="preserve"> (ישעי' יא,ט)</w:t>
      </w:r>
      <w:r w:rsidRPr="000C50EC">
        <w:rPr>
          <w:rtl/>
        </w:rPr>
        <w:t>, ועיקר הויות שבעולם יהי' ע"</w:t>
      </w:r>
      <w:r w:rsidRPr="000C50EC">
        <w:rPr>
          <w:rFonts w:hint="eastAsia"/>
          <w:rtl/>
        </w:rPr>
        <w:t>פ</w:t>
      </w:r>
      <w:r w:rsidRPr="000C50EC">
        <w:rPr>
          <w:rtl/>
        </w:rPr>
        <w:t xml:space="preserve"> נס </w:t>
      </w:r>
      <w:r w:rsidRPr="000C50EC">
        <w:rPr>
          <w:rFonts w:hint="eastAsia"/>
          <w:rtl/>
        </w:rPr>
        <w:t>למעלה</w:t>
      </w:r>
      <w:r w:rsidRPr="000C50EC">
        <w:rPr>
          <w:rtl/>
        </w:rPr>
        <w:t xml:space="preserve"> מן הטבע, וכמ"</w:t>
      </w:r>
      <w:r w:rsidRPr="000C50EC">
        <w:rPr>
          <w:rFonts w:hint="eastAsia"/>
          <w:rtl/>
        </w:rPr>
        <w:t>ש</w:t>
      </w:r>
      <w:r w:rsidRPr="000C50EC">
        <w:rPr>
          <w:rtl/>
        </w:rPr>
        <w:t xml:space="preserve"> חז"</w:t>
      </w:r>
      <w:r w:rsidRPr="000C50EC">
        <w:rPr>
          <w:rFonts w:hint="eastAsia"/>
          <w:rtl/>
        </w:rPr>
        <w:t>ל</w:t>
      </w:r>
      <w:r w:rsidRPr="000C50EC">
        <w:rPr>
          <w:rtl/>
        </w:rPr>
        <w:t xml:space="preserve"> (כתובות דף קי</w:t>
      </w:r>
      <w:r w:rsidRPr="000C50EC">
        <w:rPr>
          <w:rFonts w:hint="eastAsia"/>
          <w:rtl/>
        </w:rPr>
        <w:t>א</w:t>
      </w:r>
      <w:r w:rsidRPr="000C50EC">
        <w:rPr>
          <w:rFonts w:hint="cs"/>
          <w:rtl/>
        </w:rPr>
        <w:t>,ב</w:t>
      </w:r>
      <w:r w:rsidRPr="000C50EC">
        <w:rPr>
          <w:rtl/>
        </w:rPr>
        <w:t>) עתידה א"</w:t>
      </w:r>
      <w:r w:rsidRPr="000C50EC">
        <w:rPr>
          <w:rFonts w:hint="eastAsia"/>
          <w:rtl/>
        </w:rPr>
        <w:t>י</w:t>
      </w:r>
      <w:r w:rsidRPr="000C50EC">
        <w:rPr>
          <w:rtl/>
        </w:rPr>
        <w:t xml:space="preserve"> שתוציא </w:t>
      </w:r>
      <w:r w:rsidRPr="000C50EC">
        <w:rPr>
          <w:rFonts w:hint="eastAsia"/>
          <w:rtl/>
        </w:rPr>
        <w:t>גלוסקאות</w:t>
      </w:r>
      <w:r w:rsidRPr="000C50EC">
        <w:rPr>
          <w:rtl/>
        </w:rPr>
        <w:t xml:space="preserve"> וכלי מילת וכו' והוא שלא בדרך הטבע,</w:t>
      </w:r>
      <w:r>
        <w:rPr>
          <w:rFonts w:hint="cs"/>
          <w:rtl/>
        </w:rPr>
        <w:t xml:space="preserve"> </w:t>
      </w:r>
      <w:r w:rsidRPr="000C50EC">
        <w:rPr>
          <w:rtl/>
        </w:rPr>
        <w:t xml:space="preserve">אז יתקיימו </w:t>
      </w:r>
      <w:r w:rsidRPr="000C50EC">
        <w:rPr>
          <w:rFonts w:hint="eastAsia"/>
          <w:rtl/>
        </w:rPr>
        <w:t>המצוות</w:t>
      </w:r>
      <w:r w:rsidRPr="000C50EC">
        <w:rPr>
          <w:rtl/>
        </w:rPr>
        <w:t xml:space="preserve"> גם בדברים נסיים</w:t>
      </w:r>
      <w:r>
        <w:rPr>
          <w:rFonts w:hint="cs"/>
          <w:rtl/>
        </w:rPr>
        <w:t>.</w:t>
      </w:r>
    </w:p>
    <w:p w14:paraId="42492CE3" w14:textId="77777777" w:rsidR="00FE3F65" w:rsidRDefault="00FE3F65" w:rsidP="00F8255E">
      <w:pPr>
        <w:pStyle w:val="11"/>
        <w:bidi/>
        <w:rPr>
          <w:rtl/>
        </w:rPr>
      </w:pPr>
      <w:r>
        <w:rPr>
          <w:rFonts w:hint="cs"/>
          <w:rtl/>
        </w:rPr>
        <w:t>עיקר יסוד הברכה בברכת הנס</w:t>
      </w:r>
    </w:p>
    <w:p w14:paraId="0C4BE805" w14:textId="77777777" w:rsidR="00FE3F65" w:rsidRDefault="00FE3F65" w:rsidP="00F8255E">
      <w:pPr>
        <w:pStyle w:val="a2"/>
        <w:rPr>
          <w:rtl/>
        </w:rPr>
      </w:pPr>
      <w:r>
        <w:rPr>
          <w:rFonts w:hint="cs"/>
          <w:rtl/>
        </w:rPr>
        <w:t xml:space="preserve">ולכאורה י"ל בזה, דהנה בס' תורת מנחם (חלק מ"ז שיחת יב תמוז תשכ"ו, ע' 174) איתא וז"ל: </w:t>
      </w:r>
      <w:r w:rsidRPr="00424220">
        <w:rPr>
          <w:rtl/>
        </w:rPr>
        <w:t xml:space="preserve">ישנו דין בשו"ע </w:t>
      </w:r>
      <w:r>
        <w:rPr>
          <w:rFonts w:hint="cs"/>
          <w:rtl/>
        </w:rPr>
        <w:t xml:space="preserve">(סי' ריח סעי' ד-ו) </w:t>
      </w:r>
      <w:r w:rsidRPr="00424220">
        <w:rPr>
          <w:rtl/>
        </w:rPr>
        <w:t xml:space="preserve">מדברי הגמרא </w:t>
      </w:r>
      <w:r>
        <w:rPr>
          <w:rFonts w:hint="cs"/>
          <w:rtl/>
        </w:rPr>
        <w:t xml:space="preserve">(ברכות נד,א ירושלמי שם רפ"ט) </w:t>
      </w:r>
      <w:r w:rsidRPr="00424220">
        <w:rPr>
          <w:rtl/>
        </w:rPr>
        <w:t>שהרואה מקום שנעשה בו נס לאביו או לרבו צריך לברך ברכת הנסים</w:t>
      </w:r>
      <w:r>
        <w:rPr>
          <w:rFonts w:hint="cs"/>
          <w:rtl/>
        </w:rPr>
        <w:t>,</w:t>
      </w:r>
      <w:r w:rsidRPr="00424220">
        <w:rPr>
          <w:rtl/>
        </w:rPr>
        <w:t xml:space="preserve"> וטעם הדבר מצד השייכות של הבן אל האב ועד"ז בנוגע לשייכות של התלמיד אל הרב</w:t>
      </w:r>
      <w:r>
        <w:rPr>
          <w:rFonts w:hint="cs"/>
          <w:rtl/>
        </w:rPr>
        <w:t>,</w:t>
      </w:r>
      <w:r w:rsidRPr="00424220">
        <w:rPr>
          <w:rtl/>
        </w:rPr>
        <w:t xml:space="preserve"> ולכאורה לפי הסברה זו הנה חיוב אמירת הברכה במקום שנעשה בו נס לאב</w:t>
      </w:r>
      <w:r>
        <w:rPr>
          <w:rFonts w:hint="cs"/>
          <w:rtl/>
        </w:rPr>
        <w:t>,</w:t>
      </w:r>
      <w:r w:rsidRPr="00424220">
        <w:rPr>
          <w:rtl/>
        </w:rPr>
        <w:t xml:space="preserve"> הוצרך להיות רק בנס שנעשה לאב לפני שנולד הבן</w:t>
      </w:r>
      <w:r>
        <w:rPr>
          <w:rFonts w:hint="cs"/>
          <w:rtl/>
        </w:rPr>
        <w:t>,</w:t>
      </w:r>
      <w:r w:rsidRPr="00424220">
        <w:rPr>
          <w:rtl/>
        </w:rPr>
        <w:t xml:space="preserve"> דכיון שנולד מאב זה שנעשה לו הנ</w:t>
      </w:r>
      <w:r>
        <w:rPr>
          <w:rFonts w:hint="cs"/>
          <w:rtl/>
        </w:rPr>
        <w:t>ס</w:t>
      </w:r>
      <w:r w:rsidRPr="00424220">
        <w:rPr>
          <w:rtl/>
        </w:rPr>
        <w:t xml:space="preserve"> הרי זה נס ששייך גם אליו</w:t>
      </w:r>
      <w:r>
        <w:rPr>
          <w:rFonts w:hint="cs"/>
          <w:rtl/>
        </w:rPr>
        <w:t>,</w:t>
      </w:r>
      <w:r w:rsidRPr="00424220">
        <w:rPr>
          <w:rtl/>
        </w:rPr>
        <w:t xml:space="preserve"> משא"כ אם הנס אירע לאב לאחרי שנולד הבן</w:t>
      </w:r>
      <w:r>
        <w:rPr>
          <w:rFonts w:hint="cs"/>
          <w:rtl/>
        </w:rPr>
        <w:t>,</w:t>
      </w:r>
      <w:r w:rsidRPr="00424220">
        <w:rPr>
          <w:rtl/>
        </w:rPr>
        <w:t xml:space="preserve"> ונעשה מציאות בפני עצמו</w:t>
      </w:r>
      <w:r>
        <w:rPr>
          <w:rFonts w:hint="cs"/>
          <w:rtl/>
        </w:rPr>
        <w:t xml:space="preserve">, </w:t>
      </w:r>
      <w:r w:rsidRPr="00424220">
        <w:rPr>
          <w:rtl/>
        </w:rPr>
        <w:t>אין זה שייך אליו</w:t>
      </w:r>
      <w:r>
        <w:rPr>
          <w:rFonts w:hint="cs"/>
          <w:rtl/>
        </w:rPr>
        <w:t>,</w:t>
      </w:r>
      <w:r w:rsidRPr="00424220">
        <w:rPr>
          <w:rtl/>
        </w:rPr>
        <w:t xml:space="preserve"> לפי שאינו פועל בו שום שינוי</w:t>
      </w:r>
      <w:r>
        <w:rPr>
          <w:rFonts w:hint="cs"/>
          <w:rtl/>
        </w:rPr>
        <w:t>,</w:t>
      </w:r>
      <w:r w:rsidRPr="00424220">
        <w:rPr>
          <w:rtl/>
        </w:rPr>
        <w:t xml:space="preserve"> כך שאין חילוק בין נס שנעשה לאביו או נס שנעשה לאחר</w:t>
      </w:r>
      <w:r>
        <w:rPr>
          <w:rFonts w:hint="cs"/>
          <w:rtl/>
        </w:rPr>
        <w:t xml:space="preserve">, </w:t>
      </w:r>
      <w:r w:rsidRPr="00424220">
        <w:rPr>
          <w:rtl/>
        </w:rPr>
        <w:t>כיון שבענין זה אין קשר בינו לבין אביו</w:t>
      </w:r>
      <w:r>
        <w:rPr>
          <w:rFonts w:hint="cs"/>
          <w:rtl/>
        </w:rPr>
        <w:t>,</w:t>
      </w:r>
      <w:r w:rsidRPr="00424220">
        <w:rPr>
          <w:rtl/>
        </w:rPr>
        <w:t xml:space="preserve"> שהרי אין זה שייך לדין כיבוד אב אלא זהו דין מיוחד בנוגע לברכת הנסים</w:t>
      </w:r>
      <w:r>
        <w:rPr>
          <w:rFonts w:hint="cs"/>
          <w:rtl/>
        </w:rPr>
        <w:t>.</w:t>
      </w:r>
    </w:p>
    <w:p w14:paraId="5710BC57" w14:textId="77777777" w:rsidR="00FE3F65" w:rsidRDefault="00FE3F65" w:rsidP="00F8255E">
      <w:pPr>
        <w:pStyle w:val="a2"/>
        <w:rPr>
          <w:rtl/>
        </w:rPr>
      </w:pPr>
      <w:r w:rsidRPr="00424220">
        <w:rPr>
          <w:rtl/>
        </w:rPr>
        <w:t xml:space="preserve"> ועד"ז בנוגע לרבו בשלמא כאשר הנס אירע לרב</w:t>
      </w:r>
      <w:r>
        <w:rPr>
          <w:rFonts w:hint="cs"/>
          <w:rtl/>
        </w:rPr>
        <w:t>ו</w:t>
      </w:r>
      <w:r w:rsidRPr="00424220">
        <w:rPr>
          <w:rtl/>
        </w:rPr>
        <w:t xml:space="preserve"> בהיותו רבו</w:t>
      </w:r>
      <w:r>
        <w:rPr>
          <w:rFonts w:hint="cs"/>
          <w:rtl/>
        </w:rPr>
        <w:t>,</w:t>
      </w:r>
      <w:r w:rsidRPr="00424220">
        <w:rPr>
          <w:rtl/>
        </w:rPr>
        <w:t xml:space="preserve"> שעדיין מקבל השפעה ממנ</w:t>
      </w:r>
      <w:r w:rsidRPr="00E52AE1">
        <w:rPr>
          <w:bCs/>
          <w:rtl/>
        </w:rPr>
        <w:t>ו</w:t>
      </w:r>
      <w:r>
        <w:rPr>
          <w:rFonts w:hint="cs"/>
          <w:rtl/>
        </w:rPr>
        <w:t xml:space="preserve">, </w:t>
      </w:r>
      <w:r w:rsidRPr="00424220">
        <w:rPr>
          <w:rtl/>
        </w:rPr>
        <w:t xml:space="preserve">הרי השינוי שנעשה אצל רבו כתוצאה מהנס יש לו איזו שייכות גם </w:t>
      </w:r>
      <w:r w:rsidRPr="00424220">
        <w:rPr>
          <w:rtl/>
        </w:rPr>
        <w:lastRenderedPageBreak/>
        <w:t>אליו</w:t>
      </w:r>
      <w:r>
        <w:rPr>
          <w:rFonts w:hint="cs"/>
          <w:rtl/>
        </w:rPr>
        <w:t>,</w:t>
      </w:r>
      <w:r w:rsidRPr="00424220">
        <w:rPr>
          <w:rtl/>
        </w:rPr>
        <w:t xml:space="preserve"> ולכן צריך לברך עליו</w:t>
      </w:r>
      <w:r>
        <w:rPr>
          <w:rFonts w:hint="cs"/>
          <w:rtl/>
        </w:rPr>
        <w:t>,</w:t>
      </w:r>
      <w:r w:rsidRPr="00424220">
        <w:rPr>
          <w:rtl/>
        </w:rPr>
        <w:t xml:space="preserve"> אבל אם הנס אירע לרב</w:t>
      </w:r>
      <w:r>
        <w:rPr>
          <w:rFonts w:hint="cs"/>
          <w:rtl/>
        </w:rPr>
        <w:t>ו</w:t>
      </w:r>
      <w:r w:rsidRPr="00424220">
        <w:rPr>
          <w:rtl/>
        </w:rPr>
        <w:t xml:space="preserve"> לאחרי שנעשה הפסק בינו לבין הרב</w:t>
      </w:r>
      <w:r>
        <w:rPr>
          <w:rFonts w:hint="cs"/>
          <w:rtl/>
        </w:rPr>
        <w:t>,</w:t>
      </w:r>
      <w:r w:rsidRPr="00424220">
        <w:rPr>
          <w:rtl/>
        </w:rPr>
        <w:t xml:space="preserve"> אין זה שייך אליו</w:t>
      </w:r>
      <w:r>
        <w:rPr>
          <w:rFonts w:hint="cs"/>
          <w:rtl/>
        </w:rPr>
        <w:t>,</w:t>
      </w:r>
      <w:r w:rsidRPr="00424220">
        <w:rPr>
          <w:rtl/>
        </w:rPr>
        <w:t xml:space="preserve"> שיצטרך לברך על זה</w:t>
      </w:r>
      <w:r>
        <w:rPr>
          <w:rFonts w:hint="cs"/>
          <w:rtl/>
        </w:rPr>
        <w:t>,</w:t>
      </w:r>
      <w:r w:rsidRPr="00424220">
        <w:rPr>
          <w:rtl/>
        </w:rPr>
        <w:t xml:space="preserve"> והיינו שביחס לענין זה אינו תלמיד לרבו</w:t>
      </w:r>
      <w:r>
        <w:rPr>
          <w:rFonts w:hint="cs"/>
          <w:rtl/>
        </w:rPr>
        <w:t>,</w:t>
      </w:r>
      <w:r w:rsidRPr="00424220">
        <w:rPr>
          <w:rtl/>
        </w:rPr>
        <w:t xml:space="preserve"> ועד"ז בנוגע לאב שביחס לענין זה אינו בן להאב אלא זהו ענין צדדי שאירע אצל</w:t>
      </w:r>
      <w:r>
        <w:t xml:space="preserve"> </w:t>
      </w:r>
      <w:r w:rsidRPr="00424220">
        <w:rPr>
          <w:rtl/>
        </w:rPr>
        <w:t>האב ופעל עליו</w:t>
      </w:r>
      <w:r>
        <w:rPr>
          <w:rFonts w:hint="cs"/>
          <w:rtl/>
        </w:rPr>
        <w:t>,</w:t>
      </w:r>
      <w:r w:rsidRPr="00424220">
        <w:rPr>
          <w:rtl/>
        </w:rPr>
        <w:t xml:space="preserve"> אבל אין זה שייך להבן</w:t>
      </w:r>
      <w:r>
        <w:rPr>
          <w:rFonts w:hint="cs"/>
          <w:rtl/>
        </w:rPr>
        <w:t>,</w:t>
      </w:r>
      <w:r w:rsidRPr="00424220">
        <w:rPr>
          <w:rtl/>
        </w:rPr>
        <w:t xml:space="preserve"> שבגלל זה יצטרך הבן לברך</w:t>
      </w:r>
      <w:r>
        <w:rPr>
          <w:rFonts w:hint="cs"/>
          <w:rtl/>
        </w:rPr>
        <w:t>,</w:t>
      </w:r>
      <w:r w:rsidRPr="00424220">
        <w:rPr>
          <w:rtl/>
        </w:rPr>
        <w:t xml:space="preserve"> בשעה שרואה </w:t>
      </w:r>
      <w:r>
        <w:rPr>
          <w:rFonts w:hint="cs"/>
          <w:rtl/>
        </w:rPr>
        <w:t>(</w:t>
      </w:r>
      <w:r w:rsidRPr="00424220">
        <w:rPr>
          <w:rtl/>
        </w:rPr>
        <w:t>לא את אביו או רבו אלא</w:t>
      </w:r>
      <w:r>
        <w:rPr>
          <w:rFonts w:hint="cs"/>
          <w:rtl/>
        </w:rPr>
        <w:t>)</w:t>
      </w:r>
      <w:r w:rsidRPr="00424220">
        <w:rPr>
          <w:rtl/>
        </w:rPr>
        <w:t xml:space="preserve"> את </w:t>
      </w:r>
      <w:r w:rsidRPr="00DB7537">
        <w:rPr>
          <w:bCs/>
          <w:rtl/>
        </w:rPr>
        <w:t>המקום</w:t>
      </w:r>
      <w:r w:rsidRPr="00424220">
        <w:rPr>
          <w:rtl/>
        </w:rPr>
        <w:t xml:space="preserve"> שבו נעשה הנס</w:t>
      </w:r>
      <w:r>
        <w:rPr>
          <w:rFonts w:hint="cs"/>
          <w:rtl/>
        </w:rPr>
        <w:t>,</w:t>
      </w:r>
      <w:r w:rsidRPr="00424220">
        <w:rPr>
          <w:rtl/>
        </w:rPr>
        <w:t xml:space="preserve"> ופעל שינוי אצל האב</w:t>
      </w:r>
      <w:r>
        <w:rPr>
          <w:rFonts w:hint="cs"/>
          <w:rtl/>
        </w:rPr>
        <w:t>.</w:t>
      </w:r>
    </w:p>
    <w:p w14:paraId="38163C1C" w14:textId="77777777" w:rsidR="00FE3F65" w:rsidRDefault="00FE3F65" w:rsidP="00F8255E">
      <w:pPr>
        <w:pStyle w:val="a2"/>
        <w:rPr>
          <w:rtl/>
        </w:rPr>
      </w:pPr>
      <w:r w:rsidRPr="00424220">
        <w:rPr>
          <w:rtl/>
        </w:rPr>
        <w:t xml:space="preserve"> אבל בגמרא ואפילו בשו"ע ששם צריך להיות מבואר יותר</w:t>
      </w:r>
      <w:r>
        <w:rPr>
          <w:rFonts w:hint="cs"/>
          <w:rtl/>
        </w:rPr>
        <w:t xml:space="preserve">, </w:t>
      </w:r>
      <w:r w:rsidRPr="00424220">
        <w:rPr>
          <w:rtl/>
        </w:rPr>
        <w:t>לא נזכר חילוק בין נס שאירע לפנ"ז או לאח"ז</w:t>
      </w:r>
      <w:r>
        <w:rPr>
          <w:rFonts w:hint="cs"/>
          <w:rtl/>
        </w:rPr>
        <w:t>,</w:t>
      </w:r>
      <w:r w:rsidRPr="00424220">
        <w:rPr>
          <w:rtl/>
        </w:rPr>
        <w:t xml:space="preserve"> אלא בכל האופנים צריך לברך כשרואה המקום שבו נעשה הנס לאביו או רבו</w:t>
      </w:r>
      <w:r>
        <w:rPr>
          <w:rFonts w:hint="cs"/>
          <w:rtl/>
        </w:rPr>
        <w:t>?</w:t>
      </w:r>
      <w:r w:rsidRPr="00424220">
        <w:rPr>
          <w:rtl/>
        </w:rPr>
        <w:t xml:space="preserve"> </w:t>
      </w:r>
      <w:r>
        <w:rPr>
          <w:rFonts w:hint="cs"/>
          <w:rtl/>
        </w:rPr>
        <w:t>עכ"ל.</w:t>
      </w:r>
    </w:p>
    <w:p w14:paraId="480CC43B" w14:textId="77777777" w:rsidR="00FE3F65" w:rsidRDefault="00FE3F65" w:rsidP="00F8255E">
      <w:pPr>
        <w:pStyle w:val="11"/>
        <w:bidi/>
        <w:rPr>
          <w:rtl/>
        </w:rPr>
      </w:pPr>
      <w:r>
        <w:rPr>
          <w:rFonts w:hint="cs"/>
          <w:rtl/>
        </w:rPr>
        <w:t>האם יש חיוב לברך על נס רבו</w:t>
      </w:r>
    </w:p>
    <w:p w14:paraId="2CD0DEE8" w14:textId="77777777" w:rsidR="00FE3F65" w:rsidRDefault="00FE3F65" w:rsidP="00F8255E">
      <w:pPr>
        <w:pStyle w:val="a2"/>
        <w:rPr>
          <w:rtl/>
        </w:rPr>
      </w:pPr>
      <w:r>
        <w:rPr>
          <w:rFonts w:hint="cs"/>
          <w:rtl/>
        </w:rPr>
        <w:t xml:space="preserve">גם מצינו בס' </w:t>
      </w:r>
      <w:r>
        <w:rPr>
          <w:rtl/>
        </w:rPr>
        <w:t>תורת מנ</w:t>
      </w:r>
      <w:r>
        <w:rPr>
          <w:rFonts w:hint="cs"/>
          <w:rtl/>
        </w:rPr>
        <w:t>ח</w:t>
      </w:r>
      <w:r w:rsidRPr="00D71EAB">
        <w:rPr>
          <w:rtl/>
        </w:rPr>
        <w:t xml:space="preserve">ם על סדר ברכת הנהנין </w:t>
      </w:r>
      <w:r>
        <w:rPr>
          <w:rFonts w:hint="cs"/>
          <w:rtl/>
        </w:rPr>
        <w:t>(</w:t>
      </w:r>
      <w:r w:rsidRPr="00D71EAB">
        <w:rPr>
          <w:rtl/>
        </w:rPr>
        <w:t>פי"ג אות כ"ד</w:t>
      </w:r>
      <w:r>
        <w:rPr>
          <w:rFonts w:hint="cs"/>
          <w:rtl/>
        </w:rPr>
        <w:t>)</w:t>
      </w:r>
      <w:r w:rsidRPr="00D71EAB">
        <w:rPr>
          <w:rtl/>
        </w:rPr>
        <w:t xml:space="preserve"> על מ"ש אדה"ז שם בנוגע לברכה על נס שכל יוצאי יריכו של אותו האדם חייבים לברך</w:t>
      </w:r>
      <w:r>
        <w:rPr>
          <w:rFonts w:hint="cs"/>
          <w:rtl/>
        </w:rPr>
        <w:t xml:space="preserve">, </w:t>
      </w:r>
      <w:r>
        <w:rPr>
          <w:rtl/>
        </w:rPr>
        <w:t>כתב הרבי וזלה"ק</w:t>
      </w:r>
      <w:r>
        <w:rPr>
          <w:rFonts w:hint="cs"/>
          <w:rtl/>
        </w:rPr>
        <w:t xml:space="preserve">: </w:t>
      </w:r>
      <w:r w:rsidRPr="00D71EAB">
        <w:rPr>
          <w:rtl/>
        </w:rPr>
        <w:t>בלוח</w:t>
      </w:r>
      <w:r>
        <w:rPr>
          <w:rFonts w:hint="cs"/>
          <w:rtl/>
        </w:rPr>
        <w:t>:</w:t>
      </w:r>
      <w:r w:rsidRPr="00D71EAB">
        <w:rPr>
          <w:rtl/>
        </w:rPr>
        <w:t xml:space="preserve"> גם על נס רבו וכן הוא שו"ע רי"ח ס"ו</w:t>
      </w:r>
      <w:r>
        <w:rPr>
          <w:rFonts w:hint="cs"/>
          <w:rtl/>
        </w:rPr>
        <w:t>,</w:t>
      </w:r>
      <w:r w:rsidRPr="00D71EAB">
        <w:rPr>
          <w:rtl/>
        </w:rPr>
        <w:t xml:space="preserve"> וצ"ע למה השמיטו כאן עכלה"ק</w:t>
      </w:r>
      <w:r>
        <w:rPr>
          <w:rFonts w:hint="cs"/>
          <w:rtl/>
        </w:rPr>
        <w:t>.</w:t>
      </w:r>
    </w:p>
    <w:p w14:paraId="64042B18" w14:textId="77777777" w:rsidR="00FE3F65" w:rsidRDefault="00FE3F65" w:rsidP="00F8255E">
      <w:pPr>
        <w:pStyle w:val="a2"/>
        <w:rPr>
          <w:rtl/>
        </w:rPr>
      </w:pPr>
      <w:r>
        <w:rPr>
          <w:rFonts w:hint="cs"/>
          <w:rtl/>
        </w:rPr>
        <w:t xml:space="preserve">והנה </w:t>
      </w:r>
      <w:r>
        <w:rPr>
          <w:rtl/>
        </w:rPr>
        <w:t xml:space="preserve">גם הרמב"ם </w:t>
      </w:r>
      <w:r>
        <w:rPr>
          <w:rFonts w:hint="cs"/>
          <w:rtl/>
        </w:rPr>
        <w:t>(</w:t>
      </w:r>
      <w:r w:rsidRPr="00D71EAB">
        <w:rPr>
          <w:rtl/>
        </w:rPr>
        <w:t>הל' ברכות פ"י ה"ט</w:t>
      </w:r>
      <w:r>
        <w:rPr>
          <w:rFonts w:hint="cs"/>
          <w:rtl/>
        </w:rPr>
        <w:t xml:space="preserve">) </w:t>
      </w:r>
      <w:r w:rsidRPr="00D71EAB">
        <w:rPr>
          <w:rtl/>
        </w:rPr>
        <w:t>הביא החיוב ברכה בנוגע לבניו</w:t>
      </w:r>
      <w:r>
        <w:rPr>
          <w:rFonts w:hint="cs"/>
          <w:rtl/>
        </w:rPr>
        <w:t>,</w:t>
      </w:r>
      <w:r w:rsidRPr="00D71EAB">
        <w:rPr>
          <w:rtl/>
        </w:rPr>
        <w:t xml:space="preserve"> ולא הזכיר חיוב בנוגע לרבו</w:t>
      </w:r>
      <w:r>
        <w:rPr>
          <w:rFonts w:hint="cs"/>
          <w:rtl/>
        </w:rPr>
        <w:t>,</w:t>
      </w:r>
      <w:r w:rsidRPr="00D71EAB">
        <w:rPr>
          <w:rtl/>
        </w:rPr>
        <w:t xml:space="preserve"> וכן הוא בסמ"ג מ"ע כ"ו ברכת הודאה ובקשה</w:t>
      </w:r>
      <w:r>
        <w:rPr>
          <w:rFonts w:hint="cs"/>
          <w:rtl/>
        </w:rPr>
        <w:t>,</w:t>
      </w:r>
      <w:r w:rsidRPr="00D71EAB">
        <w:rPr>
          <w:rtl/>
        </w:rPr>
        <w:t xml:space="preserve"> וסמ"ק קנ"א</w:t>
      </w:r>
      <w:r>
        <w:rPr>
          <w:rFonts w:hint="cs"/>
          <w:rtl/>
        </w:rPr>
        <w:t>,</w:t>
      </w:r>
      <w:r w:rsidRPr="00D71EAB">
        <w:rPr>
          <w:rtl/>
        </w:rPr>
        <w:t xml:space="preserve"> ובאשכול הל' ברכות הודאה סי' כ"ג ועוד</w:t>
      </w:r>
      <w:r>
        <w:rPr>
          <w:rFonts w:hint="cs"/>
          <w:rtl/>
        </w:rPr>
        <w:t>,</w:t>
      </w:r>
      <w:r w:rsidRPr="00D71EAB">
        <w:rPr>
          <w:rtl/>
        </w:rPr>
        <w:t xml:space="preserve"> ודייקו מזה הפוסקים דלשיטתם ליכא חיוב כ"א ביוצאי יריכו ולא בתלמיד לרבו</w:t>
      </w:r>
      <w:r>
        <w:rPr>
          <w:rFonts w:hint="cs"/>
          <w:rtl/>
        </w:rPr>
        <w:t>, ולכאורה לפי"ז צריך ביאור בהצ"ע של הרבי, דכיון שכן סב"ל להרבה ראשונים, א"כ י"ל דבסדר ברכה"נ סב"ל כדעות אלו?</w:t>
      </w:r>
    </w:p>
    <w:p w14:paraId="0EF61622" w14:textId="77777777" w:rsidR="00FE3F65" w:rsidRDefault="00FE3F65" w:rsidP="00F8255E">
      <w:pPr>
        <w:pStyle w:val="a2"/>
        <w:rPr>
          <w:rtl/>
        </w:rPr>
      </w:pPr>
      <w:r>
        <w:rPr>
          <w:rFonts w:hint="cs"/>
          <w:rtl/>
        </w:rPr>
        <w:t xml:space="preserve"> </w:t>
      </w:r>
      <w:r w:rsidRPr="00D71EAB">
        <w:rPr>
          <w:rtl/>
        </w:rPr>
        <w:t>ו</w:t>
      </w:r>
      <w:r>
        <w:rPr>
          <w:rFonts w:hint="cs"/>
          <w:rtl/>
        </w:rPr>
        <w:t xml:space="preserve">הנה מקור הדבר בדין זה </w:t>
      </w:r>
      <w:r w:rsidRPr="00D71EAB">
        <w:rPr>
          <w:rtl/>
        </w:rPr>
        <w:t>הוא</w:t>
      </w:r>
      <w:r>
        <w:rPr>
          <w:rtl/>
        </w:rPr>
        <w:t xml:space="preserve"> בירושלמי ר"פ הרואה</w:t>
      </w:r>
      <w:r>
        <w:rPr>
          <w:rFonts w:hint="cs"/>
          <w:rtl/>
        </w:rPr>
        <w:t>, ד</w:t>
      </w:r>
      <w:r>
        <w:rPr>
          <w:rtl/>
        </w:rPr>
        <w:t>איבעיא לה</w:t>
      </w:r>
      <w:r>
        <w:rPr>
          <w:rFonts w:hint="cs"/>
          <w:rtl/>
        </w:rPr>
        <w:t>ו</w:t>
      </w:r>
      <w:r w:rsidRPr="00D71EAB">
        <w:rPr>
          <w:rtl/>
        </w:rPr>
        <w:t xml:space="preserve"> מהו שיברך אדם על נסי אביו ועל נסי רבו</w:t>
      </w:r>
      <w:r>
        <w:rPr>
          <w:rFonts w:hint="cs"/>
          <w:rtl/>
        </w:rPr>
        <w:t>,</w:t>
      </w:r>
      <w:r w:rsidRPr="00D71EAB">
        <w:rPr>
          <w:rtl/>
        </w:rPr>
        <w:t xml:space="preserve"> </w:t>
      </w:r>
      <w:r>
        <w:rPr>
          <w:rFonts w:hint="cs"/>
          <w:rtl/>
        </w:rPr>
        <w:t>(</w:t>
      </w:r>
      <w:r w:rsidRPr="00D71EAB">
        <w:rPr>
          <w:rtl/>
        </w:rPr>
        <w:t>ויש חילופי גירסאות שם</w:t>
      </w:r>
      <w:r>
        <w:rPr>
          <w:rFonts w:hint="cs"/>
          <w:rtl/>
        </w:rPr>
        <w:t>,</w:t>
      </w:r>
      <w:r w:rsidRPr="00D71EAB">
        <w:rPr>
          <w:rtl/>
        </w:rPr>
        <w:t xml:space="preserve"> ראה ב"י או"ח שם ובשטמ"ק על ירושלמי ברכות שם</w:t>
      </w:r>
      <w:r>
        <w:rPr>
          <w:rFonts w:hint="cs"/>
          <w:rtl/>
        </w:rPr>
        <w:t>)</w:t>
      </w:r>
      <w:r w:rsidRPr="00D71EAB">
        <w:rPr>
          <w:rtl/>
        </w:rPr>
        <w:t xml:space="preserve"> ולהרבה ראשונים לא איפשטא איבעיא זו</w:t>
      </w:r>
      <w:r>
        <w:rPr>
          <w:rFonts w:hint="cs"/>
          <w:rtl/>
        </w:rPr>
        <w:t>,</w:t>
      </w:r>
      <w:r>
        <w:rPr>
          <w:rtl/>
        </w:rPr>
        <w:t xml:space="preserve"> וכתב ע"ז הרמב"ן </w:t>
      </w:r>
      <w:r>
        <w:rPr>
          <w:rFonts w:hint="cs"/>
          <w:rtl/>
        </w:rPr>
        <w:t>(ב</w:t>
      </w:r>
      <w:r w:rsidRPr="00D71EAB">
        <w:rPr>
          <w:rtl/>
        </w:rPr>
        <w:t>ס' תורת האדם ענין הרפואה ע' מ"ז</w:t>
      </w:r>
      <w:r>
        <w:rPr>
          <w:rFonts w:hint="cs"/>
          <w:rtl/>
        </w:rPr>
        <w:t>)</w:t>
      </w:r>
      <w:r w:rsidRPr="00D71EAB">
        <w:rPr>
          <w:rtl/>
        </w:rPr>
        <w:t xml:space="preserve"> וז"ל</w:t>
      </w:r>
      <w:r>
        <w:rPr>
          <w:rFonts w:hint="cs"/>
          <w:rtl/>
        </w:rPr>
        <w:t>:</w:t>
      </w:r>
      <w:r w:rsidRPr="00D71EAB">
        <w:rPr>
          <w:rtl/>
        </w:rPr>
        <w:t xml:space="preserve"> </w:t>
      </w:r>
      <w:r>
        <w:rPr>
          <w:rtl/>
        </w:rPr>
        <w:t>ובירושלמי בעו מהו שיברך אדם על נס אביו ועל נס רבו, וכיון דאיפשט בגמרין לברוכי הוא ובריה ובר בריה, תלמיד נמי מברך. ומיהו ברכת רפואה עליה דידי' רמיא חובה ולאו עלייהו כלל, הילכך כי חביב עלייהו ורצו לברך לא צריכי למידק במלכות</w:t>
      </w:r>
      <w:r>
        <w:rPr>
          <w:rFonts w:hint="cs"/>
          <w:rtl/>
        </w:rPr>
        <w:t xml:space="preserve"> עכ"ל, (פ</w:t>
      </w:r>
      <w:r>
        <w:rPr>
          <w:rtl/>
        </w:rPr>
        <w:t xml:space="preserve">ירוש </w:t>
      </w:r>
      <w:r w:rsidRPr="00D71EAB">
        <w:rPr>
          <w:rtl/>
        </w:rPr>
        <w:t>דבריו</w:t>
      </w:r>
      <w:r>
        <w:rPr>
          <w:rFonts w:hint="cs"/>
          <w:rtl/>
        </w:rPr>
        <w:t>:</w:t>
      </w:r>
      <w:r w:rsidRPr="00D71EAB">
        <w:rPr>
          <w:rtl/>
        </w:rPr>
        <w:t xml:space="preserve"> דאף דבירושלמי לא איפשטא בעיא זו</w:t>
      </w:r>
      <w:r>
        <w:rPr>
          <w:rFonts w:hint="cs"/>
          <w:rtl/>
        </w:rPr>
        <w:t>,</w:t>
      </w:r>
      <w:r w:rsidRPr="00D71EAB">
        <w:rPr>
          <w:rtl/>
        </w:rPr>
        <w:t xml:space="preserve"> אבל כיון דבגמ' דילן </w:t>
      </w:r>
      <w:r>
        <w:rPr>
          <w:rFonts w:hint="cs"/>
          <w:rtl/>
        </w:rPr>
        <w:t>(</w:t>
      </w:r>
      <w:r w:rsidRPr="00D71EAB">
        <w:rPr>
          <w:rtl/>
        </w:rPr>
        <w:t xml:space="preserve">ברכות </w:t>
      </w:r>
      <w:r>
        <w:rPr>
          <w:rFonts w:hint="cs"/>
          <w:rtl/>
        </w:rPr>
        <w:t xml:space="preserve">שם) </w:t>
      </w:r>
      <w:r w:rsidRPr="00D71EAB">
        <w:rPr>
          <w:rtl/>
        </w:rPr>
        <w:t xml:space="preserve">איתא אניסא דיחיד איהו ובריה ובר בריה חייב לברוכי </w:t>
      </w:r>
      <w:r>
        <w:rPr>
          <w:rFonts w:hint="cs"/>
          <w:rtl/>
        </w:rPr>
        <w:t>(</w:t>
      </w:r>
      <w:r w:rsidRPr="00D71EAB">
        <w:rPr>
          <w:rtl/>
        </w:rPr>
        <w:t>כגירסת הגאונים והרי"ף</w:t>
      </w:r>
      <w:r>
        <w:rPr>
          <w:rFonts w:hint="cs"/>
          <w:rtl/>
        </w:rPr>
        <w:t>)</w:t>
      </w:r>
      <w:r w:rsidRPr="00D71EAB">
        <w:rPr>
          <w:rtl/>
        </w:rPr>
        <w:t xml:space="preserve"> ממילא יש לפשוט מזה גם בנוגע לתלמיד שמברך על נס רבו</w:t>
      </w:r>
      <w:r>
        <w:rPr>
          <w:rFonts w:hint="cs"/>
          <w:rtl/>
        </w:rPr>
        <w:t>,</w:t>
      </w:r>
      <w:r w:rsidRPr="00D71EAB">
        <w:rPr>
          <w:rtl/>
        </w:rPr>
        <w:t xml:space="preserve"> ואינו דומה לברכת הרפואה</w:t>
      </w:r>
      <w:r>
        <w:rPr>
          <w:rFonts w:hint="cs"/>
          <w:rtl/>
        </w:rPr>
        <w:t xml:space="preserve">- </w:t>
      </w:r>
      <w:r w:rsidRPr="00D71EAB">
        <w:rPr>
          <w:rtl/>
        </w:rPr>
        <w:t>ברכת הגומל</w:t>
      </w:r>
      <w:r>
        <w:rPr>
          <w:rFonts w:hint="cs"/>
          <w:rtl/>
        </w:rPr>
        <w:t>,</w:t>
      </w:r>
      <w:r w:rsidRPr="00D71EAB">
        <w:rPr>
          <w:rtl/>
        </w:rPr>
        <w:t xml:space="preserve"> דשם ליכא חיוב על תלמיד לרבו דשם רק </w:t>
      </w:r>
      <w:r w:rsidRPr="00A86ADC">
        <w:rPr>
          <w:bCs/>
          <w:rtl/>
        </w:rPr>
        <w:t xml:space="preserve">עליה דידיה </w:t>
      </w:r>
      <w:r w:rsidRPr="00D71EAB">
        <w:rPr>
          <w:rtl/>
        </w:rPr>
        <w:t>רמיא חובה ולאו עלייהו כלל אלא כי חביב עלייהו מברכים בלי שם ומלכות</w:t>
      </w:r>
      <w:r>
        <w:rPr>
          <w:rFonts w:hint="cs"/>
          <w:rtl/>
        </w:rPr>
        <w:t>,</w:t>
      </w:r>
      <w:r>
        <w:rPr>
          <w:rtl/>
        </w:rPr>
        <w:t xml:space="preserve"> משא"כ בברכת הנס</w:t>
      </w:r>
      <w:r>
        <w:rPr>
          <w:rFonts w:hint="cs"/>
          <w:rtl/>
        </w:rPr>
        <w:t>).</w:t>
      </w:r>
    </w:p>
    <w:p w14:paraId="11BBC4BC" w14:textId="77777777" w:rsidR="00FE3F65" w:rsidRDefault="00FE3F65" w:rsidP="00F8255E">
      <w:pPr>
        <w:pStyle w:val="a2"/>
        <w:rPr>
          <w:rtl/>
        </w:rPr>
      </w:pPr>
      <w:r>
        <w:rPr>
          <w:rFonts w:hint="cs"/>
          <w:rtl/>
        </w:rPr>
        <w:t xml:space="preserve"> אבל </w:t>
      </w:r>
      <w:r w:rsidRPr="00D71EAB">
        <w:rPr>
          <w:rtl/>
        </w:rPr>
        <w:t>בחי' הרשב"א ברכות שם כתב וז"ל</w:t>
      </w:r>
      <w:r>
        <w:rPr>
          <w:rFonts w:hint="cs"/>
          <w:rtl/>
        </w:rPr>
        <w:t xml:space="preserve">: </w:t>
      </w:r>
      <w:r>
        <w:rPr>
          <w:rtl/>
        </w:rPr>
        <w:t xml:space="preserve">ונסים שנעשו לישראל הכל חייבין </w:t>
      </w:r>
      <w:r>
        <w:rPr>
          <w:rtl/>
        </w:rPr>
        <w:lastRenderedPageBreak/>
        <w:t>לברך עליהן</w:t>
      </w:r>
      <w:r>
        <w:rPr>
          <w:rFonts w:hint="cs"/>
          <w:rtl/>
        </w:rPr>
        <w:t>,</w:t>
      </w:r>
      <w:r>
        <w:rPr>
          <w:rtl/>
        </w:rPr>
        <w:t xml:space="preserve"> אבל בנס דידיה איהו ובריה ובר בריה חייב לברך</w:t>
      </w:r>
      <w:r>
        <w:rPr>
          <w:rFonts w:hint="cs"/>
          <w:rtl/>
        </w:rPr>
        <w:t>,</w:t>
      </w:r>
      <w:r>
        <w:rPr>
          <w:rtl/>
        </w:rPr>
        <w:t xml:space="preserve"> אבל לכולי עלמא לא כדאי' בגמרא, ומסתברא דלאו דוקא בריה ובר בריה ותו לא, אלא כל יוצאי ירכו ואין להם הפסק מפני שכולן </w:t>
      </w:r>
      <w:r w:rsidRPr="00A86ADC">
        <w:rPr>
          <w:bCs/>
          <w:rtl/>
        </w:rPr>
        <w:t>כשותפין באותו נס</w:t>
      </w:r>
      <w:r>
        <w:rPr>
          <w:rtl/>
        </w:rPr>
        <w:t xml:space="preserve"> ועל נס רבו מברך כרב חנא דבריך אדרב יהודה רביה</w:t>
      </w:r>
      <w:r>
        <w:rPr>
          <w:rStyle w:val="FootnoteReference"/>
          <w:rtl/>
        </w:rPr>
        <w:footnoteReference w:id="4"/>
      </w:r>
      <w:r>
        <w:rPr>
          <w:rtl/>
        </w:rPr>
        <w:t>, ואף על גב דבעי' היא בירושלמי מהו לברך אניסא דרביה ולא פשטוה</w:t>
      </w:r>
      <w:r>
        <w:rPr>
          <w:rFonts w:hint="cs"/>
          <w:rtl/>
        </w:rPr>
        <w:t>,</w:t>
      </w:r>
      <w:r>
        <w:rPr>
          <w:rtl/>
        </w:rPr>
        <w:t xml:space="preserve"> איכא למפשטה מהא דרב חנא דאיתא בגמ' לקמן, וה"נ בעו בנס אביו ולא אפשיטא התם ואפשיט בגמרין</w:t>
      </w:r>
      <w:r>
        <w:rPr>
          <w:rFonts w:hint="cs"/>
          <w:rtl/>
        </w:rPr>
        <w:t xml:space="preserve"> עכ"ל.</w:t>
      </w:r>
      <w:r>
        <w:rPr>
          <w:rtl/>
        </w:rPr>
        <w:t xml:space="preserve"> </w:t>
      </w:r>
    </w:p>
    <w:p w14:paraId="6B77247B" w14:textId="5CD1C418" w:rsidR="00FE3F65" w:rsidRDefault="00FE3F65" w:rsidP="00F8255E">
      <w:pPr>
        <w:pStyle w:val="a2"/>
        <w:rPr>
          <w:rtl/>
        </w:rPr>
      </w:pPr>
      <w:r w:rsidRPr="00D71EAB">
        <w:rPr>
          <w:rtl/>
        </w:rPr>
        <w:t>הרי דהרמב"ן והרשב"א סב"ל שיש חיוב לברך על נס דרבו</w:t>
      </w:r>
      <w:r>
        <w:rPr>
          <w:rFonts w:hint="cs"/>
          <w:rtl/>
        </w:rPr>
        <w:t>,</w:t>
      </w:r>
      <w:r w:rsidRPr="00D71EAB">
        <w:rPr>
          <w:rtl/>
        </w:rPr>
        <w:t xml:space="preserve"> אלא שיש חילוק ביניהם מאיפה הם מוכיחים דין זה</w:t>
      </w:r>
      <w:r>
        <w:rPr>
          <w:rFonts w:hint="cs"/>
          <w:rtl/>
        </w:rPr>
        <w:t>,</w:t>
      </w:r>
      <w:r w:rsidRPr="00D71EAB">
        <w:rPr>
          <w:rtl/>
        </w:rPr>
        <w:t xml:space="preserve"> דהרמב"ן</w:t>
      </w:r>
      <w:r>
        <w:rPr>
          <w:rFonts w:hint="cs"/>
          <w:rtl/>
        </w:rPr>
        <w:t xml:space="preserve"> </w:t>
      </w:r>
      <w:r w:rsidRPr="00D71EAB">
        <w:rPr>
          <w:rtl/>
        </w:rPr>
        <w:t xml:space="preserve">הביא ראי' מהך </w:t>
      </w:r>
      <w:r>
        <w:rPr>
          <w:rFonts w:hint="cs"/>
          <w:rtl/>
        </w:rPr>
        <w:t>ד</w:t>
      </w:r>
      <w:r w:rsidRPr="00D71EAB">
        <w:rPr>
          <w:rtl/>
        </w:rPr>
        <w:t>בן על אביו מברך כמבואר בתלמודא דילן</w:t>
      </w:r>
      <w:r>
        <w:rPr>
          <w:rFonts w:hint="cs"/>
          <w:rtl/>
        </w:rPr>
        <w:t>,</w:t>
      </w:r>
      <w:r w:rsidRPr="00D71EAB">
        <w:rPr>
          <w:rtl/>
        </w:rPr>
        <w:t xml:space="preserve"> ו</w:t>
      </w:r>
      <w:r>
        <w:rPr>
          <w:rFonts w:hint="cs"/>
          <w:rtl/>
        </w:rPr>
        <w:t>משמע ד</w:t>
      </w:r>
      <w:r w:rsidRPr="00D71EAB">
        <w:rPr>
          <w:rtl/>
        </w:rPr>
        <w:t>סב"ל דמברכת הגומל ליכא ראי'</w:t>
      </w:r>
      <w:r>
        <w:rPr>
          <w:rFonts w:hint="cs"/>
          <w:rtl/>
        </w:rPr>
        <w:t>,</w:t>
      </w:r>
      <w:r w:rsidRPr="00D71EAB">
        <w:rPr>
          <w:rtl/>
        </w:rPr>
        <w:t xml:space="preserve"> והרשב"א הביא הראי' מברכת הגומל ומשמע דסב"ל דמבן על אביו ליכא ראי'</w:t>
      </w:r>
      <w:r>
        <w:rPr>
          <w:rFonts w:hint="cs"/>
          <w:rtl/>
        </w:rPr>
        <w:t>.</w:t>
      </w:r>
    </w:p>
    <w:p w14:paraId="54BF67C3" w14:textId="77777777" w:rsidR="00FE3F65" w:rsidRDefault="00FE3F65" w:rsidP="00F8255E">
      <w:pPr>
        <w:pStyle w:val="11"/>
        <w:bidi/>
        <w:rPr>
          <w:rtl/>
        </w:rPr>
      </w:pPr>
      <w:r>
        <w:rPr>
          <w:rFonts w:hint="cs"/>
          <w:rtl/>
        </w:rPr>
        <w:t>ביאור פלוגתת הרמב"ן והרשב"א</w:t>
      </w:r>
    </w:p>
    <w:p w14:paraId="4DFC7F07" w14:textId="77777777" w:rsidR="00FE3F65" w:rsidRDefault="00FE3F65" w:rsidP="00F8255E">
      <w:pPr>
        <w:pStyle w:val="a2"/>
        <w:rPr>
          <w:rtl/>
        </w:rPr>
      </w:pPr>
      <w:r w:rsidRPr="00D71EAB">
        <w:rPr>
          <w:rtl/>
        </w:rPr>
        <w:t xml:space="preserve"> </w:t>
      </w:r>
      <w:r>
        <w:rPr>
          <w:rFonts w:hint="cs"/>
          <w:rtl/>
        </w:rPr>
        <w:t xml:space="preserve">ויש לבאר פלוגתת הרמב"ן והרשב"א (שכל אחד הביא ראי' אחרת) </w:t>
      </w:r>
      <w:r w:rsidRPr="00D71EAB">
        <w:rPr>
          <w:rtl/>
        </w:rPr>
        <w:t xml:space="preserve">דשיטת </w:t>
      </w:r>
      <w:r>
        <w:rPr>
          <w:rFonts w:hint="cs"/>
          <w:rtl/>
        </w:rPr>
        <w:t xml:space="preserve">הרשב"א הוא </w:t>
      </w:r>
      <w:r w:rsidRPr="00D71EAB">
        <w:rPr>
          <w:rtl/>
        </w:rPr>
        <w:t xml:space="preserve">דהא דיוצאי יריכו מברכים על הנס משום </w:t>
      </w:r>
      <w:r w:rsidRPr="00205D27">
        <w:rPr>
          <w:bCs/>
          <w:rtl/>
        </w:rPr>
        <w:t xml:space="preserve">שהם שותפים בהנס </w:t>
      </w:r>
      <w:r w:rsidRPr="00D71EAB">
        <w:rPr>
          <w:rtl/>
        </w:rPr>
        <w:t xml:space="preserve">וכמבואר </w:t>
      </w:r>
      <w:r>
        <w:rPr>
          <w:rFonts w:hint="cs"/>
          <w:rtl/>
        </w:rPr>
        <w:t xml:space="preserve">בהדיא </w:t>
      </w:r>
      <w:r w:rsidRPr="00D71EAB">
        <w:rPr>
          <w:rtl/>
        </w:rPr>
        <w:t>בלשונו לעיל</w:t>
      </w:r>
      <w:r>
        <w:rPr>
          <w:rFonts w:hint="cs"/>
          <w:rtl/>
        </w:rPr>
        <w:t xml:space="preserve">, </w:t>
      </w:r>
      <w:r w:rsidRPr="00D71EAB">
        <w:rPr>
          <w:rtl/>
        </w:rPr>
        <w:t xml:space="preserve">ולפי"ז כתב בעולת שבת </w:t>
      </w:r>
      <w:r>
        <w:rPr>
          <w:rFonts w:hint="cs"/>
          <w:rtl/>
        </w:rPr>
        <w:t>(</w:t>
      </w:r>
      <w:r w:rsidRPr="00D71EAB">
        <w:rPr>
          <w:rtl/>
        </w:rPr>
        <w:t>או"ח שם סעי' ו'</w:t>
      </w:r>
      <w:r>
        <w:rPr>
          <w:rFonts w:hint="cs"/>
          <w:rtl/>
        </w:rPr>
        <w:t>)</w:t>
      </w:r>
      <w:r w:rsidRPr="00D71EAB">
        <w:rPr>
          <w:rtl/>
        </w:rPr>
        <w:t xml:space="preserve"> נראה די</w:t>
      </w:r>
      <w:r>
        <w:rPr>
          <w:rtl/>
        </w:rPr>
        <w:t>וצאי יריכו שהיו נולדים קודם שאי</w:t>
      </w:r>
      <w:r>
        <w:rPr>
          <w:rFonts w:hint="cs"/>
          <w:rtl/>
        </w:rPr>
        <w:t>ר</w:t>
      </w:r>
      <w:r w:rsidRPr="00D71EAB">
        <w:rPr>
          <w:rtl/>
        </w:rPr>
        <w:t>ע הנס אין מברכים עיי"ש</w:t>
      </w:r>
      <w:r>
        <w:rPr>
          <w:rFonts w:hint="cs"/>
          <w:rtl/>
        </w:rPr>
        <w:t>,</w:t>
      </w:r>
      <w:r w:rsidRPr="00D71EAB">
        <w:rPr>
          <w:rtl/>
        </w:rPr>
        <w:t xml:space="preserve"> כי רק אלו שנולדו לאחר הנס הם שותפים בהנס דלולי הנס לא היו נולדים</w:t>
      </w:r>
      <w:r>
        <w:rPr>
          <w:rFonts w:hint="cs"/>
          <w:rtl/>
        </w:rPr>
        <w:t>,</w:t>
      </w:r>
      <w:r w:rsidRPr="00D71EAB">
        <w:rPr>
          <w:rtl/>
        </w:rPr>
        <w:t xml:space="preserve"> אבל לא אלו שנולדו קודם הנס</w:t>
      </w:r>
      <w:r>
        <w:rPr>
          <w:rFonts w:hint="cs"/>
          <w:rtl/>
        </w:rPr>
        <w:t xml:space="preserve">, </w:t>
      </w:r>
      <w:r w:rsidRPr="00D71EAB">
        <w:rPr>
          <w:rtl/>
        </w:rPr>
        <w:t xml:space="preserve">ונראה </w:t>
      </w:r>
      <w:r>
        <w:rPr>
          <w:rFonts w:hint="cs"/>
          <w:rtl/>
        </w:rPr>
        <w:t xml:space="preserve">משום </w:t>
      </w:r>
      <w:r w:rsidRPr="00D71EAB">
        <w:rPr>
          <w:rtl/>
        </w:rPr>
        <w:t xml:space="preserve">דסב"ל דעיקרו של ברכת הנס הוא </w:t>
      </w:r>
      <w:r w:rsidRPr="00205D27">
        <w:rPr>
          <w:bCs/>
          <w:rtl/>
        </w:rPr>
        <w:t>ההצלה</w:t>
      </w:r>
      <w:r w:rsidRPr="00D71EAB">
        <w:rPr>
          <w:rtl/>
        </w:rPr>
        <w:t xml:space="preserve"> שבא ע"י הנס</w:t>
      </w:r>
      <w:r>
        <w:rPr>
          <w:rFonts w:hint="cs"/>
          <w:rtl/>
        </w:rPr>
        <w:t>,</w:t>
      </w:r>
      <w:r w:rsidRPr="00D71EAB">
        <w:rPr>
          <w:rtl/>
        </w:rPr>
        <w:t xml:space="preserve"> </w:t>
      </w:r>
      <w:r>
        <w:rPr>
          <w:rFonts w:hint="cs"/>
          <w:rtl/>
        </w:rPr>
        <w:t>(</w:t>
      </w:r>
      <w:r w:rsidRPr="00D71EAB">
        <w:rPr>
          <w:rtl/>
        </w:rPr>
        <w:t>וכן משמע מהא דאיתא בברכות שם</w:t>
      </w:r>
      <w:r>
        <w:rPr>
          <w:rFonts w:hint="cs"/>
          <w:rtl/>
        </w:rPr>
        <w:t>,</w:t>
      </w:r>
      <w:r w:rsidRPr="00D71EAB">
        <w:rPr>
          <w:rtl/>
        </w:rPr>
        <w:t xml:space="preserve"> דיליף ברכה זו ממה שאמר יתרו </w:t>
      </w:r>
      <w:r>
        <w:rPr>
          <w:rFonts w:hint="cs"/>
          <w:rtl/>
        </w:rPr>
        <w:t>"</w:t>
      </w:r>
      <w:r>
        <w:rPr>
          <w:rtl/>
        </w:rPr>
        <w:t>ברוך ה' אשרי הציל אתכם וגו'</w:t>
      </w:r>
      <w:r>
        <w:rPr>
          <w:rFonts w:hint="cs"/>
          <w:rtl/>
        </w:rPr>
        <w:t xml:space="preserve">"), </w:t>
      </w:r>
      <w:r w:rsidRPr="00D71EAB">
        <w:rPr>
          <w:rtl/>
        </w:rPr>
        <w:t xml:space="preserve">וזהו מ"ש הרשב"א שגם יוצאי יריכו הם שותפין בנס זה כיון שגם קיומם הוא ע"י </w:t>
      </w:r>
      <w:r>
        <w:rPr>
          <w:rFonts w:hint="cs"/>
          <w:rtl/>
        </w:rPr>
        <w:t>ההצלה ב</w:t>
      </w:r>
      <w:r>
        <w:rPr>
          <w:rtl/>
        </w:rPr>
        <w:t>נס זה</w:t>
      </w:r>
      <w:r>
        <w:rPr>
          <w:rFonts w:hint="cs"/>
          <w:rtl/>
        </w:rPr>
        <w:t>.</w:t>
      </w:r>
    </w:p>
    <w:p w14:paraId="6AA20B8D" w14:textId="26711F7D" w:rsidR="00FE3F65" w:rsidRDefault="00FE3F65" w:rsidP="00EF177F">
      <w:pPr>
        <w:pStyle w:val="a2"/>
        <w:rPr>
          <w:rtl/>
        </w:rPr>
      </w:pPr>
      <w:r w:rsidRPr="00D71EAB">
        <w:rPr>
          <w:rtl/>
        </w:rPr>
        <w:t xml:space="preserve">ולפי"ז </w:t>
      </w:r>
      <w:r>
        <w:rPr>
          <w:rFonts w:hint="cs"/>
          <w:rtl/>
        </w:rPr>
        <w:t xml:space="preserve">מובן </w:t>
      </w:r>
      <w:r w:rsidRPr="00D71EAB">
        <w:rPr>
          <w:rtl/>
        </w:rPr>
        <w:t>למה סב"ל להרשב"א</w:t>
      </w:r>
      <w:r>
        <w:rPr>
          <w:rFonts w:hint="cs"/>
          <w:rtl/>
        </w:rPr>
        <w:t>,</w:t>
      </w:r>
      <w:r w:rsidRPr="00D71EAB">
        <w:rPr>
          <w:rtl/>
        </w:rPr>
        <w:t xml:space="preserve"> דאי אפשר להוכיח מזה גם לתלמיד על נס רבו שחייב לברך כיון שיש לדחות דתלמיד שאני שאינו שותף בנס זה</w:t>
      </w:r>
      <w:r>
        <w:rPr>
          <w:rFonts w:hint="cs"/>
          <w:rtl/>
        </w:rPr>
        <w:t>,</w:t>
      </w:r>
      <w:r w:rsidRPr="00D71EAB">
        <w:rPr>
          <w:rtl/>
        </w:rPr>
        <w:t xml:space="preserve"> וכמ"ש הב"ח סברא זו </w:t>
      </w:r>
      <w:r>
        <w:rPr>
          <w:rFonts w:hint="cs"/>
          <w:rtl/>
        </w:rPr>
        <w:t>(</w:t>
      </w:r>
      <w:r w:rsidRPr="00D71EAB">
        <w:rPr>
          <w:rtl/>
        </w:rPr>
        <w:t>או"ח שם בד"ה ועל נס</w:t>
      </w:r>
      <w:r>
        <w:rPr>
          <w:rFonts w:hint="cs"/>
          <w:rtl/>
        </w:rPr>
        <w:t>)</w:t>
      </w:r>
      <w:r w:rsidRPr="00D71EAB">
        <w:rPr>
          <w:rtl/>
        </w:rPr>
        <w:t xml:space="preserve"> וז"ל</w:t>
      </w:r>
      <w:r>
        <w:rPr>
          <w:rFonts w:hint="cs"/>
          <w:rtl/>
        </w:rPr>
        <w:t>:</w:t>
      </w:r>
      <w:r w:rsidRPr="00D71EAB">
        <w:rPr>
          <w:rtl/>
        </w:rPr>
        <w:t xml:space="preserve"> דאע"ג דקיימ"ל דרבו עדיף מאביו לגבי אבידה וטעינת משא ולפדותו מבית השבי כו'</w:t>
      </w:r>
      <w:r>
        <w:rPr>
          <w:rFonts w:hint="cs"/>
          <w:rtl/>
        </w:rPr>
        <w:t xml:space="preserve">, </w:t>
      </w:r>
      <w:r w:rsidRPr="00D71EAB">
        <w:rPr>
          <w:rtl/>
        </w:rPr>
        <w:t>אי</w:t>
      </w:r>
      <w:r>
        <w:rPr>
          <w:rFonts w:hint="cs"/>
          <w:rtl/>
        </w:rPr>
        <w:t>כ</w:t>
      </w:r>
      <w:r w:rsidRPr="00D71EAB">
        <w:rPr>
          <w:rtl/>
        </w:rPr>
        <w:t xml:space="preserve">א למימר דלענין ניסא שאני דשמא דוקא אביו </w:t>
      </w:r>
      <w:r w:rsidRPr="00205D27">
        <w:rPr>
          <w:bCs/>
          <w:rtl/>
        </w:rPr>
        <w:t>דשותף עמו באותו נס</w:t>
      </w:r>
      <w:r w:rsidRPr="00D71EAB">
        <w:rPr>
          <w:rtl/>
        </w:rPr>
        <w:t xml:space="preserve"> משא"כ רבו דאינו שותף עמו וכו' עכ"ל</w:t>
      </w:r>
      <w:r>
        <w:rPr>
          <w:rFonts w:hint="cs"/>
          <w:rtl/>
        </w:rPr>
        <w:t>,</w:t>
      </w:r>
      <w:r w:rsidRPr="00D71EAB">
        <w:rPr>
          <w:rtl/>
        </w:rPr>
        <w:t xml:space="preserve"> ולכן הוצרך הרשב"א להוכיח דין זה מברכת הגומל מהך דרב חנא שבירך ברכת הגומל על רבו</w:t>
      </w:r>
      <w:r>
        <w:rPr>
          <w:rFonts w:hint="cs"/>
          <w:rtl/>
        </w:rPr>
        <w:t>,</w:t>
      </w:r>
      <w:r w:rsidRPr="00D71EAB">
        <w:rPr>
          <w:rtl/>
        </w:rPr>
        <w:t xml:space="preserve"> דברכה זו היא גם ברכת הודאה על ההצלה</w:t>
      </w:r>
      <w:r>
        <w:rPr>
          <w:rFonts w:hint="cs"/>
          <w:rtl/>
        </w:rPr>
        <w:t>,</w:t>
      </w:r>
      <w:r w:rsidRPr="00D71EAB">
        <w:rPr>
          <w:rtl/>
        </w:rPr>
        <w:t xml:space="preserve"> ושם מצינו שתלמיד בירך על הצלת רבו כדאמר בריך רחמנא דיהבך ניהלן וכו</w:t>
      </w:r>
      <w:r>
        <w:rPr>
          <w:rFonts w:hint="cs"/>
          <w:rtl/>
        </w:rPr>
        <w:t>'</w:t>
      </w:r>
      <w:r w:rsidRPr="00D71EAB">
        <w:rPr>
          <w:rtl/>
        </w:rPr>
        <w:t xml:space="preserve"> א"כ ה"ה שתלמיד יברך ברכת הנס</w:t>
      </w:r>
      <w:r>
        <w:rPr>
          <w:rFonts w:hint="cs"/>
          <w:rtl/>
        </w:rPr>
        <w:t>,</w:t>
      </w:r>
      <w:r w:rsidRPr="00D71EAB">
        <w:rPr>
          <w:rtl/>
        </w:rPr>
        <w:t xml:space="preserve"> ועי' באלי' רבה שם </w:t>
      </w:r>
      <w:r>
        <w:rPr>
          <w:rFonts w:hint="cs"/>
          <w:rtl/>
        </w:rPr>
        <w:t>(</w:t>
      </w:r>
      <w:r w:rsidRPr="00D71EAB">
        <w:rPr>
          <w:rtl/>
        </w:rPr>
        <w:t>ס"ק ד'</w:t>
      </w:r>
      <w:r>
        <w:rPr>
          <w:rFonts w:hint="cs"/>
          <w:rtl/>
        </w:rPr>
        <w:t>)</w:t>
      </w:r>
      <w:r w:rsidRPr="00D71EAB">
        <w:rPr>
          <w:rtl/>
        </w:rPr>
        <w:t xml:space="preserve"> שכתב עד"ז בדברי הרשב"א</w:t>
      </w:r>
      <w:r>
        <w:rPr>
          <w:rFonts w:hint="cs"/>
          <w:rtl/>
        </w:rPr>
        <w:t>, ובסידור רב סעדיה גאון כתב:"</w:t>
      </w:r>
      <w:r w:rsidRPr="000A7E8E">
        <w:rPr>
          <w:rtl/>
        </w:rPr>
        <w:t xml:space="preserve">ומקום </w:t>
      </w:r>
      <w:r w:rsidRPr="000A7E8E">
        <w:rPr>
          <w:rtl/>
        </w:rPr>
        <w:lastRenderedPageBreak/>
        <w:t xml:space="preserve">שהיתה בו </w:t>
      </w:r>
      <w:r w:rsidRPr="000A7E8E">
        <w:rPr>
          <w:bCs/>
          <w:rtl/>
        </w:rPr>
        <w:t>הצלה ליחיד</w:t>
      </w:r>
      <w:r w:rsidRPr="000A7E8E">
        <w:rPr>
          <w:rtl/>
        </w:rPr>
        <w:t xml:space="preserve"> מבני ישראל מברך הוא לבדו</w:t>
      </w:r>
      <w:r>
        <w:rPr>
          <w:rFonts w:hint="cs"/>
          <w:rtl/>
        </w:rPr>
        <w:t>..</w:t>
      </w:r>
      <w:r>
        <w:rPr>
          <w:rtl/>
        </w:rPr>
        <w:t xml:space="preserve"> שעשה לי נס במקום הזה</w:t>
      </w:r>
      <w:r>
        <w:rPr>
          <w:rFonts w:hint="cs"/>
          <w:rtl/>
        </w:rPr>
        <w:t>", וב</w:t>
      </w:r>
      <w:r>
        <w:rPr>
          <w:rtl/>
        </w:rPr>
        <w:t xml:space="preserve">שו"ת הריב"ש </w:t>
      </w:r>
      <w:r>
        <w:rPr>
          <w:rFonts w:hint="cs"/>
          <w:rtl/>
        </w:rPr>
        <w:t>(</w:t>
      </w:r>
      <w:r>
        <w:rPr>
          <w:rtl/>
        </w:rPr>
        <w:t>סי</w:t>
      </w:r>
      <w:r>
        <w:rPr>
          <w:rFonts w:hint="cs"/>
          <w:rtl/>
        </w:rPr>
        <w:t xml:space="preserve">' </w:t>
      </w:r>
      <w:r>
        <w:rPr>
          <w:rtl/>
        </w:rPr>
        <w:t>שלז</w:t>
      </w:r>
      <w:r>
        <w:rPr>
          <w:rFonts w:hint="cs"/>
          <w:rtl/>
        </w:rPr>
        <w:t>) כתב: "</w:t>
      </w:r>
      <w:r>
        <w:rPr>
          <w:rtl/>
        </w:rPr>
        <w:t xml:space="preserve">וכ"ש הנעשה לו נס </w:t>
      </w:r>
      <w:r w:rsidRPr="000A7E8E">
        <w:rPr>
          <w:bCs/>
          <w:rtl/>
        </w:rPr>
        <w:t>וניצול ממיתה עצמה</w:t>
      </w:r>
      <w:r>
        <w:rPr>
          <w:rtl/>
        </w:rPr>
        <w:t>, שהרי קבעו עליו ברכה אחרת לברך כשיעבור עוד במקום ההוא ברוך שעשה לי נס במקום הזה</w:t>
      </w:r>
      <w:r>
        <w:rPr>
          <w:rFonts w:hint="cs"/>
          <w:rtl/>
        </w:rPr>
        <w:t>".</w:t>
      </w:r>
    </w:p>
    <w:p w14:paraId="65A22285" w14:textId="77777777" w:rsidR="00FE3F65" w:rsidRDefault="00FE3F65" w:rsidP="00F8255E">
      <w:pPr>
        <w:pStyle w:val="a2"/>
        <w:rPr>
          <w:rtl/>
        </w:rPr>
      </w:pPr>
      <w:r w:rsidRPr="00D71EAB">
        <w:rPr>
          <w:rtl/>
        </w:rPr>
        <w:t xml:space="preserve">אבל בדעת הרמב"ן י"ל דסב"ל שאין עיקרו של הברכה על ההצלה אלא על </w:t>
      </w:r>
      <w:r w:rsidRPr="00205D27">
        <w:rPr>
          <w:rFonts w:hint="cs"/>
          <w:bCs/>
          <w:rtl/>
        </w:rPr>
        <w:t xml:space="preserve">עצם </w:t>
      </w:r>
      <w:r w:rsidRPr="00205D27">
        <w:rPr>
          <w:bCs/>
          <w:rtl/>
        </w:rPr>
        <w:t>הנס</w:t>
      </w:r>
      <w:r>
        <w:rPr>
          <w:rFonts w:hint="cs"/>
          <w:rtl/>
        </w:rPr>
        <w:t xml:space="preserve"> -</w:t>
      </w:r>
      <w:r w:rsidRPr="00D71EAB">
        <w:rPr>
          <w:rtl/>
        </w:rPr>
        <w:t>שע"י היתה ההצלה</w:t>
      </w:r>
      <w:r>
        <w:rPr>
          <w:rFonts w:hint="cs"/>
          <w:rtl/>
        </w:rPr>
        <w:t>-</w:t>
      </w:r>
      <w:r w:rsidRPr="00D71EAB">
        <w:rPr>
          <w:rtl/>
        </w:rPr>
        <w:t xml:space="preserve"> אבל אין עיקרו על ההצלה</w:t>
      </w:r>
      <w:r>
        <w:rPr>
          <w:rFonts w:hint="cs"/>
          <w:rtl/>
        </w:rPr>
        <w:t>,</w:t>
      </w:r>
      <w:r w:rsidRPr="00D71EAB">
        <w:rPr>
          <w:rtl/>
        </w:rPr>
        <w:t xml:space="preserve"> ולכן אין זה דומה כלל לברכת הגומל שהוא הודאה על ההצלה וכמ"ש</w:t>
      </w:r>
      <w:r>
        <w:rPr>
          <w:rtl/>
        </w:rPr>
        <w:t xml:space="preserve"> הרמב"ן דברכה זו דהגומל עליה די</w:t>
      </w:r>
      <w:r>
        <w:rPr>
          <w:rFonts w:hint="cs"/>
          <w:rtl/>
        </w:rPr>
        <w:t>ד</w:t>
      </w:r>
      <w:r w:rsidRPr="00D71EAB">
        <w:rPr>
          <w:rtl/>
        </w:rPr>
        <w:t>יה בלבד רמיא ולא עלייהו כלל</w:t>
      </w:r>
      <w:r>
        <w:rPr>
          <w:rStyle w:val="FootnoteReference"/>
          <w:rtl/>
        </w:rPr>
        <w:footnoteReference w:id="5"/>
      </w:r>
      <w:r>
        <w:rPr>
          <w:rFonts w:hint="cs"/>
          <w:rtl/>
        </w:rPr>
        <w:t>,</w:t>
      </w:r>
      <w:r w:rsidRPr="00D71EAB">
        <w:rPr>
          <w:rtl/>
        </w:rPr>
        <w:t xml:space="preserve"> והא דיוצאי יריכו מברכים על נס של אביהם לדעת הרמב"ן ה"ז משום </w:t>
      </w:r>
      <w:r w:rsidRPr="00615E0F">
        <w:rPr>
          <w:bCs/>
          <w:rtl/>
        </w:rPr>
        <w:t>כיבוד אב</w:t>
      </w:r>
      <w:r>
        <w:rPr>
          <w:rtl/>
        </w:rPr>
        <w:t xml:space="preserve"> שמשבחים הנס שנעשה לאביהם</w:t>
      </w:r>
      <w:r>
        <w:rPr>
          <w:rFonts w:hint="cs"/>
          <w:rtl/>
        </w:rPr>
        <w:t>,</w:t>
      </w:r>
      <w:r>
        <w:rPr>
          <w:rtl/>
        </w:rPr>
        <w:t xml:space="preserve"> ו</w:t>
      </w:r>
      <w:r>
        <w:rPr>
          <w:rFonts w:hint="cs"/>
          <w:rtl/>
        </w:rPr>
        <w:t>ס</w:t>
      </w:r>
      <w:r w:rsidRPr="00D71EAB">
        <w:rPr>
          <w:rtl/>
        </w:rPr>
        <w:t>ב"ל להרמב"ן שזו שאלת הירושלמי אם לברך על נס אביו או רבו משום כיבוד אב וכיבוד רבו</w:t>
      </w:r>
      <w:r>
        <w:rPr>
          <w:rFonts w:hint="cs"/>
          <w:rtl/>
        </w:rPr>
        <w:t>.</w:t>
      </w:r>
    </w:p>
    <w:p w14:paraId="181343A7" w14:textId="77777777" w:rsidR="00FE3F65" w:rsidRDefault="00FE3F65" w:rsidP="00F8255E">
      <w:pPr>
        <w:pStyle w:val="a2"/>
        <w:rPr>
          <w:rtl/>
        </w:rPr>
      </w:pPr>
      <w:r>
        <w:rPr>
          <w:rFonts w:hint="cs"/>
          <w:rtl/>
        </w:rPr>
        <w:t>וכ"כ ב</w:t>
      </w:r>
      <w:r>
        <w:rPr>
          <w:rtl/>
        </w:rPr>
        <w:t xml:space="preserve">מחצית השקל </w:t>
      </w:r>
      <w:r>
        <w:rPr>
          <w:rFonts w:hint="cs"/>
          <w:rtl/>
        </w:rPr>
        <w:t>שם שמפרש כוונת המג"א שם (סק"ו שכתב:</w:t>
      </w:r>
      <w:r>
        <w:t xml:space="preserve">" </w:t>
      </w:r>
      <w:r>
        <w:rPr>
          <w:rtl/>
        </w:rPr>
        <w:t>יוצאי יריכו. אפילו אותן שנולדו קודם לכן וכמ"ש ס"ז כנ"ל</w:t>
      </w:r>
      <w:r>
        <w:t>("</w:t>
      </w:r>
      <w:r>
        <w:rPr>
          <w:rFonts w:hint="cs"/>
          <w:rtl/>
        </w:rPr>
        <w:t xml:space="preserve">, ופירש במחצית השקל כוונתו וז"ל: </w:t>
      </w:r>
      <w:r>
        <w:rPr>
          <w:rtl/>
        </w:rPr>
        <w:t xml:space="preserve">שנולדו קודם לכן. דלא תימא דוקא הנולדים אחר כן דהם שותפים בנס האב, דלולי שניצל האב הם לא באו לעולם, משא"כ הנולדים קודם לכן, קמ"ל דאפילו הכי צריכים לברך </w:t>
      </w:r>
      <w:r w:rsidRPr="00615E0F">
        <w:rPr>
          <w:bCs/>
          <w:rtl/>
        </w:rPr>
        <w:t>דזהו מכלל כיבוד אב.</w:t>
      </w:r>
      <w:r>
        <w:rPr>
          <w:rtl/>
        </w:rPr>
        <w:t xml:space="preserve"> ואייתי ראיה ממה שכתוב בסעיף וי"ו דעל נס רבו צריך לברך, ועל כרחך משום דזהו מכלל כיבוד ומורא רבו, והוא הדין באביו</w:t>
      </w:r>
      <w:r>
        <w:rPr>
          <w:rFonts w:hint="cs"/>
          <w:rtl/>
        </w:rPr>
        <w:t xml:space="preserve"> עכ"ל, וכ"כ באליה רבה שם בכוונת המג"א: "</w:t>
      </w:r>
      <w:r>
        <w:rPr>
          <w:rtl/>
        </w:rPr>
        <w:t>נ"ל פירושו מדכתב הש"ע [בס"ו] דמברך אנס דרבו כמו בנס אביו</w:t>
      </w:r>
      <w:r>
        <w:rPr>
          <w:rFonts w:hint="cs"/>
          <w:rtl/>
        </w:rPr>
        <w:t>,</w:t>
      </w:r>
      <w:r>
        <w:rPr>
          <w:rtl/>
        </w:rPr>
        <w:t xml:space="preserve"> אלמא דאין הטעם משום שותפות אלא משום כבוד, וא"כ אין חילוק בין נולדו קודם כנ"ל</w:t>
      </w:r>
      <w:r>
        <w:rPr>
          <w:rFonts w:hint="cs"/>
          <w:rtl/>
        </w:rPr>
        <w:t>"</w:t>
      </w:r>
      <w:r>
        <w:rPr>
          <w:rtl/>
        </w:rPr>
        <w:t>.</w:t>
      </w:r>
    </w:p>
    <w:p w14:paraId="36171065" w14:textId="77777777" w:rsidR="00FE3F65" w:rsidRDefault="00FE3F65" w:rsidP="00F8255E">
      <w:pPr>
        <w:pStyle w:val="a2"/>
        <w:rPr>
          <w:rtl/>
        </w:rPr>
      </w:pPr>
      <w:r w:rsidRPr="00D71EAB">
        <w:rPr>
          <w:rtl/>
        </w:rPr>
        <w:t xml:space="preserve"> </w:t>
      </w:r>
      <w:r>
        <w:rPr>
          <w:rtl/>
        </w:rPr>
        <w:t>ולכן שפיר למ</w:t>
      </w:r>
      <w:r>
        <w:rPr>
          <w:rFonts w:hint="cs"/>
          <w:rtl/>
        </w:rPr>
        <w:t>ד</w:t>
      </w:r>
      <w:r w:rsidRPr="00D71EAB">
        <w:rPr>
          <w:rtl/>
        </w:rPr>
        <w:t xml:space="preserve"> הרמב"ן</w:t>
      </w:r>
      <w:r>
        <w:rPr>
          <w:rFonts w:hint="cs"/>
          <w:rtl/>
        </w:rPr>
        <w:t>,</w:t>
      </w:r>
      <w:r>
        <w:rPr>
          <w:rtl/>
        </w:rPr>
        <w:t xml:space="preserve"> דכיון דבתלמודא די</w:t>
      </w:r>
      <w:r>
        <w:rPr>
          <w:rFonts w:hint="cs"/>
          <w:rtl/>
        </w:rPr>
        <w:t>ד</w:t>
      </w:r>
      <w:r w:rsidRPr="00D71EAB">
        <w:rPr>
          <w:rtl/>
        </w:rPr>
        <w:t>ן איתא</w:t>
      </w:r>
      <w:r>
        <w:rPr>
          <w:rFonts w:hint="cs"/>
          <w:rtl/>
        </w:rPr>
        <w:t>,</w:t>
      </w:r>
      <w:r w:rsidRPr="00D71EAB">
        <w:rPr>
          <w:rtl/>
        </w:rPr>
        <w:t xml:space="preserve"> דיוצאי יריכו מברכים</w:t>
      </w:r>
      <w:r>
        <w:rPr>
          <w:rFonts w:hint="cs"/>
          <w:rtl/>
        </w:rPr>
        <w:t>,</w:t>
      </w:r>
      <w:r w:rsidRPr="00D71EAB">
        <w:rPr>
          <w:rtl/>
        </w:rPr>
        <w:t xml:space="preserve"> א"כ ה"ה לרבו </w:t>
      </w:r>
      <w:r>
        <w:rPr>
          <w:rFonts w:hint="cs"/>
          <w:rtl/>
        </w:rPr>
        <w:t>כיון דדין כיבוד שייך בשניהם.</w:t>
      </w:r>
    </w:p>
    <w:p w14:paraId="2DDCCB68" w14:textId="77777777" w:rsidR="00FE3F65" w:rsidRDefault="00FE3F65" w:rsidP="00F8255E">
      <w:pPr>
        <w:pStyle w:val="a2"/>
        <w:rPr>
          <w:rtl/>
        </w:rPr>
      </w:pPr>
      <w:r>
        <w:rPr>
          <w:rFonts w:hint="cs"/>
          <w:rtl/>
        </w:rPr>
        <w:t>ו</w:t>
      </w:r>
      <w:r w:rsidRPr="00D71EAB">
        <w:rPr>
          <w:rtl/>
        </w:rPr>
        <w:t>לפי"ז י"ל דהרמב"ם שלא הביא הדין שחייב לברך על נס רבו</w:t>
      </w:r>
      <w:r>
        <w:rPr>
          <w:rFonts w:hint="cs"/>
          <w:rtl/>
        </w:rPr>
        <w:t xml:space="preserve">, </w:t>
      </w:r>
      <w:r w:rsidRPr="00D71EAB">
        <w:rPr>
          <w:rtl/>
        </w:rPr>
        <w:t>סב"ל דעיקרו של ברכת הנס הוא ההצלה וכדעת הרשב"א</w:t>
      </w:r>
      <w:r>
        <w:rPr>
          <w:rFonts w:hint="cs"/>
          <w:rtl/>
        </w:rPr>
        <w:t>,</w:t>
      </w:r>
      <w:r w:rsidRPr="00D71EAB">
        <w:rPr>
          <w:rtl/>
        </w:rPr>
        <w:t xml:space="preserve"> ולא משום כיבוד אב</w:t>
      </w:r>
      <w:r>
        <w:rPr>
          <w:rFonts w:hint="cs"/>
          <w:rtl/>
        </w:rPr>
        <w:t>,</w:t>
      </w:r>
      <w:r w:rsidRPr="00D71EAB">
        <w:rPr>
          <w:rtl/>
        </w:rPr>
        <w:t xml:space="preserve"> ובמילא אין לפשוט מהא דאיתא בתלמודא דילן דיוצאי יריכו מברכים דגם על רבו יברך</w:t>
      </w:r>
      <w:r>
        <w:rPr>
          <w:rFonts w:hint="cs"/>
          <w:rtl/>
        </w:rPr>
        <w:t>,</w:t>
      </w:r>
      <w:r w:rsidRPr="00D71EAB">
        <w:rPr>
          <w:rtl/>
        </w:rPr>
        <w:t xml:space="preserve"> די"ל דשאני התם שהם שותפין באותו הנס כנ"ל</w:t>
      </w:r>
      <w:r>
        <w:rPr>
          <w:rFonts w:hint="cs"/>
          <w:rtl/>
        </w:rPr>
        <w:t>,</w:t>
      </w:r>
      <w:r w:rsidRPr="00D71EAB">
        <w:rPr>
          <w:rtl/>
        </w:rPr>
        <w:t xml:space="preserve"> גם סבירא ליה דאי אפשר ללמדו מברכת הגומל</w:t>
      </w:r>
      <w:r>
        <w:rPr>
          <w:rFonts w:hint="cs"/>
          <w:rtl/>
        </w:rPr>
        <w:t>,</w:t>
      </w:r>
      <w:r w:rsidRPr="00D71EAB">
        <w:rPr>
          <w:rtl/>
        </w:rPr>
        <w:t xml:space="preserve"> דסב"ל דשם באמת ליכא </w:t>
      </w:r>
      <w:r w:rsidRPr="00490EA6">
        <w:rPr>
          <w:bCs/>
          <w:rtl/>
        </w:rPr>
        <w:t>חיוב</w:t>
      </w:r>
      <w:r w:rsidRPr="00D71EAB">
        <w:rPr>
          <w:rtl/>
        </w:rPr>
        <w:t xml:space="preserve"> לתלמיד לברך</w:t>
      </w:r>
      <w:r>
        <w:rPr>
          <w:rFonts w:hint="cs"/>
          <w:rtl/>
        </w:rPr>
        <w:t>,</w:t>
      </w:r>
      <w:r w:rsidRPr="00D71EAB">
        <w:rPr>
          <w:rtl/>
        </w:rPr>
        <w:t xml:space="preserve"> וכמ"ש הרמב"ן </w:t>
      </w:r>
      <w:r>
        <w:rPr>
          <w:rFonts w:hint="cs"/>
          <w:rtl/>
        </w:rPr>
        <w:t xml:space="preserve">כנ"ל </w:t>
      </w:r>
      <w:r w:rsidRPr="00D71EAB">
        <w:rPr>
          <w:rtl/>
        </w:rPr>
        <w:t xml:space="preserve">דברכה זו עליה דידיה רמיא וכו' אלא דכי חביב עלייהו ורצו לברך </w:t>
      </w:r>
      <w:r>
        <w:rPr>
          <w:rFonts w:hint="cs"/>
          <w:rtl/>
        </w:rPr>
        <w:t xml:space="preserve">וכו', </w:t>
      </w:r>
      <w:r w:rsidRPr="00D71EAB">
        <w:rPr>
          <w:rtl/>
        </w:rPr>
        <w:t xml:space="preserve">והרמב"ם לא הביא זה כלל לכן </w:t>
      </w:r>
      <w:r w:rsidRPr="00D71EAB">
        <w:rPr>
          <w:rtl/>
        </w:rPr>
        <w:lastRenderedPageBreak/>
        <w:t>לא פסק דיברך על נס רבו</w:t>
      </w:r>
      <w:r>
        <w:rPr>
          <w:rFonts w:hint="cs"/>
          <w:rtl/>
        </w:rPr>
        <w:t>.</w:t>
      </w:r>
      <w:r w:rsidRPr="00D71EAB">
        <w:rPr>
          <w:rtl/>
        </w:rPr>
        <w:t xml:space="preserve"> </w:t>
      </w:r>
    </w:p>
    <w:p w14:paraId="0A743106" w14:textId="77777777" w:rsidR="00FE3F65" w:rsidRDefault="00FE3F65" w:rsidP="00F8255E">
      <w:pPr>
        <w:pStyle w:val="a2"/>
        <w:rPr>
          <w:rtl/>
        </w:rPr>
      </w:pPr>
      <w:r w:rsidRPr="00D71EAB">
        <w:rPr>
          <w:rtl/>
        </w:rPr>
        <w:t xml:space="preserve">ולפי"ז </w:t>
      </w:r>
      <w:r>
        <w:rPr>
          <w:rFonts w:hint="cs"/>
          <w:rtl/>
        </w:rPr>
        <w:t xml:space="preserve">יש לבאר </w:t>
      </w:r>
      <w:r w:rsidRPr="00D71EAB">
        <w:rPr>
          <w:rtl/>
        </w:rPr>
        <w:t xml:space="preserve">הצ"ע </w:t>
      </w:r>
      <w:r>
        <w:rPr>
          <w:rFonts w:hint="cs"/>
          <w:rtl/>
        </w:rPr>
        <w:t xml:space="preserve">של הרבי הנ"ל, דאדה"ז בסדר בה"נ </w:t>
      </w:r>
      <w:r w:rsidRPr="00D71EAB">
        <w:rPr>
          <w:rtl/>
        </w:rPr>
        <w:t>לא הביא הדין בנס רבו</w:t>
      </w:r>
      <w:r>
        <w:rPr>
          <w:rFonts w:hint="cs"/>
          <w:rtl/>
        </w:rPr>
        <w:t>,</w:t>
      </w:r>
      <w:r w:rsidRPr="00D71EAB">
        <w:rPr>
          <w:rtl/>
        </w:rPr>
        <w:t xml:space="preserve"> כי מכיון דאדה"ז שם כתב בהדיא דיוצאי יריכו מברכים שכולם </w:t>
      </w:r>
      <w:r w:rsidRPr="00443B50">
        <w:rPr>
          <w:bCs/>
          <w:rtl/>
        </w:rPr>
        <w:t>שותפין</w:t>
      </w:r>
      <w:r w:rsidRPr="00D71EAB">
        <w:rPr>
          <w:rtl/>
        </w:rPr>
        <w:t xml:space="preserve"> באותו הנס</w:t>
      </w:r>
      <w:r>
        <w:rPr>
          <w:rFonts w:hint="cs"/>
          <w:rtl/>
        </w:rPr>
        <w:t>,</w:t>
      </w:r>
      <w:r w:rsidRPr="00D71EAB">
        <w:rPr>
          <w:rtl/>
        </w:rPr>
        <w:t xml:space="preserve"> והוסיף ואפילו הבנים שנולדו קודם לכן שאינם שותפין בנס זה חייבים לברך על נס אביהם</w:t>
      </w:r>
      <w:r>
        <w:rPr>
          <w:rFonts w:hint="cs"/>
          <w:rtl/>
        </w:rPr>
        <w:t>,</w:t>
      </w:r>
      <w:r w:rsidRPr="00D71EAB">
        <w:rPr>
          <w:rtl/>
        </w:rPr>
        <w:t xml:space="preserve"> ומשמע דסב"ל </w:t>
      </w:r>
      <w:r>
        <w:rPr>
          <w:rFonts w:hint="cs"/>
          <w:rtl/>
        </w:rPr>
        <w:t xml:space="preserve">דתרווייהו איתנהו ביה </w:t>
      </w:r>
      <w:r w:rsidRPr="00D71EAB">
        <w:rPr>
          <w:rtl/>
        </w:rPr>
        <w:t>שיוצאי יריכו מברכים הן מפני שהם שותפין והן משום כיבוד אב</w:t>
      </w:r>
      <w:r>
        <w:rPr>
          <w:rFonts w:hint="cs"/>
          <w:rtl/>
        </w:rPr>
        <w:t xml:space="preserve">, </w:t>
      </w:r>
      <w:r w:rsidRPr="00D71EAB">
        <w:rPr>
          <w:rtl/>
        </w:rPr>
        <w:t>א"כ הי' צריך לה</w:t>
      </w:r>
      <w:r>
        <w:rPr>
          <w:rtl/>
        </w:rPr>
        <w:t>ביא הדין גם ברבו משום כיבוד רבו</w:t>
      </w:r>
      <w:r>
        <w:rPr>
          <w:rFonts w:hint="cs"/>
          <w:rtl/>
        </w:rPr>
        <w:t>, [</w:t>
      </w:r>
      <w:r w:rsidRPr="00D71EAB">
        <w:rPr>
          <w:rtl/>
        </w:rPr>
        <w:t>ובהלו</w:t>
      </w:r>
      <w:r>
        <w:rPr>
          <w:rFonts w:hint="cs"/>
          <w:rtl/>
        </w:rPr>
        <w:t>ח</w:t>
      </w:r>
      <w:r w:rsidRPr="00D71EAB">
        <w:rPr>
          <w:rtl/>
        </w:rPr>
        <w:t xml:space="preserve"> כשהביא דין זה דר</w:t>
      </w:r>
      <w:r>
        <w:rPr>
          <w:rFonts w:hint="cs"/>
          <w:rtl/>
        </w:rPr>
        <w:t>ב</w:t>
      </w:r>
      <w:r w:rsidRPr="00D71EAB">
        <w:rPr>
          <w:rtl/>
        </w:rPr>
        <w:t>ו כתב</w:t>
      </w:r>
      <w:r>
        <w:rPr>
          <w:rFonts w:hint="cs"/>
          <w:rtl/>
        </w:rPr>
        <w:t xml:space="preserve"> </w:t>
      </w:r>
      <w:r w:rsidRPr="00D71EAB">
        <w:rPr>
          <w:rtl/>
        </w:rPr>
        <w:t>אע"פ שכבר</w:t>
      </w:r>
      <w:r>
        <w:rPr>
          <w:rtl/>
        </w:rPr>
        <w:t xml:space="preserve"> למדו חכמה קודם לכן מברך עיי"ש </w:t>
      </w:r>
      <w:r>
        <w:rPr>
          <w:rFonts w:hint="cs"/>
          <w:rtl/>
        </w:rPr>
        <w:t>מ</w:t>
      </w:r>
      <w:r w:rsidRPr="00D71EAB">
        <w:rPr>
          <w:rtl/>
        </w:rPr>
        <w:t xml:space="preserve">שמע דזהו מדין </w:t>
      </w:r>
      <w:r w:rsidRPr="00443B50">
        <w:rPr>
          <w:bCs/>
          <w:rtl/>
        </w:rPr>
        <w:t>כיבוד רבו</w:t>
      </w:r>
      <w:r>
        <w:rPr>
          <w:rFonts w:hint="cs"/>
          <w:rtl/>
        </w:rPr>
        <w:t>]</w:t>
      </w:r>
      <w:r w:rsidRPr="00D71EAB">
        <w:rPr>
          <w:rtl/>
        </w:rPr>
        <w:t xml:space="preserve"> וא"כ למה השמיטו בסדר ברכת הנהנין</w:t>
      </w:r>
      <w:r>
        <w:rPr>
          <w:rFonts w:hint="cs"/>
          <w:rtl/>
        </w:rPr>
        <w:t>?</w:t>
      </w:r>
    </w:p>
    <w:p w14:paraId="2689574C" w14:textId="77777777" w:rsidR="00FE3F65" w:rsidRPr="00443B50" w:rsidRDefault="00FE3F65" w:rsidP="00F8255E">
      <w:pPr>
        <w:pStyle w:val="a2"/>
        <w:rPr>
          <w:rtl/>
        </w:rPr>
      </w:pPr>
      <w:r>
        <w:rPr>
          <w:rFonts w:hint="cs"/>
          <w:rtl/>
        </w:rPr>
        <w:t xml:space="preserve">ויוצא לפי הנ"ל שישנם ב' טעמים מהו העיקר בברכת הנס, או משום </w:t>
      </w:r>
      <w:r w:rsidRPr="00443B50">
        <w:rPr>
          <w:rFonts w:hint="cs"/>
          <w:bCs/>
          <w:rtl/>
        </w:rPr>
        <w:t>עצם הנס</w:t>
      </w:r>
      <w:r>
        <w:rPr>
          <w:rFonts w:hint="cs"/>
          <w:rtl/>
        </w:rPr>
        <w:t xml:space="preserve"> או משום </w:t>
      </w:r>
      <w:r w:rsidRPr="00443B50">
        <w:rPr>
          <w:rFonts w:hint="cs"/>
          <w:bCs/>
          <w:rtl/>
        </w:rPr>
        <w:t>ההצלה</w:t>
      </w:r>
      <w:r>
        <w:rPr>
          <w:rFonts w:hint="cs"/>
          <w:bCs/>
          <w:rtl/>
        </w:rPr>
        <w:t xml:space="preserve">, </w:t>
      </w:r>
      <w:r w:rsidRPr="00443B50">
        <w:rPr>
          <w:rFonts w:hint="cs"/>
          <w:rtl/>
        </w:rPr>
        <w:t>ולפי"ז</w:t>
      </w:r>
      <w:r>
        <w:rPr>
          <w:rFonts w:hint="cs"/>
          <w:rtl/>
        </w:rPr>
        <w:t xml:space="preserve"> י"ל דרק אי נימא שהברכה היא משום עצם הנס, י"ל דלעת"ל שכל ההנהגה יהי' באופן נסי לא יברכו אז ברכה זו וכנ"ל, אבל אי נימא שהטעם הוא משום </w:t>
      </w:r>
      <w:r w:rsidRPr="00443B50">
        <w:rPr>
          <w:rFonts w:hint="cs"/>
          <w:bCs/>
          <w:rtl/>
        </w:rPr>
        <w:t>ההצלה</w:t>
      </w:r>
      <w:r>
        <w:rPr>
          <w:rFonts w:hint="cs"/>
          <w:bCs/>
          <w:rtl/>
        </w:rPr>
        <w:t xml:space="preserve"> </w:t>
      </w:r>
      <w:r w:rsidRPr="00443B50">
        <w:rPr>
          <w:rFonts w:hint="cs"/>
          <w:rtl/>
        </w:rPr>
        <w:t xml:space="preserve">שנעשה </w:t>
      </w:r>
      <w:r>
        <w:rPr>
          <w:rFonts w:hint="cs"/>
          <w:rtl/>
        </w:rPr>
        <w:t xml:space="preserve">בנס זה, כיון שעיקרו הוא על </w:t>
      </w:r>
      <w:r w:rsidRPr="000A7E8E">
        <w:rPr>
          <w:rFonts w:hint="cs"/>
          <w:bCs/>
          <w:rtl/>
        </w:rPr>
        <w:t>ההצלה</w:t>
      </w:r>
      <w:r>
        <w:rPr>
          <w:rFonts w:hint="cs"/>
          <w:rtl/>
        </w:rPr>
        <w:t xml:space="preserve"> חייב לברך גם לעת"ל.</w:t>
      </w:r>
    </w:p>
    <w:p w14:paraId="7DE6C736" w14:textId="2C42F212" w:rsidR="00FE3F65" w:rsidRDefault="00FE3F65" w:rsidP="0085267C">
      <w:pPr>
        <w:pStyle w:val="a2"/>
        <w:rPr>
          <w:rtl/>
        </w:rPr>
      </w:pPr>
      <w:r>
        <w:rPr>
          <w:rFonts w:hint="cs"/>
          <w:rtl/>
        </w:rPr>
        <w:t xml:space="preserve">וראה </w:t>
      </w:r>
      <w:r w:rsidRPr="00B155E6">
        <w:rPr>
          <w:rtl/>
        </w:rPr>
        <w:t xml:space="preserve">לקו"ש </w:t>
      </w:r>
      <w:r>
        <w:rPr>
          <w:rFonts w:hint="cs"/>
          <w:rtl/>
        </w:rPr>
        <w:t>ח</w:t>
      </w:r>
      <w:r w:rsidRPr="00B155E6">
        <w:rPr>
          <w:rtl/>
        </w:rPr>
        <w:t xml:space="preserve">ל"ג </w:t>
      </w:r>
      <w:r>
        <w:rPr>
          <w:rFonts w:hint="cs"/>
          <w:rtl/>
        </w:rPr>
        <w:t>(</w:t>
      </w:r>
      <w:r w:rsidRPr="00B155E6">
        <w:rPr>
          <w:rtl/>
        </w:rPr>
        <w:t xml:space="preserve">עמ' </w:t>
      </w:r>
      <w:r>
        <w:rPr>
          <w:rFonts w:hint="cs"/>
          <w:rtl/>
        </w:rPr>
        <w:t>38</w:t>
      </w:r>
      <w:r w:rsidR="0085267C">
        <w:rPr>
          <w:rFonts w:hint="cs"/>
          <w:rtl/>
        </w:rPr>
        <w:t xml:space="preserve"> </w:t>
      </w:r>
      <w:r w:rsidRPr="00B155E6">
        <w:rPr>
          <w:rtl/>
        </w:rPr>
        <w:t>ואילך</w:t>
      </w:r>
      <w:r>
        <w:rPr>
          <w:rFonts w:hint="cs"/>
          <w:rtl/>
        </w:rPr>
        <w:t>)</w:t>
      </w:r>
      <w:r w:rsidRPr="00B155E6">
        <w:rPr>
          <w:rtl/>
        </w:rPr>
        <w:t xml:space="preserve"> שמבאר חילוק הכללי בין ברכת הגומל לברכת הנס</w:t>
      </w:r>
      <w:r>
        <w:rPr>
          <w:rFonts w:hint="cs"/>
          <w:rtl/>
        </w:rPr>
        <w:t>,</w:t>
      </w:r>
      <w:r w:rsidRPr="00B155E6">
        <w:rPr>
          <w:rtl/>
        </w:rPr>
        <w:t xml:space="preserve"> ברכת הגומל הוא הודאה על מצב של הצלה מסכנה</w:t>
      </w:r>
      <w:r>
        <w:rPr>
          <w:rFonts w:hint="cs"/>
          <w:rtl/>
        </w:rPr>
        <w:t>,</w:t>
      </w:r>
      <w:r w:rsidRPr="00B155E6">
        <w:rPr>
          <w:rtl/>
        </w:rPr>
        <w:t xml:space="preserve"> שלכן אומר בנוסח הברכה </w:t>
      </w:r>
      <w:r>
        <w:rPr>
          <w:rFonts w:hint="cs"/>
          <w:rtl/>
        </w:rPr>
        <w:t>"</w:t>
      </w:r>
      <w:r w:rsidRPr="00CE6515">
        <w:rPr>
          <w:bCs/>
          <w:rtl/>
        </w:rPr>
        <w:t>לחייבים</w:t>
      </w:r>
      <w:r w:rsidRPr="00B155E6">
        <w:rPr>
          <w:rtl/>
        </w:rPr>
        <w:t xml:space="preserve"> טובות</w:t>
      </w:r>
      <w:r>
        <w:rPr>
          <w:rFonts w:hint="cs"/>
          <w:rtl/>
        </w:rPr>
        <w:t>"</w:t>
      </w:r>
      <w:r w:rsidRPr="00B155E6">
        <w:rPr>
          <w:rtl/>
        </w:rPr>
        <w:t xml:space="preserve"> שמודה שהיה חייב בדבר סכנה וניצל</w:t>
      </w:r>
      <w:r>
        <w:rPr>
          <w:rFonts w:hint="cs"/>
          <w:rtl/>
        </w:rPr>
        <w:t xml:space="preserve">, </w:t>
      </w:r>
      <w:r w:rsidRPr="00B155E6">
        <w:rPr>
          <w:rtl/>
        </w:rPr>
        <w:t xml:space="preserve">משא"כ ברכת הנס אינו דווקא על הצלה ממצב של סכנה אלא על </w:t>
      </w:r>
      <w:r w:rsidRPr="00CE6515">
        <w:rPr>
          <w:bCs/>
          <w:rtl/>
        </w:rPr>
        <w:t>עצם עשיית הנס</w:t>
      </w:r>
      <w:r>
        <w:rPr>
          <w:rFonts w:hint="cs"/>
          <w:rtl/>
        </w:rPr>
        <w:t>,</w:t>
      </w:r>
      <w:r w:rsidRPr="00B155E6">
        <w:rPr>
          <w:rtl/>
        </w:rPr>
        <w:t xml:space="preserve"> ומוכיח זה מהא דמברכים ברואה מעברות הירדן מקום שעברו בו ישראל בימי יהושע שהיה זה נס של הקלה ולא של הצלה</w:t>
      </w:r>
      <w:r>
        <w:rPr>
          <w:rFonts w:hint="cs"/>
          <w:rtl/>
        </w:rPr>
        <w:t xml:space="preserve"> עיי"ש, ויל"ע.</w:t>
      </w:r>
    </w:p>
    <w:p w14:paraId="2D42C371" w14:textId="0D2C95A8" w:rsidR="004F2BDA" w:rsidRDefault="00FE3F65" w:rsidP="00F8255E">
      <w:pPr>
        <w:pStyle w:val="a2"/>
        <w:rPr>
          <w:sz w:val="27"/>
          <w:szCs w:val="27"/>
          <w:rtl/>
        </w:rPr>
      </w:pPr>
      <w:r>
        <w:rPr>
          <w:rFonts w:hint="cs"/>
          <w:rtl/>
        </w:rPr>
        <w:t>וראה בתורת מנחם (חלק א' ע'</w:t>
      </w:r>
      <w:r w:rsidR="005D7B4D">
        <w:rPr>
          <w:rFonts w:hint="cs"/>
          <w:rtl/>
        </w:rPr>
        <w:t xml:space="preserve"> </w:t>
      </w:r>
      <w:r>
        <w:rPr>
          <w:rFonts w:hint="cs"/>
          <w:rtl/>
        </w:rPr>
        <w:t xml:space="preserve">127) וז"ל: </w:t>
      </w:r>
      <w:r>
        <w:rPr>
          <w:rtl/>
        </w:rPr>
        <w:t>בניסי</w:t>
      </w:r>
      <w:r>
        <w:rPr>
          <w:rFonts w:hint="cs"/>
          <w:rtl/>
        </w:rPr>
        <w:t>ם</w:t>
      </w:r>
      <w:r>
        <w:rPr>
          <w:rtl/>
        </w:rPr>
        <w:t xml:space="preserve"> ובברכתם מצינו כמה חילוקי דרגות</w:t>
      </w:r>
      <w:r>
        <w:rPr>
          <w:rFonts w:hint="cs"/>
          <w:rtl/>
        </w:rPr>
        <w:t>,</w:t>
      </w:r>
      <w:r w:rsidRPr="00CE6515">
        <w:rPr>
          <w:rtl/>
        </w:rPr>
        <w:t xml:space="preserve"> וסדרם מלמעלה למטה</w:t>
      </w:r>
      <w:r>
        <w:rPr>
          <w:rFonts w:hint="cs"/>
          <w:rtl/>
        </w:rPr>
        <w:t>:</w:t>
      </w:r>
      <w:r w:rsidRPr="00CE6515">
        <w:rPr>
          <w:rtl/>
        </w:rPr>
        <w:t xml:space="preserve"> למעלה מכולם </w:t>
      </w:r>
      <w:r>
        <w:rPr>
          <w:rFonts w:hint="cs"/>
          <w:rtl/>
        </w:rPr>
        <w:t xml:space="preserve">- </w:t>
      </w:r>
      <w:r w:rsidRPr="00CE6515">
        <w:rPr>
          <w:rtl/>
        </w:rPr>
        <w:t>נס שנעשה לעצמו</w:t>
      </w:r>
      <w:r>
        <w:rPr>
          <w:rFonts w:hint="cs"/>
          <w:rtl/>
        </w:rPr>
        <w:t>,</w:t>
      </w:r>
      <w:r w:rsidRPr="00CE6515">
        <w:rPr>
          <w:rtl/>
        </w:rPr>
        <w:t xml:space="preserve"> למטה מזה </w:t>
      </w:r>
      <w:r>
        <w:rPr>
          <w:rFonts w:hint="cs"/>
          <w:rtl/>
        </w:rPr>
        <w:t xml:space="preserve">- </w:t>
      </w:r>
      <w:r w:rsidRPr="00CE6515">
        <w:rPr>
          <w:rtl/>
        </w:rPr>
        <w:t>נס שנעשה לאביו</w:t>
      </w:r>
      <w:r>
        <w:rPr>
          <w:rFonts w:hint="cs"/>
          <w:rtl/>
        </w:rPr>
        <w:t>,</w:t>
      </w:r>
      <w:r w:rsidRPr="00CE6515">
        <w:rPr>
          <w:rtl/>
        </w:rPr>
        <w:t xml:space="preserve"> בין כשהנס נעשה קודם שנולד</w:t>
      </w:r>
      <w:r>
        <w:rPr>
          <w:rFonts w:hint="cs"/>
          <w:rtl/>
        </w:rPr>
        <w:t>,</w:t>
      </w:r>
      <w:r w:rsidRPr="00CE6515">
        <w:rPr>
          <w:rtl/>
        </w:rPr>
        <w:t xml:space="preserve"> שגם אז הוא למטה במדריגה מנס שנעשה לעצמו</w:t>
      </w:r>
      <w:r>
        <w:rPr>
          <w:rFonts w:hint="cs"/>
          <w:rtl/>
        </w:rPr>
        <w:t xml:space="preserve">, </w:t>
      </w:r>
      <w:r>
        <w:rPr>
          <w:rtl/>
        </w:rPr>
        <w:t>בין כשנעשה לאחר שנולד</w:t>
      </w:r>
      <w:r>
        <w:rPr>
          <w:rFonts w:hint="cs"/>
          <w:rtl/>
        </w:rPr>
        <w:t xml:space="preserve">, </w:t>
      </w:r>
      <w:r w:rsidRPr="00CE6515">
        <w:rPr>
          <w:rtl/>
        </w:rPr>
        <w:t>שגם אז</w:t>
      </w:r>
      <w:r>
        <w:rPr>
          <w:rFonts w:hint="cs"/>
          <w:rtl/>
        </w:rPr>
        <w:t>,</w:t>
      </w:r>
      <w:r w:rsidRPr="00CE6515">
        <w:rPr>
          <w:rtl/>
        </w:rPr>
        <w:t xml:space="preserve"> מצד השייכות דאב ובן מתייחס הנס אליו </w:t>
      </w:r>
      <w:r>
        <w:rPr>
          <w:rFonts w:hint="cs"/>
          <w:rtl/>
        </w:rPr>
        <w:t>(</w:t>
      </w:r>
      <w:r w:rsidRPr="00CE6515">
        <w:rPr>
          <w:rtl/>
        </w:rPr>
        <w:t>יותר מבהס</w:t>
      </w:r>
      <w:r>
        <w:rPr>
          <w:rFonts w:hint="cs"/>
          <w:rtl/>
        </w:rPr>
        <w:t>ו</w:t>
      </w:r>
      <w:r w:rsidRPr="00CE6515">
        <w:rPr>
          <w:rtl/>
        </w:rPr>
        <w:t>גים דלהלן</w:t>
      </w:r>
      <w:r>
        <w:rPr>
          <w:rFonts w:hint="cs"/>
          <w:rtl/>
        </w:rPr>
        <w:t>),</w:t>
      </w:r>
      <w:r w:rsidRPr="00CE6515">
        <w:rPr>
          <w:rtl/>
        </w:rPr>
        <w:t xml:space="preserve"> שהנס שנעשה לאביו נחשב כמו נס שנעשה לו היינו </w:t>
      </w:r>
      <w:r w:rsidRPr="00CE6515">
        <w:rPr>
          <w:bCs/>
          <w:rtl/>
        </w:rPr>
        <w:t>לחלק שלו שנמצא</w:t>
      </w:r>
      <w:r>
        <w:rPr>
          <w:rFonts w:hint="cs"/>
          <w:bCs/>
          <w:rtl/>
        </w:rPr>
        <w:t xml:space="preserve"> </w:t>
      </w:r>
      <w:r w:rsidRPr="00CE6515">
        <w:rPr>
          <w:bCs/>
          <w:rtl/>
        </w:rPr>
        <w:t>אצל אביו</w:t>
      </w:r>
      <w:r w:rsidR="005D7B4D">
        <w:rPr>
          <w:rFonts w:hint="cs"/>
          <w:rtl/>
        </w:rPr>
        <w:t xml:space="preserve"> </w:t>
      </w:r>
      <w:r>
        <w:rPr>
          <w:rFonts w:hint="cs"/>
          <w:rtl/>
        </w:rPr>
        <w:t>עכ"ל, עיי"ש עוד.</w:t>
      </w:r>
    </w:p>
    <w:p w14:paraId="0899FEE4" w14:textId="77777777" w:rsidR="00A668D2" w:rsidRPr="00552D8B" w:rsidRDefault="00A668D2" w:rsidP="00A668D2">
      <w:pPr>
        <w:pStyle w:val="a4"/>
        <w:sectPr w:rsidR="00A668D2" w:rsidRPr="00552D8B"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552D8B">
        <w:t>g</w:t>
      </w:r>
    </w:p>
    <w:p w14:paraId="4E8B7715" w14:textId="4E36BA6B" w:rsidR="0078029C" w:rsidRPr="00552D8B" w:rsidRDefault="0078029C" w:rsidP="00E259CC">
      <w:pPr>
        <w:pStyle w:val="a4"/>
        <w:tabs>
          <w:tab w:val="left" w:pos="2744"/>
        </w:tabs>
        <w:jc w:val="left"/>
        <w:sectPr w:rsidR="0078029C" w:rsidRPr="00552D8B"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
    <w:p w14:paraId="2D9335F3" w14:textId="03898053" w:rsidR="004C6F14" w:rsidRDefault="004C6F14" w:rsidP="004C6F14">
      <w:pPr>
        <w:pStyle w:val="12"/>
        <w:rPr>
          <w:rtl/>
        </w:rPr>
      </w:pPr>
      <w:bookmarkStart w:id="102" w:name="_Toc3515462"/>
      <w:r>
        <w:rPr>
          <w:rFonts w:hint="cs"/>
          <w:rtl/>
        </w:rPr>
        <w:lastRenderedPageBreak/>
        <w:t>תורת רבינו</w:t>
      </w:r>
      <w:bookmarkEnd w:id="102"/>
    </w:p>
    <w:p w14:paraId="1B180C02" w14:textId="77777777" w:rsidR="00E259CC" w:rsidRDefault="00E259CC" w:rsidP="00E259CC">
      <w:pPr>
        <w:pStyle w:val="a"/>
        <w:rPr>
          <w:rtl/>
        </w:rPr>
      </w:pPr>
      <w:bookmarkStart w:id="103" w:name="_Toc3515463"/>
      <w:r w:rsidRPr="0009130B">
        <w:rPr>
          <w:rtl/>
        </w:rPr>
        <w:t>"נותנו כולו כאחת בפעם אחת"</w:t>
      </w:r>
      <w:bookmarkEnd w:id="103"/>
    </w:p>
    <w:p w14:paraId="049167D2" w14:textId="77777777" w:rsidR="00E259CC" w:rsidRPr="0009130B" w:rsidRDefault="00E259CC" w:rsidP="00E259CC">
      <w:pPr>
        <w:pStyle w:val="a0"/>
        <w:rPr>
          <w:rtl/>
        </w:rPr>
      </w:pPr>
      <w:bookmarkStart w:id="104" w:name="_Toc3515464"/>
      <w:r w:rsidRPr="0009130B">
        <w:rPr>
          <w:rtl/>
        </w:rPr>
        <w:t>הרב חנניא יוסף אייזנבך</w:t>
      </w:r>
      <w:bookmarkEnd w:id="104"/>
    </w:p>
    <w:p w14:paraId="507672C1" w14:textId="100435E0" w:rsidR="00E259CC" w:rsidRPr="0085267C" w:rsidRDefault="00E259CC" w:rsidP="0085267C">
      <w:pPr>
        <w:pStyle w:val="a1"/>
        <w:rPr>
          <w:sz w:val="58"/>
          <w:szCs w:val="58"/>
          <w:rtl/>
        </w:rPr>
      </w:pPr>
      <w:r w:rsidRPr="0009130B">
        <w:rPr>
          <w:rtl/>
        </w:rPr>
        <w:t>בעמ"ח ספרי "מחנה יוסף" על הש"ס, רמב"ם ושו"ת</w:t>
      </w:r>
    </w:p>
    <w:p w14:paraId="6B1D380B" w14:textId="0C9381BC" w:rsidR="00E259CC" w:rsidRPr="0009130B" w:rsidRDefault="0085267C" w:rsidP="00E259CC">
      <w:pPr>
        <w:pStyle w:val="a2"/>
        <w:rPr>
          <w:rtl/>
        </w:rPr>
      </w:pPr>
      <w:r w:rsidRPr="0085267C">
        <w:rPr>
          <w:rFonts w:hint="cs"/>
          <w:b/>
          <w:bCs/>
          <w:rtl/>
        </w:rPr>
        <w:t xml:space="preserve">א. </w:t>
      </w:r>
      <w:r w:rsidR="00E259CC" w:rsidRPr="0009130B">
        <w:rPr>
          <w:rtl/>
        </w:rPr>
        <w:t>ב"חידושים וביאורים בש"ס וברמב"ם" ח"ב סי' ד', עומד על דברי הרמב"ם בספר המצוות מצות עשה קע"א: "שנצטוינו ליתן מחצית השקל בכל שנה, והוא אמרו יתעלה: "ונתנו איש כופר נפשו", ואמר: "זה יתנו". ושואל למה הוצרך הרמב"ם להביא את שני הפסוקים, ובפרט כי עיקר הציווי הוא ב"זה יתנו כל העובר על הפקודים מחצית השקל", ומבאר שבמצות מחצית השקל יש שני דינים (א) אחד, שתהא הנתינה "בפעם אחת", וכפסק הרמב"ם ריש הל' שקלים סוף ה"א: "ואינו נותנו בפעמים רבות היום מעט ולמחר מעט אלא נותנו כולו כסף). (ב) שצריך לתת מטבע של "מחצית השקל כסף" (ופשיטא לא שוה כסף בשויו של מחצית השקל).</w:t>
      </w:r>
    </w:p>
    <w:p w14:paraId="5AFBE758" w14:textId="77777777" w:rsidR="00E259CC" w:rsidRPr="0009130B" w:rsidRDefault="00E259CC" w:rsidP="00E259CC">
      <w:pPr>
        <w:pStyle w:val="a2"/>
        <w:rPr>
          <w:rtl/>
        </w:rPr>
      </w:pPr>
      <w:r w:rsidRPr="0009130B">
        <w:rPr>
          <w:rtl/>
        </w:rPr>
        <w:t xml:space="preserve">והנה בטעם הדבר שצריך להיות בפעם אחת, ביאר ב"צפנת פענח" בכ"מ, כי לנתינת מחצית השקל יש דין קרבן והוא בגדר כפרה, ו"אין כפרה לחצאין" וכמוש"כ הראיות לזה, ולזה הוא שהביא הרמב"ם שני הפסוקים: מ"ונתנו איש כופר נפשו" לומד הרמב"ם שנתינת מחצית השקל הוא ענין של כפרה על דרך קרבן, ומ"זה יתנו" –שלשון "זה" מורה על נתינת דבר אחד- שאין נותנים אותו בסכום וצירוף של עשרה גרה נפרדות, אלא בתור מחצית השקל </w:t>
      </w:r>
      <w:r w:rsidRPr="0044589B">
        <w:rPr>
          <w:b/>
          <w:bCs/>
          <w:rtl/>
        </w:rPr>
        <w:t>אחד</w:t>
      </w:r>
      <w:r>
        <w:rPr>
          <w:b/>
          <w:bCs/>
          <w:rtl/>
        </w:rPr>
        <w:t xml:space="preserve"> </w:t>
      </w:r>
      <w:r w:rsidRPr="0009130B">
        <w:rPr>
          <w:rtl/>
        </w:rPr>
        <w:t>(כלשון הראגאטשובי "שיעור עצמי" ולא "שיעור מצטרף"). והם שני דינים שונים: "ונתנו איש כופר נפשו" בא לומר שהאדם צריך לתת בנתינה אחת, כדין כפרה, ואילו "זה יתנו" הוא דין בהחפצא של מחצית השקל שיהיה מטבע אחד, עיש"ה ובהערות.</w:t>
      </w:r>
    </w:p>
    <w:p w14:paraId="0CE703CC" w14:textId="77777777" w:rsidR="00E259CC" w:rsidRPr="0009130B" w:rsidRDefault="00E259CC" w:rsidP="00E259CC">
      <w:pPr>
        <w:pStyle w:val="a2"/>
        <w:rPr>
          <w:rtl/>
        </w:rPr>
      </w:pPr>
      <w:r w:rsidRPr="0009130B">
        <w:rPr>
          <w:rtl/>
        </w:rPr>
        <w:t>ובהקדמה לכל זה, מבאר שיש מחלוקת רש"י והרמב"ם, מהו גדר הכפרה במחצית השקל, שלפי רש"י "גדר הכפרה הוא בזה שמהם נקנים קרבנות ציבור שהם לכפרה", ולפי שיטת הרמב"ם "</w:t>
      </w:r>
      <w:r w:rsidRPr="0044589B">
        <w:rPr>
          <w:b/>
          <w:bCs/>
          <w:rtl/>
        </w:rPr>
        <w:t>עצם נתינת</w:t>
      </w:r>
      <w:r w:rsidRPr="0009130B">
        <w:rPr>
          <w:rtl/>
        </w:rPr>
        <w:t xml:space="preserve"> מחצית השקל הוא ענין של כפרה, קרבן יחיד" עי"ש, ומבואר שדייק בפסוק "ונתנו איש </w:t>
      </w:r>
      <w:r w:rsidRPr="0044589B">
        <w:rPr>
          <w:b/>
          <w:bCs/>
          <w:rtl/>
        </w:rPr>
        <w:t>כופר נפשו</w:t>
      </w:r>
      <w:r w:rsidRPr="0009130B">
        <w:rPr>
          <w:rtl/>
        </w:rPr>
        <w:t xml:space="preserve">" לשון יחיד, הוא כפרה של קרבן יחיד, והיינו שהנתינה עצמה היא בגדר קרבן כדברי ה"צפנת פענח", ולכאורה אם לומר שהפסוק הזה מלמדנו שצריך שתהא נתינה בפעם אחת, כי אין כפרה לחצאין, למה צריך לתלות הדבר בזה שהנתינה עצמה היא הקרבן, והרי סוף סוף גם לדעת רש"י, מחצית השקל הוא לכפרה, כי ממנו מביאים קרבנות הציבור לכפרה, וממילא "אין כפרה לחצאין", ומדברי קדשו משמע שכל הלימוד מן הפסוק הוא מ"כופר נפשו" </w:t>
      </w:r>
      <w:r w:rsidRPr="0009130B">
        <w:rPr>
          <w:rtl/>
        </w:rPr>
        <w:lastRenderedPageBreak/>
        <w:t>קרבן יחיד, שהנתינה עצמה היא בגדר כפרה,</w:t>
      </w:r>
    </w:p>
    <w:p w14:paraId="525B5088" w14:textId="14D296F2" w:rsidR="00E259CC" w:rsidRPr="0009130B" w:rsidRDefault="0085267C" w:rsidP="00E259CC">
      <w:pPr>
        <w:pStyle w:val="a2"/>
        <w:rPr>
          <w:rtl/>
        </w:rPr>
      </w:pPr>
      <w:r w:rsidRPr="0085267C">
        <w:rPr>
          <w:rFonts w:hint="cs"/>
          <w:b/>
          <w:bCs/>
          <w:rtl/>
        </w:rPr>
        <w:t>ב.</w:t>
      </w:r>
      <w:r>
        <w:rPr>
          <w:rFonts w:hint="cs"/>
          <w:rtl/>
        </w:rPr>
        <w:t xml:space="preserve"> </w:t>
      </w:r>
      <w:r w:rsidR="00E259CC" w:rsidRPr="0009130B">
        <w:rPr>
          <w:rtl/>
        </w:rPr>
        <w:t xml:space="preserve">ובספר "עיונים במשנת רבינו" (תשע"ה) כתבתי ע"פ דברי ה"צפנת פענח" על הרמב"ם הל' תשובה פ"ב ה"ב, שהאריך לבאר חילוקי דינים בין טבילה להזאה, וכתב שם בהמשך דבריו: "דהנה כבר הארכתי בזה בכמה מקומות, דיש ב' גדרים בשיעורים, אחד נקרא שיעור המצטרף ואחד נקרא שיעור העצמי, עי' מש"כ בפ"א מהל' שקלים כו', וכך: דכל שיעור המצטרף, פחות מזה נמי שמו עליו, רק שצריך לצרף, וזה בעצם המחלוקת של ר' יוחנן וריש לקיש גבי חצי שיעור אם אסור מן התורה, דריש לקיש סבירא ליה דהשיעור הוא עצם, ופחות מזה לאו כלום הוא, ור' יוחנן סבירא ליה דהוא מצטרף, ופחות מזה גם כן שמו עליו, ועי' ב"ק דף ק"י ע"א גבי גזל הגר ע"ש, והעיקר הוא כך: דהדבר שעל ידו נעשית פעולה שפיר מצטרף, וכל דבר שהוא להעביר איזה דבר, פחות מזה אינו כלום כו', נמצא כך: דטבילה דלסלק טומאה לא מהני טבילת חצאין ולא מהני צירופין, דפחות משיעור לאו כלום הוא כו', מה שאין כן גבי הזאה דהוא טהרה, שפיר מצטרפין להזאות כו'", עי"ש כל ראיותיו ז"ל [וב"לקוטי שיחות" בהמשך הדברים ציין בהערה לדברי הצ"פ לענין אחר ואכ"מ]. </w:t>
      </w:r>
    </w:p>
    <w:p w14:paraId="142D6433" w14:textId="77777777" w:rsidR="00E259CC" w:rsidRPr="0009130B" w:rsidRDefault="00E259CC" w:rsidP="00E259CC">
      <w:pPr>
        <w:pStyle w:val="a2"/>
        <w:rPr>
          <w:rtl/>
        </w:rPr>
      </w:pPr>
      <w:r w:rsidRPr="0009130B">
        <w:rPr>
          <w:rtl/>
        </w:rPr>
        <w:t>וי"ל ביאורו בפשוט, שבטבילה להסרת טומאה לא שייך לחצאין, כי כל זמן שנשאר על האדם משהו טומאה הרי מתפשטת שוב הטומאה עליו, ואי אפשר לסלק הטומאה רק בטבילה אחת, משא"כ הזאה שאינה באה לסלק טומאה אלא להביא עליו טהרה, זה יכול להיות בצירוף.</w:t>
      </w:r>
    </w:p>
    <w:p w14:paraId="2C69B67F" w14:textId="77777777" w:rsidR="00E259CC" w:rsidRPr="0009130B" w:rsidRDefault="00E259CC" w:rsidP="00E259CC">
      <w:pPr>
        <w:pStyle w:val="a2"/>
        <w:rPr>
          <w:rtl/>
        </w:rPr>
      </w:pPr>
      <w:r w:rsidRPr="0009130B">
        <w:rPr>
          <w:rtl/>
        </w:rPr>
        <w:t>ומעתה הן הן הדברים בכפרה מחטא (שגם הרמב"ם בהל' תשובה מדמה לדיני טבילה, "טובל ושרץ בידו"), כדי לסלק החטא צריך להיות בפעולה אחת עצמית ולא מצטרפת בכמה פעמים.</w:t>
      </w:r>
    </w:p>
    <w:p w14:paraId="6E8AE1ED" w14:textId="77777777" w:rsidR="00E259CC" w:rsidRPr="0009130B" w:rsidRDefault="00E259CC" w:rsidP="00E259CC">
      <w:pPr>
        <w:pStyle w:val="a2"/>
        <w:rPr>
          <w:rtl/>
        </w:rPr>
      </w:pPr>
      <w:r w:rsidRPr="0009130B">
        <w:rPr>
          <w:rtl/>
        </w:rPr>
        <w:t>ואם כן זה מסתבר יותר ובפשטות אם אנו אומרים שהנתינה היא הכפרה, כלומר שבנתינה זו נעשה "כופר נפשו", ולכן צ"ל "בפעם אחת", משא"כ לדעת רש"י שענין הכפרה במחצית השקל הוא שממנו לוקחים קרבנות ציבור, הרי בנתינה עצמה עדיין אין הכפרה נעשית, לא מסתבר שעל זה נאמר "אין כפרה לחצאין".</w:t>
      </w:r>
    </w:p>
    <w:p w14:paraId="610A3F5A" w14:textId="77777777" w:rsidR="00E259CC" w:rsidRPr="0009130B" w:rsidRDefault="00E259CC" w:rsidP="00E259CC">
      <w:pPr>
        <w:pStyle w:val="a2"/>
        <w:rPr>
          <w:rtl/>
        </w:rPr>
      </w:pPr>
      <w:r w:rsidRPr="0009130B">
        <w:rPr>
          <w:rtl/>
        </w:rPr>
        <w:t>ולכאורה נמצא שמה שהביא הרבי ענין זה של הגאון הראגאטשובי "שיעור עצמי" ו"שיעור מצטרף", הוא לענין חידושו השני, בביאור הפסוק "זה יתנו" שצריך להיות "דבר אחד", אבל לכאורה הראגאטשובי עצמו לא נתכוין לדין זה, שהרי הביאו לענין "אין כפרה לחצאין", ולכן לשון הרב הוא "</w:t>
      </w:r>
      <w:r w:rsidRPr="0044589B">
        <w:rPr>
          <w:b/>
          <w:bCs/>
          <w:rtl/>
        </w:rPr>
        <w:t>בלשון</w:t>
      </w:r>
      <w:r w:rsidRPr="0009130B">
        <w:rPr>
          <w:rtl/>
        </w:rPr>
        <w:t xml:space="preserve"> הראגאטשובי, שיעור העצמי ולא שיעור המצטרף",</w:t>
      </w:r>
      <w:r>
        <w:rPr>
          <w:rtl/>
        </w:rPr>
        <w:t xml:space="preserve"> </w:t>
      </w:r>
      <w:r w:rsidRPr="0009130B">
        <w:rPr>
          <w:rtl/>
        </w:rPr>
        <w:t>וגם כתבו בחצא"ר. ועדיין צ"ע בזה.</w:t>
      </w:r>
    </w:p>
    <w:p w14:paraId="1F66CA0C" w14:textId="5F47894B" w:rsidR="00E259CC" w:rsidRPr="0009130B" w:rsidRDefault="00E259CC" w:rsidP="00E259CC">
      <w:pPr>
        <w:pStyle w:val="a2"/>
        <w:rPr>
          <w:rtl/>
        </w:rPr>
      </w:pPr>
      <w:r w:rsidRPr="0085267C">
        <w:rPr>
          <w:rFonts w:hint="cs"/>
          <w:b/>
          <w:bCs/>
          <w:rtl/>
        </w:rPr>
        <w:lastRenderedPageBreak/>
        <w:t xml:space="preserve">ג. </w:t>
      </w:r>
      <w:r w:rsidRPr="0009130B">
        <w:rPr>
          <w:rtl/>
        </w:rPr>
        <w:t xml:space="preserve">ועתה נראה לי כוונה אחרת בהוספה זו של רבינו: "ומ"זה יתנו" –שלשון "זה" מורה על נתינת דבר אחד- שאין נותנים אותו בסכום וצירוף של עשרה גרה נפרדות, אלא בתור מחצית השקל </w:t>
      </w:r>
      <w:r w:rsidRPr="00F4082B">
        <w:rPr>
          <w:b/>
          <w:bCs/>
          <w:rtl/>
        </w:rPr>
        <w:t>אחד</w:t>
      </w:r>
      <w:r>
        <w:rPr>
          <w:rtl/>
        </w:rPr>
        <w:t xml:space="preserve"> </w:t>
      </w:r>
      <w:r w:rsidRPr="00F4082B">
        <w:rPr>
          <w:b/>
          <w:bCs/>
          <w:rtl/>
        </w:rPr>
        <w:t>(כלשון הראגאטשובי "שיעור עצמי" ולא "שיעור מצטרף")</w:t>
      </w:r>
      <w:r w:rsidRPr="00F4082B">
        <w:rPr>
          <w:rtl/>
        </w:rPr>
        <w:t>".</w:t>
      </w:r>
      <w:r w:rsidRPr="0009130B">
        <w:rPr>
          <w:rtl/>
        </w:rPr>
        <w:t xml:space="preserve"> - על פי מה שיש לתמוה מאד על זה שרבינו ביסס כל ביאורו בספר המצוות על חידושו של הגאון הראגאטשובי ז"ל ש"אין כפרה לחצאין", וכ"ה בחי' הגר"מ זמבא ז"ל הי"ד, ועוד מחברים שהלכו בעקבותיהם - והרי יש ב"צפנת פענח" עצמו ביאור אחר לכאורה בטעם הדבר ש"נותנו כולו בפעם אחת", והוא בהל' תרומות (מד,ג): "וכן ס"ל לרבינו בהל' ביכורים פי"א, ועי' ב"ק דף ק"י, גבי גזל הגר שהחזירו לחצאין לא יצא, והטעם דאי אפשר לצרף, משום דהא כתבו התוס' במנחות דף ע"ג דלאחר שבא ליד כהן נעשה כחולין ולכך יכול לקדש בו את האשה וקודם לזה הוא ממון גבוה ולכן לא מצטרף, וכן הטעם מה דס"ל לרבינו בהל' שקלים פ"א ה"א בשקל שצריך ליתן, הוא רק בבת אחת, ואינו מצטרף, משום דפקע שם הנותן ממנו כמבואר בירושלמי פ"א דשקלים דצריך שיהיו הקרבנות משל ציבור, דאין קרבן ציבור בא משל יחיד ופקע שמו, ולכך לא מצטרף".</w:t>
      </w:r>
    </w:p>
    <w:p w14:paraId="4561EEB9" w14:textId="77777777" w:rsidR="00E259CC" w:rsidRPr="0009130B" w:rsidRDefault="00E259CC" w:rsidP="00E259CC">
      <w:pPr>
        <w:pStyle w:val="a2"/>
        <w:rPr>
          <w:rtl/>
        </w:rPr>
      </w:pPr>
      <w:r w:rsidRPr="0009130B">
        <w:rPr>
          <w:rtl/>
        </w:rPr>
        <w:t>הנה ביאר לן הצ"פ, שמה שיש לתת מחצית השקל כולו "בבת אחת" דוקא, הוא משום שאם יתן בפעמים הרבה, אין הנתינות מצטרפות כיון "דפקע שם הנותן ממנו", וגם בגזל הגר זה ש"החזירו לחצאין לא יצא" הוא גם מן הטעם ששני החצאים אינם מצטרפים, שהחצי הראשון הוא כבר ממון הדיוט והחצי השני הוא ממון גבוה עדיין.</w:t>
      </w:r>
    </w:p>
    <w:p w14:paraId="59100A2B" w14:textId="77777777" w:rsidR="00E259CC" w:rsidRPr="0009130B" w:rsidRDefault="00E259CC" w:rsidP="00E259CC">
      <w:pPr>
        <w:pStyle w:val="a2"/>
        <w:rPr>
          <w:rtl/>
        </w:rPr>
      </w:pPr>
      <w:r w:rsidRPr="0009130B">
        <w:rPr>
          <w:rtl/>
        </w:rPr>
        <w:t xml:space="preserve">וזו היא שיטתו של הגאון ז"ל ב"צפנת פענח" על התורה פר' חיי שרה, שאברהם אבינו קנה השדה בעפרון "בכסף מלא", משום "דגבי בן נח ליכא גדר צירוף לא בזמן ולא במקום ולא במציאות, וקונה בכסף רק בשוה הדבר, </w:t>
      </w:r>
      <w:r w:rsidRPr="00F4082B">
        <w:rPr>
          <w:b/>
          <w:bCs/>
          <w:rtl/>
        </w:rPr>
        <w:t>וצריך ליתן בבת אחת</w:t>
      </w:r>
      <w:r w:rsidRPr="0009130B">
        <w:rPr>
          <w:rtl/>
        </w:rPr>
        <w:t>, לכך נקט כסף מלא כו'".</w:t>
      </w:r>
    </w:p>
    <w:p w14:paraId="57630117" w14:textId="77777777" w:rsidR="00E259CC" w:rsidRPr="0009130B" w:rsidRDefault="00E259CC" w:rsidP="00E259CC">
      <w:pPr>
        <w:pStyle w:val="a2"/>
        <w:rPr>
          <w:rtl/>
        </w:rPr>
      </w:pPr>
      <w:r w:rsidRPr="0009130B">
        <w:rPr>
          <w:rtl/>
        </w:rPr>
        <w:t>וצ"ע למה באמת לא השתית רבינו דבריו (גם) על ביאור זה של ה"צפנת פענח" (שלכאורה גם בסברא ובהגיון הוא מובן יותר).</w:t>
      </w:r>
    </w:p>
    <w:p w14:paraId="50EB7BE0" w14:textId="6DCFFDC6" w:rsidR="00E259CC" w:rsidRPr="0009130B" w:rsidRDefault="00E259CC" w:rsidP="00E259CC">
      <w:pPr>
        <w:pStyle w:val="a2"/>
        <w:rPr>
          <w:rtl/>
        </w:rPr>
      </w:pPr>
      <w:r w:rsidRPr="0085267C">
        <w:rPr>
          <w:rFonts w:hint="cs"/>
          <w:b/>
          <w:bCs/>
          <w:rtl/>
        </w:rPr>
        <w:t xml:space="preserve">ד. </w:t>
      </w:r>
      <w:r w:rsidRPr="0009130B">
        <w:rPr>
          <w:rtl/>
        </w:rPr>
        <w:t xml:space="preserve">ועל כן נראה, שבאמת זה שרצה רבינו לרמז בהוספה זו "ומ"זה יתנו" –שלשון "זה" מורה על נתינת דבר אחד- שאין נותנים אותו בסכום וצירוף של עשרה גרה נפרדות, אלא בתור מחצית השקל </w:t>
      </w:r>
      <w:r w:rsidRPr="00F4082B">
        <w:rPr>
          <w:b/>
          <w:bCs/>
          <w:rtl/>
        </w:rPr>
        <w:t>אחד</w:t>
      </w:r>
      <w:r w:rsidRPr="00F4082B">
        <w:rPr>
          <w:rtl/>
        </w:rPr>
        <w:t xml:space="preserve"> (</w:t>
      </w:r>
      <w:r w:rsidRPr="00F4082B">
        <w:rPr>
          <w:b/>
          <w:bCs/>
          <w:rtl/>
        </w:rPr>
        <w:t>כלשון הראגאטשובי "שיעור עצמי" ולא "שיעור מצטרף</w:t>
      </w:r>
      <w:r w:rsidRPr="00F4082B">
        <w:rPr>
          <w:rtl/>
        </w:rPr>
        <w:t xml:space="preserve">")". </w:t>
      </w:r>
      <w:r w:rsidRPr="0009130B">
        <w:rPr>
          <w:rtl/>
        </w:rPr>
        <w:t>ונתכוין באמת ללשון הראגאטשובי הנ"ל, ור"ל ששני הביאורים של הצ"פ אחד הם.</w:t>
      </w:r>
    </w:p>
    <w:p w14:paraId="74FC2407" w14:textId="77777777" w:rsidR="00E259CC" w:rsidRPr="0009130B" w:rsidRDefault="00E259CC" w:rsidP="00E259CC">
      <w:pPr>
        <w:pStyle w:val="a2"/>
        <w:rPr>
          <w:rtl/>
        </w:rPr>
      </w:pPr>
      <w:r w:rsidRPr="0009130B">
        <w:rPr>
          <w:rtl/>
        </w:rPr>
        <w:t xml:space="preserve">ובאמת ב"צפנת פענח" עצמו במקום אחר, לכאורה הרכיב ב' הדברים, עי' בצ"פ (ירושלים תשכ"ט) ג,ב: "משום דהשקל גופה הוא קרבן של יחיד ואח"כ נעשו של </w:t>
      </w:r>
      <w:r w:rsidRPr="0009130B">
        <w:rPr>
          <w:rtl/>
        </w:rPr>
        <w:lastRenderedPageBreak/>
        <w:t xml:space="preserve">ציבור ולוקחים מהם קרבנות ציבור כו' עכ"פ שקל יש עליו שם קרבן בפני עצמו, ולכך מבואר בתוספתא ספ"א דכלאים דיש עליהם שם כפרה, ולכך פסק רבינו בפ"א מהל' שקלים דצריך להביא מחצית השקל בבת אחת וכמו הך דב"ק דף ק"י ע"א אשם קריא רחמנא", ונראה שכל סברתו שאין בו צירוף היינו טעמא משום </w:t>
      </w:r>
      <w:r w:rsidRPr="00F4082B">
        <w:rPr>
          <w:b/>
          <w:bCs/>
          <w:rtl/>
        </w:rPr>
        <w:t>שנתינת המטבע עצמה הוי הקרבן</w:t>
      </w:r>
      <w:r w:rsidRPr="0009130B">
        <w:rPr>
          <w:rtl/>
        </w:rPr>
        <w:t>.</w:t>
      </w:r>
    </w:p>
    <w:p w14:paraId="07FF10B7" w14:textId="77777777" w:rsidR="00E259CC" w:rsidRPr="0009130B" w:rsidRDefault="00E259CC" w:rsidP="00E259CC">
      <w:pPr>
        <w:pStyle w:val="a2"/>
        <w:rPr>
          <w:rtl/>
        </w:rPr>
      </w:pPr>
      <w:r w:rsidRPr="0009130B">
        <w:rPr>
          <w:rtl/>
        </w:rPr>
        <w:t>ולפי זה נראה שבאמת שני הענינים אחד הם, שעד כאן אין אנו אומרים ש"אין כפרה לחצאין", אלא משום שהנתינה עצמה היא הכפרה והקרבן, שאז שייך לומר שאין החצאים מצטרפים, שחצי זה הוא ממון הדיוט וחצי זה הוא ממון גבוה, אבל להשיטה שכל הכפרה הוא בזה שמהשקלים לוקחים קרבנות, לא שייך לומר זאת.</w:t>
      </w:r>
    </w:p>
    <w:p w14:paraId="5F30ECCF" w14:textId="77777777" w:rsidR="00E259CC" w:rsidRPr="0009130B" w:rsidRDefault="00E259CC" w:rsidP="00E259CC">
      <w:pPr>
        <w:pStyle w:val="a2"/>
        <w:rPr>
          <w:rtl/>
        </w:rPr>
      </w:pPr>
      <w:r w:rsidRPr="0009130B">
        <w:rPr>
          <w:rtl/>
        </w:rPr>
        <w:t>ונמצא לפי זה שמה שאמר "אין כפרה לחצאין" ו"אשם קריא רחמנא", אין זה הלכה מסויימת בדיני כפרה, אלא כיון שהקרבן והכפרה הוא בעצם הנתינה, והיא הרי אינה מצטרפת, כנ"ל, ממילא לא שייך לומר בה "לחצאין".</w:t>
      </w:r>
    </w:p>
    <w:p w14:paraId="6DA675D4" w14:textId="55B076F2" w:rsidR="00E259CC" w:rsidRPr="0009130B" w:rsidRDefault="00E259CC" w:rsidP="00E259CC">
      <w:pPr>
        <w:pStyle w:val="a2"/>
        <w:rPr>
          <w:rtl/>
        </w:rPr>
      </w:pPr>
      <w:r w:rsidRPr="0085267C">
        <w:rPr>
          <w:rFonts w:hint="cs"/>
          <w:b/>
          <w:bCs/>
          <w:rtl/>
        </w:rPr>
        <w:t xml:space="preserve">ה. </w:t>
      </w:r>
      <w:r w:rsidRPr="0009130B">
        <w:rPr>
          <w:rtl/>
        </w:rPr>
        <w:t>והנה ידועה מחלוקת הסמ"ע בחו"מ סי' ק"צ סק"א עם הט"ז (שהיא שיטת הב"ח שם), בגדר קנין כסף, שהסמ"ע ס"ל דהא דמהני שוה פרוטה לקנות בה</w:t>
      </w:r>
      <w:r>
        <w:rPr>
          <w:rFonts w:hint="cs"/>
          <w:rtl/>
        </w:rPr>
        <w:t xml:space="preserve">, </w:t>
      </w:r>
      <w:r w:rsidRPr="0009130B">
        <w:rPr>
          <w:rtl/>
        </w:rPr>
        <w:t>דוקא כשנתן לו השוה פרוטה על דמי הפרעון והשאר זקף עליו במלוה או כשכל שיווי המקח אינו אלא פרוטה, אבל אין לומר שנותן הפרוטה שבזה נשתעבדו זה לזה, זה לקנות וזה למכור, דומיא דקנין שטר וחזקה וקנין סודר, דהא קנין כסף נלמד משדה עפרון, וכסף הנזכר בשדה עפרון היה דמי שוויות השדה, אבל הט"ז השיגו שהרי גם גבי קנין אשה בכסף נלמד מעפרון וזה פשוט דבאשה קונה אותה דרך נתינה לחוד לא בתורת שיווי", וכבר האריכו בזה ב"אבני מילואים" סי' כ"ט אות ב' שביאר דעת הסמ"ע עי"ש, ועי' ב"שערי יהודה" וב"ברכת שמעון" לקידושין ועוד.</w:t>
      </w:r>
    </w:p>
    <w:p w14:paraId="26032AF2" w14:textId="77777777" w:rsidR="00E259CC" w:rsidRPr="0009130B" w:rsidRDefault="00E259CC" w:rsidP="00E259CC">
      <w:pPr>
        <w:pStyle w:val="a2"/>
        <w:rPr>
          <w:rtl/>
        </w:rPr>
      </w:pPr>
      <w:r w:rsidRPr="0009130B">
        <w:rPr>
          <w:rtl/>
        </w:rPr>
        <w:t xml:space="preserve">ומלשון ה"צפנת פענח" "דגבי בן נח ליכא גדר צירוף לא בזמן ולא במקום ולא במציאות, וקונה בכסף רק בשוה הדבר, </w:t>
      </w:r>
      <w:r w:rsidRPr="00F4082B">
        <w:rPr>
          <w:b/>
          <w:bCs/>
          <w:rtl/>
        </w:rPr>
        <w:t>וצריך ליתן בבת אחת</w:t>
      </w:r>
      <w:r w:rsidRPr="0009130B">
        <w:rPr>
          <w:rtl/>
        </w:rPr>
        <w:t xml:space="preserve">, לכך נקט כסף מלא כו'" מבואר, דהא דאברהם לא קנה באופן שכתב הסמ"ע שנותן פרוטה אחת על דמי הפרעון והשאר זוקף עליו במלוה, הוא </w:t>
      </w:r>
      <w:r w:rsidRPr="00F4082B">
        <w:rPr>
          <w:b/>
          <w:bCs/>
          <w:rtl/>
        </w:rPr>
        <w:t>מטעם אחר</w:t>
      </w:r>
      <w:r w:rsidRPr="0009130B">
        <w:rPr>
          <w:rtl/>
        </w:rPr>
        <w:t>, שאין צירוף לבן נח, וסברת הסמ"ע, שיכול לתת פרוטה אחת על דמי הפרעון והשאר זוקף עליו במלוה, בבן נח לא שייכי, וברור איפוא שמה שלמדו דין כסף מעפרון אינו אלא לעיקר הדין, שכסף מועיל, ובישראל הרי אין א"צ שיהיה "בכסף מלא", שכן בישראל יש צירוף.</w:t>
      </w:r>
    </w:p>
    <w:p w14:paraId="48EA5683" w14:textId="6138A8CC" w:rsidR="00E259CC" w:rsidRPr="0009130B" w:rsidRDefault="00E259CC" w:rsidP="00E259CC">
      <w:pPr>
        <w:pStyle w:val="a2"/>
        <w:rPr>
          <w:rtl/>
        </w:rPr>
      </w:pPr>
      <w:r w:rsidRPr="0085267C">
        <w:rPr>
          <w:rFonts w:hint="cs"/>
          <w:b/>
          <w:bCs/>
          <w:rtl/>
        </w:rPr>
        <w:t xml:space="preserve">ו. </w:t>
      </w:r>
      <w:r w:rsidRPr="0009130B">
        <w:rPr>
          <w:rtl/>
        </w:rPr>
        <w:t xml:space="preserve">ונתחוור לי היטב ב"ה דברי רבינו ב"לקוטי שיחות" ח"י (חיי שרה א), לאחר שביאר את דברי רש"י "בכסף מלא אשלם כל שוויה" לפי דרכו בקודש שם, כתב באות ז': "בפירוש רש"י ישנם ענינים מופלאים גם הנוגעים לשאר חלקי התורה. ע"י פירושו </w:t>
      </w:r>
      <w:r w:rsidRPr="0009130B">
        <w:rPr>
          <w:rtl/>
        </w:rPr>
        <w:lastRenderedPageBreak/>
        <w:t>של רש"י כאן מתיישבת קושיא בחלק ההלכה שבתורה: הא דקרקע נקנה בכסף נלמד בגמרא (קידושין כ"א ע"א) מהכתוב "שדות בכסף יקנו", ופירשו בתוס': "הא דלא אייתי מקרא דכתיב גבי עפרון (היינו שאברהם קנה את השדה בכסף מעפרון) משום דדלמא הני מילי מנכרי שכל קנינו בכסף". אבל ע"פ הנ"ל בביאור דברי רש"י "אשלם כל שוויה כו'" מובן בפשטות למה לא ילפינן דין זה מהכתובים שלפנינו (גבי עפרון): מלבד זאת שלא היינו יודעים מילפותא זו את עיקרו של דין כסף בקרקע, היינו שהוא נקנה בשוה פרוטה אפילו כשהקרקע שוה יותר (הערה 35): רמב"ם פ"א מהל' מכירה ה"ז; טושו"ע חו"מ סי' ק"צ ס"ב. וגם לפי דעת הסמ"ע שם סק"א שמה שקונה בכסף הוא מצד דמי שוויות הדבר, הרי גם כשנותן פרוטה קונה בתורת תחילת פרעון, ואי אפשר ללמוד משדה עפרון שאברהם שילם "כל שוויה"), דהלא אברהם קנה את השדה "בכסף מלא" כל שוויה (הערה 36: ראה צפע"נ עה"ת: וקונה בכסף רק בשוה הדבר וצריך ליתן בבת אחת, לכך נקט כסף מלא כו') – הנה נוסף לזה כו', עי"ש כל הענין.</w:t>
      </w:r>
    </w:p>
    <w:p w14:paraId="6105BAC7" w14:textId="77777777" w:rsidR="00E259CC" w:rsidRPr="0009130B" w:rsidRDefault="00E259CC" w:rsidP="00E259CC">
      <w:pPr>
        <w:pStyle w:val="a2"/>
        <w:rPr>
          <w:rtl/>
        </w:rPr>
      </w:pPr>
      <w:r w:rsidRPr="0009130B">
        <w:rPr>
          <w:rtl/>
        </w:rPr>
        <w:t>ולכאורה אינו מובן כלל, מה רצה בהערה 36 שהביא דברי הצפע"נ שהוא ענין אחר לגמרי, שמה שהוצרך לתת כל הכסף בבת אחת הוא משום שלבן נח אין צירוף, אבל באמת לולא זה היה אברהם נותן לכתחילה רק פרוטה על דמי הפרעון, כשיטת הסמ"ע שבה עסיק, ואם כן מה זה שכתב (בפנים השיחה) "ואי אפשר ללמוד משדה עפרון שאברהם שילם "כל שוויה", ולכאורה צע"ג.</w:t>
      </w:r>
    </w:p>
    <w:p w14:paraId="249A887E" w14:textId="432A4AD0" w:rsidR="00E259CC" w:rsidRPr="0044589B" w:rsidRDefault="00E259CC" w:rsidP="0085267C">
      <w:pPr>
        <w:pStyle w:val="a2"/>
        <w:rPr>
          <w:rtl/>
        </w:rPr>
      </w:pPr>
      <w:r w:rsidRPr="0009130B">
        <w:rPr>
          <w:rtl/>
        </w:rPr>
        <w:t>ולמש"כ אפשר שאדרבא, בהערה 36 בא לרמז שבאמת הקושיא הנ"ל אינה קושיא לפי דברי הצפע"נ, שהרי מה שאברהם שילם "בכסף מלא" הוא מסיבה צדדית שאין צירוף לבן נח.</w:t>
      </w:r>
    </w:p>
    <w:p w14:paraId="3B1BD9F4" w14:textId="77777777" w:rsidR="0085267C" w:rsidRPr="00552D8B" w:rsidRDefault="0085267C" w:rsidP="0085267C">
      <w:pPr>
        <w:pStyle w:val="a4"/>
        <w:sectPr w:rsidR="0085267C" w:rsidRPr="00552D8B"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552D8B">
        <w:t>g</w:t>
      </w:r>
    </w:p>
    <w:p w14:paraId="623CEE18" w14:textId="77777777" w:rsidR="00614750" w:rsidRPr="009B7FE9" w:rsidRDefault="00614750" w:rsidP="00993781">
      <w:pPr>
        <w:pStyle w:val="a"/>
        <w:rPr>
          <w:rtl/>
        </w:rPr>
      </w:pPr>
      <w:bookmarkStart w:id="105" w:name="_Toc3515465"/>
      <w:r>
        <w:rPr>
          <w:rFonts w:hint="cs"/>
          <w:rtl/>
        </w:rPr>
        <w:t>הראהו מטבע של אש</w:t>
      </w:r>
      <w:bookmarkEnd w:id="105"/>
    </w:p>
    <w:p w14:paraId="5686EF86" w14:textId="77777777" w:rsidR="00614750" w:rsidRDefault="00614750" w:rsidP="00C40187">
      <w:pPr>
        <w:pStyle w:val="a0"/>
        <w:rPr>
          <w:rtl/>
        </w:rPr>
      </w:pPr>
      <w:bookmarkStart w:id="106" w:name="_Toc3515466"/>
      <w:r w:rsidRPr="009B7FE9">
        <w:rPr>
          <w:rtl/>
        </w:rPr>
        <w:t>הרב פישל אסטער</w:t>
      </w:r>
      <w:bookmarkEnd w:id="106"/>
    </w:p>
    <w:p w14:paraId="1315A845" w14:textId="5CECCA11" w:rsidR="00993781" w:rsidRPr="00993781" w:rsidRDefault="00993781" w:rsidP="00F8255E">
      <w:pPr>
        <w:pStyle w:val="a1"/>
        <w:rPr>
          <w:rtl/>
          <w:lang w:val="en-GB"/>
        </w:rPr>
      </w:pPr>
      <w:r>
        <w:rPr>
          <w:rFonts w:hint="cs"/>
          <w:rtl/>
          <w:lang w:val="en-GB"/>
        </w:rPr>
        <w:t>ר"מ בישיבה</w:t>
      </w:r>
    </w:p>
    <w:p w14:paraId="119FDB99" w14:textId="77777777" w:rsidR="00614750" w:rsidRPr="009B7FE9" w:rsidRDefault="00614750" w:rsidP="00F8255E">
      <w:pPr>
        <w:pStyle w:val="a2"/>
        <w:rPr>
          <w:rtl/>
        </w:rPr>
      </w:pPr>
      <w:r w:rsidRPr="009B7FE9">
        <w:rPr>
          <w:rtl/>
        </w:rPr>
        <w:t xml:space="preserve">בלקוטי שיחות </w:t>
      </w:r>
      <w:r>
        <w:rPr>
          <w:rFonts w:hint="cs"/>
          <w:rtl/>
        </w:rPr>
        <w:t>(ח</w:t>
      </w:r>
      <w:r w:rsidRPr="009B7FE9">
        <w:rPr>
          <w:rtl/>
        </w:rPr>
        <w:t>כ"ו ע' 232 ואילך</w:t>
      </w:r>
      <w:r>
        <w:rPr>
          <w:rFonts w:hint="cs"/>
          <w:rtl/>
        </w:rPr>
        <w:t>)</w:t>
      </w:r>
      <w:r>
        <w:rPr>
          <w:rtl/>
        </w:rPr>
        <w:t xml:space="preserve"> מבאר באופן נפלא הא דהרא</w:t>
      </w:r>
      <w:r w:rsidRPr="009B7FE9">
        <w:rPr>
          <w:rtl/>
        </w:rPr>
        <w:t>הו הקב"ה למשה מטבע של אש, דעי"ז נפעל דבר חדש שהמטבע הגשמי כפי שנמצא בעוה"ז הגשמי נעשה מטבע של אש. וזה יותר מהענין דחיבור עליון ותחתון בכלל דכל המצוות דממשיכים בהתחתון חיות רוחני מהעליון, משא"כ במחצית השקל החידוש הוא שהמטבע הגשמי נעשה מטבע של אש שהוא חיבור ב' הפכים.</w:t>
      </w:r>
    </w:p>
    <w:p w14:paraId="3CB82FFC" w14:textId="77777777" w:rsidR="00614750" w:rsidRPr="009B7FE9" w:rsidRDefault="00614750" w:rsidP="00F8255E">
      <w:pPr>
        <w:pStyle w:val="a2"/>
        <w:rPr>
          <w:rtl/>
        </w:rPr>
      </w:pPr>
      <w:r w:rsidRPr="009B7FE9">
        <w:rPr>
          <w:rtl/>
        </w:rPr>
        <w:lastRenderedPageBreak/>
        <w:t>וחיבור זה הוא בכחו של הקב"ה בכבודו ובעצמו "נמנע הנמנעות", ובה</w:t>
      </w:r>
      <w:r>
        <w:rPr>
          <w:rtl/>
        </w:rPr>
        <w:t>ערה 39 שהוא ע"ד חיבור ההפכים דק</w:t>
      </w:r>
      <w:r>
        <w:rPr>
          <w:rFonts w:hint="cs"/>
          <w:rtl/>
        </w:rPr>
        <w:t>י</w:t>
      </w:r>
      <w:r>
        <w:rPr>
          <w:rtl/>
        </w:rPr>
        <w:t>"</w:t>
      </w:r>
      <w:r>
        <w:rPr>
          <w:rFonts w:hint="cs"/>
          <w:rtl/>
        </w:rPr>
        <w:t>ס</w:t>
      </w:r>
      <w:r w:rsidRPr="009B7FE9">
        <w:rPr>
          <w:rtl/>
        </w:rPr>
        <w:t xml:space="preserve"> שלכן </w:t>
      </w:r>
      <w:r>
        <w:rPr>
          <w:rtl/>
        </w:rPr>
        <w:t>נאמר הלשון קשה לגבי קי</w:t>
      </w:r>
      <w:r>
        <w:rPr>
          <w:rFonts w:hint="cs"/>
          <w:rtl/>
        </w:rPr>
        <w:t>"</w:t>
      </w:r>
      <w:r>
        <w:rPr>
          <w:rtl/>
        </w:rPr>
        <w:t>ס</w:t>
      </w:r>
      <w:r w:rsidRPr="009B7FE9">
        <w:rPr>
          <w:rtl/>
        </w:rPr>
        <w:t>.</w:t>
      </w:r>
    </w:p>
    <w:p w14:paraId="0115A141" w14:textId="77777777" w:rsidR="00614750" w:rsidRPr="009B7FE9" w:rsidRDefault="00614750" w:rsidP="00F8255E">
      <w:pPr>
        <w:pStyle w:val="a2"/>
        <w:rPr>
          <w:rtl/>
        </w:rPr>
      </w:pPr>
      <w:r>
        <w:rPr>
          <w:rtl/>
        </w:rPr>
        <w:t xml:space="preserve">וצ"ב </w:t>
      </w:r>
      <w:r w:rsidRPr="009B7FE9">
        <w:rPr>
          <w:rtl/>
        </w:rPr>
        <w:t>מ</w:t>
      </w:r>
      <w:r>
        <w:rPr>
          <w:rFonts w:hint="cs"/>
          <w:rtl/>
        </w:rPr>
        <w:t>ה</w:t>
      </w:r>
      <w:r w:rsidRPr="009B7FE9">
        <w:rPr>
          <w:rtl/>
        </w:rPr>
        <w:t xml:space="preserve"> דאין חיבור זה נרגש ומתבטא בפועל</w:t>
      </w:r>
      <w:r>
        <w:rPr>
          <w:rFonts w:hint="cs"/>
          <w:rtl/>
        </w:rPr>
        <w:t xml:space="preserve"> באיזה אופן</w:t>
      </w:r>
      <w:r w:rsidRPr="009B7FE9">
        <w:rPr>
          <w:rtl/>
        </w:rPr>
        <w:t xml:space="preserve"> במטבע הגשמי.</w:t>
      </w:r>
    </w:p>
    <w:p w14:paraId="35D7F1C3" w14:textId="77777777" w:rsidR="00614750" w:rsidRPr="009B7FE9" w:rsidRDefault="00614750" w:rsidP="00F8255E">
      <w:pPr>
        <w:pStyle w:val="a2"/>
        <w:rPr>
          <w:rtl/>
        </w:rPr>
      </w:pPr>
      <w:r w:rsidRPr="009B7FE9">
        <w:rPr>
          <w:rtl/>
        </w:rPr>
        <w:t xml:space="preserve">ואולי י"ל בזה, ע"ד המבואר בלקו"ש </w:t>
      </w:r>
      <w:r>
        <w:rPr>
          <w:rFonts w:hint="cs"/>
          <w:rtl/>
        </w:rPr>
        <w:t>(</w:t>
      </w:r>
      <w:r w:rsidRPr="009B7FE9">
        <w:rPr>
          <w:rtl/>
        </w:rPr>
        <w:t>שם ע' 13 ואילך</w:t>
      </w:r>
      <w:r>
        <w:rPr>
          <w:rFonts w:hint="cs"/>
          <w:rtl/>
        </w:rPr>
        <w:t>)</w:t>
      </w:r>
      <w:r w:rsidRPr="009B7FE9">
        <w:rPr>
          <w:rtl/>
        </w:rPr>
        <w:t xml:space="preserve"> בנוגע לשם אהי' אשר אהי' שחלוק הוא משאר שמות שאינם נמחקים מצד קדושתם כיון דכל אחד מהשמות מתארים איך שמציאות ה' מתגלה ע"י כחות ופעולות, משא"כ אהי' אשר אהי' מתייחס לאמיתית המציאות שאינו בערך כלל ולא שייך בו גדר קדושה שהוא רק בדבר שבערך (ועי' ה</w:t>
      </w:r>
      <w:r>
        <w:rPr>
          <w:rFonts w:hint="cs"/>
          <w:rtl/>
        </w:rPr>
        <w:t>י</w:t>
      </w:r>
      <w:r>
        <w:rPr>
          <w:rtl/>
        </w:rPr>
        <w:t>ט</w:t>
      </w:r>
      <w:r w:rsidRPr="009B7FE9">
        <w:rPr>
          <w:rtl/>
        </w:rPr>
        <w:t>ב בהערה 68 ושם).</w:t>
      </w:r>
    </w:p>
    <w:p w14:paraId="386293B1" w14:textId="77777777" w:rsidR="00614750" w:rsidRPr="009B7FE9" w:rsidRDefault="00614750" w:rsidP="00F8255E">
      <w:pPr>
        <w:pStyle w:val="a2"/>
        <w:rPr>
          <w:rtl/>
        </w:rPr>
      </w:pPr>
      <w:r w:rsidRPr="009B7FE9">
        <w:rPr>
          <w:rtl/>
        </w:rPr>
        <w:t xml:space="preserve">ובדומה לזה מבואר בלקו"ש </w:t>
      </w:r>
      <w:r>
        <w:rPr>
          <w:rFonts w:hint="cs"/>
          <w:rtl/>
        </w:rPr>
        <w:t>(</w:t>
      </w:r>
      <w:r w:rsidRPr="009B7FE9">
        <w:rPr>
          <w:rtl/>
        </w:rPr>
        <w:t>חכ"ט ע' 77</w:t>
      </w:r>
      <w:r>
        <w:rPr>
          <w:rFonts w:hint="cs"/>
          <w:rtl/>
        </w:rPr>
        <w:t>)</w:t>
      </w:r>
      <w:r w:rsidRPr="009B7FE9">
        <w:rPr>
          <w:rtl/>
        </w:rPr>
        <w:t xml:space="preserve"> בנוגע לקדה"ק, דהגם שהמקדש כולו לא היה במישור אלא במעלה ההר, כיון שבכל דרגא יש עלי' בהקדושה ומתבטע זה גם בהמקום, מ"מ בקדה"ק לא הי' עלי' במקום, ומבאר דהוא משום, דשאר חלקי המקדש יש ערך בדרגות הקדושה זל"ז, משא"כ בקדושת קדה"ק שהוא באי"ע לגמרי לא שייך בו גדר מעלה ומטה, ואינו מתבטא בגובה המקום גשמי.</w:t>
      </w:r>
    </w:p>
    <w:p w14:paraId="615AFC8E" w14:textId="7A97B118" w:rsidR="00D22FBE" w:rsidRPr="00993781" w:rsidRDefault="00614750" w:rsidP="00D22FBE">
      <w:pPr>
        <w:pStyle w:val="a2"/>
        <w:rPr>
          <w:rtl/>
        </w:rPr>
      </w:pPr>
      <w:r w:rsidRPr="009B7FE9">
        <w:rPr>
          <w:rtl/>
        </w:rPr>
        <w:t>ועד"ז י"ל בענינינו, דהחיבור הפכים בהמ</w:t>
      </w:r>
      <w:r>
        <w:rPr>
          <w:rtl/>
        </w:rPr>
        <w:t>טבע של אש שמצד העצמות אינו מתבט</w:t>
      </w:r>
      <w:r>
        <w:rPr>
          <w:rFonts w:hint="cs"/>
          <w:rtl/>
        </w:rPr>
        <w:t>א</w:t>
      </w:r>
      <w:r w:rsidRPr="009B7FE9">
        <w:rPr>
          <w:rtl/>
        </w:rPr>
        <w:t xml:space="preserve"> ונרגש, כיון שאינו ענין של גילויים אלא כח העצמות דנמנע הנמנעות. ועצ"ע.</w:t>
      </w:r>
    </w:p>
    <w:p w14:paraId="3E7D4BC3" w14:textId="77777777" w:rsidR="00993781" w:rsidRDefault="00993781" w:rsidP="005E6E84">
      <w:pPr>
        <w:pStyle w:val="a4"/>
        <w:rPr>
          <w:rtl/>
        </w:rPr>
      </w:pPr>
      <w:r w:rsidRPr="00552D8B">
        <w:t>g</w:t>
      </w:r>
    </w:p>
    <w:p w14:paraId="4A1BDB04" w14:textId="77777777" w:rsidR="00D42EB2" w:rsidRDefault="00D42EB2" w:rsidP="00D42EB2">
      <w:pPr>
        <w:pStyle w:val="a"/>
        <w:rPr>
          <w:rtl/>
        </w:rPr>
      </w:pPr>
      <w:bookmarkStart w:id="107" w:name="_Toc3515467"/>
      <w:r w:rsidRPr="00E44EAA">
        <w:rPr>
          <w:rFonts w:hint="cs"/>
          <w:rtl/>
        </w:rPr>
        <w:t>לימוד</w:t>
      </w:r>
      <w:r w:rsidRPr="00E44EAA">
        <w:rPr>
          <w:rtl/>
        </w:rPr>
        <w:t xml:space="preserve"> </w:t>
      </w:r>
      <w:r w:rsidRPr="00E44EAA">
        <w:rPr>
          <w:rFonts w:hint="cs"/>
          <w:rtl/>
        </w:rPr>
        <w:t>תורה</w:t>
      </w:r>
      <w:r w:rsidRPr="00E44EAA">
        <w:rPr>
          <w:rtl/>
        </w:rPr>
        <w:t xml:space="preserve"> </w:t>
      </w:r>
      <w:r w:rsidRPr="00E44EAA">
        <w:rPr>
          <w:rFonts w:hint="cs"/>
          <w:rtl/>
        </w:rPr>
        <w:t>שלא</w:t>
      </w:r>
      <w:r w:rsidRPr="00E44EAA">
        <w:rPr>
          <w:rtl/>
        </w:rPr>
        <w:t xml:space="preserve"> </w:t>
      </w:r>
      <w:r w:rsidRPr="00E44EAA">
        <w:rPr>
          <w:rFonts w:hint="cs"/>
          <w:rtl/>
        </w:rPr>
        <w:t>לשמה</w:t>
      </w:r>
      <w:bookmarkEnd w:id="107"/>
    </w:p>
    <w:p w14:paraId="29AE14CE" w14:textId="77777777" w:rsidR="00D42EB2" w:rsidRPr="00E44EAA" w:rsidRDefault="00D42EB2" w:rsidP="00D42EB2">
      <w:pPr>
        <w:pStyle w:val="a0"/>
        <w:rPr>
          <w:rtl/>
        </w:rPr>
      </w:pPr>
      <w:bookmarkStart w:id="108" w:name="_Toc3515468"/>
      <w:r>
        <w:rPr>
          <w:rFonts w:hint="cs"/>
          <w:rtl/>
        </w:rPr>
        <w:t xml:space="preserve">הרב </w:t>
      </w:r>
      <w:r w:rsidRPr="00E44EAA">
        <w:rPr>
          <w:rFonts w:hint="cs"/>
          <w:rtl/>
        </w:rPr>
        <w:t>ישראל נחום וילהלם</w:t>
      </w:r>
      <w:bookmarkEnd w:id="108"/>
    </w:p>
    <w:p w14:paraId="1660DFFB" w14:textId="0FEF4CFE" w:rsidR="00D42EB2" w:rsidRPr="0044589B" w:rsidRDefault="00D42EB2" w:rsidP="00D42EB2">
      <w:pPr>
        <w:pStyle w:val="a1"/>
        <w:rPr>
          <w:rFonts w:cs="Guttman Frank"/>
          <w:rtl/>
        </w:rPr>
      </w:pPr>
      <w:r w:rsidRPr="00E44EAA">
        <w:rPr>
          <w:rFonts w:hint="cs"/>
          <w:rtl/>
        </w:rPr>
        <w:t>עיה</w:t>
      </w:r>
      <w:r w:rsidRPr="00933637">
        <w:rPr>
          <w:sz w:val="24"/>
          <w:szCs w:val="24"/>
          <w:bdr w:val="nil"/>
          <w:rtl/>
        </w:rPr>
        <w:t>"</w:t>
      </w:r>
      <w:r w:rsidRPr="00E44EAA">
        <w:rPr>
          <w:rFonts w:hint="cs"/>
          <w:rtl/>
        </w:rPr>
        <w:t>ק</w:t>
      </w:r>
      <w:r w:rsidRPr="00E44EAA">
        <w:rPr>
          <w:rFonts w:cs="Guttman Frank" w:hint="cs"/>
          <w:rtl/>
        </w:rPr>
        <w:t xml:space="preserve"> </w:t>
      </w:r>
      <w:r w:rsidRPr="00E44EAA">
        <w:rPr>
          <w:rFonts w:hint="cs"/>
          <w:rtl/>
        </w:rPr>
        <w:t>ירושלים</w:t>
      </w:r>
      <w:r w:rsidRPr="00E44EAA">
        <w:rPr>
          <w:rFonts w:cs="Guttman Frank" w:hint="cs"/>
          <w:rtl/>
        </w:rPr>
        <w:t xml:space="preserve"> </w:t>
      </w:r>
      <w:r w:rsidRPr="00E44EAA">
        <w:rPr>
          <w:rFonts w:hint="cs"/>
          <w:rtl/>
        </w:rPr>
        <w:t>ת</w:t>
      </w:r>
      <w:r w:rsidR="00933637" w:rsidRPr="00933637">
        <w:rPr>
          <w:sz w:val="24"/>
          <w:szCs w:val="24"/>
          <w:bdr w:val="nil"/>
          <w:rtl/>
        </w:rPr>
        <w:t>"</w:t>
      </w:r>
      <w:r w:rsidRPr="00E44EAA">
        <w:rPr>
          <w:rFonts w:hint="cs"/>
          <w:rtl/>
        </w:rPr>
        <w:t>ו</w:t>
      </w:r>
    </w:p>
    <w:p w14:paraId="1D7D5C0E" w14:textId="77777777" w:rsidR="00D42EB2" w:rsidRDefault="00D42EB2" w:rsidP="00D42EB2">
      <w:pPr>
        <w:pStyle w:val="a2"/>
        <w:rPr>
          <w:rtl/>
        </w:rPr>
      </w:pPr>
      <w:r w:rsidRPr="00E44EAA">
        <w:rPr>
          <w:rFonts w:hint="cs"/>
          <w:rtl/>
        </w:rPr>
        <w:t>בסה</w:t>
      </w:r>
      <w:r w:rsidRPr="00E44EAA">
        <w:rPr>
          <w:rtl/>
        </w:rPr>
        <w:t>"</w:t>
      </w:r>
      <w:r w:rsidRPr="00E44EAA">
        <w:rPr>
          <w:rFonts w:hint="cs"/>
          <w:rtl/>
        </w:rPr>
        <w:t>מ</w:t>
      </w:r>
      <w:r w:rsidRPr="00E44EAA">
        <w:rPr>
          <w:rtl/>
        </w:rPr>
        <w:t xml:space="preserve"> </w:t>
      </w:r>
      <w:r w:rsidRPr="00E44EAA">
        <w:rPr>
          <w:rFonts w:hint="cs"/>
          <w:rtl/>
        </w:rPr>
        <w:t>מלוקט</w:t>
      </w:r>
      <w:r w:rsidRPr="00E44EAA">
        <w:rPr>
          <w:rtl/>
        </w:rPr>
        <w:t xml:space="preserve"> </w:t>
      </w:r>
      <w:r w:rsidRPr="00E44EAA">
        <w:rPr>
          <w:rFonts w:hint="cs"/>
          <w:rtl/>
        </w:rPr>
        <w:t>ח</w:t>
      </w:r>
      <w:r w:rsidRPr="00E44EAA">
        <w:rPr>
          <w:rtl/>
        </w:rPr>
        <w:t>"</w:t>
      </w:r>
      <w:r w:rsidRPr="00E44EAA">
        <w:rPr>
          <w:rFonts w:hint="cs"/>
          <w:rtl/>
        </w:rPr>
        <w:t>ג</w:t>
      </w:r>
      <w:r w:rsidRPr="00E44EAA">
        <w:rPr>
          <w:rtl/>
        </w:rPr>
        <w:t xml:space="preserve"> </w:t>
      </w:r>
      <w:r w:rsidRPr="00E44EAA">
        <w:rPr>
          <w:rFonts w:hint="cs"/>
          <w:rtl/>
        </w:rPr>
        <w:t>עמ</w:t>
      </w:r>
      <w:r w:rsidRPr="00E44EAA">
        <w:rPr>
          <w:rtl/>
        </w:rPr>
        <w:t xml:space="preserve">' </w:t>
      </w:r>
      <w:r w:rsidRPr="00E44EAA">
        <w:rPr>
          <w:rFonts w:hint="cs"/>
          <w:rtl/>
        </w:rPr>
        <w:t>קסט</w:t>
      </w:r>
      <w:r w:rsidRPr="00E44EAA">
        <w:rPr>
          <w:rtl/>
        </w:rPr>
        <w:t xml:space="preserve"> </w:t>
      </w:r>
      <w:r>
        <w:rPr>
          <w:rFonts w:hint="cs"/>
          <w:rtl/>
        </w:rPr>
        <w:t xml:space="preserve">אומר הרבי </w:t>
      </w:r>
      <w:r w:rsidRPr="00E44EAA">
        <w:rPr>
          <w:rFonts w:hint="cs"/>
          <w:rtl/>
        </w:rPr>
        <w:t>ששרש</w:t>
      </w:r>
      <w:r w:rsidRPr="00E44EAA">
        <w:rPr>
          <w:rtl/>
        </w:rPr>
        <w:t xml:space="preserve"> </w:t>
      </w:r>
      <w:r w:rsidRPr="00E44EAA">
        <w:rPr>
          <w:rFonts w:hint="cs"/>
          <w:rtl/>
        </w:rPr>
        <w:t>הפרט</w:t>
      </w:r>
      <w:r w:rsidRPr="00E44EAA">
        <w:rPr>
          <w:rtl/>
        </w:rPr>
        <w:t xml:space="preserve"> </w:t>
      </w:r>
      <w:r w:rsidRPr="00E44EAA">
        <w:rPr>
          <w:rFonts w:hint="cs"/>
          <w:rtl/>
        </w:rPr>
        <w:t>הוא</w:t>
      </w:r>
      <w:r w:rsidRPr="00E44EAA">
        <w:rPr>
          <w:rtl/>
        </w:rPr>
        <w:t xml:space="preserve"> </w:t>
      </w:r>
      <w:r w:rsidRPr="00E44EAA">
        <w:rPr>
          <w:rFonts w:hint="cs"/>
          <w:rtl/>
        </w:rPr>
        <w:t>למעלה</w:t>
      </w:r>
      <w:r w:rsidRPr="00E44EAA">
        <w:rPr>
          <w:rtl/>
        </w:rPr>
        <w:t xml:space="preserve"> </w:t>
      </w:r>
      <w:r w:rsidRPr="00E44EAA">
        <w:rPr>
          <w:rFonts w:hint="cs"/>
          <w:rtl/>
        </w:rPr>
        <w:t>מהכלל</w:t>
      </w:r>
      <w:r>
        <w:rPr>
          <w:rFonts w:hint="cs"/>
          <w:rtl/>
        </w:rPr>
        <w:t>,</w:t>
      </w:r>
      <w:r w:rsidRPr="00E44EAA">
        <w:rPr>
          <w:rtl/>
        </w:rPr>
        <w:t xml:space="preserve"> </w:t>
      </w:r>
      <w:r>
        <w:rPr>
          <w:rFonts w:hint="cs"/>
          <w:rtl/>
        </w:rPr>
        <w:t>ו</w:t>
      </w:r>
      <w:r w:rsidRPr="00E44EAA">
        <w:rPr>
          <w:rFonts w:hint="cs"/>
          <w:rtl/>
        </w:rPr>
        <w:t>כמו</w:t>
      </w:r>
      <w:r w:rsidRPr="00E44EAA">
        <w:rPr>
          <w:rtl/>
        </w:rPr>
        <w:t xml:space="preserve"> </w:t>
      </w:r>
      <w:r w:rsidRPr="00E44EAA">
        <w:rPr>
          <w:rFonts w:hint="cs"/>
          <w:rtl/>
        </w:rPr>
        <w:t>שהעולם</w:t>
      </w:r>
      <w:r w:rsidRPr="00E44EAA">
        <w:rPr>
          <w:rtl/>
        </w:rPr>
        <w:t xml:space="preserve"> </w:t>
      </w:r>
      <w:r w:rsidRPr="00E44EAA">
        <w:rPr>
          <w:rFonts w:hint="cs"/>
          <w:rtl/>
        </w:rPr>
        <w:t>נברא</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שיש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בהיפך</w:t>
      </w:r>
      <w:r w:rsidRPr="00E44EAA">
        <w:rPr>
          <w:rtl/>
        </w:rPr>
        <w:t xml:space="preserve"> </w:t>
      </w:r>
      <w:r w:rsidRPr="00E44EAA">
        <w:rPr>
          <w:rFonts w:hint="cs"/>
          <w:rtl/>
        </w:rPr>
        <w:t>בדוגמת</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ומגיעים</w:t>
      </w:r>
      <w:r w:rsidRPr="00E44EAA">
        <w:rPr>
          <w:rtl/>
        </w:rPr>
        <w:t xml:space="preserve"> </w:t>
      </w:r>
      <w:r w:rsidRPr="00E44EAA">
        <w:rPr>
          <w:rFonts w:hint="cs"/>
          <w:rtl/>
        </w:rPr>
        <w:t>למעלה</w:t>
      </w:r>
      <w:r w:rsidRPr="00E44EAA">
        <w:rPr>
          <w:rtl/>
        </w:rPr>
        <w:t xml:space="preserve"> </w:t>
      </w:r>
      <w:r w:rsidRPr="00E44EAA">
        <w:rPr>
          <w:rFonts w:hint="cs"/>
          <w:rtl/>
        </w:rPr>
        <w:t>יותר</w:t>
      </w:r>
      <w:r w:rsidRPr="00E44EAA">
        <w:rPr>
          <w:rtl/>
        </w:rPr>
        <w:t xml:space="preserve"> </w:t>
      </w:r>
      <w:r w:rsidRPr="00E44EAA">
        <w:rPr>
          <w:rFonts w:hint="cs"/>
          <w:rtl/>
        </w:rPr>
        <w:t>מבחי</w:t>
      </w:r>
      <w:r w:rsidRPr="00E44EAA">
        <w:rPr>
          <w:rtl/>
        </w:rPr>
        <w:t xml:space="preserve">' </w:t>
      </w:r>
      <w:r w:rsidRPr="00E44EAA">
        <w:rPr>
          <w:rFonts w:hint="cs"/>
          <w:rtl/>
        </w:rPr>
        <w:t>הכלל</w:t>
      </w:r>
      <w:r>
        <w:rPr>
          <w:rFonts w:hint="cs"/>
          <w:rtl/>
        </w:rPr>
        <w:t xml:space="preserve">, </w:t>
      </w:r>
      <w:r w:rsidRPr="00E44EAA">
        <w:rPr>
          <w:rFonts w:hint="cs"/>
          <w:rtl/>
        </w:rPr>
        <w:t>ועד</w:t>
      </w:r>
      <w:r w:rsidRPr="00E44EAA">
        <w:rPr>
          <w:rtl/>
        </w:rPr>
        <w:t>"</w:t>
      </w:r>
      <w:r w:rsidRPr="00E44EAA">
        <w:rPr>
          <w:rFonts w:hint="cs"/>
          <w:rtl/>
        </w:rPr>
        <w:t>ז</w:t>
      </w:r>
      <w:r w:rsidRPr="00E44EAA">
        <w:rPr>
          <w:rtl/>
        </w:rPr>
        <w:t xml:space="preserve"> </w:t>
      </w:r>
      <w:r w:rsidRPr="00E44EAA">
        <w:rPr>
          <w:rFonts w:hint="cs"/>
          <w:rtl/>
        </w:rPr>
        <w:t>התורה</w:t>
      </w:r>
      <w:r w:rsidRPr="00E44EAA">
        <w:rPr>
          <w:rtl/>
        </w:rPr>
        <w:t xml:space="preserve"> </w:t>
      </w:r>
      <w:r w:rsidRPr="00E44EAA">
        <w:rPr>
          <w:rFonts w:hint="cs"/>
          <w:rtl/>
        </w:rPr>
        <w:t>נפרטה</w:t>
      </w:r>
      <w:r w:rsidRPr="00E44EAA">
        <w:rPr>
          <w:rtl/>
        </w:rPr>
        <w:t xml:space="preserve"> </w:t>
      </w:r>
      <w:r w:rsidRPr="00E44EAA">
        <w:rPr>
          <w:rFonts w:hint="cs"/>
          <w:rtl/>
        </w:rPr>
        <w:t>לפרטים</w:t>
      </w:r>
      <w:r w:rsidRPr="00E44EAA">
        <w:rPr>
          <w:rtl/>
        </w:rPr>
        <w:t xml:space="preserve"> </w:t>
      </w:r>
      <w:r w:rsidRPr="00E44EAA">
        <w:rPr>
          <w:rFonts w:hint="cs"/>
          <w:rtl/>
        </w:rPr>
        <w:t>עד</w:t>
      </w:r>
      <w:r w:rsidRPr="00E44EAA">
        <w:rPr>
          <w:rtl/>
        </w:rPr>
        <w:t xml:space="preserve"> </w:t>
      </w:r>
      <w:r w:rsidRPr="00E44EAA">
        <w:rPr>
          <w:rFonts w:hint="cs"/>
          <w:rtl/>
        </w:rPr>
        <w:t>לכל</w:t>
      </w:r>
      <w:r w:rsidRPr="00E44EAA">
        <w:rPr>
          <w:rtl/>
        </w:rPr>
        <w:t xml:space="preserve"> </w:t>
      </w:r>
      <w:r w:rsidRPr="00E44EAA">
        <w:rPr>
          <w:rFonts w:hint="cs"/>
          <w:rtl/>
        </w:rPr>
        <w:t>מה</w:t>
      </w:r>
      <w:r w:rsidRPr="00E44EAA">
        <w:rPr>
          <w:rtl/>
        </w:rPr>
        <w:t xml:space="preserve"> </w:t>
      </w:r>
      <w:r w:rsidRPr="00E44EAA">
        <w:rPr>
          <w:rFonts w:hint="cs"/>
          <w:rtl/>
        </w:rPr>
        <w:t>שתלמיד</w:t>
      </w:r>
      <w:r w:rsidRPr="00E44EAA">
        <w:rPr>
          <w:rtl/>
        </w:rPr>
        <w:t xml:space="preserve"> </w:t>
      </w:r>
      <w:r w:rsidRPr="00E44EAA">
        <w:rPr>
          <w:rFonts w:hint="cs"/>
          <w:rtl/>
        </w:rPr>
        <w:t>ותיק</w:t>
      </w:r>
      <w:r w:rsidRPr="00E44EAA">
        <w:rPr>
          <w:rtl/>
        </w:rPr>
        <w:t xml:space="preserve"> </w:t>
      </w:r>
      <w:r w:rsidRPr="00E44EAA">
        <w:rPr>
          <w:rFonts w:hint="cs"/>
          <w:rtl/>
        </w:rPr>
        <w:t>עתיד</w:t>
      </w:r>
      <w:r w:rsidRPr="00E44EAA">
        <w:rPr>
          <w:rtl/>
        </w:rPr>
        <w:t xml:space="preserve"> </w:t>
      </w:r>
      <w:r w:rsidRPr="00E44EAA">
        <w:rPr>
          <w:rFonts w:hint="cs"/>
          <w:rtl/>
        </w:rPr>
        <w:t>לחדש</w:t>
      </w:r>
      <w:r w:rsidRPr="00E44EAA">
        <w:rPr>
          <w:rtl/>
        </w:rPr>
        <w:t xml:space="preserve"> </w:t>
      </w:r>
      <w:r w:rsidRPr="00E44EAA">
        <w:rPr>
          <w:rFonts w:hint="cs"/>
          <w:rtl/>
        </w:rPr>
        <w:t>שהכל</w:t>
      </w:r>
      <w:r w:rsidRPr="00E44EAA">
        <w:rPr>
          <w:rtl/>
        </w:rPr>
        <w:t xml:space="preserve"> </w:t>
      </w:r>
      <w:r w:rsidRPr="00E44EAA">
        <w:rPr>
          <w:rFonts w:hint="cs"/>
          <w:rtl/>
        </w:rPr>
        <w:t>ניתן</w:t>
      </w:r>
      <w:r w:rsidRPr="00E44EAA">
        <w:rPr>
          <w:rtl/>
        </w:rPr>
        <w:t xml:space="preserve"> </w:t>
      </w:r>
      <w:r w:rsidRPr="00E44EAA">
        <w:rPr>
          <w:rFonts w:hint="cs"/>
          <w:rtl/>
        </w:rPr>
        <w:t>בסיני</w:t>
      </w:r>
      <w:r w:rsidRPr="00E44EAA">
        <w:rPr>
          <w:rtl/>
        </w:rPr>
        <w:t xml:space="preserve"> </w:t>
      </w:r>
      <w:r w:rsidRPr="00E44EAA">
        <w:rPr>
          <w:rFonts w:hint="cs"/>
          <w:rtl/>
        </w:rPr>
        <w:t>בעת</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שזה</w:t>
      </w:r>
      <w:r w:rsidRPr="00E44EAA">
        <w:rPr>
          <w:rtl/>
        </w:rPr>
        <w:t xml:space="preserve"> </w:t>
      </w:r>
      <w:r w:rsidRPr="00E44EAA">
        <w:rPr>
          <w:rFonts w:hint="cs"/>
          <w:rtl/>
        </w:rPr>
        <w:t>לא</w:t>
      </w:r>
      <w:r w:rsidRPr="00E44EAA">
        <w:rPr>
          <w:rtl/>
        </w:rPr>
        <w:t xml:space="preserve"> </w:t>
      </w:r>
      <w:r w:rsidRPr="00E44EAA">
        <w:rPr>
          <w:rFonts w:hint="cs"/>
          <w:rtl/>
        </w:rPr>
        <w:t>ענין</w:t>
      </w:r>
      <w:r w:rsidRPr="00E44EAA">
        <w:rPr>
          <w:rtl/>
        </w:rPr>
        <w:t xml:space="preserve"> </w:t>
      </w:r>
      <w:r w:rsidRPr="00E44EAA">
        <w:rPr>
          <w:rFonts w:hint="cs"/>
          <w:rtl/>
        </w:rPr>
        <w:t>בפני</w:t>
      </w:r>
      <w:r w:rsidRPr="00E44EAA">
        <w:rPr>
          <w:rtl/>
        </w:rPr>
        <w:t xml:space="preserve"> </w:t>
      </w:r>
      <w:r w:rsidRPr="00E44EAA">
        <w:rPr>
          <w:rFonts w:hint="cs"/>
          <w:rtl/>
        </w:rPr>
        <w:t>עצמו</w:t>
      </w:r>
      <w:r w:rsidRPr="00E44EAA">
        <w:rPr>
          <w:rtl/>
        </w:rPr>
        <w:t xml:space="preserve"> </w:t>
      </w:r>
      <w:r w:rsidRPr="00E44EAA">
        <w:rPr>
          <w:rFonts w:hint="cs"/>
          <w:rtl/>
        </w:rPr>
        <w:t>מהכלל</w:t>
      </w:r>
      <w:r w:rsidRPr="00E44EAA">
        <w:rPr>
          <w:rtl/>
        </w:rPr>
        <w:t xml:space="preserve"> </w:t>
      </w:r>
      <w:r w:rsidRPr="00E44EAA">
        <w:rPr>
          <w:rFonts w:hint="cs"/>
          <w:rtl/>
        </w:rPr>
        <w:t>דעשרת</w:t>
      </w:r>
      <w:r w:rsidRPr="00E44EAA">
        <w:rPr>
          <w:rtl/>
        </w:rPr>
        <w:t xml:space="preserve"> </w:t>
      </w:r>
      <w:r w:rsidRPr="00E44EAA">
        <w:rPr>
          <w:rFonts w:hint="cs"/>
          <w:rtl/>
        </w:rPr>
        <w:t>הדברות</w:t>
      </w:r>
      <w:r w:rsidRPr="00E44EAA">
        <w:rPr>
          <w:rtl/>
        </w:rPr>
        <w:t xml:space="preserve"> </w:t>
      </w:r>
      <w:r w:rsidRPr="00E44EAA">
        <w:rPr>
          <w:rFonts w:hint="cs"/>
          <w:rtl/>
        </w:rPr>
        <w:t>עד</w:t>
      </w:r>
      <w:r w:rsidRPr="00E44EAA">
        <w:rPr>
          <w:rtl/>
        </w:rPr>
        <w:t xml:space="preserve"> </w:t>
      </w:r>
      <w:r w:rsidRPr="00E44EAA">
        <w:rPr>
          <w:rFonts w:hint="cs"/>
          <w:rtl/>
        </w:rPr>
        <w:t>להכלל</w:t>
      </w:r>
      <w:r w:rsidRPr="00E44EAA">
        <w:rPr>
          <w:rtl/>
        </w:rPr>
        <w:t xml:space="preserve"> </w:t>
      </w:r>
      <w:r w:rsidRPr="00E44EAA">
        <w:rPr>
          <w:rFonts w:hint="cs"/>
          <w:rtl/>
        </w:rPr>
        <w:t>דדיבור</w:t>
      </w:r>
      <w:r w:rsidRPr="00E44EAA">
        <w:rPr>
          <w:rtl/>
        </w:rPr>
        <w:t xml:space="preserve"> </w:t>
      </w:r>
      <w:r w:rsidRPr="00E44EAA">
        <w:rPr>
          <w:rFonts w:hint="cs"/>
          <w:rtl/>
        </w:rPr>
        <w:t>אחד</w:t>
      </w:r>
      <w:r w:rsidRPr="00E44EAA">
        <w:rPr>
          <w:rtl/>
        </w:rPr>
        <w:t>,</w:t>
      </w:r>
      <w:r>
        <w:rPr>
          <w:rFonts w:hint="cs"/>
          <w:rtl/>
        </w:rPr>
        <w:t xml:space="preserve"> ו</w:t>
      </w:r>
      <w:r w:rsidRPr="00E44EAA">
        <w:rPr>
          <w:rFonts w:hint="cs"/>
          <w:rtl/>
        </w:rPr>
        <w:t>לכן</w:t>
      </w:r>
      <w:r w:rsidRPr="00E44EAA">
        <w:rPr>
          <w:rtl/>
        </w:rPr>
        <w:t xml:space="preserve"> </w:t>
      </w:r>
      <w:r w:rsidRPr="00E44EAA">
        <w:rPr>
          <w:rFonts w:hint="cs"/>
          <w:rtl/>
        </w:rPr>
        <w:t>לימוד</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שבתורה</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sidRPr="00E44EAA">
        <w:rPr>
          <w:rFonts w:hint="cs"/>
          <w:rtl/>
        </w:rPr>
        <w:t>וברתת</w:t>
      </w:r>
      <w:r w:rsidRPr="00E44EAA">
        <w:rPr>
          <w:rtl/>
        </w:rPr>
        <w:t xml:space="preserve"> </w:t>
      </w:r>
      <w:r w:rsidRPr="00E44EAA">
        <w:rPr>
          <w:rFonts w:hint="cs"/>
          <w:rtl/>
        </w:rPr>
        <w:t>ובזיע</w:t>
      </w:r>
      <w:r w:rsidRPr="00E44EAA">
        <w:rPr>
          <w:rtl/>
        </w:rPr>
        <w:t xml:space="preserve"> </w:t>
      </w:r>
      <w:r w:rsidRPr="00E44EAA">
        <w:rPr>
          <w:rFonts w:hint="cs"/>
          <w:rtl/>
        </w:rPr>
        <w:t>כמו</w:t>
      </w:r>
      <w:r w:rsidRPr="00E44EAA">
        <w:rPr>
          <w:rtl/>
        </w:rPr>
        <w:t xml:space="preserve"> </w:t>
      </w:r>
      <w:r w:rsidRPr="00E44EAA">
        <w:rPr>
          <w:rFonts w:hint="cs"/>
          <w:rtl/>
        </w:rPr>
        <w:t>הכלל</w:t>
      </w:r>
      <w:r w:rsidRPr="00E44EAA">
        <w:rPr>
          <w:rtl/>
        </w:rPr>
        <w:t xml:space="preserve"> </w:t>
      </w:r>
      <w:r w:rsidRPr="00E44EAA">
        <w:rPr>
          <w:rFonts w:hint="cs"/>
          <w:rtl/>
        </w:rPr>
        <w:t>דעשרת</w:t>
      </w:r>
      <w:r w:rsidRPr="00E44EAA">
        <w:rPr>
          <w:rtl/>
        </w:rPr>
        <w:t xml:space="preserve"> </w:t>
      </w:r>
      <w:r w:rsidRPr="00E44EAA">
        <w:rPr>
          <w:rFonts w:hint="cs"/>
          <w:rtl/>
        </w:rPr>
        <w:t>הדברות</w:t>
      </w:r>
      <w:r>
        <w:rPr>
          <w:rFonts w:hint="cs"/>
          <w:rtl/>
        </w:rPr>
        <w:t>.</w:t>
      </w:r>
    </w:p>
    <w:p w14:paraId="6D413D94" w14:textId="77777777" w:rsidR="00D42EB2" w:rsidRPr="00E44EAA" w:rsidRDefault="00D42EB2" w:rsidP="00D42EB2">
      <w:pPr>
        <w:pStyle w:val="a2"/>
        <w:rPr>
          <w:rtl/>
        </w:rPr>
      </w:pPr>
      <w:r>
        <w:rPr>
          <w:rFonts w:hint="cs"/>
          <w:rtl/>
        </w:rPr>
        <w:t xml:space="preserve">הנה </w:t>
      </w:r>
      <w:r w:rsidRPr="00E44EAA">
        <w:rPr>
          <w:rFonts w:hint="cs"/>
          <w:rtl/>
        </w:rPr>
        <w:t>לכאורה</w:t>
      </w:r>
      <w:r w:rsidRPr="00E44EAA">
        <w:rPr>
          <w:rtl/>
        </w:rPr>
        <w:t xml:space="preserve"> </w:t>
      </w:r>
      <w:r w:rsidRPr="00E44EAA">
        <w:rPr>
          <w:rFonts w:hint="cs"/>
          <w:rtl/>
        </w:rPr>
        <w:t>הרי</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ניתן</w:t>
      </w:r>
      <w:r w:rsidRPr="00E44EAA">
        <w:rPr>
          <w:rtl/>
        </w:rPr>
        <w:t xml:space="preserve"> </w:t>
      </w:r>
      <w:r w:rsidRPr="00E44EAA">
        <w:rPr>
          <w:rFonts w:hint="cs"/>
          <w:rtl/>
        </w:rPr>
        <w:t>למשה</w:t>
      </w:r>
      <w:r w:rsidRPr="00E44EAA">
        <w:rPr>
          <w:rtl/>
        </w:rPr>
        <w:t xml:space="preserve"> </w:t>
      </w:r>
      <w:r w:rsidRPr="00E44EAA">
        <w:rPr>
          <w:rFonts w:hint="cs"/>
          <w:rtl/>
        </w:rPr>
        <w:t>בסיני</w:t>
      </w:r>
      <w:r w:rsidRPr="00E44EAA">
        <w:rPr>
          <w:rtl/>
        </w:rPr>
        <w:t xml:space="preserve"> </w:t>
      </w:r>
      <w:r w:rsidRPr="00E44EAA">
        <w:rPr>
          <w:rFonts w:hint="cs"/>
          <w:rtl/>
        </w:rPr>
        <w:t>והוא</w:t>
      </w:r>
      <w:r w:rsidRPr="00E44EAA">
        <w:rPr>
          <w:rtl/>
        </w:rPr>
        <w:t xml:space="preserve"> </w:t>
      </w:r>
      <w:r w:rsidRPr="00E44EAA">
        <w:rPr>
          <w:rFonts w:hint="cs"/>
          <w:rtl/>
        </w:rPr>
        <w:t>היה</w:t>
      </w:r>
      <w:r w:rsidRPr="00E44EAA">
        <w:rPr>
          <w:rtl/>
        </w:rPr>
        <w:t xml:space="preserve"> </w:t>
      </w:r>
      <w:r w:rsidRPr="00E44EAA">
        <w:rPr>
          <w:rFonts w:hint="cs"/>
          <w:rtl/>
        </w:rPr>
        <w:t>בבחי</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בשווה</w:t>
      </w:r>
      <w:r w:rsidRPr="00E44EAA">
        <w:rPr>
          <w:rtl/>
        </w:rPr>
        <w:t xml:space="preserve"> </w:t>
      </w:r>
      <w:r w:rsidRPr="00E44EAA">
        <w:rPr>
          <w:rFonts w:hint="cs"/>
          <w:rtl/>
        </w:rPr>
        <w:lastRenderedPageBreak/>
        <w:t>כמו</w:t>
      </w:r>
      <w:r w:rsidRPr="00E44EAA">
        <w:rPr>
          <w:rtl/>
        </w:rPr>
        <w:t xml:space="preserve"> </w:t>
      </w:r>
      <w:r w:rsidRPr="00E44EAA">
        <w:rPr>
          <w:rFonts w:hint="cs"/>
          <w:rtl/>
        </w:rPr>
        <w:t>הכלל</w:t>
      </w:r>
      <w:r w:rsidRPr="00E44EAA">
        <w:rPr>
          <w:rtl/>
        </w:rPr>
        <w:t xml:space="preserve"> </w:t>
      </w:r>
      <w:r w:rsidRPr="00E44EAA">
        <w:rPr>
          <w:rFonts w:hint="cs"/>
          <w:rtl/>
        </w:rPr>
        <w:t>שניתן</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Pr>
          <w:rFonts w:hint="cs"/>
          <w:rtl/>
        </w:rPr>
        <w:t xml:space="preserve">לפי זה </w:t>
      </w:r>
      <w:r w:rsidRPr="00E44EAA">
        <w:rPr>
          <w:rFonts w:hint="cs"/>
          <w:rtl/>
        </w:rPr>
        <w:t>צריך</w:t>
      </w:r>
      <w:r w:rsidRPr="00E44EAA">
        <w:rPr>
          <w:rtl/>
        </w:rPr>
        <w:t xml:space="preserve"> </w:t>
      </w:r>
      <w:r w:rsidRPr="00E44EAA">
        <w:rPr>
          <w:rFonts w:hint="cs"/>
          <w:rtl/>
        </w:rPr>
        <w:t>להבין</w:t>
      </w:r>
      <w:r w:rsidRPr="00E44EAA">
        <w:rPr>
          <w:rtl/>
        </w:rPr>
        <w:t xml:space="preserve"> </w:t>
      </w:r>
      <w:r w:rsidRPr="00E44EAA">
        <w:rPr>
          <w:rFonts w:hint="cs"/>
          <w:rtl/>
        </w:rPr>
        <w:t>מה</w:t>
      </w:r>
      <w:r w:rsidRPr="00E44EAA">
        <w:rPr>
          <w:rtl/>
        </w:rPr>
        <w:t xml:space="preserve"> </w:t>
      </w:r>
      <w:r w:rsidRPr="00E44EAA">
        <w:rPr>
          <w:rFonts w:hint="cs"/>
          <w:rtl/>
        </w:rPr>
        <w:t>הדגש</w:t>
      </w:r>
      <w:r w:rsidRPr="00E44EAA">
        <w:rPr>
          <w:rtl/>
        </w:rPr>
        <w:t xml:space="preserve"> </w:t>
      </w:r>
      <w:r w:rsidRPr="00E44EAA">
        <w:rPr>
          <w:rFonts w:hint="cs"/>
          <w:rtl/>
        </w:rPr>
        <w:t>שלימוד</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t>באימה</w:t>
      </w:r>
      <w:r w:rsidRPr="00E44EAA">
        <w:rPr>
          <w:rtl/>
        </w:rPr>
        <w:t xml:space="preserve"> </w:t>
      </w:r>
      <w:r w:rsidRPr="00E44EAA">
        <w:rPr>
          <w:rFonts w:hint="cs"/>
          <w:rtl/>
        </w:rPr>
        <w:t>כי</w:t>
      </w:r>
      <w:r w:rsidRPr="00E44EAA">
        <w:rPr>
          <w:rtl/>
        </w:rPr>
        <w:t xml:space="preserve"> </w:t>
      </w:r>
      <w:r w:rsidRPr="00E44EAA">
        <w:rPr>
          <w:rFonts w:hint="cs"/>
          <w:rtl/>
        </w:rPr>
        <w:t>אינו</w:t>
      </w:r>
      <w:r w:rsidRPr="00E44EAA">
        <w:rPr>
          <w:rtl/>
        </w:rPr>
        <w:t xml:space="preserve"> </w:t>
      </w:r>
      <w:r w:rsidRPr="00E44EAA">
        <w:rPr>
          <w:rFonts w:hint="cs"/>
          <w:rtl/>
        </w:rPr>
        <w:t>ענין</w:t>
      </w:r>
      <w:r w:rsidRPr="00E44EAA">
        <w:rPr>
          <w:rtl/>
        </w:rPr>
        <w:t xml:space="preserve"> </w:t>
      </w:r>
      <w:r w:rsidRPr="00E44EAA">
        <w:rPr>
          <w:rFonts w:hint="cs"/>
          <w:rtl/>
        </w:rPr>
        <w:t>בפני</w:t>
      </w:r>
      <w:r w:rsidRPr="00E44EAA">
        <w:rPr>
          <w:rtl/>
        </w:rPr>
        <w:t xml:space="preserve"> </w:t>
      </w:r>
      <w:r w:rsidRPr="00E44EAA">
        <w:rPr>
          <w:rFonts w:hint="cs"/>
          <w:rtl/>
        </w:rPr>
        <w:t>עצמו</w:t>
      </w:r>
      <w:r w:rsidRPr="00E44EAA">
        <w:rPr>
          <w:rtl/>
        </w:rPr>
        <w:t xml:space="preserve"> </w:t>
      </w:r>
      <w:r w:rsidRPr="00E44EAA">
        <w:rPr>
          <w:rFonts w:hint="cs"/>
          <w:rtl/>
        </w:rPr>
        <w:t>כי</w:t>
      </w:r>
      <w:r w:rsidRPr="00E44EAA">
        <w:rPr>
          <w:rtl/>
        </w:rPr>
        <w:t xml:space="preserve"> </w:t>
      </w:r>
      <w:r w:rsidRPr="00E44EAA">
        <w:rPr>
          <w:rFonts w:hint="cs"/>
          <w:rtl/>
        </w:rPr>
        <w:t>יש</w:t>
      </w:r>
      <w:r w:rsidRPr="00E44EAA">
        <w:rPr>
          <w:rtl/>
        </w:rPr>
        <w:t xml:space="preserve"> </w:t>
      </w:r>
      <w:r w:rsidRPr="00E44EAA">
        <w:rPr>
          <w:rFonts w:hint="cs"/>
          <w:rtl/>
        </w:rPr>
        <w:t>בו</w:t>
      </w:r>
      <w:r w:rsidRPr="00E44EAA">
        <w:rPr>
          <w:rtl/>
        </w:rPr>
        <w:t xml:space="preserve"> </w:t>
      </w:r>
      <w:r w:rsidRPr="00E44EAA">
        <w:rPr>
          <w:rFonts w:hint="cs"/>
          <w:rtl/>
        </w:rPr>
        <w:t>כח</w:t>
      </w:r>
      <w:r w:rsidRPr="00E44EAA">
        <w:rPr>
          <w:rtl/>
        </w:rPr>
        <w:t xml:space="preserve"> </w:t>
      </w:r>
      <w:r w:rsidRPr="00E44EAA">
        <w:rPr>
          <w:rFonts w:hint="cs"/>
          <w:rtl/>
        </w:rPr>
        <w:t>הכלל</w:t>
      </w:r>
      <w:r w:rsidRPr="00E44EAA">
        <w:rPr>
          <w:rtl/>
        </w:rPr>
        <w:t>.</w:t>
      </w:r>
    </w:p>
    <w:p w14:paraId="7AE45551" w14:textId="77777777" w:rsidR="00D42EB2" w:rsidRPr="00E44EAA" w:rsidRDefault="00D42EB2" w:rsidP="00D42EB2">
      <w:pPr>
        <w:pStyle w:val="a2"/>
        <w:rPr>
          <w:rtl/>
        </w:rPr>
      </w:pPr>
      <w:r>
        <w:rPr>
          <w:rFonts w:hint="cs"/>
          <w:rtl/>
        </w:rPr>
        <w:t>ונראה לבאר בדרך אפשר</w:t>
      </w:r>
      <w:r w:rsidRPr="00E44EAA">
        <w:rPr>
          <w:rtl/>
        </w:rPr>
        <w:t xml:space="preserve"> </w:t>
      </w:r>
      <w:r w:rsidRPr="00E44EAA">
        <w:rPr>
          <w:rFonts w:hint="cs"/>
          <w:rtl/>
        </w:rPr>
        <w:t>לפי</w:t>
      </w:r>
      <w:r w:rsidRPr="00E44EAA">
        <w:rPr>
          <w:rtl/>
        </w:rPr>
        <w:t xml:space="preserve"> </w:t>
      </w:r>
      <w:r w:rsidRPr="00E44EAA">
        <w:rPr>
          <w:rFonts w:hint="cs"/>
          <w:rtl/>
        </w:rPr>
        <w:t>מה</w:t>
      </w:r>
      <w:r w:rsidRPr="00E44EAA">
        <w:rPr>
          <w:rtl/>
        </w:rPr>
        <w:t xml:space="preserve"> </w:t>
      </w:r>
      <w:r>
        <w:rPr>
          <w:rFonts w:hint="cs"/>
          <w:rtl/>
        </w:rPr>
        <w:t>שאומר שם</w:t>
      </w:r>
      <w:r w:rsidRPr="00E44EAA">
        <w:rPr>
          <w:rtl/>
        </w:rPr>
        <w:t xml:space="preserve"> </w:t>
      </w:r>
      <w:r w:rsidRPr="00E44EAA">
        <w:rPr>
          <w:rFonts w:hint="cs"/>
          <w:rtl/>
        </w:rPr>
        <w:t>שזה</w:t>
      </w:r>
      <w:r w:rsidRPr="00E44EAA">
        <w:rPr>
          <w:rtl/>
        </w:rPr>
        <w:t xml:space="preserve"> </w:t>
      </w:r>
      <w:r w:rsidRPr="00E44EAA">
        <w:rPr>
          <w:rFonts w:hint="cs"/>
          <w:rtl/>
        </w:rPr>
        <w:t>על</w:t>
      </w:r>
      <w:r w:rsidRPr="00E44EAA">
        <w:rPr>
          <w:rtl/>
        </w:rPr>
        <w:t xml:space="preserve"> </w:t>
      </w:r>
      <w:r w:rsidRPr="00E44EAA">
        <w:rPr>
          <w:rFonts w:hint="cs"/>
          <w:rtl/>
        </w:rPr>
        <w:t>דרך</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הרי</w:t>
      </w:r>
      <w:r w:rsidRPr="00E44EAA">
        <w:rPr>
          <w:rtl/>
        </w:rPr>
        <w:t xml:space="preserve"> </w:t>
      </w:r>
      <w:r w:rsidRPr="00E44EAA">
        <w:rPr>
          <w:rFonts w:hint="cs"/>
          <w:rtl/>
        </w:rPr>
        <w:t>כמו</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גרם</w:t>
      </w:r>
      <w:r w:rsidRPr="00E44EAA">
        <w:rPr>
          <w:rtl/>
        </w:rPr>
        <w:t xml:space="preserve"> </w:t>
      </w:r>
      <w:r w:rsidRPr="00E44EAA">
        <w:rPr>
          <w:rFonts w:hint="cs"/>
          <w:rtl/>
        </w:rPr>
        <w:t>שיש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בההיפך</w:t>
      </w:r>
      <w:r w:rsidRPr="00E44EAA">
        <w:rPr>
          <w:rtl/>
        </w:rPr>
        <w:t xml:space="preserve"> </w:t>
      </w:r>
      <w:r w:rsidRPr="00E44EAA">
        <w:rPr>
          <w:rFonts w:hint="cs"/>
          <w:rtl/>
        </w:rPr>
        <w:t>וזהו</w:t>
      </w:r>
      <w:r w:rsidRPr="00E44EAA">
        <w:rPr>
          <w:rtl/>
        </w:rPr>
        <w:t xml:space="preserve"> </w:t>
      </w:r>
      <w:r w:rsidRPr="00E44EAA">
        <w:rPr>
          <w:rFonts w:hint="cs"/>
          <w:rtl/>
        </w:rPr>
        <w:t>דוגמת</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ומגיעים</w:t>
      </w:r>
      <w:r>
        <w:rPr>
          <w:rFonts w:hint="cs"/>
          <w:rtl/>
        </w:rPr>
        <w:t xml:space="preserve"> על ידי זה</w:t>
      </w:r>
      <w:r w:rsidRPr="00E44EAA">
        <w:rPr>
          <w:rtl/>
        </w:rPr>
        <w:t xml:space="preserve"> </w:t>
      </w:r>
      <w:r w:rsidRPr="00E44EAA">
        <w:rPr>
          <w:rFonts w:hint="cs"/>
          <w:rtl/>
        </w:rPr>
        <w:t>לענין</w:t>
      </w:r>
      <w:r w:rsidRPr="00E44EAA">
        <w:rPr>
          <w:rtl/>
        </w:rPr>
        <w:t xml:space="preserve"> </w:t>
      </w:r>
      <w:r w:rsidRPr="00E44EAA">
        <w:rPr>
          <w:rFonts w:hint="cs"/>
          <w:rtl/>
        </w:rPr>
        <w:t>התשובה</w:t>
      </w:r>
      <w:r>
        <w:rPr>
          <w:rFonts w:hint="cs"/>
          <w:rtl/>
        </w:rPr>
        <w:t>.</w:t>
      </w:r>
    </w:p>
    <w:p w14:paraId="24A9FCB0" w14:textId="77777777" w:rsidR="00D42EB2" w:rsidRPr="00E44EAA" w:rsidRDefault="00D42EB2" w:rsidP="00D42EB2">
      <w:pPr>
        <w:pStyle w:val="a2"/>
        <w:rPr>
          <w:rtl/>
        </w:rPr>
      </w:pPr>
      <w:r w:rsidRPr="00E44EAA">
        <w:rPr>
          <w:rFonts w:hint="cs"/>
          <w:rtl/>
        </w:rPr>
        <w:t>כך</w:t>
      </w:r>
      <w:r w:rsidRPr="00E44EAA">
        <w:rPr>
          <w:rtl/>
        </w:rPr>
        <w:t xml:space="preserve"> </w:t>
      </w:r>
      <w:r w:rsidRPr="00E44EAA">
        <w:rPr>
          <w:rFonts w:hint="cs"/>
          <w:rtl/>
        </w:rPr>
        <w:t>הוא</w:t>
      </w:r>
      <w:r w:rsidRPr="00E44EAA">
        <w:rPr>
          <w:rtl/>
        </w:rPr>
        <w:t xml:space="preserve"> </w:t>
      </w:r>
      <w:r w:rsidRPr="00E44EAA">
        <w:rPr>
          <w:rFonts w:hint="cs"/>
          <w:rtl/>
        </w:rPr>
        <w:t>גם</w:t>
      </w:r>
      <w:r w:rsidRPr="00E44EAA">
        <w:rPr>
          <w:rtl/>
        </w:rPr>
        <w:t xml:space="preserve"> </w:t>
      </w:r>
      <w:r w:rsidRPr="00E44EAA">
        <w:rPr>
          <w:rFonts w:hint="cs"/>
          <w:rtl/>
        </w:rPr>
        <w:t>לענין</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התורה</w:t>
      </w:r>
      <w:r w:rsidRPr="00E44EAA">
        <w:rPr>
          <w:rtl/>
        </w:rPr>
        <w:t xml:space="preserve"> </w:t>
      </w:r>
      <w:r w:rsidRPr="00E44EAA">
        <w:rPr>
          <w:rFonts w:hint="cs"/>
          <w:rtl/>
        </w:rPr>
        <w:t>שצריך</w:t>
      </w:r>
      <w:r w:rsidRPr="00E44EAA">
        <w:rPr>
          <w:rtl/>
        </w:rPr>
        <w:t xml:space="preserve"> </w:t>
      </w:r>
      <w:r w:rsidRPr="00E44EAA">
        <w:rPr>
          <w:rFonts w:hint="cs"/>
          <w:rtl/>
        </w:rPr>
        <w:t>להיות</w:t>
      </w:r>
      <w:r w:rsidRPr="00E44EAA">
        <w:rPr>
          <w:rtl/>
        </w:rPr>
        <w:t xml:space="preserve"> </w:t>
      </w:r>
      <w:r w:rsidRPr="00E44EAA">
        <w:rPr>
          <w:rFonts w:hint="cs"/>
          <w:rtl/>
        </w:rPr>
        <w:t>באימה</w:t>
      </w:r>
      <w:r w:rsidRPr="00E44EAA">
        <w:rPr>
          <w:rtl/>
        </w:rPr>
        <w:t xml:space="preserve"> </w:t>
      </w:r>
      <w:r w:rsidRPr="00E44EAA">
        <w:rPr>
          <w:rFonts w:hint="cs"/>
          <w:rtl/>
        </w:rPr>
        <w:t>כו</w:t>
      </w:r>
      <w:r w:rsidRPr="00E44EAA">
        <w:rPr>
          <w:rtl/>
        </w:rPr>
        <w:t xml:space="preserve">' </w:t>
      </w:r>
      <w:r w:rsidRPr="00E44EAA">
        <w:rPr>
          <w:rFonts w:hint="cs"/>
          <w:rtl/>
        </w:rPr>
        <w:t>והכוונה</w:t>
      </w:r>
      <w:r w:rsidRPr="00E44EAA">
        <w:rPr>
          <w:rtl/>
        </w:rPr>
        <w:t xml:space="preserve"> </w:t>
      </w:r>
      <w:r w:rsidRPr="00E44EAA">
        <w:rPr>
          <w:rFonts w:hint="cs"/>
          <w:rtl/>
        </w:rPr>
        <w:t>בזה</w:t>
      </w:r>
      <w:r w:rsidRPr="00E44EAA">
        <w:rPr>
          <w:rtl/>
        </w:rPr>
        <w:t xml:space="preserve"> </w:t>
      </w:r>
      <w:r w:rsidRPr="00E44EAA">
        <w:rPr>
          <w:rFonts w:hint="cs"/>
          <w:rtl/>
        </w:rPr>
        <w:t>שגם</w:t>
      </w:r>
      <w:r w:rsidRPr="00E44EAA">
        <w:rPr>
          <w:rtl/>
        </w:rPr>
        <w:t xml:space="preserve"> </w:t>
      </w:r>
      <w:r w:rsidRPr="00E44EAA">
        <w:rPr>
          <w:rFonts w:hint="cs"/>
          <w:rtl/>
        </w:rPr>
        <w:t>יהודי</w:t>
      </w:r>
      <w:r w:rsidRPr="00E44EAA">
        <w:rPr>
          <w:rtl/>
        </w:rPr>
        <w:t xml:space="preserve"> </w:t>
      </w:r>
      <w:r w:rsidRPr="00E44EAA">
        <w:rPr>
          <w:rFonts w:hint="cs"/>
          <w:rtl/>
        </w:rPr>
        <w:t>לומד</w:t>
      </w:r>
      <w:r w:rsidRPr="00E44EAA">
        <w:rPr>
          <w:rtl/>
        </w:rPr>
        <w:t xml:space="preserve"> </w:t>
      </w:r>
      <w:r w:rsidRPr="00E44EAA">
        <w:rPr>
          <w:rFonts w:hint="cs"/>
          <w:rtl/>
        </w:rPr>
        <w:t>תורה</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לאיזה</w:t>
      </w:r>
      <w:r w:rsidRPr="00E44EAA">
        <w:rPr>
          <w:rtl/>
        </w:rPr>
        <w:t xml:space="preserve"> </w:t>
      </w:r>
      <w:r w:rsidRPr="00E44EAA">
        <w:rPr>
          <w:rFonts w:hint="cs"/>
          <w:rtl/>
        </w:rPr>
        <w:t>פניה</w:t>
      </w:r>
      <w:r w:rsidRPr="00E44EAA">
        <w:rPr>
          <w:rtl/>
        </w:rPr>
        <w:t xml:space="preserve"> </w:t>
      </w:r>
      <w:r w:rsidRPr="00E44EAA">
        <w:rPr>
          <w:rFonts w:hint="cs"/>
          <w:rtl/>
        </w:rPr>
        <w:t>וכן</w:t>
      </w:r>
      <w:r w:rsidRPr="00E44EAA">
        <w:rPr>
          <w:rtl/>
        </w:rPr>
        <w:t xml:space="preserve"> </w:t>
      </w:r>
      <w:r w:rsidRPr="00E44EAA">
        <w:rPr>
          <w:rFonts w:hint="cs"/>
          <w:rtl/>
        </w:rPr>
        <w:t>באיזה</w:t>
      </w:r>
      <w:r w:rsidRPr="00E44EAA">
        <w:rPr>
          <w:rtl/>
        </w:rPr>
        <w:t xml:space="preserve"> </w:t>
      </w:r>
      <w:r w:rsidRPr="00E44EAA">
        <w:rPr>
          <w:rFonts w:hint="cs"/>
          <w:rtl/>
        </w:rPr>
        <w:t>מצב</w:t>
      </w:r>
      <w:r w:rsidRPr="00E44EAA">
        <w:rPr>
          <w:rtl/>
        </w:rPr>
        <w:t xml:space="preserve"> </w:t>
      </w:r>
      <w:r w:rsidRPr="00E44EAA">
        <w:rPr>
          <w:rFonts w:hint="cs"/>
          <w:rtl/>
        </w:rPr>
        <w:t>שיהיה</w:t>
      </w:r>
      <w:r w:rsidRPr="00E44EAA">
        <w:rPr>
          <w:rtl/>
        </w:rPr>
        <w:t xml:space="preserve"> </w:t>
      </w:r>
      <w:r w:rsidRPr="00E44EAA">
        <w:rPr>
          <w:rFonts w:hint="cs"/>
          <w:rtl/>
        </w:rPr>
        <w:t>עד</w:t>
      </w:r>
      <w:r w:rsidRPr="00E44EAA">
        <w:rPr>
          <w:rtl/>
        </w:rPr>
        <w:t xml:space="preserve"> </w:t>
      </w:r>
      <w:r w:rsidRPr="00E44EAA">
        <w:rPr>
          <w:rFonts w:hint="cs"/>
          <w:rtl/>
        </w:rPr>
        <w:t>שמוסיף</w:t>
      </w:r>
      <w:r w:rsidRPr="00E44EAA">
        <w:rPr>
          <w:rtl/>
        </w:rPr>
        <w:t xml:space="preserve"> </w:t>
      </w:r>
      <w:r w:rsidRPr="00E44EAA">
        <w:rPr>
          <w:rFonts w:hint="cs"/>
          <w:rtl/>
        </w:rPr>
        <w:t>כח</w:t>
      </w:r>
      <w:r w:rsidRPr="00E44EAA">
        <w:rPr>
          <w:rtl/>
        </w:rPr>
        <w:t xml:space="preserve"> </w:t>
      </w:r>
      <w:r w:rsidRPr="00E44EAA">
        <w:rPr>
          <w:rFonts w:hint="cs"/>
          <w:rtl/>
        </w:rPr>
        <w:t>בקליפות</w:t>
      </w:r>
      <w:r w:rsidRPr="00E44EAA">
        <w:rPr>
          <w:rtl/>
        </w:rPr>
        <w:t xml:space="preserve"> </w:t>
      </w:r>
      <w:r w:rsidRPr="00E44EAA">
        <w:rPr>
          <w:rFonts w:hint="cs"/>
          <w:rtl/>
        </w:rPr>
        <w:t>וצריך</w:t>
      </w:r>
      <w:r w:rsidRPr="00E44EAA">
        <w:rPr>
          <w:rtl/>
        </w:rPr>
        <w:t xml:space="preserve"> </w:t>
      </w:r>
      <w:r w:rsidRPr="00E44EAA">
        <w:rPr>
          <w:rFonts w:hint="cs"/>
          <w:rtl/>
        </w:rPr>
        <w:t>לחזור</w:t>
      </w:r>
      <w:r w:rsidRPr="00E44EAA">
        <w:rPr>
          <w:rtl/>
        </w:rPr>
        <w:t xml:space="preserve"> </w:t>
      </w:r>
      <w:r w:rsidRPr="00E44EAA">
        <w:rPr>
          <w:rFonts w:hint="cs"/>
          <w:rtl/>
        </w:rPr>
        <w:t>בתשובה</w:t>
      </w:r>
      <w:r w:rsidRPr="00E44EAA">
        <w:rPr>
          <w:rtl/>
        </w:rPr>
        <w:t xml:space="preserve"> </w:t>
      </w:r>
      <w:r w:rsidRPr="00E44EAA">
        <w:rPr>
          <w:rFonts w:hint="cs"/>
          <w:rtl/>
        </w:rPr>
        <w:t>על</w:t>
      </w:r>
      <w:r w:rsidRPr="00E44EAA">
        <w:rPr>
          <w:rtl/>
        </w:rPr>
        <w:t xml:space="preserve"> </w:t>
      </w:r>
      <w:r w:rsidRPr="00E44EAA">
        <w:rPr>
          <w:rFonts w:hint="cs"/>
          <w:rtl/>
        </w:rPr>
        <w:t>התורה</w:t>
      </w:r>
      <w:r w:rsidRPr="00E44EAA">
        <w:rPr>
          <w:rtl/>
        </w:rPr>
        <w:t xml:space="preserve"> </w:t>
      </w:r>
      <w:r w:rsidRPr="00E44EAA">
        <w:rPr>
          <w:rFonts w:hint="cs"/>
          <w:rtl/>
        </w:rPr>
        <w:t>שלמד</w:t>
      </w:r>
      <w:r w:rsidRPr="00E44EAA">
        <w:rPr>
          <w:rtl/>
        </w:rPr>
        <w:t xml:space="preserve"> </w:t>
      </w:r>
      <w:r w:rsidRPr="00E44EAA">
        <w:rPr>
          <w:rFonts w:hint="cs"/>
          <w:rtl/>
        </w:rPr>
        <w:t>אין</w:t>
      </w:r>
      <w:r w:rsidRPr="00E44EAA">
        <w:rPr>
          <w:rtl/>
        </w:rPr>
        <w:t xml:space="preserve"> </w:t>
      </w:r>
      <w:r w:rsidRPr="00E44EAA">
        <w:rPr>
          <w:rFonts w:hint="cs"/>
          <w:rtl/>
        </w:rPr>
        <w:t>זה</w:t>
      </w:r>
      <w:r w:rsidRPr="00E44EAA">
        <w:rPr>
          <w:rtl/>
        </w:rPr>
        <w:t xml:space="preserve"> </w:t>
      </w:r>
      <w:r w:rsidRPr="00E44EAA">
        <w:rPr>
          <w:rFonts w:hint="cs"/>
          <w:rtl/>
        </w:rPr>
        <w:t>שבעת</w:t>
      </w:r>
      <w:r w:rsidRPr="00E44EAA">
        <w:rPr>
          <w:rtl/>
        </w:rPr>
        <w:t xml:space="preserve"> </w:t>
      </w:r>
      <w:r w:rsidRPr="00E44EAA">
        <w:rPr>
          <w:rFonts w:hint="cs"/>
          <w:rtl/>
        </w:rPr>
        <w:t>שלמד</w:t>
      </w:r>
      <w:r w:rsidRPr="00E44EAA">
        <w:rPr>
          <w:rtl/>
        </w:rPr>
        <w:t xml:space="preserve"> </w:t>
      </w:r>
      <w:r w:rsidRPr="00E44EAA">
        <w:rPr>
          <w:rFonts w:hint="cs"/>
          <w:rtl/>
        </w:rPr>
        <w:t>אין</w:t>
      </w:r>
      <w:r w:rsidRPr="00E44EAA">
        <w:rPr>
          <w:rtl/>
        </w:rPr>
        <w:t xml:space="preserve"> </w:t>
      </w:r>
      <w:r w:rsidRPr="00E44EAA">
        <w:rPr>
          <w:rFonts w:hint="cs"/>
          <w:rtl/>
        </w:rPr>
        <w:t>לו</w:t>
      </w:r>
      <w:r w:rsidRPr="00E44EAA">
        <w:rPr>
          <w:rtl/>
        </w:rPr>
        <w:t xml:space="preserve"> </w:t>
      </w:r>
      <w:r w:rsidRPr="00E44EAA">
        <w:rPr>
          <w:rFonts w:hint="cs"/>
          <w:rtl/>
        </w:rPr>
        <w:t>שייכות</w:t>
      </w:r>
      <w:r w:rsidRPr="00E44EAA">
        <w:rPr>
          <w:rtl/>
        </w:rPr>
        <w:t xml:space="preserve"> </w:t>
      </w:r>
      <w:r w:rsidRPr="00E44EAA">
        <w:rPr>
          <w:rFonts w:hint="cs"/>
          <w:rtl/>
        </w:rPr>
        <w:t>כלל</w:t>
      </w:r>
      <w:r w:rsidRPr="00E44EAA">
        <w:rPr>
          <w:rtl/>
        </w:rPr>
        <w:t xml:space="preserve"> </w:t>
      </w:r>
      <w:r w:rsidRPr="00E44EAA">
        <w:rPr>
          <w:rFonts w:hint="cs"/>
          <w:rtl/>
        </w:rPr>
        <w:t>למתן</w:t>
      </w:r>
      <w:r w:rsidRPr="00E44EAA">
        <w:rPr>
          <w:rtl/>
        </w:rPr>
        <w:t xml:space="preserve"> </w:t>
      </w:r>
      <w:r w:rsidRPr="00E44EAA">
        <w:rPr>
          <w:rFonts w:hint="cs"/>
          <w:rtl/>
        </w:rPr>
        <w:t>תורה</w:t>
      </w:r>
      <w:r w:rsidRPr="00E44EAA">
        <w:rPr>
          <w:rtl/>
        </w:rPr>
        <w:t xml:space="preserve"> </w:t>
      </w:r>
      <w:r w:rsidRPr="00E44EAA">
        <w:rPr>
          <w:rFonts w:hint="cs"/>
          <w:rtl/>
        </w:rPr>
        <w:t>שניתן</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Pr>
          <w:rFonts w:hint="cs"/>
          <w:rtl/>
        </w:rPr>
        <w:t>ורק אחרי שחוזר בתשובה אז חוזר שייכות לימודו למ"ת.</w:t>
      </w:r>
    </w:p>
    <w:p w14:paraId="284FB3F2" w14:textId="77777777" w:rsidR="00D42EB2" w:rsidRPr="00E44EAA" w:rsidRDefault="00D42EB2" w:rsidP="00D42EB2">
      <w:pPr>
        <w:pStyle w:val="a2"/>
        <w:rPr>
          <w:rtl/>
        </w:rPr>
      </w:pPr>
      <w:r w:rsidRPr="00E44EAA">
        <w:rPr>
          <w:rFonts w:hint="cs"/>
          <w:rtl/>
        </w:rPr>
        <w:t>אלא</w:t>
      </w:r>
      <w:r w:rsidRPr="00E44EAA">
        <w:rPr>
          <w:rtl/>
        </w:rPr>
        <w:t xml:space="preserve"> </w:t>
      </w:r>
      <w:r w:rsidRPr="00E44EAA">
        <w:rPr>
          <w:rFonts w:hint="cs"/>
          <w:rtl/>
        </w:rPr>
        <w:t>שכל</w:t>
      </w:r>
      <w:r w:rsidRPr="00E44EAA">
        <w:rPr>
          <w:rtl/>
        </w:rPr>
        <w:t xml:space="preserve"> </w:t>
      </w:r>
      <w:r w:rsidRPr="00E44EAA">
        <w:rPr>
          <w:rFonts w:hint="cs"/>
          <w:rtl/>
        </w:rPr>
        <w:t>הכח</w:t>
      </w:r>
      <w:r w:rsidRPr="00E44EAA">
        <w:rPr>
          <w:rtl/>
        </w:rPr>
        <w:t xml:space="preserve"> </w:t>
      </w:r>
      <w:r w:rsidRPr="00E44EAA">
        <w:rPr>
          <w:rFonts w:hint="cs"/>
          <w:rtl/>
        </w:rPr>
        <w:t>שיהודי</w:t>
      </w:r>
      <w:r w:rsidRPr="00E44EAA">
        <w:rPr>
          <w:rtl/>
        </w:rPr>
        <w:t xml:space="preserve"> </w:t>
      </w:r>
      <w:r w:rsidRPr="00E44EAA">
        <w:rPr>
          <w:rFonts w:hint="cs"/>
          <w:rtl/>
        </w:rPr>
        <w:t>יכול</w:t>
      </w:r>
      <w:r w:rsidRPr="00E44EAA">
        <w:rPr>
          <w:rtl/>
        </w:rPr>
        <w:t xml:space="preserve"> </w:t>
      </w:r>
      <w:r w:rsidRPr="00E44EAA">
        <w:rPr>
          <w:rFonts w:hint="cs"/>
          <w:rtl/>
        </w:rPr>
        <w:t>ללמוד</w:t>
      </w:r>
      <w:r w:rsidRPr="00E44EAA">
        <w:rPr>
          <w:rtl/>
        </w:rPr>
        <w:t xml:space="preserve"> </w:t>
      </w:r>
      <w:r w:rsidRPr="00E44EAA">
        <w:rPr>
          <w:rFonts w:hint="cs"/>
          <w:rtl/>
        </w:rPr>
        <w:t>תורה</w:t>
      </w:r>
      <w:r w:rsidRPr="00E44EAA">
        <w:rPr>
          <w:rtl/>
        </w:rPr>
        <w:t xml:space="preserve"> </w:t>
      </w:r>
      <w:r w:rsidRPr="00E44EAA">
        <w:rPr>
          <w:rFonts w:hint="cs"/>
          <w:rtl/>
        </w:rPr>
        <w:t>אפילו</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הוא</w:t>
      </w:r>
      <w:r w:rsidRPr="00E44EAA">
        <w:rPr>
          <w:rtl/>
        </w:rPr>
        <w:t xml:space="preserve"> </w:t>
      </w:r>
      <w:r w:rsidRPr="00E44EAA">
        <w:rPr>
          <w:rFonts w:hint="cs"/>
          <w:rtl/>
        </w:rPr>
        <w:t>גם</w:t>
      </w:r>
      <w:r w:rsidRPr="00E44EAA">
        <w:rPr>
          <w:rtl/>
        </w:rPr>
        <w:t xml:space="preserve"> </w:t>
      </w:r>
      <w:r w:rsidRPr="00E44EAA">
        <w:rPr>
          <w:rFonts w:hint="cs"/>
          <w:rtl/>
        </w:rPr>
        <w:t>מהכח</w:t>
      </w:r>
      <w:r w:rsidRPr="00E44EAA">
        <w:rPr>
          <w:rtl/>
        </w:rPr>
        <w:t xml:space="preserve"> </w:t>
      </w:r>
      <w:r w:rsidRPr="00E44EAA">
        <w:rPr>
          <w:rFonts w:hint="cs"/>
          <w:rtl/>
        </w:rPr>
        <w:t>של</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Pr>
          <w:rFonts w:hint="cs"/>
          <w:rtl/>
        </w:rPr>
        <w:t xml:space="preserve">כי מציאות התורה במצבו הירוד התאפשרה </w:t>
      </w:r>
      <w:r w:rsidRPr="00E44EAA">
        <w:rPr>
          <w:rFonts w:hint="cs"/>
          <w:rtl/>
        </w:rPr>
        <w:t>רק</w:t>
      </w:r>
      <w:r w:rsidRPr="00E44EAA">
        <w:rPr>
          <w:rtl/>
        </w:rPr>
        <w:t xml:space="preserve"> </w:t>
      </w:r>
      <w:r w:rsidRPr="00E44EAA">
        <w:rPr>
          <w:rFonts w:hint="cs"/>
          <w:rtl/>
        </w:rPr>
        <w:t>בגלל</w:t>
      </w:r>
      <w:r w:rsidRPr="00E44EAA">
        <w:rPr>
          <w:rtl/>
        </w:rPr>
        <w:t xml:space="preserve"> </w:t>
      </w:r>
      <w:r w:rsidRPr="00E44EAA">
        <w:rPr>
          <w:rFonts w:hint="cs"/>
          <w:rtl/>
        </w:rPr>
        <w:t>שניתן</w:t>
      </w:r>
      <w:r w:rsidRPr="00E44EAA">
        <w:rPr>
          <w:rtl/>
        </w:rPr>
        <w:t xml:space="preserve"> </w:t>
      </w:r>
      <w:r w:rsidRPr="00E44EAA">
        <w:rPr>
          <w:rFonts w:hint="cs"/>
          <w:rtl/>
        </w:rPr>
        <w:t>גם</w:t>
      </w:r>
      <w:r w:rsidRPr="00E44EAA">
        <w:rPr>
          <w:rtl/>
        </w:rPr>
        <w:t xml:space="preserve"> </w:t>
      </w:r>
      <w:r w:rsidRPr="00E44EAA">
        <w:rPr>
          <w:rFonts w:hint="cs"/>
          <w:rtl/>
        </w:rPr>
        <w:t>בפרטים</w:t>
      </w:r>
      <w:r w:rsidRPr="00E44EAA">
        <w:rPr>
          <w:rtl/>
        </w:rPr>
        <w:t xml:space="preserve">, </w:t>
      </w:r>
      <w:r w:rsidRPr="00E44EAA">
        <w:rPr>
          <w:rFonts w:hint="cs"/>
          <w:rtl/>
        </w:rPr>
        <w:t>ו</w:t>
      </w:r>
      <w:r>
        <w:rPr>
          <w:rFonts w:hint="cs"/>
          <w:rtl/>
        </w:rPr>
        <w:t xml:space="preserve">זהו כמו </w:t>
      </w:r>
      <w:r w:rsidRPr="00E44EAA">
        <w:rPr>
          <w:rFonts w:hint="cs"/>
          <w:rtl/>
        </w:rPr>
        <w:t>על</w:t>
      </w:r>
      <w:r w:rsidRPr="00E44EAA">
        <w:rPr>
          <w:rtl/>
        </w:rPr>
        <w:t xml:space="preserve"> </w:t>
      </w:r>
      <w:r w:rsidRPr="00E44EAA">
        <w:rPr>
          <w:rFonts w:hint="cs"/>
          <w:rtl/>
        </w:rPr>
        <w:t>דרך</w:t>
      </w:r>
      <w:r w:rsidRPr="00E44EAA">
        <w:rPr>
          <w:rtl/>
        </w:rPr>
        <w:t xml:space="preserve"> </w:t>
      </w:r>
      <w:r w:rsidRPr="00E44EAA">
        <w:rPr>
          <w:rFonts w:hint="cs"/>
          <w:rtl/>
        </w:rPr>
        <w:t>הפרטים</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שלכן</w:t>
      </w:r>
      <w:r w:rsidRPr="00E44EAA">
        <w:rPr>
          <w:rtl/>
        </w:rPr>
        <w:t xml:space="preserve"> </w:t>
      </w:r>
      <w:r w:rsidRPr="00E44EAA">
        <w:rPr>
          <w:rFonts w:hint="cs"/>
          <w:rtl/>
        </w:rPr>
        <w:t>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בהיפך</w:t>
      </w:r>
      <w:r w:rsidRPr="00E44EAA">
        <w:rPr>
          <w:rtl/>
        </w:rPr>
        <w:t xml:space="preserve"> </w:t>
      </w:r>
      <w:r w:rsidRPr="00E44EAA">
        <w:rPr>
          <w:rFonts w:hint="cs"/>
          <w:rtl/>
        </w:rPr>
        <w:t>עד</w:t>
      </w:r>
      <w:r w:rsidRPr="00E44EAA">
        <w:rPr>
          <w:rtl/>
        </w:rPr>
        <w:t xml:space="preserve"> </w:t>
      </w:r>
      <w:r w:rsidRPr="00E44EAA">
        <w:rPr>
          <w:rFonts w:hint="cs"/>
          <w:rtl/>
        </w:rPr>
        <w:t>שיש</w:t>
      </w:r>
      <w:r w:rsidRPr="00E44EAA">
        <w:rPr>
          <w:rtl/>
        </w:rPr>
        <w:t xml:space="preserve"> </w:t>
      </w:r>
      <w:r w:rsidRPr="00E44EAA">
        <w:rPr>
          <w:rFonts w:hint="cs"/>
          <w:rtl/>
        </w:rPr>
        <w:t>בזה</w:t>
      </w:r>
      <w:r w:rsidRPr="00E44EAA">
        <w:rPr>
          <w:rtl/>
        </w:rPr>
        <w:t xml:space="preserve"> </w:t>
      </w:r>
      <w:r w:rsidRPr="00E44EAA">
        <w:rPr>
          <w:rFonts w:hint="cs"/>
          <w:rtl/>
        </w:rPr>
        <w:t>חידוש</w:t>
      </w:r>
      <w:r w:rsidRPr="00E44EAA">
        <w:rPr>
          <w:rtl/>
        </w:rPr>
        <w:t xml:space="preserve"> </w:t>
      </w:r>
      <w:r w:rsidRPr="00E44EAA">
        <w:rPr>
          <w:rFonts w:hint="cs"/>
          <w:rtl/>
        </w:rPr>
        <w:t>שזהו</w:t>
      </w:r>
      <w:r w:rsidRPr="00E44EAA">
        <w:rPr>
          <w:rtl/>
        </w:rPr>
        <w:t xml:space="preserve"> </w:t>
      </w:r>
      <w:r w:rsidRPr="00E44EAA">
        <w:rPr>
          <w:rFonts w:hint="cs"/>
          <w:rtl/>
        </w:rPr>
        <w:t>התשובה</w:t>
      </w:r>
      <w:r w:rsidRPr="00E44EAA">
        <w:rPr>
          <w:rtl/>
        </w:rPr>
        <w:t xml:space="preserve"> </w:t>
      </w:r>
      <w:r w:rsidRPr="00E44EAA">
        <w:rPr>
          <w:rFonts w:hint="cs"/>
          <w:rtl/>
        </w:rPr>
        <w:t>ומגיעים</w:t>
      </w:r>
      <w:r w:rsidRPr="00E44EAA">
        <w:rPr>
          <w:rtl/>
        </w:rPr>
        <w:t xml:space="preserve"> </w:t>
      </w:r>
      <w:r w:rsidRPr="00E44EAA">
        <w:rPr>
          <w:rFonts w:hint="cs"/>
          <w:rtl/>
        </w:rPr>
        <w:t>למעלה</w:t>
      </w:r>
      <w:r w:rsidRPr="00E44EAA">
        <w:rPr>
          <w:rtl/>
        </w:rPr>
        <w:t xml:space="preserve"> </w:t>
      </w:r>
      <w:r w:rsidRPr="00E44EAA">
        <w:rPr>
          <w:rFonts w:hint="cs"/>
          <w:rtl/>
        </w:rPr>
        <w:t>מהכלל</w:t>
      </w:r>
      <w:r>
        <w:rPr>
          <w:rFonts w:hint="cs"/>
          <w:rtl/>
        </w:rPr>
        <w:t>.</w:t>
      </w:r>
    </w:p>
    <w:p w14:paraId="14B713BF" w14:textId="77777777" w:rsidR="00D42EB2" w:rsidRPr="00E44EAA" w:rsidRDefault="00D42EB2" w:rsidP="00D42EB2">
      <w:pPr>
        <w:pStyle w:val="a2"/>
        <w:rPr>
          <w:rtl/>
        </w:rPr>
      </w:pPr>
      <w:r w:rsidRPr="00E44EAA">
        <w:rPr>
          <w:rFonts w:hint="cs"/>
          <w:rtl/>
        </w:rPr>
        <w:t>ובזה</w:t>
      </w:r>
      <w:r w:rsidRPr="00E44EAA">
        <w:rPr>
          <w:rtl/>
        </w:rPr>
        <w:t xml:space="preserve"> </w:t>
      </w:r>
      <w:r w:rsidRPr="00E44EAA">
        <w:rPr>
          <w:rFonts w:hint="cs"/>
          <w:rtl/>
        </w:rPr>
        <w:t>אפשר</w:t>
      </w:r>
      <w:r w:rsidRPr="00E44EAA">
        <w:rPr>
          <w:rtl/>
        </w:rPr>
        <w:t xml:space="preserve"> </w:t>
      </w:r>
      <w:r w:rsidRPr="00E44EAA">
        <w:rPr>
          <w:rFonts w:hint="cs"/>
          <w:rtl/>
        </w:rPr>
        <w:t>לבאר</w:t>
      </w:r>
      <w:r w:rsidRPr="00E44EAA">
        <w:rPr>
          <w:rtl/>
        </w:rPr>
        <w:t xml:space="preserve"> </w:t>
      </w:r>
      <w:r w:rsidRPr="00E44EAA">
        <w:rPr>
          <w:rFonts w:hint="cs"/>
          <w:rtl/>
        </w:rPr>
        <w:t>בדרך</w:t>
      </w:r>
      <w:r w:rsidRPr="00E44EAA">
        <w:rPr>
          <w:rtl/>
        </w:rPr>
        <w:t xml:space="preserve"> </w:t>
      </w:r>
      <w:r w:rsidRPr="00E44EAA">
        <w:rPr>
          <w:rFonts w:hint="cs"/>
          <w:rtl/>
        </w:rPr>
        <w:t>הלצה</w:t>
      </w:r>
      <w:r w:rsidRPr="00E44EAA">
        <w:rPr>
          <w:rtl/>
        </w:rPr>
        <w:t xml:space="preserve"> </w:t>
      </w:r>
      <w:r>
        <w:rPr>
          <w:rFonts w:hint="cs"/>
          <w:rtl/>
        </w:rPr>
        <w:t>מ"ש ש</w:t>
      </w:r>
      <w:r w:rsidRPr="00E44EAA">
        <w:rPr>
          <w:rFonts w:hint="cs"/>
          <w:rtl/>
        </w:rPr>
        <w:t>לעולם</w:t>
      </w:r>
      <w:r w:rsidRPr="00E44EAA">
        <w:rPr>
          <w:rtl/>
        </w:rPr>
        <w:t xml:space="preserve"> </w:t>
      </w:r>
      <w:r w:rsidRPr="00E44EAA">
        <w:rPr>
          <w:rFonts w:hint="cs"/>
          <w:rtl/>
        </w:rPr>
        <w:t>יעסוק</w:t>
      </w:r>
      <w:r w:rsidRPr="00E44EAA">
        <w:rPr>
          <w:rtl/>
        </w:rPr>
        <w:t xml:space="preserve"> </w:t>
      </w:r>
      <w:r w:rsidRPr="00E44EAA">
        <w:rPr>
          <w:rFonts w:hint="cs"/>
          <w:rtl/>
        </w:rPr>
        <w:t>אדם</w:t>
      </w:r>
      <w:r w:rsidRPr="00E44EAA">
        <w:rPr>
          <w:rtl/>
        </w:rPr>
        <w:t xml:space="preserve"> </w:t>
      </w:r>
      <w:r w:rsidRPr="00E44EAA">
        <w:rPr>
          <w:rFonts w:hint="cs"/>
          <w:rtl/>
        </w:rPr>
        <w:t>וכו</w:t>
      </w:r>
      <w:r w:rsidRPr="00E44EAA">
        <w:rPr>
          <w:rtl/>
        </w:rPr>
        <w:t xml:space="preserve">' </w:t>
      </w:r>
      <w:r w:rsidRPr="00E44EAA">
        <w:rPr>
          <w:rFonts w:hint="cs"/>
          <w:rtl/>
        </w:rPr>
        <w:t>כי</w:t>
      </w:r>
      <w:r w:rsidRPr="00E44EAA">
        <w:rPr>
          <w:rtl/>
        </w:rPr>
        <w:t xml:space="preserve"> </w:t>
      </w:r>
      <w:r w:rsidRPr="00E44EAA">
        <w:rPr>
          <w:rFonts w:hint="cs"/>
          <w:rtl/>
        </w:rPr>
        <w:t>בודאי</w:t>
      </w:r>
      <w:r w:rsidRPr="00E44EAA">
        <w:rPr>
          <w:rtl/>
        </w:rPr>
        <w:t xml:space="preserve"> </w:t>
      </w:r>
      <w:r w:rsidRPr="00E44EAA">
        <w:rPr>
          <w:rFonts w:hint="cs"/>
          <w:rtl/>
        </w:rPr>
        <w:t>סופו</w:t>
      </w:r>
      <w:r w:rsidRPr="00E44EAA">
        <w:rPr>
          <w:rtl/>
        </w:rPr>
        <w:t xml:space="preserve"> </w:t>
      </w:r>
      <w:r w:rsidRPr="00E44EAA">
        <w:rPr>
          <w:rFonts w:hint="cs"/>
          <w:rtl/>
        </w:rPr>
        <w:t>לעשות</w:t>
      </w:r>
      <w:r w:rsidRPr="00E44EAA">
        <w:rPr>
          <w:rtl/>
        </w:rPr>
        <w:t xml:space="preserve"> </w:t>
      </w:r>
      <w:r w:rsidRPr="00E44EAA">
        <w:rPr>
          <w:rFonts w:hint="cs"/>
          <w:rtl/>
        </w:rPr>
        <w:t>תשובה</w:t>
      </w:r>
      <w:r w:rsidRPr="00E44EAA">
        <w:rPr>
          <w:rtl/>
        </w:rPr>
        <w:t xml:space="preserve"> </w:t>
      </w:r>
      <w:r w:rsidRPr="00E44EAA">
        <w:rPr>
          <w:rFonts w:hint="cs"/>
          <w:rtl/>
        </w:rPr>
        <w:t>כי</w:t>
      </w:r>
      <w:r w:rsidRPr="00E44EAA">
        <w:rPr>
          <w:rtl/>
        </w:rPr>
        <w:t xml:space="preserve"> </w:t>
      </w:r>
      <w:r w:rsidRPr="00E44EAA">
        <w:rPr>
          <w:rFonts w:hint="cs"/>
          <w:rtl/>
        </w:rPr>
        <w:t>לא</w:t>
      </w:r>
      <w:r w:rsidRPr="00E44EAA">
        <w:rPr>
          <w:rtl/>
        </w:rPr>
        <w:t xml:space="preserve"> </w:t>
      </w:r>
      <w:r w:rsidRPr="00E44EAA">
        <w:rPr>
          <w:rFonts w:hint="cs"/>
          <w:rtl/>
        </w:rPr>
        <w:t>ידח</w:t>
      </w:r>
      <w:r w:rsidRPr="00E44EAA">
        <w:rPr>
          <w:rtl/>
        </w:rPr>
        <w:t xml:space="preserve"> </w:t>
      </w:r>
      <w:r w:rsidRPr="00E44EAA">
        <w:rPr>
          <w:rFonts w:hint="cs"/>
          <w:rtl/>
        </w:rPr>
        <w:t>ממנו</w:t>
      </w:r>
      <w:r w:rsidRPr="00E44EAA">
        <w:rPr>
          <w:rtl/>
        </w:rPr>
        <w:t xml:space="preserve"> </w:t>
      </w:r>
      <w:r w:rsidRPr="00E44EAA">
        <w:rPr>
          <w:rFonts w:hint="cs"/>
          <w:rtl/>
        </w:rPr>
        <w:t>נדח</w:t>
      </w:r>
      <w:r w:rsidRPr="00E44EAA">
        <w:rPr>
          <w:rtl/>
        </w:rPr>
        <w:t xml:space="preserve">, </w:t>
      </w:r>
      <w:r w:rsidRPr="00E44EAA">
        <w:rPr>
          <w:rFonts w:hint="cs"/>
          <w:rtl/>
        </w:rPr>
        <w:t>ולכאורה</w:t>
      </w:r>
      <w:r w:rsidRPr="00E44EAA">
        <w:rPr>
          <w:rtl/>
        </w:rPr>
        <w:t xml:space="preserve"> </w:t>
      </w:r>
      <w:r w:rsidRPr="00E44EAA">
        <w:rPr>
          <w:rFonts w:hint="cs"/>
          <w:rtl/>
        </w:rPr>
        <w:t>צריך</w:t>
      </w:r>
      <w:r w:rsidRPr="00E44EAA">
        <w:rPr>
          <w:rtl/>
        </w:rPr>
        <w:t xml:space="preserve"> </w:t>
      </w:r>
      <w:r w:rsidRPr="00E44EAA">
        <w:rPr>
          <w:rFonts w:hint="cs"/>
          <w:rtl/>
        </w:rPr>
        <w:t>להבין</w:t>
      </w:r>
      <w:r w:rsidRPr="00E44EAA">
        <w:rPr>
          <w:rtl/>
        </w:rPr>
        <w:t xml:space="preserve"> </w:t>
      </w:r>
      <w:r w:rsidRPr="00E44EAA">
        <w:rPr>
          <w:rFonts w:hint="cs"/>
          <w:rtl/>
        </w:rPr>
        <w:t>דהנה</w:t>
      </w:r>
      <w:r w:rsidRPr="00E44EAA">
        <w:rPr>
          <w:rtl/>
        </w:rPr>
        <w:t xml:space="preserve"> </w:t>
      </w:r>
      <w:r w:rsidRPr="00E44EAA">
        <w:rPr>
          <w:rFonts w:hint="cs"/>
          <w:rtl/>
        </w:rPr>
        <w:t>בלקו</w:t>
      </w:r>
      <w:r w:rsidRPr="00E44EAA">
        <w:rPr>
          <w:rtl/>
        </w:rPr>
        <w:t>"</w:t>
      </w:r>
      <w:r w:rsidRPr="00E44EAA">
        <w:rPr>
          <w:rFonts w:hint="cs"/>
          <w:rtl/>
        </w:rPr>
        <w:t>ש</w:t>
      </w:r>
      <w:r w:rsidRPr="00E44EAA">
        <w:rPr>
          <w:rtl/>
        </w:rPr>
        <w:t xml:space="preserve"> </w:t>
      </w:r>
      <w:r w:rsidRPr="00E44EAA">
        <w:rPr>
          <w:rFonts w:hint="cs"/>
          <w:rtl/>
        </w:rPr>
        <w:t>ח</w:t>
      </w:r>
      <w:r w:rsidRPr="00E44EAA">
        <w:rPr>
          <w:rtl/>
        </w:rPr>
        <w:t>"</w:t>
      </w:r>
      <w:r w:rsidRPr="00E44EAA">
        <w:rPr>
          <w:rFonts w:hint="cs"/>
          <w:rtl/>
        </w:rPr>
        <w:t>ג</w:t>
      </w:r>
      <w:r w:rsidRPr="00E44EAA">
        <w:rPr>
          <w:rtl/>
        </w:rPr>
        <w:t xml:space="preserve"> </w:t>
      </w:r>
      <w:r w:rsidRPr="00E44EAA">
        <w:rPr>
          <w:rFonts w:hint="cs"/>
          <w:rtl/>
        </w:rPr>
        <w:t>פר</w:t>
      </w:r>
      <w:r w:rsidRPr="00E44EAA">
        <w:rPr>
          <w:rtl/>
        </w:rPr>
        <w:t xml:space="preserve">' </w:t>
      </w:r>
      <w:r w:rsidRPr="00E44EAA">
        <w:rPr>
          <w:rFonts w:hint="cs"/>
          <w:rtl/>
        </w:rPr>
        <w:t>שמיני</w:t>
      </w:r>
      <w:r w:rsidRPr="00E44EAA">
        <w:rPr>
          <w:rtl/>
        </w:rPr>
        <w:t xml:space="preserve"> </w:t>
      </w:r>
      <w:r w:rsidRPr="00E44EAA">
        <w:rPr>
          <w:rFonts w:hint="cs"/>
          <w:rtl/>
        </w:rPr>
        <w:t>הע</w:t>
      </w:r>
      <w:r w:rsidRPr="00E44EAA">
        <w:rPr>
          <w:rtl/>
        </w:rPr>
        <w:t xml:space="preserve">' 19 </w:t>
      </w:r>
      <w:r w:rsidRPr="00E44EAA">
        <w:rPr>
          <w:rFonts w:hint="cs"/>
          <w:rtl/>
        </w:rPr>
        <w:t>כתוב</w:t>
      </w:r>
      <w:r w:rsidRPr="00E44EAA">
        <w:rPr>
          <w:rtl/>
        </w:rPr>
        <w:t xml:space="preserve"> </w:t>
      </w:r>
      <w:r w:rsidRPr="00E44EAA">
        <w:rPr>
          <w:rFonts w:hint="cs"/>
          <w:rtl/>
        </w:rPr>
        <w:t>שהירידה</w:t>
      </w:r>
      <w:r w:rsidRPr="00E44EAA">
        <w:rPr>
          <w:rtl/>
        </w:rPr>
        <w:t xml:space="preserve"> </w:t>
      </w:r>
      <w:r w:rsidRPr="00E44EAA">
        <w:rPr>
          <w:rFonts w:hint="cs"/>
          <w:rtl/>
        </w:rPr>
        <w:t>היא</w:t>
      </w:r>
      <w:r w:rsidRPr="00E44EAA">
        <w:rPr>
          <w:rtl/>
        </w:rPr>
        <w:t xml:space="preserve"> </w:t>
      </w:r>
      <w:r w:rsidRPr="00E44EAA">
        <w:rPr>
          <w:rFonts w:hint="cs"/>
          <w:rtl/>
        </w:rPr>
        <w:t>הכנה</w:t>
      </w:r>
      <w:r w:rsidRPr="00E44EAA">
        <w:rPr>
          <w:rtl/>
        </w:rPr>
        <w:t xml:space="preserve"> </w:t>
      </w:r>
      <w:r w:rsidRPr="00E44EAA">
        <w:rPr>
          <w:rFonts w:hint="cs"/>
          <w:rtl/>
        </w:rPr>
        <w:t>מוכרחת</w:t>
      </w:r>
      <w:r w:rsidRPr="00E44EAA">
        <w:rPr>
          <w:rtl/>
        </w:rPr>
        <w:t xml:space="preserve"> </w:t>
      </w:r>
      <w:r w:rsidRPr="00E44EAA">
        <w:rPr>
          <w:rFonts w:hint="cs"/>
          <w:rtl/>
        </w:rPr>
        <w:t>להעליה</w:t>
      </w:r>
      <w:r w:rsidRPr="00E44EAA">
        <w:rPr>
          <w:rtl/>
        </w:rPr>
        <w:t xml:space="preserve"> </w:t>
      </w:r>
      <w:r w:rsidRPr="00E44EAA">
        <w:rPr>
          <w:rFonts w:hint="cs"/>
          <w:rtl/>
        </w:rPr>
        <w:t>למדרגה</w:t>
      </w:r>
      <w:r w:rsidRPr="00E44EAA">
        <w:rPr>
          <w:rtl/>
        </w:rPr>
        <w:t xml:space="preserve"> </w:t>
      </w:r>
      <w:r w:rsidRPr="00E44EAA">
        <w:rPr>
          <w:rFonts w:hint="cs"/>
          <w:rtl/>
        </w:rPr>
        <w:t>היותר</w:t>
      </w:r>
      <w:r w:rsidRPr="00E44EAA">
        <w:rPr>
          <w:rtl/>
        </w:rPr>
        <w:t xml:space="preserve"> </w:t>
      </w:r>
      <w:r w:rsidRPr="00E44EAA">
        <w:rPr>
          <w:rFonts w:hint="cs"/>
          <w:rtl/>
        </w:rPr>
        <w:t>נעלית</w:t>
      </w:r>
      <w:r w:rsidRPr="00E44EAA">
        <w:rPr>
          <w:rtl/>
        </w:rPr>
        <w:t xml:space="preserve">, </w:t>
      </w:r>
      <w:r w:rsidRPr="00E44EAA">
        <w:rPr>
          <w:rFonts w:hint="cs"/>
          <w:rtl/>
        </w:rPr>
        <w:t>ונמצא</w:t>
      </w:r>
      <w:r w:rsidRPr="00E44EAA">
        <w:rPr>
          <w:rtl/>
        </w:rPr>
        <w:t xml:space="preserve"> </w:t>
      </w:r>
      <w:r w:rsidRPr="00E44EAA">
        <w:rPr>
          <w:rFonts w:hint="cs"/>
          <w:rtl/>
        </w:rPr>
        <w:t>שאין</w:t>
      </w:r>
      <w:r w:rsidRPr="00E44EAA">
        <w:rPr>
          <w:rtl/>
        </w:rPr>
        <w:t xml:space="preserve"> </w:t>
      </w:r>
      <w:r w:rsidRPr="00E44EAA">
        <w:rPr>
          <w:rFonts w:hint="cs"/>
          <w:rtl/>
        </w:rPr>
        <w:t>זה</w:t>
      </w:r>
      <w:r w:rsidRPr="00E44EAA">
        <w:rPr>
          <w:rtl/>
        </w:rPr>
        <w:t xml:space="preserve"> </w:t>
      </w:r>
      <w:r w:rsidRPr="00E44EAA">
        <w:rPr>
          <w:rFonts w:hint="cs"/>
          <w:rtl/>
        </w:rPr>
        <w:t>ירידה</w:t>
      </w:r>
      <w:r w:rsidRPr="00E44EAA">
        <w:rPr>
          <w:rtl/>
        </w:rPr>
        <w:t xml:space="preserve"> </w:t>
      </w:r>
      <w:r w:rsidRPr="00E44EAA">
        <w:rPr>
          <w:rFonts w:hint="cs"/>
          <w:rtl/>
        </w:rPr>
        <w:t>אמיתית</w:t>
      </w:r>
      <w:r w:rsidRPr="00E44EAA">
        <w:rPr>
          <w:rtl/>
        </w:rPr>
        <w:t xml:space="preserve"> </w:t>
      </w:r>
      <w:r w:rsidRPr="00E44EAA">
        <w:rPr>
          <w:rFonts w:hint="cs"/>
          <w:rtl/>
        </w:rPr>
        <w:t>כי</w:t>
      </w:r>
      <w:r w:rsidRPr="00E44EAA">
        <w:rPr>
          <w:rtl/>
        </w:rPr>
        <w:t xml:space="preserve"> </w:t>
      </w:r>
      <w:r w:rsidRPr="00E44EAA">
        <w:rPr>
          <w:rFonts w:hint="cs"/>
          <w:rtl/>
        </w:rPr>
        <w:t>אם</w:t>
      </w:r>
      <w:r w:rsidRPr="00E44EAA">
        <w:rPr>
          <w:rtl/>
        </w:rPr>
        <w:t xml:space="preserve"> </w:t>
      </w:r>
      <w:r w:rsidRPr="00E44EAA">
        <w:rPr>
          <w:rFonts w:hint="cs"/>
          <w:rtl/>
        </w:rPr>
        <w:t>חלק</w:t>
      </w:r>
      <w:r w:rsidRPr="00E44EAA">
        <w:rPr>
          <w:rtl/>
        </w:rPr>
        <w:t xml:space="preserve"> </w:t>
      </w:r>
      <w:r w:rsidRPr="00E44EAA">
        <w:rPr>
          <w:rFonts w:hint="cs"/>
          <w:rtl/>
        </w:rPr>
        <w:t>מהעליה</w:t>
      </w:r>
      <w:r w:rsidRPr="00E44EAA">
        <w:rPr>
          <w:rtl/>
        </w:rPr>
        <w:t xml:space="preserve"> </w:t>
      </w:r>
      <w:r w:rsidRPr="00E44EAA">
        <w:rPr>
          <w:rFonts w:hint="cs"/>
          <w:rtl/>
        </w:rPr>
        <w:t>הנעלית</w:t>
      </w:r>
      <w:r w:rsidRPr="00E44EAA">
        <w:rPr>
          <w:rtl/>
        </w:rPr>
        <w:t xml:space="preserve"> </w:t>
      </w:r>
      <w:r w:rsidRPr="00E44EAA">
        <w:rPr>
          <w:rFonts w:hint="cs"/>
          <w:rtl/>
        </w:rPr>
        <w:t>יותר</w:t>
      </w:r>
      <w:r w:rsidRPr="00E44EAA">
        <w:rPr>
          <w:rtl/>
        </w:rPr>
        <w:t xml:space="preserve"> </w:t>
      </w:r>
      <w:r w:rsidRPr="00E44EAA">
        <w:rPr>
          <w:rFonts w:hint="cs"/>
          <w:rtl/>
        </w:rPr>
        <w:t>וזה</w:t>
      </w:r>
      <w:r w:rsidRPr="00E44EAA">
        <w:rPr>
          <w:rtl/>
        </w:rPr>
        <w:t xml:space="preserve"> </w:t>
      </w:r>
      <w:r w:rsidRPr="00E44EAA">
        <w:rPr>
          <w:rFonts w:hint="cs"/>
          <w:rtl/>
        </w:rPr>
        <w:t>גם</w:t>
      </w:r>
      <w:r w:rsidRPr="00E44EAA">
        <w:rPr>
          <w:rtl/>
        </w:rPr>
        <w:t xml:space="preserve"> </w:t>
      </w:r>
      <w:r w:rsidRPr="00E44EAA">
        <w:rPr>
          <w:rFonts w:hint="cs"/>
          <w:rtl/>
        </w:rPr>
        <w:t>באיש</w:t>
      </w:r>
      <w:r w:rsidRPr="00E44EAA">
        <w:rPr>
          <w:rtl/>
        </w:rPr>
        <w:t xml:space="preserve"> </w:t>
      </w:r>
      <w:r w:rsidRPr="00E44EAA">
        <w:rPr>
          <w:rFonts w:hint="cs"/>
          <w:rtl/>
        </w:rPr>
        <w:t>הפרטי</w:t>
      </w:r>
      <w:r w:rsidRPr="00E44EAA">
        <w:rPr>
          <w:rtl/>
        </w:rPr>
        <w:t xml:space="preserve"> </w:t>
      </w:r>
      <w:r w:rsidRPr="00E44EAA">
        <w:rPr>
          <w:rFonts w:hint="cs"/>
          <w:rtl/>
        </w:rPr>
        <w:t>שאופן</w:t>
      </w:r>
      <w:r w:rsidRPr="00E44EAA">
        <w:rPr>
          <w:rtl/>
        </w:rPr>
        <w:t xml:space="preserve"> </w:t>
      </w:r>
      <w:r w:rsidRPr="00E44EAA">
        <w:rPr>
          <w:rFonts w:hint="cs"/>
          <w:rtl/>
        </w:rPr>
        <w:t>העליה</w:t>
      </w:r>
      <w:r w:rsidRPr="00E44EAA">
        <w:rPr>
          <w:rtl/>
        </w:rPr>
        <w:t xml:space="preserve"> </w:t>
      </w:r>
      <w:r w:rsidRPr="00E44EAA">
        <w:rPr>
          <w:rFonts w:hint="cs"/>
          <w:rtl/>
        </w:rPr>
        <w:t>שהוא</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נתינת</w:t>
      </w:r>
      <w:r w:rsidRPr="00E44EAA">
        <w:rPr>
          <w:rtl/>
        </w:rPr>
        <w:t xml:space="preserve"> </w:t>
      </w:r>
      <w:r w:rsidRPr="00E44EAA">
        <w:rPr>
          <w:rFonts w:hint="cs"/>
          <w:rtl/>
        </w:rPr>
        <w:t>מקום</w:t>
      </w:r>
      <w:r w:rsidRPr="00E44EAA">
        <w:rPr>
          <w:rtl/>
        </w:rPr>
        <w:t xml:space="preserve"> </w:t>
      </w:r>
      <w:r w:rsidRPr="00E44EAA">
        <w:rPr>
          <w:rFonts w:hint="cs"/>
          <w:rtl/>
        </w:rPr>
        <w:t>מראש</w:t>
      </w:r>
      <w:r w:rsidRPr="00E44EAA">
        <w:rPr>
          <w:rtl/>
        </w:rPr>
        <w:t xml:space="preserve"> </w:t>
      </w:r>
      <w:r w:rsidRPr="00E44EAA">
        <w:rPr>
          <w:rFonts w:hint="cs"/>
          <w:rtl/>
        </w:rPr>
        <w:t>ללעו</w:t>
      </w:r>
      <w:r w:rsidRPr="00E44EAA">
        <w:rPr>
          <w:rtl/>
        </w:rPr>
        <w:t>"</w:t>
      </w:r>
      <w:r w:rsidRPr="00E44EAA">
        <w:rPr>
          <w:rFonts w:hint="cs"/>
          <w:rtl/>
        </w:rPr>
        <w:t>ז</w:t>
      </w:r>
      <w:r w:rsidRPr="00E44EAA">
        <w:rPr>
          <w:rtl/>
        </w:rPr>
        <w:t xml:space="preserve"> </w:t>
      </w:r>
      <w:r w:rsidRPr="00E44EAA">
        <w:rPr>
          <w:rFonts w:hint="cs"/>
          <w:rtl/>
        </w:rPr>
        <w:t>ועי</w:t>
      </w:r>
      <w:r w:rsidRPr="00E44EAA">
        <w:rPr>
          <w:rtl/>
        </w:rPr>
        <w:t>"</w:t>
      </w:r>
      <w:r w:rsidRPr="00E44EAA">
        <w:rPr>
          <w:rFonts w:hint="cs"/>
          <w:rtl/>
        </w:rPr>
        <w:t>ז</w:t>
      </w:r>
      <w:r w:rsidRPr="00E44EAA">
        <w:rPr>
          <w:rtl/>
        </w:rPr>
        <w:t xml:space="preserve"> </w:t>
      </w:r>
      <w:r w:rsidRPr="00E44EAA">
        <w:rPr>
          <w:rFonts w:hint="cs"/>
          <w:rtl/>
        </w:rPr>
        <w:t>ינצחו</w:t>
      </w:r>
      <w:r w:rsidRPr="00E44EAA">
        <w:rPr>
          <w:rtl/>
        </w:rPr>
        <w:t xml:space="preserve"> </w:t>
      </w:r>
      <w:r w:rsidRPr="00E44EAA">
        <w:rPr>
          <w:rFonts w:hint="cs"/>
          <w:rtl/>
        </w:rPr>
        <w:t>כליל</w:t>
      </w:r>
      <w:r w:rsidRPr="00E44EAA">
        <w:rPr>
          <w:rtl/>
        </w:rPr>
        <w:t xml:space="preserve"> </w:t>
      </w:r>
      <w:r w:rsidRPr="00E44EAA">
        <w:rPr>
          <w:rFonts w:hint="cs"/>
          <w:rtl/>
        </w:rPr>
        <w:t>אח</w:t>
      </w:r>
      <w:r w:rsidRPr="00E44EAA">
        <w:rPr>
          <w:rtl/>
        </w:rPr>
        <w:t>"</w:t>
      </w:r>
      <w:r w:rsidRPr="00E44EAA">
        <w:rPr>
          <w:rFonts w:hint="cs"/>
          <w:rtl/>
        </w:rPr>
        <w:t>ז</w:t>
      </w:r>
      <w:r w:rsidRPr="00E44EAA">
        <w:rPr>
          <w:rtl/>
        </w:rPr>
        <w:t xml:space="preserve"> </w:t>
      </w:r>
      <w:r w:rsidRPr="00E44EAA">
        <w:rPr>
          <w:rFonts w:hint="cs"/>
          <w:rtl/>
        </w:rPr>
        <w:t>והוא</w:t>
      </w:r>
      <w:r w:rsidRPr="00E44EAA">
        <w:rPr>
          <w:rtl/>
        </w:rPr>
        <w:t xml:space="preserve"> </w:t>
      </w:r>
      <w:r w:rsidRPr="00E44EAA">
        <w:rPr>
          <w:rFonts w:hint="cs"/>
          <w:rtl/>
        </w:rPr>
        <w:t>מעין</w:t>
      </w:r>
      <w:r w:rsidRPr="00E44EAA">
        <w:rPr>
          <w:rtl/>
        </w:rPr>
        <w:t xml:space="preserve"> </w:t>
      </w:r>
      <w:r w:rsidRPr="00E44EAA">
        <w:rPr>
          <w:rFonts w:hint="cs"/>
          <w:rtl/>
        </w:rPr>
        <w:t>החילוק</w:t>
      </w:r>
      <w:r w:rsidRPr="00E44EAA">
        <w:rPr>
          <w:rtl/>
        </w:rPr>
        <w:t xml:space="preserve"> </w:t>
      </w:r>
      <w:r w:rsidRPr="00E44EAA">
        <w:rPr>
          <w:rFonts w:hint="cs"/>
          <w:rtl/>
        </w:rPr>
        <w:t>דירושלמי</w:t>
      </w:r>
      <w:r w:rsidRPr="00E44EAA">
        <w:rPr>
          <w:rtl/>
        </w:rPr>
        <w:t xml:space="preserve"> </w:t>
      </w:r>
      <w:r w:rsidRPr="00E44EAA">
        <w:rPr>
          <w:rFonts w:hint="cs"/>
          <w:rtl/>
        </w:rPr>
        <w:t>ובבלי</w:t>
      </w:r>
      <w:r w:rsidRPr="00E44EAA">
        <w:rPr>
          <w:rtl/>
        </w:rPr>
        <w:t xml:space="preserve"> </w:t>
      </w:r>
      <w:r w:rsidRPr="00E44EAA">
        <w:rPr>
          <w:rFonts w:hint="cs"/>
          <w:rtl/>
        </w:rPr>
        <w:t>שאף</w:t>
      </w:r>
      <w:r w:rsidRPr="00E44EAA">
        <w:rPr>
          <w:rtl/>
        </w:rPr>
        <w:t xml:space="preserve"> </w:t>
      </w:r>
      <w:r w:rsidRPr="00E44EAA">
        <w:rPr>
          <w:rFonts w:hint="cs"/>
          <w:rtl/>
        </w:rPr>
        <w:t>שכל</w:t>
      </w:r>
      <w:r w:rsidRPr="00E44EAA">
        <w:rPr>
          <w:rtl/>
        </w:rPr>
        <w:t xml:space="preserve"> </w:t>
      </w:r>
      <w:r w:rsidRPr="00E44EAA">
        <w:rPr>
          <w:rFonts w:hint="cs"/>
          <w:rtl/>
        </w:rPr>
        <w:t>קושיא</w:t>
      </w:r>
      <w:r w:rsidRPr="00E44EAA">
        <w:rPr>
          <w:rtl/>
        </w:rPr>
        <w:t xml:space="preserve"> </w:t>
      </w:r>
      <w:r w:rsidRPr="00E44EAA">
        <w:rPr>
          <w:rFonts w:hint="cs"/>
          <w:rtl/>
        </w:rPr>
        <w:t>הוא</w:t>
      </w:r>
      <w:r w:rsidRPr="00E44EAA">
        <w:rPr>
          <w:rtl/>
        </w:rPr>
        <w:t xml:space="preserve"> </w:t>
      </w:r>
      <w:r w:rsidRPr="00E44EAA">
        <w:rPr>
          <w:rFonts w:hint="cs"/>
          <w:rtl/>
        </w:rPr>
        <w:t>מסטרא</w:t>
      </w:r>
      <w:r w:rsidRPr="00E44EAA">
        <w:rPr>
          <w:rtl/>
        </w:rPr>
        <w:t xml:space="preserve"> </w:t>
      </w:r>
      <w:r w:rsidRPr="00E44EAA">
        <w:rPr>
          <w:rFonts w:hint="cs"/>
          <w:rtl/>
        </w:rPr>
        <w:t>דרע</w:t>
      </w:r>
      <w:r w:rsidRPr="00E44EAA">
        <w:rPr>
          <w:rtl/>
        </w:rPr>
        <w:t xml:space="preserve"> </w:t>
      </w:r>
      <w:r w:rsidRPr="00E44EAA">
        <w:rPr>
          <w:rFonts w:hint="cs"/>
          <w:rtl/>
        </w:rPr>
        <w:t>אבל</w:t>
      </w:r>
      <w:r w:rsidRPr="00E44EAA">
        <w:rPr>
          <w:rtl/>
        </w:rPr>
        <w:t xml:space="preserve"> </w:t>
      </w:r>
      <w:r w:rsidRPr="00E44EAA">
        <w:rPr>
          <w:rFonts w:hint="cs"/>
          <w:rtl/>
        </w:rPr>
        <w:t>גם</w:t>
      </w:r>
      <w:r w:rsidRPr="00E44EAA">
        <w:rPr>
          <w:rtl/>
        </w:rPr>
        <w:t xml:space="preserve"> </w:t>
      </w:r>
      <w:r w:rsidRPr="00E44EAA">
        <w:rPr>
          <w:rFonts w:hint="cs"/>
          <w:rtl/>
        </w:rPr>
        <w:t>הוא</w:t>
      </w:r>
      <w:r w:rsidRPr="00E44EAA">
        <w:rPr>
          <w:rtl/>
        </w:rPr>
        <w:t xml:space="preserve"> </w:t>
      </w:r>
      <w:r w:rsidRPr="00E44EAA">
        <w:rPr>
          <w:rFonts w:hint="cs"/>
          <w:rtl/>
        </w:rPr>
        <w:t>חלק</w:t>
      </w:r>
      <w:r w:rsidRPr="00E44EAA">
        <w:rPr>
          <w:rtl/>
        </w:rPr>
        <w:t xml:space="preserve"> </w:t>
      </w:r>
      <w:r w:rsidRPr="00E44EAA">
        <w:rPr>
          <w:rFonts w:hint="cs"/>
          <w:rtl/>
        </w:rPr>
        <w:t>מבירור</w:t>
      </w:r>
      <w:r w:rsidRPr="00E44EAA">
        <w:rPr>
          <w:rtl/>
        </w:rPr>
        <w:t xml:space="preserve"> </w:t>
      </w:r>
      <w:r w:rsidRPr="00E44EAA">
        <w:rPr>
          <w:rFonts w:hint="cs"/>
          <w:rtl/>
        </w:rPr>
        <w:t>הדין</w:t>
      </w:r>
      <w:r>
        <w:rPr>
          <w:rFonts w:hint="cs"/>
          <w:rtl/>
        </w:rPr>
        <w:t>...</w:t>
      </w:r>
    </w:p>
    <w:p w14:paraId="4E7D4F24" w14:textId="77777777" w:rsidR="00D42EB2" w:rsidRPr="00E44EAA" w:rsidRDefault="00D42EB2" w:rsidP="00D42EB2">
      <w:pPr>
        <w:pStyle w:val="a2"/>
        <w:rPr>
          <w:rtl/>
        </w:rPr>
      </w:pPr>
      <w:r w:rsidRPr="00E44EAA">
        <w:rPr>
          <w:rFonts w:hint="cs"/>
          <w:rtl/>
        </w:rPr>
        <w:t>ולכאורה</w:t>
      </w:r>
      <w:r w:rsidRPr="00E44EAA">
        <w:rPr>
          <w:rtl/>
        </w:rPr>
        <w:t xml:space="preserve"> </w:t>
      </w:r>
      <w:r w:rsidRPr="00E44EAA">
        <w:rPr>
          <w:rFonts w:hint="cs"/>
          <w:rtl/>
        </w:rPr>
        <w:t>לפי</w:t>
      </w:r>
      <w:r w:rsidRPr="00E44EAA">
        <w:rPr>
          <w:rtl/>
        </w:rPr>
        <w:t xml:space="preserve"> </w:t>
      </w:r>
      <w:r w:rsidRPr="00E44EAA">
        <w:rPr>
          <w:rFonts w:hint="cs"/>
          <w:rtl/>
        </w:rPr>
        <w:t>זה</w:t>
      </w:r>
      <w:r w:rsidRPr="00E44EAA">
        <w:rPr>
          <w:rtl/>
        </w:rPr>
        <w:t xml:space="preserve"> </w:t>
      </w:r>
      <w:r w:rsidRPr="00E44EAA">
        <w:rPr>
          <w:rFonts w:hint="cs"/>
          <w:rtl/>
        </w:rPr>
        <w:t>למה</w:t>
      </w:r>
      <w:r w:rsidRPr="00E44EAA">
        <w:rPr>
          <w:rtl/>
        </w:rPr>
        <w:t xml:space="preserve"> </w:t>
      </w:r>
      <w:r w:rsidRPr="00E44EAA">
        <w:rPr>
          <w:rFonts w:hint="cs"/>
          <w:rtl/>
        </w:rPr>
        <w:t>נענש</w:t>
      </w:r>
      <w:r w:rsidRPr="00E44EAA">
        <w:rPr>
          <w:rtl/>
        </w:rPr>
        <w:t xml:space="preserve"> </w:t>
      </w:r>
      <w:r w:rsidRPr="00E44EAA">
        <w:rPr>
          <w:rFonts w:hint="cs"/>
          <w:rtl/>
        </w:rPr>
        <w:t>הבוחר</w:t>
      </w:r>
      <w:r w:rsidRPr="00E44EAA">
        <w:rPr>
          <w:rtl/>
        </w:rPr>
        <w:t xml:space="preserve"> </w:t>
      </w:r>
      <w:r w:rsidRPr="00E44EAA">
        <w:rPr>
          <w:rFonts w:hint="cs"/>
          <w:rtl/>
        </w:rPr>
        <w:t>שחטא</w:t>
      </w:r>
      <w:r>
        <w:rPr>
          <w:rFonts w:hint="cs"/>
          <w:rtl/>
        </w:rPr>
        <w:t>,</w:t>
      </w:r>
      <w:r w:rsidRPr="00E44EAA">
        <w:rPr>
          <w:rtl/>
        </w:rPr>
        <w:t xml:space="preserve"> </w:t>
      </w:r>
      <w:r w:rsidRPr="00E44EAA">
        <w:rPr>
          <w:rFonts w:hint="cs"/>
          <w:rtl/>
        </w:rPr>
        <w:t>כותב</w:t>
      </w:r>
      <w:r w:rsidRPr="00E44EAA">
        <w:rPr>
          <w:rtl/>
        </w:rPr>
        <w:t xml:space="preserve"> </w:t>
      </w:r>
      <w:r w:rsidRPr="00E44EAA">
        <w:rPr>
          <w:rFonts w:hint="cs"/>
          <w:rtl/>
        </w:rPr>
        <w:t>הרבי</w:t>
      </w:r>
      <w:r w:rsidRPr="00E44EAA">
        <w:rPr>
          <w:rtl/>
        </w:rPr>
        <w:t xml:space="preserve"> </w:t>
      </w:r>
      <w:r w:rsidRPr="00E44EAA">
        <w:rPr>
          <w:rFonts w:hint="cs"/>
          <w:rtl/>
        </w:rPr>
        <w:t>כיון</w:t>
      </w:r>
      <w:r w:rsidRPr="00E44EAA">
        <w:rPr>
          <w:rtl/>
        </w:rPr>
        <w:t xml:space="preserve"> </w:t>
      </w:r>
      <w:r w:rsidRPr="00E44EAA">
        <w:rPr>
          <w:rFonts w:hint="cs"/>
          <w:rtl/>
        </w:rPr>
        <w:t>שלא</w:t>
      </w:r>
      <w:r w:rsidRPr="00E44EAA">
        <w:rPr>
          <w:rtl/>
        </w:rPr>
        <w:t xml:space="preserve"> </w:t>
      </w:r>
      <w:r w:rsidRPr="00E44EAA">
        <w:rPr>
          <w:rFonts w:hint="cs"/>
          <w:rtl/>
        </w:rPr>
        <w:t>זו</w:t>
      </w:r>
      <w:r w:rsidRPr="00E44EAA">
        <w:rPr>
          <w:rtl/>
        </w:rPr>
        <w:t xml:space="preserve"> (</w:t>
      </w:r>
      <w:r w:rsidRPr="00E44EAA">
        <w:rPr>
          <w:rFonts w:hint="cs"/>
          <w:rtl/>
        </w:rPr>
        <w:t>עבירה</w:t>
      </w:r>
      <w:r w:rsidRPr="00E44EAA">
        <w:rPr>
          <w:rtl/>
        </w:rPr>
        <w:t xml:space="preserve"> </w:t>
      </w:r>
      <w:r w:rsidRPr="00E44EAA">
        <w:rPr>
          <w:rFonts w:hint="cs"/>
          <w:rtl/>
        </w:rPr>
        <w:t>לשמה</w:t>
      </w:r>
      <w:r w:rsidRPr="00E44EAA">
        <w:rPr>
          <w:rtl/>
        </w:rPr>
        <w:t xml:space="preserve">) </w:t>
      </w:r>
      <w:r w:rsidRPr="00E44EAA">
        <w:rPr>
          <w:rFonts w:hint="cs"/>
          <w:rtl/>
        </w:rPr>
        <w:t>היא</w:t>
      </w:r>
      <w:r w:rsidRPr="00E44EAA">
        <w:rPr>
          <w:rtl/>
        </w:rPr>
        <w:t xml:space="preserve"> </w:t>
      </w:r>
      <w:r>
        <w:rPr>
          <w:rFonts w:hint="cs"/>
          <w:rtl/>
        </w:rPr>
        <w:t>הכוונה</w:t>
      </w:r>
      <w:r w:rsidRPr="00E44EAA">
        <w:rPr>
          <w:rtl/>
        </w:rPr>
        <w:t xml:space="preserve"> </w:t>
      </w:r>
      <w:r w:rsidRPr="00E44EAA">
        <w:rPr>
          <w:rFonts w:hint="cs"/>
          <w:rtl/>
        </w:rPr>
        <w:t>שלו</w:t>
      </w:r>
      <w:r>
        <w:rPr>
          <w:rFonts w:hint="cs"/>
          <w:rtl/>
        </w:rPr>
        <w:t>.</w:t>
      </w:r>
    </w:p>
    <w:p w14:paraId="3852003B" w14:textId="77777777" w:rsidR="00D42EB2" w:rsidRDefault="00D42EB2" w:rsidP="00D42EB2">
      <w:pPr>
        <w:pStyle w:val="a2"/>
        <w:rPr>
          <w:rtl/>
        </w:rPr>
      </w:pPr>
      <w:r w:rsidRPr="00E44EAA">
        <w:rPr>
          <w:rFonts w:hint="cs"/>
          <w:rtl/>
        </w:rPr>
        <w:t>והנה</w:t>
      </w:r>
      <w:r w:rsidRPr="00E44EAA">
        <w:rPr>
          <w:rtl/>
        </w:rPr>
        <w:t xml:space="preserve"> </w:t>
      </w:r>
      <w:r w:rsidRPr="00E44EAA">
        <w:rPr>
          <w:rFonts w:hint="cs"/>
          <w:rtl/>
        </w:rPr>
        <w:t>לפי</w:t>
      </w:r>
      <w:r w:rsidRPr="00E44EAA">
        <w:rPr>
          <w:rtl/>
        </w:rPr>
        <w:t xml:space="preserve"> </w:t>
      </w:r>
      <w:r w:rsidRPr="00E44EAA">
        <w:rPr>
          <w:rFonts w:hint="cs"/>
          <w:rtl/>
        </w:rPr>
        <w:t>זה</w:t>
      </w:r>
      <w:r w:rsidRPr="00E44EAA">
        <w:rPr>
          <w:rtl/>
        </w:rPr>
        <w:t xml:space="preserve"> </w:t>
      </w:r>
      <w:r w:rsidRPr="00E44EAA">
        <w:rPr>
          <w:rFonts w:hint="cs"/>
          <w:rtl/>
        </w:rPr>
        <w:t>ברור</w:t>
      </w:r>
      <w:r w:rsidRPr="00E44EAA">
        <w:rPr>
          <w:rtl/>
        </w:rPr>
        <w:t xml:space="preserve"> </w:t>
      </w:r>
      <w:r w:rsidRPr="00E44EAA">
        <w:rPr>
          <w:rFonts w:hint="cs"/>
          <w:rtl/>
        </w:rPr>
        <w:t>שלא</w:t>
      </w:r>
      <w:r w:rsidRPr="00E44EAA">
        <w:rPr>
          <w:rtl/>
        </w:rPr>
        <w:t xml:space="preserve"> </w:t>
      </w:r>
      <w:r w:rsidRPr="00E44EAA">
        <w:rPr>
          <w:rFonts w:hint="cs"/>
          <w:rtl/>
        </w:rPr>
        <w:t>יתכן</w:t>
      </w:r>
      <w:r w:rsidRPr="00E44EAA">
        <w:rPr>
          <w:rtl/>
        </w:rPr>
        <w:t xml:space="preserve"> </w:t>
      </w:r>
      <w:r w:rsidRPr="00E44EAA">
        <w:rPr>
          <w:rFonts w:hint="cs"/>
          <w:rtl/>
        </w:rPr>
        <w:t>לומר</w:t>
      </w:r>
      <w:r w:rsidRPr="00E44EAA">
        <w:rPr>
          <w:rtl/>
        </w:rPr>
        <w:t xml:space="preserve"> </w:t>
      </w:r>
      <w:r w:rsidRPr="00E44EAA">
        <w:rPr>
          <w:rFonts w:hint="cs"/>
          <w:rtl/>
        </w:rPr>
        <w:t>שלעולם</w:t>
      </w:r>
      <w:r w:rsidRPr="00E44EAA">
        <w:rPr>
          <w:rtl/>
        </w:rPr>
        <w:t xml:space="preserve"> </w:t>
      </w:r>
      <w:r w:rsidRPr="00E44EAA">
        <w:rPr>
          <w:rFonts w:hint="cs"/>
          <w:rtl/>
        </w:rPr>
        <w:t>יעשה</w:t>
      </w:r>
      <w:r w:rsidRPr="00E44EAA">
        <w:rPr>
          <w:rtl/>
        </w:rPr>
        <w:t xml:space="preserve"> </w:t>
      </w:r>
      <w:r w:rsidRPr="00E44EAA">
        <w:rPr>
          <w:rFonts w:hint="cs"/>
          <w:rtl/>
        </w:rPr>
        <w:t>אדם</w:t>
      </w:r>
      <w:r w:rsidRPr="00E44EAA">
        <w:rPr>
          <w:rtl/>
        </w:rPr>
        <w:t xml:space="preserve"> </w:t>
      </w:r>
      <w:r w:rsidRPr="00E44EAA">
        <w:rPr>
          <w:rFonts w:hint="cs"/>
          <w:rtl/>
        </w:rPr>
        <w:t>עבירות</w:t>
      </w:r>
      <w:r w:rsidRPr="00E44EAA">
        <w:rPr>
          <w:rtl/>
        </w:rPr>
        <w:t xml:space="preserve"> </w:t>
      </w:r>
      <w:r w:rsidRPr="00E44EAA">
        <w:rPr>
          <w:rFonts w:hint="cs"/>
          <w:rtl/>
        </w:rPr>
        <w:t>כי</w:t>
      </w:r>
      <w:r w:rsidRPr="00E44EAA">
        <w:rPr>
          <w:rtl/>
        </w:rPr>
        <w:t xml:space="preserve"> </w:t>
      </w:r>
      <w:r w:rsidRPr="00E44EAA">
        <w:rPr>
          <w:rFonts w:hint="cs"/>
          <w:rtl/>
        </w:rPr>
        <w:t>בוודאי</w:t>
      </w:r>
      <w:r w:rsidRPr="00E44EAA">
        <w:rPr>
          <w:rtl/>
        </w:rPr>
        <w:t xml:space="preserve"> </w:t>
      </w:r>
      <w:r w:rsidRPr="00E44EAA">
        <w:rPr>
          <w:rFonts w:hint="cs"/>
          <w:rtl/>
        </w:rPr>
        <w:t>בסופו</w:t>
      </w:r>
      <w:r w:rsidRPr="00E44EAA">
        <w:rPr>
          <w:rtl/>
        </w:rPr>
        <w:t xml:space="preserve"> </w:t>
      </w:r>
      <w:r w:rsidRPr="00E44EAA">
        <w:rPr>
          <w:rFonts w:hint="cs"/>
          <w:rtl/>
        </w:rPr>
        <w:t>לעשות</w:t>
      </w:r>
      <w:r w:rsidRPr="00E44EAA">
        <w:rPr>
          <w:rtl/>
        </w:rPr>
        <w:t xml:space="preserve"> </w:t>
      </w:r>
      <w:r w:rsidRPr="00E44EAA">
        <w:rPr>
          <w:rFonts w:hint="cs"/>
          <w:rtl/>
        </w:rPr>
        <w:t>תשובה</w:t>
      </w:r>
      <w:r w:rsidRPr="00E44EAA">
        <w:rPr>
          <w:rtl/>
        </w:rPr>
        <w:t xml:space="preserve"> </w:t>
      </w:r>
      <w:r w:rsidRPr="00E44EAA">
        <w:rPr>
          <w:rFonts w:hint="cs"/>
          <w:rtl/>
        </w:rPr>
        <w:t>ולא</w:t>
      </w:r>
      <w:r w:rsidRPr="00E44EAA">
        <w:rPr>
          <w:rtl/>
        </w:rPr>
        <w:t xml:space="preserve"> </w:t>
      </w:r>
      <w:r w:rsidRPr="00E44EAA">
        <w:rPr>
          <w:rFonts w:hint="cs"/>
          <w:rtl/>
        </w:rPr>
        <w:t>ידח</w:t>
      </w:r>
      <w:r w:rsidRPr="00E44EAA">
        <w:rPr>
          <w:rtl/>
        </w:rPr>
        <w:t xml:space="preserve"> </w:t>
      </w:r>
      <w:r w:rsidRPr="00E44EAA">
        <w:rPr>
          <w:rFonts w:hint="cs"/>
          <w:rtl/>
        </w:rPr>
        <w:t>ממנו</w:t>
      </w:r>
      <w:r w:rsidRPr="00E44EAA">
        <w:rPr>
          <w:rtl/>
        </w:rPr>
        <w:t xml:space="preserve"> </w:t>
      </w:r>
      <w:r w:rsidRPr="00E44EAA">
        <w:rPr>
          <w:rFonts w:hint="cs"/>
          <w:rtl/>
        </w:rPr>
        <w:t>נדח</w:t>
      </w:r>
      <w:r w:rsidRPr="00E44EAA">
        <w:rPr>
          <w:rtl/>
        </w:rPr>
        <w:t xml:space="preserve"> </w:t>
      </w:r>
      <w:r w:rsidRPr="00E44EAA">
        <w:rPr>
          <w:rFonts w:hint="cs"/>
          <w:rtl/>
        </w:rPr>
        <w:t>ויהיה</w:t>
      </w:r>
      <w:r w:rsidRPr="00E44EAA">
        <w:rPr>
          <w:rtl/>
        </w:rPr>
        <w:t xml:space="preserve"> </w:t>
      </w:r>
      <w:r w:rsidRPr="00E44EAA">
        <w:rPr>
          <w:rFonts w:hint="cs"/>
          <w:rtl/>
        </w:rPr>
        <w:t>מזה</w:t>
      </w:r>
      <w:r w:rsidRPr="00E44EAA">
        <w:rPr>
          <w:rtl/>
        </w:rPr>
        <w:t xml:space="preserve"> </w:t>
      </w:r>
      <w:r w:rsidRPr="00E44EAA">
        <w:rPr>
          <w:rFonts w:hint="cs"/>
          <w:rtl/>
        </w:rPr>
        <w:t>יתרון</w:t>
      </w:r>
      <w:r w:rsidRPr="00E44EAA">
        <w:rPr>
          <w:rtl/>
        </w:rPr>
        <w:t xml:space="preserve"> </w:t>
      </w:r>
      <w:r w:rsidRPr="00E44EAA">
        <w:rPr>
          <w:rFonts w:hint="cs"/>
          <w:rtl/>
        </w:rPr>
        <w:t>האור</w:t>
      </w:r>
      <w:r w:rsidRPr="00E44EAA">
        <w:rPr>
          <w:rtl/>
        </w:rPr>
        <w:t xml:space="preserve"> </w:t>
      </w:r>
      <w:r w:rsidRPr="00E44EAA">
        <w:rPr>
          <w:rFonts w:hint="cs"/>
          <w:rtl/>
        </w:rPr>
        <w:t>ועליה</w:t>
      </w:r>
      <w:r w:rsidRPr="00E44EAA">
        <w:rPr>
          <w:rtl/>
        </w:rPr>
        <w:t xml:space="preserve"> </w:t>
      </w:r>
      <w:r w:rsidRPr="00E44EAA">
        <w:rPr>
          <w:rFonts w:hint="cs"/>
          <w:rtl/>
        </w:rPr>
        <w:t>נעלית</w:t>
      </w:r>
      <w:r w:rsidRPr="00E44EAA">
        <w:rPr>
          <w:rtl/>
        </w:rPr>
        <w:t xml:space="preserve"> </w:t>
      </w:r>
      <w:r w:rsidRPr="00E44EAA">
        <w:rPr>
          <w:rFonts w:hint="cs"/>
          <w:rtl/>
        </w:rPr>
        <w:t>היותר</w:t>
      </w:r>
      <w:r w:rsidRPr="00E44EAA">
        <w:rPr>
          <w:rtl/>
        </w:rPr>
        <w:t xml:space="preserve"> </w:t>
      </w:r>
      <w:r w:rsidRPr="00E44EAA">
        <w:rPr>
          <w:rFonts w:hint="cs"/>
          <w:rtl/>
        </w:rPr>
        <w:t>ואף</w:t>
      </w:r>
      <w:r w:rsidRPr="00E44EAA">
        <w:rPr>
          <w:rtl/>
        </w:rPr>
        <w:t xml:space="preserve"> </w:t>
      </w:r>
      <w:r w:rsidRPr="00E44EAA">
        <w:rPr>
          <w:rFonts w:hint="cs"/>
          <w:rtl/>
        </w:rPr>
        <w:t>שזה</w:t>
      </w:r>
      <w:r w:rsidRPr="00E44EAA">
        <w:rPr>
          <w:rtl/>
        </w:rPr>
        <w:t xml:space="preserve"> </w:t>
      </w:r>
      <w:r w:rsidRPr="00E44EAA">
        <w:rPr>
          <w:rFonts w:hint="cs"/>
          <w:rtl/>
        </w:rPr>
        <w:t>אחטא</w:t>
      </w:r>
      <w:r w:rsidRPr="00E44EAA">
        <w:rPr>
          <w:rtl/>
        </w:rPr>
        <w:t xml:space="preserve"> </w:t>
      </w:r>
      <w:r w:rsidRPr="00E44EAA">
        <w:rPr>
          <w:rFonts w:hint="cs"/>
          <w:rtl/>
        </w:rPr>
        <w:t>ואשוב</w:t>
      </w:r>
      <w:r w:rsidRPr="00E44EAA">
        <w:rPr>
          <w:rtl/>
        </w:rPr>
        <w:t xml:space="preserve"> </w:t>
      </w:r>
      <w:r w:rsidRPr="00E44EAA">
        <w:rPr>
          <w:rFonts w:hint="cs"/>
          <w:rtl/>
        </w:rPr>
        <w:t>הרי</w:t>
      </w:r>
      <w:r w:rsidRPr="00E44EAA">
        <w:rPr>
          <w:rtl/>
        </w:rPr>
        <w:t xml:space="preserve"> </w:t>
      </w:r>
      <w:r w:rsidRPr="00E44EAA">
        <w:rPr>
          <w:rFonts w:hint="cs"/>
          <w:rtl/>
        </w:rPr>
        <w:t>אם</w:t>
      </w:r>
      <w:r w:rsidRPr="00E44EAA">
        <w:rPr>
          <w:rtl/>
        </w:rPr>
        <w:t xml:space="preserve"> </w:t>
      </w:r>
      <w:r w:rsidRPr="00E44EAA">
        <w:rPr>
          <w:rFonts w:hint="cs"/>
          <w:rtl/>
        </w:rPr>
        <w:t>דחק</w:t>
      </w:r>
      <w:r w:rsidRPr="00E44EAA">
        <w:rPr>
          <w:rtl/>
        </w:rPr>
        <w:t xml:space="preserve"> </w:t>
      </w:r>
      <w:r w:rsidRPr="00E44EAA">
        <w:rPr>
          <w:rFonts w:hint="cs"/>
          <w:rtl/>
        </w:rPr>
        <w:t>ונכנס</w:t>
      </w:r>
      <w:r w:rsidRPr="00E44EAA">
        <w:rPr>
          <w:rtl/>
        </w:rPr>
        <w:t xml:space="preserve"> </w:t>
      </w:r>
      <w:r w:rsidRPr="00E44EAA">
        <w:rPr>
          <w:rFonts w:hint="cs"/>
          <w:rtl/>
        </w:rPr>
        <w:t>הרי</w:t>
      </w:r>
      <w:r w:rsidRPr="00E44EAA">
        <w:rPr>
          <w:rtl/>
        </w:rPr>
        <w:t xml:space="preserve"> </w:t>
      </w:r>
      <w:r w:rsidRPr="00E44EAA">
        <w:rPr>
          <w:rFonts w:hint="cs"/>
          <w:rtl/>
        </w:rPr>
        <w:t>זה</w:t>
      </w:r>
      <w:r w:rsidRPr="00E44EAA">
        <w:rPr>
          <w:rtl/>
        </w:rPr>
        <w:t xml:space="preserve"> </w:t>
      </w:r>
      <w:r w:rsidRPr="00E44EAA">
        <w:rPr>
          <w:rFonts w:hint="cs"/>
          <w:rtl/>
        </w:rPr>
        <w:t>התשובה</w:t>
      </w:r>
      <w:r w:rsidRPr="00E44EAA">
        <w:rPr>
          <w:rtl/>
        </w:rPr>
        <w:t xml:space="preserve"> </w:t>
      </w:r>
      <w:r w:rsidRPr="00E44EAA">
        <w:rPr>
          <w:rFonts w:hint="cs"/>
          <w:rtl/>
        </w:rPr>
        <w:t>הנעלית</w:t>
      </w:r>
      <w:r w:rsidRPr="00E44EAA">
        <w:rPr>
          <w:rtl/>
        </w:rPr>
        <w:t xml:space="preserve"> </w:t>
      </w:r>
      <w:r w:rsidRPr="00E44EAA">
        <w:rPr>
          <w:rFonts w:hint="cs"/>
          <w:rtl/>
        </w:rPr>
        <w:t>ביותר</w:t>
      </w:r>
      <w:r w:rsidRPr="00E44EAA">
        <w:rPr>
          <w:rtl/>
        </w:rPr>
        <w:t xml:space="preserve"> </w:t>
      </w:r>
      <w:r w:rsidRPr="00E44EAA">
        <w:rPr>
          <w:rFonts w:hint="cs"/>
          <w:rtl/>
        </w:rPr>
        <w:t>גם</w:t>
      </w:r>
      <w:r w:rsidRPr="00E44EAA">
        <w:rPr>
          <w:rtl/>
        </w:rPr>
        <w:t xml:space="preserve"> </w:t>
      </w:r>
      <w:r w:rsidRPr="00E44EAA">
        <w:rPr>
          <w:rFonts w:hint="cs"/>
          <w:rtl/>
        </w:rPr>
        <w:t>מיום</w:t>
      </w:r>
      <w:r w:rsidRPr="00E44EAA">
        <w:rPr>
          <w:rtl/>
        </w:rPr>
        <w:t xml:space="preserve"> </w:t>
      </w:r>
      <w:r w:rsidRPr="00E44EAA">
        <w:rPr>
          <w:rFonts w:hint="cs"/>
          <w:rtl/>
        </w:rPr>
        <w:t>הכפורים</w:t>
      </w:r>
      <w:r w:rsidRPr="00E44EAA">
        <w:rPr>
          <w:rtl/>
        </w:rPr>
        <w:t xml:space="preserve"> </w:t>
      </w:r>
      <w:r w:rsidRPr="00E44EAA">
        <w:rPr>
          <w:rFonts w:hint="cs"/>
          <w:rtl/>
        </w:rPr>
        <w:t>שאינו</w:t>
      </w:r>
      <w:r w:rsidRPr="00E44EAA">
        <w:rPr>
          <w:rtl/>
        </w:rPr>
        <w:t xml:space="preserve"> </w:t>
      </w:r>
      <w:r w:rsidRPr="00E44EAA">
        <w:rPr>
          <w:rFonts w:hint="cs"/>
          <w:rtl/>
        </w:rPr>
        <w:t>מכפר</w:t>
      </w:r>
      <w:r>
        <w:rPr>
          <w:rFonts w:hint="cs"/>
          <w:rtl/>
        </w:rPr>
        <w:t>, נמצא ש</w:t>
      </w:r>
      <w:r w:rsidRPr="00E44EAA">
        <w:rPr>
          <w:rFonts w:hint="cs"/>
          <w:rtl/>
        </w:rPr>
        <w:t>יהיה</w:t>
      </w:r>
      <w:r w:rsidRPr="00E44EAA">
        <w:rPr>
          <w:rtl/>
        </w:rPr>
        <w:t xml:space="preserve"> </w:t>
      </w:r>
      <w:r w:rsidRPr="00E44EAA">
        <w:rPr>
          <w:rFonts w:hint="cs"/>
          <w:rtl/>
        </w:rPr>
        <w:t>מזה</w:t>
      </w:r>
      <w:r w:rsidRPr="00E44EAA">
        <w:rPr>
          <w:rtl/>
        </w:rPr>
        <w:t xml:space="preserve"> </w:t>
      </w:r>
      <w:r w:rsidRPr="00E44EAA">
        <w:rPr>
          <w:rFonts w:hint="cs"/>
          <w:rtl/>
        </w:rPr>
        <w:t>עליה</w:t>
      </w:r>
      <w:r w:rsidRPr="00E44EAA">
        <w:rPr>
          <w:rtl/>
        </w:rPr>
        <w:t xml:space="preserve"> </w:t>
      </w:r>
      <w:r w:rsidRPr="00E44EAA">
        <w:rPr>
          <w:rFonts w:hint="cs"/>
          <w:rtl/>
        </w:rPr>
        <w:t>יותר</w:t>
      </w:r>
      <w:r w:rsidRPr="00E44EAA">
        <w:rPr>
          <w:rtl/>
        </w:rPr>
        <w:t xml:space="preserve"> </w:t>
      </w:r>
      <w:r w:rsidRPr="00E44EAA">
        <w:rPr>
          <w:rFonts w:hint="cs"/>
          <w:rtl/>
        </w:rPr>
        <w:t>גדולה</w:t>
      </w:r>
      <w:r>
        <w:rPr>
          <w:rFonts w:hint="cs"/>
          <w:rtl/>
        </w:rPr>
        <w:t>.</w:t>
      </w:r>
    </w:p>
    <w:p w14:paraId="3CDF9D58" w14:textId="77777777" w:rsidR="00D42EB2" w:rsidRPr="00E44EAA" w:rsidRDefault="00D42EB2" w:rsidP="00D42EB2">
      <w:pPr>
        <w:pStyle w:val="a2"/>
        <w:rPr>
          <w:rtl/>
        </w:rPr>
      </w:pPr>
      <w:r w:rsidRPr="00E44EAA">
        <w:rPr>
          <w:rFonts w:hint="cs"/>
          <w:rtl/>
        </w:rPr>
        <w:t>כי</w:t>
      </w:r>
      <w:r w:rsidRPr="00E44EAA">
        <w:rPr>
          <w:rtl/>
        </w:rPr>
        <w:t xml:space="preserve"> </w:t>
      </w:r>
      <w:r w:rsidRPr="00E44EAA">
        <w:rPr>
          <w:rFonts w:hint="cs"/>
          <w:rtl/>
        </w:rPr>
        <w:t>אם</w:t>
      </w:r>
      <w:r w:rsidRPr="00E44EAA">
        <w:rPr>
          <w:rtl/>
        </w:rPr>
        <w:t xml:space="preserve"> </w:t>
      </w:r>
      <w:r w:rsidRPr="00E44EAA">
        <w:rPr>
          <w:rFonts w:hint="cs"/>
          <w:rtl/>
        </w:rPr>
        <w:t>עושה</w:t>
      </w:r>
      <w:r w:rsidRPr="00E44EAA">
        <w:rPr>
          <w:rtl/>
        </w:rPr>
        <w:t xml:space="preserve"> </w:t>
      </w:r>
      <w:r w:rsidRPr="00E44EAA">
        <w:rPr>
          <w:rFonts w:hint="cs"/>
          <w:rtl/>
        </w:rPr>
        <w:t>העבירה</w:t>
      </w:r>
      <w:r w:rsidRPr="00E44EAA">
        <w:rPr>
          <w:rtl/>
        </w:rPr>
        <w:t xml:space="preserve"> </w:t>
      </w:r>
      <w:r w:rsidRPr="00E44EAA">
        <w:rPr>
          <w:rFonts w:hint="cs"/>
          <w:rtl/>
        </w:rPr>
        <w:t>וכוונתו</w:t>
      </w:r>
      <w:r w:rsidRPr="00E44EAA">
        <w:rPr>
          <w:rtl/>
        </w:rPr>
        <w:t xml:space="preserve"> </w:t>
      </w:r>
      <w:r w:rsidRPr="00E44EAA">
        <w:rPr>
          <w:rFonts w:hint="cs"/>
          <w:rtl/>
        </w:rPr>
        <w:t>לשם</w:t>
      </w:r>
      <w:r w:rsidRPr="00E44EAA">
        <w:rPr>
          <w:rtl/>
        </w:rPr>
        <w:t xml:space="preserve"> </w:t>
      </w:r>
      <w:r w:rsidRPr="00E44EAA">
        <w:rPr>
          <w:rFonts w:hint="cs"/>
          <w:rtl/>
        </w:rPr>
        <w:t>יחוד</w:t>
      </w:r>
      <w:r w:rsidRPr="00E44EAA">
        <w:rPr>
          <w:rtl/>
        </w:rPr>
        <w:t xml:space="preserve"> </w:t>
      </w:r>
      <w:r w:rsidRPr="00E44EAA">
        <w:rPr>
          <w:rFonts w:hint="cs"/>
          <w:rtl/>
        </w:rPr>
        <w:t>שיהיה</w:t>
      </w:r>
      <w:r w:rsidRPr="00E44EAA">
        <w:rPr>
          <w:rtl/>
        </w:rPr>
        <w:t xml:space="preserve"> </w:t>
      </w:r>
      <w:r w:rsidRPr="00E44EAA">
        <w:rPr>
          <w:rFonts w:hint="cs"/>
          <w:rtl/>
        </w:rPr>
        <w:t>כל</w:t>
      </w:r>
      <w:r w:rsidRPr="00E44EAA">
        <w:rPr>
          <w:rtl/>
        </w:rPr>
        <w:t xml:space="preserve"> </w:t>
      </w:r>
      <w:r w:rsidRPr="00E44EAA">
        <w:rPr>
          <w:rFonts w:hint="cs"/>
          <w:rtl/>
        </w:rPr>
        <w:t>העליות</w:t>
      </w:r>
      <w:r w:rsidRPr="00E44EAA">
        <w:rPr>
          <w:rtl/>
        </w:rPr>
        <w:t xml:space="preserve"> </w:t>
      </w:r>
      <w:r>
        <w:rPr>
          <w:rFonts w:hint="cs"/>
          <w:rtl/>
        </w:rPr>
        <w:t xml:space="preserve">וגדולה </w:t>
      </w:r>
      <w:r w:rsidRPr="00E44EAA">
        <w:rPr>
          <w:rFonts w:hint="cs"/>
          <w:rtl/>
        </w:rPr>
        <w:t>עב</w:t>
      </w:r>
      <w:r>
        <w:rPr>
          <w:rFonts w:hint="cs"/>
          <w:rtl/>
        </w:rPr>
        <w:t>י</w:t>
      </w:r>
      <w:r w:rsidRPr="00E44EAA">
        <w:rPr>
          <w:rFonts w:hint="cs"/>
          <w:rtl/>
        </w:rPr>
        <w:t>רה</w:t>
      </w:r>
      <w:r w:rsidRPr="00E44EAA">
        <w:rPr>
          <w:rtl/>
        </w:rPr>
        <w:t xml:space="preserve"> </w:t>
      </w:r>
      <w:r w:rsidRPr="00E44EAA">
        <w:rPr>
          <w:rFonts w:hint="cs"/>
          <w:rtl/>
        </w:rPr>
        <w:t>לשמה</w:t>
      </w:r>
      <w:r w:rsidRPr="00E44EAA">
        <w:rPr>
          <w:rtl/>
        </w:rPr>
        <w:t xml:space="preserve"> </w:t>
      </w:r>
      <w:r w:rsidRPr="00E44EAA">
        <w:rPr>
          <w:rFonts w:hint="cs"/>
          <w:rtl/>
        </w:rPr>
        <w:t>יותר</w:t>
      </w:r>
      <w:r w:rsidRPr="00E44EAA">
        <w:rPr>
          <w:rtl/>
        </w:rPr>
        <w:t xml:space="preserve"> </w:t>
      </w:r>
      <w:r w:rsidRPr="00E44EAA">
        <w:rPr>
          <w:rFonts w:hint="cs"/>
          <w:rtl/>
        </w:rPr>
        <w:t>ממצוה</w:t>
      </w:r>
      <w:r w:rsidRPr="00E44EAA">
        <w:rPr>
          <w:rtl/>
        </w:rPr>
        <w:t xml:space="preserve"> </w:t>
      </w:r>
      <w:r w:rsidRPr="00E44EAA">
        <w:rPr>
          <w:rFonts w:hint="cs"/>
          <w:rtl/>
        </w:rPr>
        <w:t>שלא</w:t>
      </w:r>
      <w:r w:rsidRPr="00E44EAA">
        <w:rPr>
          <w:rtl/>
        </w:rPr>
        <w:t xml:space="preserve"> </w:t>
      </w:r>
      <w:r w:rsidRPr="00E44EAA">
        <w:rPr>
          <w:rFonts w:hint="cs"/>
          <w:rtl/>
        </w:rPr>
        <w:t>לשמה</w:t>
      </w:r>
      <w:r>
        <w:rPr>
          <w:rFonts w:hint="cs"/>
          <w:rtl/>
        </w:rPr>
        <w:t>,</w:t>
      </w:r>
      <w:r w:rsidRPr="00E44EAA">
        <w:rPr>
          <w:rtl/>
        </w:rPr>
        <w:t xml:space="preserve"> </w:t>
      </w:r>
      <w:r>
        <w:rPr>
          <w:rFonts w:hint="cs"/>
          <w:rtl/>
        </w:rPr>
        <w:t xml:space="preserve">הנה </w:t>
      </w:r>
      <w:r w:rsidRPr="00E44EAA">
        <w:rPr>
          <w:rFonts w:hint="cs"/>
          <w:rtl/>
        </w:rPr>
        <w:t>אז</w:t>
      </w:r>
      <w:r w:rsidRPr="00E44EAA">
        <w:rPr>
          <w:rtl/>
        </w:rPr>
        <w:t xml:space="preserve"> </w:t>
      </w:r>
      <w:r w:rsidRPr="00E44EAA">
        <w:rPr>
          <w:rFonts w:hint="cs"/>
          <w:rtl/>
        </w:rPr>
        <w:t>נאמר</w:t>
      </w:r>
      <w:r w:rsidRPr="00E44EAA">
        <w:rPr>
          <w:rtl/>
        </w:rPr>
        <w:t xml:space="preserve"> </w:t>
      </w:r>
      <w:r w:rsidRPr="00E44EAA">
        <w:rPr>
          <w:rFonts w:hint="cs"/>
          <w:rtl/>
        </w:rPr>
        <w:t>לו</w:t>
      </w:r>
      <w:r w:rsidRPr="00E44EAA">
        <w:rPr>
          <w:rtl/>
        </w:rPr>
        <w:t xml:space="preserve"> </w:t>
      </w:r>
      <w:r w:rsidRPr="00E44EAA">
        <w:rPr>
          <w:rFonts w:hint="cs"/>
          <w:rtl/>
        </w:rPr>
        <w:t>שיחפש</w:t>
      </w:r>
      <w:r w:rsidRPr="00E44EAA">
        <w:rPr>
          <w:rtl/>
        </w:rPr>
        <w:t xml:space="preserve"> </w:t>
      </w:r>
      <w:r w:rsidRPr="00E44EAA">
        <w:rPr>
          <w:rFonts w:hint="cs"/>
          <w:rtl/>
        </w:rPr>
        <w:t>מצוות</w:t>
      </w:r>
      <w:r w:rsidRPr="00E44EAA">
        <w:rPr>
          <w:rtl/>
        </w:rPr>
        <w:t xml:space="preserve"> </w:t>
      </w:r>
      <w:r w:rsidRPr="00E44EAA">
        <w:rPr>
          <w:rFonts w:hint="cs"/>
          <w:rtl/>
        </w:rPr>
        <w:t>אחרות</w:t>
      </w:r>
      <w:r w:rsidRPr="00E44EAA">
        <w:rPr>
          <w:rtl/>
        </w:rPr>
        <w:t xml:space="preserve"> </w:t>
      </w:r>
      <w:r w:rsidRPr="00E44EAA">
        <w:rPr>
          <w:rFonts w:hint="cs"/>
          <w:rtl/>
        </w:rPr>
        <w:t>לשמה</w:t>
      </w:r>
      <w:r w:rsidRPr="00E44EAA">
        <w:rPr>
          <w:rtl/>
        </w:rPr>
        <w:t xml:space="preserve">, </w:t>
      </w:r>
      <w:r w:rsidRPr="00E44EAA">
        <w:rPr>
          <w:rFonts w:hint="cs"/>
          <w:rtl/>
        </w:rPr>
        <w:t>אבל</w:t>
      </w:r>
      <w:r w:rsidRPr="00E44EAA">
        <w:rPr>
          <w:rtl/>
        </w:rPr>
        <w:t xml:space="preserve"> </w:t>
      </w:r>
      <w:r w:rsidRPr="00E44EAA">
        <w:rPr>
          <w:rFonts w:hint="cs"/>
          <w:rtl/>
        </w:rPr>
        <w:t>העונש</w:t>
      </w:r>
      <w:r w:rsidRPr="00E44EAA">
        <w:rPr>
          <w:rtl/>
        </w:rPr>
        <w:t xml:space="preserve"> </w:t>
      </w:r>
      <w:r w:rsidRPr="00E44EAA">
        <w:rPr>
          <w:rFonts w:hint="cs"/>
          <w:rtl/>
        </w:rPr>
        <w:t>הוא</w:t>
      </w:r>
      <w:r w:rsidRPr="00E44EAA">
        <w:rPr>
          <w:rtl/>
        </w:rPr>
        <w:t xml:space="preserve"> </w:t>
      </w:r>
      <w:r w:rsidRPr="00E44EAA">
        <w:rPr>
          <w:rFonts w:hint="cs"/>
          <w:rtl/>
        </w:rPr>
        <w:t>אכן</w:t>
      </w:r>
      <w:r w:rsidRPr="00E44EAA">
        <w:rPr>
          <w:rtl/>
        </w:rPr>
        <w:t xml:space="preserve"> </w:t>
      </w:r>
      <w:r w:rsidRPr="00E44EAA">
        <w:rPr>
          <w:rFonts w:hint="cs"/>
          <w:rtl/>
        </w:rPr>
        <w:t>כי</w:t>
      </w:r>
      <w:r w:rsidRPr="00E44EAA">
        <w:rPr>
          <w:rtl/>
        </w:rPr>
        <w:t xml:space="preserve"> </w:t>
      </w:r>
      <w:r w:rsidRPr="00E44EAA">
        <w:rPr>
          <w:rFonts w:hint="cs"/>
          <w:rtl/>
        </w:rPr>
        <w:t>זה</w:t>
      </w:r>
      <w:r w:rsidRPr="00E44EAA">
        <w:rPr>
          <w:rtl/>
        </w:rPr>
        <w:t xml:space="preserve"> </w:t>
      </w:r>
      <w:r w:rsidRPr="00E44EAA">
        <w:rPr>
          <w:rFonts w:hint="cs"/>
          <w:rtl/>
        </w:rPr>
        <w:t>לא</w:t>
      </w:r>
      <w:r w:rsidRPr="00E44EAA">
        <w:rPr>
          <w:rtl/>
        </w:rPr>
        <w:t xml:space="preserve"> </w:t>
      </w:r>
      <w:r w:rsidRPr="00E44EAA">
        <w:rPr>
          <w:rFonts w:hint="cs"/>
          <w:rtl/>
        </w:rPr>
        <w:t>הכוונה</w:t>
      </w:r>
      <w:r w:rsidRPr="00E44EAA">
        <w:rPr>
          <w:rtl/>
        </w:rPr>
        <w:t xml:space="preserve"> </w:t>
      </w:r>
      <w:r w:rsidRPr="00E44EAA">
        <w:rPr>
          <w:rFonts w:hint="cs"/>
          <w:rtl/>
        </w:rPr>
        <w:t>שלו</w:t>
      </w:r>
      <w:r w:rsidRPr="00E44EAA">
        <w:rPr>
          <w:rtl/>
        </w:rPr>
        <w:t xml:space="preserve"> </w:t>
      </w:r>
      <w:r w:rsidRPr="00E44EAA">
        <w:rPr>
          <w:rFonts w:hint="cs"/>
          <w:rtl/>
        </w:rPr>
        <w:t>כי</w:t>
      </w:r>
      <w:r w:rsidRPr="00E44EAA">
        <w:rPr>
          <w:rtl/>
        </w:rPr>
        <w:t xml:space="preserve"> </w:t>
      </w:r>
      <w:r w:rsidRPr="00E44EAA">
        <w:rPr>
          <w:rFonts w:hint="cs"/>
          <w:rtl/>
        </w:rPr>
        <w:t>הטענה</w:t>
      </w:r>
      <w:r w:rsidRPr="00E44EAA">
        <w:rPr>
          <w:rtl/>
        </w:rPr>
        <w:t xml:space="preserve"> </w:t>
      </w:r>
      <w:r w:rsidRPr="00E44EAA">
        <w:rPr>
          <w:rFonts w:hint="cs"/>
          <w:rtl/>
        </w:rPr>
        <w:t>אליו</w:t>
      </w:r>
      <w:r w:rsidRPr="00E44EAA">
        <w:rPr>
          <w:rtl/>
        </w:rPr>
        <w:t xml:space="preserve"> </w:t>
      </w:r>
      <w:r w:rsidRPr="00E44EAA">
        <w:rPr>
          <w:rFonts w:hint="cs"/>
          <w:rtl/>
        </w:rPr>
        <w:t>היא</w:t>
      </w:r>
      <w:r w:rsidRPr="00E44EAA">
        <w:rPr>
          <w:rtl/>
        </w:rPr>
        <w:t xml:space="preserve"> </w:t>
      </w:r>
      <w:r w:rsidRPr="00E44EAA">
        <w:rPr>
          <w:rFonts w:hint="cs"/>
          <w:rtl/>
        </w:rPr>
        <w:t>שאם</w:t>
      </w:r>
      <w:r w:rsidRPr="00E44EAA">
        <w:rPr>
          <w:rtl/>
        </w:rPr>
        <w:t xml:space="preserve"> </w:t>
      </w:r>
      <w:r w:rsidRPr="00E44EAA">
        <w:rPr>
          <w:rFonts w:hint="cs"/>
          <w:rtl/>
        </w:rPr>
        <w:t>כבר</w:t>
      </w:r>
      <w:r w:rsidRPr="00E44EAA">
        <w:rPr>
          <w:rtl/>
        </w:rPr>
        <w:t xml:space="preserve"> </w:t>
      </w:r>
      <w:r w:rsidRPr="00E44EAA">
        <w:rPr>
          <w:rFonts w:hint="cs"/>
          <w:rtl/>
        </w:rPr>
        <w:t>חטא</w:t>
      </w:r>
      <w:r w:rsidRPr="00E44EAA">
        <w:rPr>
          <w:rtl/>
        </w:rPr>
        <w:t xml:space="preserve"> </w:t>
      </w:r>
      <w:r w:rsidRPr="00E44EAA">
        <w:rPr>
          <w:rFonts w:hint="cs"/>
          <w:rtl/>
        </w:rPr>
        <w:t>היה</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lastRenderedPageBreak/>
        <w:t>לשמה</w:t>
      </w:r>
      <w:r w:rsidRPr="00E44EAA">
        <w:rPr>
          <w:rtl/>
        </w:rPr>
        <w:t xml:space="preserve"> </w:t>
      </w:r>
      <w:r w:rsidRPr="00E44EAA">
        <w:rPr>
          <w:rFonts w:hint="cs"/>
          <w:rtl/>
        </w:rPr>
        <w:t>והוא</w:t>
      </w:r>
      <w:r w:rsidRPr="00E44EAA">
        <w:rPr>
          <w:rtl/>
        </w:rPr>
        <w:t xml:space="preserve"> </w:t>
      </w:r>
      <w:r w:rsidRPr="00E44EAA">
        <w:rPr>
          <w:rFonts w:hint="cs"/>
          <w:rtl/>
        </w:rPr>
        <w:t>חטא</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Pr>
          <w:rFonts w:hint="cs"/>
          <w:rtl/>
        </w:rPr>
        <w:t>וזה פשוט שאין לומר</w:t>
      </w:r>
      <w:r w:rsidRPr="00E44EAA">
        <w:rPr>
          <w:rtl/>
        </w:rPr>
        <w:t xml:space="preserve"> </w:t>
      </w:r>
      <w:r w:rsidRPr="00E44EAA">
        <w:rPr>
          <w:rFonts w:hint="cs"/>
          <w:rtl/>
        </w:rPr>
        <w:t>שלעולם</w:t>
      </w:r>
      <w:r w:rsidRPr="00E44EAA">
        <w:rPr>
          <w:rtl/>
        </w:rPr>
        <w:t xml:space="preserve"> </w:t>
      </w:r>
      <w:r w:rsidRPr="00E44EAA">
        <w:rPr>
          <w:rFonts w:hint="cs"/>
          <w:rtl/>
        </w:rPr>
        <w:t>יחטא</w:t>
      </w:r>
      <w:r w:rsidRPr="00E44EAA">
        <w:rPr>
          <w:rtl/>
        </w:rPr>
        <w:t xml:space="preserve"> </w:t>
      </w:r>
      <w:r w:rsidRPr="00E44EAA">
        <w:rPr>
          <w:rFonts w:hint="cs"/>
          <w:rtl/>
        </w:rPr>
        <w:t>אפילו</w:t>
      </w:r>
      <w:r w:rsidRPr="00E44EAA">
        <w:rPr>
          <w:rtl/>
        </w:rPr>
        <w:t xml:space="preserve"> </w:t>
      </w:r>
      <w:r w:rsidRPr="00E44EAA">
        <w:rPr>
          <w:rFonts w:hint="cs"/>
          <w:rtl/>
        </w:rPr>
        <w:t>שלא</w:t>
      </w:r>
      <w:r w:rsidRPr="00E44EAA">
        <w:rPr>
          <w:rtl/>
        </w:rPr>
        <w:t xml:space="preserve"> </w:t>
      </w:r>
      <w:r w:rsidRPr="00E44EAA">
        <w:rPr>
          <w:rFonts w:hint="cs"/>
          <w:rtl/>
        </w:rPr>
        <w:t>לשמה</w:t>
      </w:r>
      <w:r>
        <w:rPr>
          <w:rFonts w:hint="cs"/>
          <w:rtl/>
        </w:rPr>
        <w:t>.</w:t>
      </w:r>
    </w:p>
    <w:p w14:paraId="69A3FE80" w14:textId="77777777" w:rsidR="00D42EB2" w:rsidRPr="00E44EAA" w:rsidRDefault="00D42EB2" w:rsidP="00D42EB2">
      <w:pPr>
        <w:pStyle w:val="a2"/>
        <w:rPr>
          <w:rtl/>
        </w:rPr>
      </w:pPr>
      <w:r w:rsidRPr="00E44EAA">
        <w:rPr>
          <w:rFonts w:hint="cs"/>
          <w:rtl/>
        </w:rPr>
        <w:t>אבל</w:t>
      </w:r>
      <w:r w:rsidRPr="00E44EAA">
        <w:rPr>
          <w:rtl/>
        </w:rPr>
        <w:t xml:space="preserve"> </w:t>
      </w:r>
      <w:r w:rsidRPr="00E44EAA">
        <w:rPr>
          <w:rFonts w:hint="cs"/>
          <w:rtl/>
        </w:rPr>
        <w:t>ב</w:t>
      </w:r>
      <w:r>
        <w:rPr>
          <w:rFonts w:hint="cs"/>
          <w:rtl/>
        </w:rPr>
        <w:t xml:space="preserve">לימוד </w:t>
      </w:r>
      <w:r w:rsidRPr="00E44EAA">
        <w:rPr>
          <w:rFonts w:hint="cs"/>
          <w:rtl/>
        </w:rPr>
        <w:t>תורה</w:t>
      </w:r>
      <w:r>
        <w:rPr>
          <w:rFonts w:hint="cs"/>
          <w:rtl/>
        </w:rPr>
        <w:t xml:space="preserve"> שלא לשמה ממש</w:t>
      </w:r>
      <w:r w:rsidRPr="00E44EAA">
        <w:rPr>
          <w:rtl/>
        </w:rPr>
        <w:t xml:space="preserve"> </w:t>
      </w:r>
      <w:r w:rsidRPr="00E44EAA">
        <w:rPr>
          <w:rFonts w:hint="cs"/>
          <w:rtl/>
        </w:rPr>
        <w:t>אין</w:t>
      </w:r>
      <w:r w:rsidRPr="00E44EAA">
        <w:rPr>
          <w:rtl/>
        </w:rPr>
        <w:t xml:space="preserve"> </w:t>
      </w:r>
      <w:r w:rsidRPr="00E44EAA">
        <w:rPr>
          <w:rFonts w:hint="cs"/>
          <w:rtl/>
        </w:rPr>
        <w:t>לבוא</w:t>
      </w:r>
      <w:r w:rsidRPr="00E44EAA">
        <w:rPr>
          <w:rtl/>
        </w:rPr>
        <w:t xml:space="preserve"> </w:t>
      </w:r>
      <w:r w:rsidRPr="00E44EAA">
        <w:rPr>
          <w:rFonts w:hint="cs"/>
          <w:rtl/>
        </w:rPr>
        <w:t>בטענה</w:t>
      </w:r>
      <w:r w:rsidRPr="00E44EAA">
        <w:rPr>
          <w:rtl/>
        </w:rPr>
        <w:t xml:space="preserve"> </w:t>
      </w:r>
      <w:r w:rsidRPr="00E44EAA">
        <w:rPr>
          <w:rFonts w:hint="cs"/>
          <w:rtl/>
        </w:rPr>
        <w:t>על</w:t>
      </w:r>
      <w:r w:rsidRPr="00E44EAA">
        <w:rPr>
          <w:rtl/>
        </w:rPr>
        <w:t xml:space="preserve"> </w:t>
      </w:r>
      <w:r w:rsidRPr="00E44EAA">
        <w:rPr>
          <w:rFonts w:hint="cs"/>
          <w:rtl/>
        </w:rPr>
        <w:t>העבירה</w:t>
      </w:r>
      <w:r w:rsidRPr="00E44EAA">
        <w:rPr>
          <w:rtl/>
        </w:rPr>
        <w:t xml:space="preserve"> </w:t>
      </w:r>
      <w:r w:rsidRPr="00E44EAA">
        <w:rPr>
          <w:rFonts w:hint="cs"/>
          <w:rtl/>
        </w:rPr>
        <w:t>שעשה</w:t>
      </w:r>
      <w:r w:rsidRPr="00E44EAA">
        <w:rPr>
          <w:rtl/>
        </w:rPr>
        <w:t xml:space="preserve"> </w:t>
      </w:r>
      <w:r w:rsidRPr="00E44EAA">
        <w:rPr>
          <w:rFonts w:hint="cs"/>
          <w:rtl/>
        </w:rPr>
        <w:t>והכניס</w:t>
      </w:r>
      <w:r w:rsidRPr="00E44EAA">
        <w:rPr>
          <w:rtl/>
        </w:rPr>
        <w:t xml:space="preserve"> </w:t>
      </w:r>
      <w:r w:rsidRPr="00E44EAA">
        <w:rPr>
          <w:rFonts w:hint="cs"/>
          <w:rtl/>
        </w:rPr>
        <w:t>כח</w:t>
      </w:r>
      <w:r w:rsidRPr="00E44EAA">
        <w:rPr>
          <w:rtl/>
        </w:rPr>
        <w:t xml:space="preserve"> </w:t>
      </w:r>
      <w:r w:rsidRPr="00E44EAA">
        <w:rPr>
          <w:rFonts w:hint="cs"/>
          <w:rtl/>
        </w:rPr>
        <w:t>בקליפות</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שלמד</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עד</w:t>
      </w:r>
      <w:r w:rsidRPr="00E44EAA">
        <w:rPr>
          <w:rtl/>
        </w:rPr>
        <w:t xml:space="preserve"> </w:t>
      </w:r>
      <w:r w:rsidRPr="00E44EAA">
        <w:rPr>
          <w:rFonts w:hint="cs"/>
          <w:rtl/>
        </w:rPr>
        <w:t>שצריך</w:t>
      </w:r>
      <w:r w:rsidRPr="00E44EAA">
        <w:rPr>
          <w:rtl/>
        </w:rPr>
        <w:t xml:space="preserve"> </w:t>
      </w:r>
      <w:r w:rsidRPr="00E44EAA">
        <w:rPr>
          <w:rFonts w:hint="cs"/>
          <w:rtl/>
        </w:rPr>
        <w:t>לחזור</w:t>
      </w:r>
      <w:r w:rsidRPr="00E44EAA">
        <w:rPr>
          <w:rtl/>
        </w:rPr>
        <w:t xml:space="preserve"> </w:t>
      </w:r>
      <w:r w:rsidRPr="00E44EAA">
        <w:rPr>
          <w:rFonts w:hint="cs"/>
          <w:rtl/>
        </w:rPr>
        <w:t>על</w:t>
      </w:r>
      <w:r w:rsidRPr="00E44EAA">
        <w:rPr>
          <w:rtl/>
        </w:rPr>
        <w:t xml:space="preserve"> </w:t>
      </w:r>
      <w:r w:rsidRPr="00E44EAA">
        <w:rPr>
          <w:rFonts w:hint="cs"/>
          <w:rtl/>
        </w:rPr>
        <w:t>זה</w:t>
      </w:r>
      <w:r w:rsidRPr="00E44EAA">
        <w:rPr>
          <w:rtl/>
        </w:rPr>
        <w:t xml:space="preserve"> </w:t>
      </w:r>
      <w:r w:rsidRPr="00E44EAA">
        <w:rPr>
          <w:rFonts w:hint="cs"/>
          <w:rtl/>
        </w:rPr>
        <w:t>בתשובה</w:t>
      </w:r>
      <w:r w:rsidRPr="00E44EAA">
        <w:rPr>
          <w:rtl/>
        </w:rPr>
        <w:t xml:space="preserve"> </w:t>
      </w:r>
      <w:r w:rsidRPr="00E44EAA">
        <w:rPr>
          <w:rFonts w:hint="cs"/>
          <w:rtl/>
        </w:rPr>
        <w:t>כמו</w:t>
      </w:r>
      <w:r w:rsidRPr="00E44EAA">
        <w:rPr>
          <w:rtl/>
        </w:rPr>
        <w:t xml:space="preserve"> </w:t>
      </w:r>
      <w:r w:rsidRPr="00E44EAA">
        <w:rPr>
          <w:rFonts w:hint="cs"/>
          <w:rtl/>
        </w:rPr>
        <w:t>בכל</w:t>
      </w:r>
      <w:r w:rsidRPr="00E44EAA">
        <w:rPr>
          <w:rtl/>
        </w:rPr>
        <w:t xml:space="preserve"> </w:t>
      </w:r>
      <w:r w:rsidRPr="00E44EAA">
        <w:rPr>
          <w:rFonts w:hint="cs"/>
          <w:rtl/>
        </w:rPr>
        <w:t>עבירה</w:t>
      </w:r>
      <w:r w:rsidRPr="00E44EAA">
        <w:rPr>
          <w:rtl/>
        </w:rPr>
        <w:t xml:space="preserve">, </w:t>
      </w:r>
      <w:r w:rsidRPr="00E44EAA">
        <w:rPr>
          <w:rFonts w:hint="cs"/>
          <w:rtl/>
        </w:rPr>
        <w:t>כי</w:t>
      </w:r>
      <w:r w:rsidRPr="00E44EAA">
        <w:rPr>
          <w:rtl/>
        </w:rPr>
        <w:t xml:space="preserve"> </w:t>
      </w:r>
      <w:r w:rsidRPr="00E44EAA">
        <w:rPr>
          <w:rFonts w:hint="cs"/>
          <w:rtl/>
        </w:rPr>
        <w:t>מה</w:t>
      </w:r>
      <w:r w:rsidRPr="00E44EAA">
        <w:rPr>
          <w:rtl/>
        </w:rPr>
        <w:t xml:space="preserve"> </w:t>
      </w:r>
      <w:r w:rsidRPr="00E44EAA">
        <w:rPr>
          <w:rFonts w:hint="cs"/>
          <w:rtl/>
        </w:rPr>
        <w:t>יהיה</w:t>
      </w:r>
      <w:r w:rsidRPr="00E44EAA">
        <w:rPr>
          <w:rtl/>
        </w:rPr>
        <w:t xml:space="preserve"> </w:t>
      </w:r>
      <w:r w:rsidRPr="00E44EAA">
        <w:rPr>
          <w:rFonts w:hint="cs"/>
          <w:rtl/>
        </w:rPr>
        <w:t>הטענה</w:t>
      </w:r>
      <w:r w:rsidRPr="00E44EAA">
        <w:rPr>
          <w:rtl/>
        </w:rPr>
        <w:t xml:space="preserve"> </w:t>
      </w:r>
      <w:r w:rsidRPr="00E44EAA">
        <w:rPr>
          <w:rFonts w:hint="cs"/>
          <w:rtl/>
        </w:rPr>
        <w:t>שהיה</w:t>
      </w:r>
      <w:r w:rsidRPr="00E44EAA">
        <w:rPr>
          <w:rtl/>
        </w:rPr>
        <w:t xml:space="preserve"> </w:t>
      </w:r>
      <w:r w:rsidRPr="00E44EAA">
        <w:rPr>
          <w:rFonts w:hint="cs"/>
          <w:rtl/>
        </w:rPr>
        <w:t>צריך</w:t>
      </w:r>
      <w:r w:rsidRPr="00E44EAA">
        <w:rPr>
          <w:rtl/>
        </w:rPr>
        <w:t xml:space="preserve"> </w:t>
      </w:r>
      <w:r w:rsidRPr="00E44EAA">
        <w:rPr>
          <w:rFonts w:hint="cs"/>
          <w:rtl/>
        </w:rPr>
        <w:t>לעשות</w:t>
      </w:r>
      <w:r w:rsidRPr="00E44EAA">
        <w:rPr>
          <w:rtl/>
        </w:rPr>
        <w:t xml:space="preserve"> </w:t>
      </w:r>
      <w:r w:rsidRPr="00E44EAA">
        <w:rPr>
          <w:rFonts w:hint="cs"/>
          <w:rtl/>
        </w:rPr>
        <w:t>עבירה</w:t>
      </w:r>
      <w:r w:rsidRPr="00E44EAA">
        <w:rPr>
          <w:rtl/>
        </w:rPr>
        <w:t xml:space="preserve"> </w:t>
      </w:r>
      <w:r w:rsidRPr="00E44EAA">
        <w:rPr>
          <w:rFonts w:hint="cs"/>
          <w:rtl/>
        </w:rPr>
        <w:t>זו</w:t>
      </w:r>
      <w:r w:rsidRPr="00E44EAA">
        <w:rPr>
          <w:rtl/>
        </w:rPr>
        <w:t xml:space="preserve"> </w:t>
      </w:r>
      <w:r w:rsidRPr="00E44EAA">
        <w:rPr>
          <w:rFonts w:hint="cs"/>
          <w:rtl/>
        </w:rPr>
        <w:t>לשמה</w:t>
      </w:r>
      <w:r w:rsidRPr="00E44EAA">
        <w:rPr>
          <w:rtl/>
        </w:rPr>
        <w:t xml:space="preserve"> </w:t>
      </w:r>
      <w:r w:rsidRPr="00E44EAA">
        <w:rPr>
          <w:rFonts w:hint="cs"/>
          <w:rtl/>
        </w:rPr>
        <w:t>הרי</w:t>
      </w:r>
      <w:r w:rsidRPr="00E44EAA">
        <w:rPr>
          <w:rtl/>
        </w:rPr>
        <w:t xml:space="preserve"> </w:t>
      </w:r>
      <w:r w:rsidRPr="00E44EAA">
        <w:rPr>
          <w:rFonts w:hint="cs"/>
          <w:rtl/>
        </w:rPr>
        <w:t>אז</w:t>
      </w:r>
      <w:r w:rsidRPr="00E44EAA">
        <w:rPr>
          <w:rtl/>
        </w:rPr>
        <w:t xml:space="preserve"> </w:t>
      </w:r>
      <w:r w:rsidRPr="00E44EAA">
        <w:rPr>
          <w:rFonts w:hint="cs"/>
          <w:rtl/>
        </w:rPr>
        <w:t>מראש</w:t>
      </w:r>
      <w:r w:rsidRPr="00E44EAA">
        <w:rPr>
          <w:rtl/>
        </w:rPr>
        <w:t xml:space="preserve"> </w:t>
      </w:r>
      <w:r w:rsidRPr="00E44EAA">
        <w:rPr>
          <w:rFonts w:hint="cs"/>
          <w:rtl/>
        </w:rPr>
        <w:t>זה</w:t>
      </w:r>
      <w:r w:rsidRPr="00E44EAA">
        <w:rPr>
          <w:rtl/>
        </w:rPr>
        <w:t xml:space="preserve"> </w:t>
      </w:r>
      <w:r w:rsidRPr="00E44EAA">
        <w:rPr>
          <w:rFonts w:hint="cs"/>
          <w:rtl/>
        </w:rPr>
        <w:t>לימוד</w:t>
      </w:r>
      <w:r w:rsidRPr="00E44EAA">
        <w:rPr>
          <w:rtl/>
        </w:rPr>
        <w:t xml:space="preserve"> </w:t>
      </w:r>
      <w:r w:rsidRPr="00E44EAA">
        <w:rPr>
          <w:rFonts w:hint="cs"/>
          <w:rtl/>
        </w:rPr>
        <w:t>תורה</w:t>
      </w:r>
      <w:r w:rsidRPr="00E44EAA">
        <w:rPr>
          <w:rtl/>
        </w:rPr>
        <w:t xml:space="preserve"> </w:t>
      </w:r>
      <w:r w:rsidRPr="00E44EAA">
        <w:rPr>
          <w:rFonts w:hint="cs"/>
          <w:rtl/>
        </w:rPr>
        <w:t>לשמה</w:t>
      </w:r>
      <w:r w:rsidRPr="00E44EAA">
        <w:rPr>
          <w:rtl/>
        </w:rPr>
        <w:t xml:space="preserve"> </w:t>
      </w:r>
      <w:r w:rsidRPr="00E44EAA">
        <w:rPr>
          <w:rFonts w:hint="cs"/>
          <w:rtl/>
        </w:rPr>
        <w:t>ואין</w:t>
      </w:r>
      <w:r w:rsidRPr="00E44EAA">
        <w:rPr>
          <w:rtl/>
        </w:rPr>
        <w:t xml:space="preserve"> </w:t>
      </w:r>
      <w:r w:rsidRPr="00E44EAA">
        <w:rPr>
          <w:rFonts w:hint="cs"/>
          <w:rtl/>
        </w:rPr>
        <w:t>כאן</w:t>
      </w:r>
      <w:r w:rsidRPr="00E44EAA">
        <w:rPr>
          <w:rtl/>
        </w:rPr>
        <w:t xml:space="preserve"> </w:t>
      </w:r>
      <w:r w:rsidRPr="00E44EAA">
        <w:rPr>
          <w:rFonts w:hint="cs"/>
          <w:rtl/>
        </w:rPr>
        <w:t>חטא</w:t>
      </w:r>
      <w:r w:rsidRPr="00E44EAA">
        <w:rPr>
          <w:rtl/>
        </w:rPr>
        <w:t xml:space="preserve"> </w:t>
      </w:r>
      <w:r w:rsidRPr="00E44EAA">
        <w:rPr>
          <w:rFonts w:hint="cs"/>
          <w:rtl/>
        </w:rPr>
        <w:t>נמצא</w:t>
      </w:r>
      <w:r w:rsidRPr="00E44EAA">
        <w:rPr>
          <w:rtl/>
        </w:rPr>
        <w:t xml:space="preserve"> </w:t>
      </w:r>
      <w:r w:rsidRPr="00E44EAA">
        <w:rPr>
          <w:rFonts w:hint="cs"/>
          <w:rtl/>
        </w:rPr>
        <w:t>שלא</w:t>
      </w:r>
      <w:r w:rsidRPr="00E44EAA">
        <w:rPr>
          <w:rtl/>
        </w:rPr>
        <w:t xml:space="preserve"> </w:t>
      </w:r>
      <w:r w:rsidRPr="00E44EAA">
        <w:rPr>
          <w:rFonts w:hint="cs"/>
          <w:rtl/>
        </w:rPr>
        <w:t>יתכן</w:t>
      </w:r>
      <w:r w:rsidRPr="00E44EAA">
        <w:rPr>
          <w:rtl/>
        </w:rPr>
        <w:t xml:space="preserve"> </w:t>
      </w:r>
      <w:r w:rsidRPr="00E44EAA">
        <w:rPr>
          <w:rFonts w:hint="cs"/>
          <w:rtl/>
        </w:rPr>
        <w:t>מצב</w:t>
      </w:r>
      <w:r w:rsidRPr="00E44EAA">
        <w:rPr>
          <w:rtl/>
        </w:rPr>
        <w:t xml:space="preserve"> </w:t>
      </w:r>
      <w:r w:rsidRPr="00E44EAA">
        <w:rPr>
          <w:rFonts w:hint="cs"/>
          <w:rtl/>
        </w:rPr>
        <w:t>של</w:t>
      </w:r>
      <w:r w:rsidRPr="00E44EAA">
        <w:rPr>
          <w:rtl/>
        </w:rPr>
        <w:t xml:space="preserve"> </w:t>
      </w:r>
      <w:r w:rsidRPr="00E44EAA">
        <w:rPr>
          <w:rFonts w:hint="cs"/>
          <w:rtl/>
        </w:rPr>
        <w:t>חטא</w:t>
      </w:r>
      <w:r w:rsidRPr="00E44EAA">
        <w:rPr>
          <w:rtl/>
        </w:rPr>
        <w:t xml:space="preserve"> </w:t>
      </w:r>
      <w:r w:rsidRPr="00E44EAA">
        <w:rPr>
          <w:rFonts w:hint="cs"/>
          <w:rtl/>
        </w:rPr>
        <w:t>זה</w:t>
      </w:r>
      <w:r w:rsidRPr="00E44EAA">
        <w:rPr>
          <w:rtl/>
        </w:rPr>
        <w:t xml:space="preserve"> </w:t>
      </w:r>
      <w:r w:rsidRPr="00E44EAA">
        <w:rPr>
          <w:rFonts w:hint="cs"/>
          <w:rtl/>
        </w:rPr>
        <w:t>רק</w:t>
      </w:r>
      <w:r w:rsidRPr="00E44EAA">
        <w:rPr>
          <w:rtl/>
        </w:rPr>
        <w:t xml:space="preserve"> </w:t>
      </w:r>
      <w:r w:rsidRPr="00E44EAA">
        <w:rPr>
          <w:rFonts w:hint="cs"/>
          <w:rtl/>
        </w:rPr>
        <w:t>אם</w:t>
      </w:r>
      <w:r w:rsidRPr="00E44EAA">
        <w:rPr>
          <w:rtl/>
        </w:rPr>
        <w:t xml:space="preserve"> </w:t>
      </w:r>
      <w:r w:rsidRPr="00E44EAA">
        <w:rPr>
          <w:rFonts w:hint="cs"/>
          <w:rtl/>
        </w:rPr>
        <w:t>מקיימו</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w:t>
      </w:r>
    </w:p>
    <w:p w14:paraId="536763EB" w14:textId="77777777" w:rsidR="00D42EB2" w:rsidRPr="00E44EAA" w:rsidRDefault="00D42EB2" w:rsidP="00D42EB2">
      <w:pPr>
        <w:pStyle w:val="a2"/>
        <w:rPr>
          <w:rtl/>
        </w:rPr>
      </w:pPr>
      <w:r w:rsidRPr="00E44EAA">
        <w:rPr>
          <w:rFonts w:hint="cs"/>
          <w:rtl/>
        </w:rPr>
        <w:t>ו</w:t>
      </w:r>
      <w:r>
        <w:rPr>
          <w:rFonts w:hint="cs"/>
          <w:rtl/>
        </w:rPr>
        <w:t>נראה</w:t>
      </w:r>
      <w:r w:rsidRPr="00E44EAA">
        <w:rPr>
          <w:rtl/>
        </w:rPr>
        <w:t xml:space="preserve"> </w:t>
      </w:r>
      <w:r w:rsidRPr="00E44EAA">
        <w:rPr>
          <w:rFonts w:hint="cs"/>
          <w:rtl/>
        </w:rPr>
        <w:t>לבאר</w:t>
      </w:r>
      <w:r w:rsidRPr="00E44EAA">
        <w:rPr>
          <w:rtl/>
        </w:rPr>
        <w:t xml:space="preserve"> </w:t>
      </w:r>
      <w:r w:rsidRPr="00E44EAA">
        <w:rPr>
          <w:rFonts w:hint="cs"/>
          <w:rtl/>
        </w:rPr>
        <w:t>מה</w:t>
      </w:r>
      <w:r w:rsidRPr="00E44EAA">
        <w:rPr>
          <w:rtl/>
        </w:rPr>
        <w:t xml:space="preserve"> </w:t>
      </w:r>
      <w:r w:rsidRPr="00E44EAA">
        <w:rPr>
          <w:rFonts w:hint="cs"/>
          <w:rtl/>
        </w:rPr>
        <w:t>שמצינו</w:t>
      </w:r>
      <w:r w:rsidRPr="00E44EAA">
        <w:rPr>
          <w:rtl/>
        </w:rPr>
        <w:t xml:space="preserve"> </w:t>
      </w:r>
      <w:r w:rsidRPr="00E44EAA">
        <w:rPr>
          <w:rFonts w:hint="cs"/>
          <w:rtl/>
        </w:rPr>
        <w:t>בדין</w:t>
      </w:r>
      <w:r w:rsidRPr="00E44EAA">
        <w:rPr>
          <w:rtl/>
        </w:rPr>
        <w:t xml:space="preserve"> </w:t>
      </w:r>
      <w:r>
        <w:rPr>
          <w:rFonts w:hint="cs"/>
          <w:rtl/>
        </w:rPr>
        <w:t>לוקח ה</w:t>
      </w:r>
      <w:r w:rsidRPr="00E44EAA">
        <w:rPr>
          <w:rFonts w:hint="cs"/>
          <w:rtl/>
        </w:rPr>
        <w:t>חוזר</w:t>
      </w:r>
      <w:r w:rsidRPr="00E44EAA">
        <w:rPr>
          <w:rtl/>
        </w:rPr>
        <w:t xml:space="preserve"> </w:t>
      </w:r>
      <w:r>
        <w:rPr>
          <w:rFonts w:hint="cs"/>
          <w:rtl/>
        </w:rPr>
        <w:t xml:space="preserve">ממקחו שקנה מטלטלין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ועושים</w:t>
      </w:r>
      <w:r w:rsidRPr="00E44EAA">
        <w:rPr>
          <w:rtl/>
        </w:rPr>
        <w:t xml:space="preserve"> </w:t>
      </w:r>
      <w:r w:rsidRPr="00E44EAA">
        <w:rPr>
          <w:rFonts w:hint="cs"/>
          <w:rtl/>
        </w:rPr>
        <w:t>מי</w:t>
      </w:r>
      <w:r w:rsidRPr="00E44EAA">
        <w:rPr>
          <w:rtl/>
        </w:rPr>
        <w:t xml:space="preserve"> </w:t>
      </w:r>
      <w:r w:rsidRPr="00E44EAA">
        <w:rPr>
          <w:rFonts w:hint="cs"/>
          <w:rtl/>
        </w:rPr>
        <w:t>שפרע</w:t>
      </w:r>
      <w:r w:rsidRPr="00E44EAA">
        <w:rPr>
          <w:rtl/>
        </w:rPr>
        <w:t xml:space="preserve"> </w:t>
      </w:r>
      <w:r>
        <w:rPr>
          <w:rFonts w:hint="cs"/>
          <w:rtl/>
        </w:rPr>
        <w:t xml:space="preserve">למה </w:t>
      </w:r>
      <w:r w:rsidRPr="00E44EAA">
        <w:rPr>
          <w:rFonts w:hint="cs"/>
          <w:rtl/>
        </w:rPr>
        <w:t>מזכירים</w:t>
      </w:r>
      <w:r>
        <w:rPr>
          <w:rFonts w:hint="cs"/>
          <w:rtl/>
        </w:rPr>
        <w:t xml:space="preserve"> שם</w:t>
      </w:r>
      <w:r w:rsidRPr="00E44EAA">
        <w:rPr>
          <w:rtl/>
        </w:rPr>
        <w:t xml:space="preserve"> </w:t>
      </w:r>
      <w:r w:rsidRPr="00E44EAA">
        <w:rPr>
          <w:rFonts w:hint="cs"/>
          <w:rtl/>
        </w:rPr>
        <w:t>רק</w:t>
      </w:r>
      <w:r w:rsidRPr="00E44EAA">
        <w:rPr>
          <w:rtl/>
        </w:rPr>
        <w:t xml:space="preserve"> </w:t>
      </w:r>
      <w:r w:rsidRPr="00E44EAA">
        <w:rPr>
          <w:rFonts w:hint="cs"/>
          <w:rtl/>
        </w:rPr>
        <w:t>את</w:t>
      </w:r>
      <w:r w:rsidRPr="00E44EAA">
        <w:rPr>
          <w:rtl/>
        </w:rPr>
        <w:t xml:space="preserve"> </w:t>
      </w:r>
      <w:r w:rsidRPr="00E44EAA">
        <w:rPr>
          <w:rFonts w:hint="cs"/>
          <w:rtl/>
        </w:rPr>
        <w:t>הרשעים</w:t>
      </w:r>
      <w:r w:rsidRPr="00E44EAA">
        <w:rPr>
          <w:rtl/>
        </w:rPr>
        <w:t xml:space="preserve"> </w:t>
      </w:r>
      <w:r w:rsidRPr="00E44EAA">
        <w:rPr>
          <w:rFonts w:hint="cs"/>
          <w:rtl/>
        </w:rPr>
        <w:t>שלפני</w:t>
      </w:r>
      <w:r w:rsidRPr="00E44EAA">
        <w:rPr>
          <w:rtl/>
        </w:rPr>
        <w:t xml:space="preserve"> </w:t>
      </w:r>
      <w:r w:rsidRPr="00E44EAA">
        <w:rPr>
          <w:rFonts w:hint="cs"/>
          <w:rtl/>
        </w:rPr>
        <w:t>מתן</w:t>
      </w:r>
      <w:r w:rsidRPr="00E44EAA">
        <w:rPr>
          <w:rtl/>
        </w:rPr>
        <w:t xml:space="preserve"> </w:t>
      </w:r>
      <w:r w:rsidRPr="00E44EAA">
        <w:rPr>
          <w:rFonts w:hint="cs"/>
          <w:rtl/>
        </w:rPr>
        <w:t>תורה</w:t>
      </w:r>
      <w:r>
        <w:rPr>
          <w:rFonts w:hint="cs"/>
          <w:rtl/>
        </w:rPr>
        <w:t xml:space="preserve"> כמו דור המבול והפלגה ומצרים</w:t>
      </w:r>
      <w:r w:rsidRPr="00E44EAA">
        <w:rPr>
          <w:rtl/>
        </w:rPr>
        <w:t xml:space="preserve">, </w:t>
      </w:r>
      <w:r>
        <w:rPr>
          <w:rFonts w:hint="cs"/>
          <w:rtl/>
        </w:rPr>
        <w:t xml:space="preserve">דהנה </w:t>
      </w:r>
      <w:r w:rsidRPr="00E44EAA">
        <w:rPr>
          <w:rFonts w:hint="cs"/>
          <w:rtl/>
        </w:rPr>
        <w:t>לפי</w:t>
      </w:r>
      <w:r w:rsidRPr="00E44EAA">
        <w:rPr>
          <w:rtl/>
        </w:rPr>
        <w:t xml:space="preserve"> </w:t>
      </w:r>
      <w:r w:rsidRPr="00E44EAA">
        <w:rPr>
          <w:rFonts w:hint="cs"/>
          <w:rtl/>
        </w:rPr>
        <w:t>מה</w:t>
      </w:r>
      <w:r w:rsidRPr="00E44EAA">
        <w:rPr>
          <w:rtl/>
        </w:rPr>
        <w:t xml:space="preserve"> </w:t>
      </w:r>
      <w:r w:rsidRPr="00E44EAA">
        <w:rPr>
          <w:rFonts w:hint="cs"/>
          <w:rtl/>
        </w:rPr>
        <w:t>שכתוב</w:t>
      </w:r>
      <w:r w:rsidRPr="00E44EAA">
        <w:rPr>
          <w:rtl/>
        </w:rPr>
        <w:t xml:space="preserve"> </w:t>
      </w:r>
      <w:r w:rsidRPr="00E44EAA">
        <w:rPr>
          <w:rFonts w:hint="cs"/>
          <w:rtl/>
        </w:rPr>
        <w:t>במשנה</w:t>
      </w:r>
      <w:r w:rsidRPr="00E44EAA">
        <w:rPr>
          <w:rtl/>
        </w:rPr>
        <w:t xml:space="preserve"> </w:t>
      </w:r>
      <w:r w:rsidRPr="00E44EAA">
        <w:rPr>
          <w:rFonts w:hint="cs"/>
          <w:rtl/>
        </w:rPr>
        <w:t>אבות</w:t>
      </w:r>
      <w:r w:rsidRPr="00E44EAA">
        <w:rPr>
          <w:rtl/>
        </w:rPr>
        <w:t xml:space="preserve"> </w:t>
      </w:r>
      <w:r w:rsidRPr="00E44EAA">
        <w:rPr>
          <w:rFonts w:hint="cs"/>
          <w:rtl/>
        </w:rPr>
        <w:t>למה</w:t>
      </w:r>
      <w:r w:rsidRPr="00E44EAA">
        <w:rPr>
          <w:rtl/>
        </w:rPr>
        <w:t xml:space="preserve"> </w:t>
      </w:r>
      <w:r w:rsidRPr="00E44EAA">
        <w:rPr>
          <w:rFonts w:hint="cs"/>
          <w:rtl/>
        </w:rPr>
        <w:t>נברא</w:t>
      </w:r>
      <w:r w:rsidRPr="00E44EAA">
        <w:rPr>
          <w:rtl/>
        </w:rPr>
        <w:t xml:space="preserve"> </w:t>
      </w:r>
      <w:r w:rsidRPr="00E44EAA">
        <w:rPr>
          <w:rFonts w:hint="cs"/>
          <w:rtl/>
        </w:rPr>
        <w:t>העולם</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ליפרע</w:t>
      </w:r>
      <w:r w:rsidRPr="00E44EAA">
        <w:rPr>
          <w:rtl/>
        </w:rPr>
        <w:t xml:space="preserve"> </w:t>
      </w:r>
      <w:r w:rsidRPr="00E44EAA">
        <w:rPr>
          <w:rFonts w:hint="cs"/>
          <w:rtl/>
        </w:rPr>
        <w:t>מהרשעים</w:t>
      </w:r>
      <w:r w:rsidRPr="00E44EAA">
        <w:rPr>
          <w:rtl/>
        </w:rPr>
        <w:t xml:space="preserve"> </w:t>
      </w:r>
      <w:r w:rsidRPr="00E44EAA">
        <w:rPr>
          <w:rFonts w:hint="cs"/>
          <w:rtl/>
        </w:rPr>
        <w:t>שהחריבו</w:t>
      </w:r>
      <w:r w:rsidRPr="00E44EAA">
        <w:rPr>
          <w:rtl/>
        </w:rPr>
        <w:t xml:space="preserve"> </w:t>
      </w:r>
      <w:r w:rsidRPr="00E44EAA">
        <w:rPr>
          <w:rFonts w:hint="cs"/>
          <w:rtl/>
        </w:rPr>
        <w:t>העולם</w:t>
      </w:r>
      <w:r w:rsidRPr="00E44EAA">
        <w:rPr>
          <w:rtl/>
        </w:rPr>
        <w:t xml:space="preserve"> </w:t>
      </w:r>
      <w:r w:rsidRPr="00E44EAA">
        <w:rPr>
          <w:rFonts w:hint="cs"/>
          <w:rtl/>
        </w:rPr>
        <w:t>שנברא</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וליתן</w:t>
      </w:r>
      <w:r w:rsidRPr="00E44EAA">
        <w:rPr>
          <w:rtl/>
        </w:rPr>
        <w:t xml:space="preserve"> </w:t>
      </w:r>
      <w:r w:rsidRPr="00E44EAA">
        <w:rPr>
          <w:rFonts w:hint="cs"/>
          <w:rtl/>
        </w:rPr>
        <w:t>שכר</w:t>
      </w:r>
      <w:r w:rsidRPr="00E44EAA">
        <w:rPr>
          <w:rtl/>
        </w:rPr>
        <w:t xml:space="preserve"> </w:t>
      </w:r>
      <w:r w:rsidRPr="00E44EAA">
        <w:rPr>
          <w:rFonts w:hint="cs"/>
          <w:rtl/>
        </w:rPr>
        <w:t>לצדיקים</w:t>
      </w:r>
      <w:r w:rsidRPr="00E44EAA">
        <w:rPr>
          <w:rtl/>
        </w:rPr>
        <w:t xml:space="preserve"> </w:t>
      </w:r>
      <w:r w:rsidRPr="00E44EAA">
        <w:rPr>
          <w:rFonts w:hint="cs"/>
          <w:rtl/>
        </w:rPr>
        <w:t>שמקיימים</w:t>
      </w:r>
      <w:r w:rsidRPr="00E44EAA">
        <w:rPr>
          <w:rtl/>
        </w:rPr>
        <w:t xml:space="preserve"> </w:t>
      </w:r>
      <w:r w:rsidRPr="00E44EAA">
        <w:rPr>
          <w:rFonts w:hint="cs"/>
          <w:rtl/>
        </w:rPr>
        <w:t>את</w:t>
      </w:r>
      <w:r w:rsidRPr="00E44EAA">
        <w:rPr>
          <w:rtl/>
        </w:rPr>
        <w:t xml:space="preserve"> </w:t>
      </w:r>
      <w:r w:rsidRPr="00E44EAA">
        <w:rPr>
          <w:rFonts w:hint="cs"/>
          <w:rtl/>
        </w:rPr>
        <w:t>העשרה</w:t>
      </w:r>
      <w:r w:rsidRPr="00E44EAA">
        <w:rPr>
          <w:rtl/>
        </w:rPr>
        <w:t xml:space="preserve"> </w:t>
      </w:r>
      <w:r w:rsidRPr="00E44EAA">
        <w:rPr>
          <w:rFonts w:hint="cs"/>
          <w:rtl/>
        </w:rPr>
        <w:t>מאמרות</w:t>
      </w:r>
      <w:r w:rsidRPr="00E44EAA">
        <w:rPr>
          <w:rtl/>
        </w:rPr>
        <w:t xml:space="preserve">, </w:t>
      </w:r>
      <w:r w:rsidRPr="00E44EAA">
        <w:rPr>
          <w:rFonts w:hint="cs"/>
          <w:rtl/>
        </w:rPr>
        <w:t>ותמוה</w:t>
      </w:r>
      <w:r w:rsidRPr="00E44EAA">
        <w:rPr>
          <w:rtl/>
        </w:rPr>
        <w:t xml:space="preserve"> </w:t>
      </w:r>
      <w:r w:rsidRPr="00E44EAA">
        <w:rPr>
          <w:rFonts w:hint="cs"/>
          <w:rtl/>
        </w:rPr>
        <w:t>השינוי</w:t>
      </w:r>
      <w:r w:rsidRPr="00E44EAA">
        <w:rPr>
          <w:rtl/>
        </w:rPr>
        <w:t xml:space="preserve"> </w:t>
      </w:r>
      <w:r w:rsidRPr="00E44EAA">
        <w:rPr>
          <w:rFonts w:hint="cs"/>
          <w:rtl/>
        </w:rPr>
        <w:t>לשון</w:t>
      </w:r>
      <w:r w:rsidRPr="00E44EAA">
        <w:rPr>
          <w:rtl/>
        </w:rPr>
        <w:t xml:space="preserve"> </w:t>
      </w:r>
      <w:r w:rsidRPr="00E44EAA">
        <w:rPr>
          <w:rFonts w:hint="cs"/>
          <w:rtl/>
        </w:rPr>
        <w:t>שכתוב</w:t>
      </w:r>
      <w:r w:rsidRPr="00E44EAA">
        <w:rPr>
          <w:rtl/>
        </w:rPr>
        <w:t xml:space="preserve"> </w:t>
      </w:r>
      <w:r w:rsidRPr="00E44EAA">
        <w:rPr>
          <w:rFonts w:hint="cs"/>
          <w:rtl/>
        </w:rPr>
        <w:t>ליפרע</w:t>
      </w:r>
      <w:r w:rsidRPr="00E44EAA">
        <w:rPr>
          <w:rtl/>
        </w:rPr>
        <w:t xml:space="preserve"> </w:t>
      </w:r>
      <w:r w:rsidRPr="00E44EAA">
        <w:rPr>
          <w:rFonts w:hint="cs"/>
          <w:rtl/>
        </w:rPr>
        <w:t>וכן</w:t>
      </w:r>
      <w:r w:rsidRPr="00E44EAA">
        <w:rPr>
          <w:rtl/>
        </w:rPr>
        <w:t xml:space="preserve"> </w:t>
      </w:r>
      <w:r w:rsidRPr="00E44EAA">
        <w:rPr>
          <w:rFonts w:hint="cs"/>
          <w:rtl/>
        </w:rPr>
        <w:t>הקדים</w:t>
      </w:r>
      <w:r w:rsidRPr="00E44EAA">
        <w:rPr>
          <w:rtl/>
        </w:rPr>
        <w:t xml:space="preserve"> </w:t>
      </w:r>
      <w:r w:rsidRPr="00E44EAA">
        <w:rPr>
          <w:rFonts w:hint="cs"/>
          <w:rtl/>
        </w:rPr>
        <w:t>את</w:t>
      </w:r>
      <w:r w:rsidRPr="00E44EAA">
        <w:rPr>
          <w:rtl/>
        </w:rPr>
        <w:t xml:space="preserve"> </w:t>
      </w:r>
      <w:r w:rsidRPr="00E44EAA">
        <w:rPr>
          <w:rFonts w:hint="cs"/>
          <w:rtl/>
        </w:rPr>
        <w:t>הרשעים</w:t>
      </w:r>
      <w:r w:rsidRPr="00E44EAA">
        <w:rPr>
          <w:rtl/>
        </w:rPr>
        <w:t xml:space="preserve">, </w:t>
      </w:r>
      <w:r w:rsidRPr="00E44EAA">
        <w:rPr>
          <w:rFonts w:hint="cs"/>
          <w:rtl/>
        </w:rPr>
        <w:t>ומבאר</w:t>
      </w:r>
      <w:r w:rsidRPr="00E44EAA">
        <w:rPr>
          <w:rtl/>
        </w:rPr>
        <w:t xml:space="preserve"> </w:t>
      </w:r>
      <w:r w:rsidRPr="00E44EAA">
        <w:rPr>
          <w:rFonts w:hint="cs"/>
          <w:rtl/>
        </w:rPr>
        <w:t>הרבי</w:t>
      </w:r>
      <w:r w:rsidRPr="00E44EAA">
        <w:rPr>
          <w:rtl/>
        </w:rPr>
        <w:t xml:space="preserve"> </w:t>
      </w:r>
      <w:r w:rsidRPr="00E44EAA">
        <w:rPr>
          <w:rFonts w:hint="cs"/>
          <w:rtl/>
        </w:rPr>
        <w:t>שהכוונה</w:t>
      </w:r>
      <w:r w:rsidRPr="00E44EAA">
        <w:rPr>
          <w:rtl/>
        </w:rPr>
        <w:t xml:space="preserve"> </w:t>
      </w:r>
      <w:r>
        <w:rPr>
          <w:rFonts w:hint="cs"/>
          <w:rtl/>
        </w:rPr>
        <w:t>"</w:t>
      </w:r>
      <w:r w:rsidRPr="00E44EAA">
        <w:rPr>
          <w:rFonts w:hint="cs"/>
          <w:rtl/>
        </w:rPr>
        <w:t>ליפרע</w:t>
      </w:r>
      <w:r>
        <w:rPr>
          <w:rFonts w:hint="cs"/>
          <w:rtl/>
        </w:rPr>
        <w:t>"</w:t>
      </w:r>
      <w:r w:rsidRPr="00E44EAA">
        <w:rPr>
          <w:rtl/>
        </w:rPr>
        <w:t xml:space="preserve"> </w:t>
      </w:r>
      <w:r w:rsidRPr="00E44EAA">
        <w:rPr>
          <w:rFonts w:hint="cs"/>
          <w:rtl/>
        </w:rPr>
        <w:t>שדורשים</w:t>
      </w:r>
      <w:r w:rsidRPr="00E44EAA">
        <w:rPr>
          <w:rtl/>
        </w:rPr>
        <w:t xml:space="preserve"> </w:t>
      </w:r>
      <w:r w:rsidRPr="00E44EAA">
        <w:rPr>
          <w:rFonts w:hint="cs"/>
          <w:rtl/>
        </w:rPr>
        <w:t>מהרשע</w:t>
      </w:r>
      <w:r w:rsidRPr="00E44EAA">
        <w:rPr>
          <w:rtl/>
        </w:rPr>
        <w:t xml:space="preserve"> </w:t>
      </w:r>
      <w:r w:rsidRPr="00E44EAA">
        <w:rPr>
          <w:rFonts w:hint="cs"/>
          <w:rtl/>
        </w:rPr>
        <w:t>עבודה</w:t>
      </w:r>
      <w:r w:rsidRPr="00E44EAA">
        <w:rPr>
          <w:rtl/>
        </w:rPr>
        <w:t xml:space="preserve"> </w:t>
      </w:r>
      <w:r w:rsidRPr="00E44EAA">
        <w:rPr>
          <w:rFonts w:hint="cs"/>
          <w:rtl/>
        </w:rPr>
        <w:t>נעלית</w:t>
      </w:r>
      <w:r w:rsidRPr="00E44EAA">
        <w:rPr>
          <w:rtl/>
        </w:rPr>
        <w:t xml:space="preserve"> </w:t>
      </w:r>
      <w:r w:rsidRPr="00E44EAA">
        <w:rPr>
          <w:rFonts w:hint="cs"/>
          <w:rtl/>
        </w:rPr>
        <w:t>יותר</w:t>
      </w:r>
      <w:r w:rsidRPr="00E44EAA">
        <w:rPr>
          <w:rtl/>
        </w:rPr>
        <w:t xml:space="preserve"> </w:t>
      </w:r>
      <w:r w:rsidRPr="00E44EAA">
        <w:rPr>
          <w:rFonts w:hint="cs"/>
          <w:rtl/>
        </w:rPr>
        <w:t>שיקיים</w:t>
      </w:r>
      <w:r w:rsidRPr="00E44EAA">
        <w:rPr>
          <w:rtl/>
        </w:rPr>
        <w:t xml:space="preserve"> </w:t>
      </w:r>
      <w:r w:rsidRPr="00E44EAA">
        <w:rPr>
          <w:rFonts w:hint="cs"/>
          <w:rtl/>
        </w:rPr>
        <w:t>את</w:t>
      </w:r>
      <w:r w:rsidRPr="00E44EAA">
        <w:rPr>
          <w:rtl/>
        </w:rPr>
        <w:t xml:space="preserve"> </w:t>
      </w:r>
      <w:r w:rsidRPr="00E44EAA">
        <w:rPr>
          <w:rFonts w:hint="cs"/>
          <w:rtl/>
        </w:rPr>
        <w:t>העולם</w:t>
      </w:r>
      <w:r w:rsidRPr="00E44EAA">
        <w:rPr>
          <w:rtl/>
        </w:rPr>
        <w:t xml:space="preserve"> </w:t>
      </w:r>
      <w:r w:rsidRPr="00E44EAA">
        <w:rPr>
          <w:rFonts w:hint="cs"/>
          <w:rtl/>
        </w:rPr>
        <w:t>במאמר</w:t>
      </w:r>
      <w:r w:rsidRPr="00E44EAA">
        <w:rPr>
          <w:rtl/>
        </w:rPr>
        <w:t xml:space="preserve"> </w:t>
      </w:r>
      <w:r w:rsidRPr="00E44EAA">
        <w:rPr>
          <w:rFonts w:hint="cs"/>
          <w:rtl/>
        </w:rPr>
        <w:t>אחד</w:t>
      </w:r>
      <w:r>
        <w:rPr>
          <w:rFonts w:hint="cs"/>
          <w:rtl/>
        </w:rPr>
        <w:t>.</w:t>
      </w:r>
    </w:p>
    <w:p w14:paraId="40710C08" w14:textId="77777777" w:rsidR="00D42EB2" w:rsidRPr="00E44EAA" w:rsidRDefault="00D42EB2" w:rsidP="00D42EB2">
      <w:pPr>
        <w:pStyle w:val="a2"/>
        <w:rPr>
          <w:rtl/>
        </w:rPr>
      </w:pPr>
      <w:r>
        <w:rPr>
          <w:rFonts w:hint="cs"/>
          <w:rtl/>
        </w:rPr>
        <w:t>ו</w:t>
      </w:r>
      <w:r w:rsidRPr="00E44EAA">
        <w:rPr>
          <w:rFonts w:hint="cs"/>
          <w:rtl/>
        </w:rPr>
        <w:t>מבאר</w:t>
      </w:r>
      <w:r w:rsidRPr="00E44EAA">
        <w:rPr>
          <w:rtl/>
        </w:rPr>
        <w:t xml:space="preserve"> </w:t>
      </w:r>
      <w:r>
        <w:rPr>
          <w:rFonts w:hint="cs"/>
          <w:rtl/>
        </w:rPr>
        <w:t>הרה"ק רלוי"צ נ"ע (אביו של כ"ק אדמו"ר)</w:t>
      </w:r>
      <w:r w:rsidRPr="00E44EAA">
        <w:rPr>
          <w:rtl/>
        </w:rPr>
        <w:t xml:space="preserve"> </w:t>
      </w:r>
      <w:r w:rsidRPr="00E44EAA">
        <w:rPr>
          <w:rFonts w:hint="cs"/>
          <w:rtl/>
        </w:rPr>
        <w:t>שקנין</w:t>
      </w:r>
      <w:r w:rsidRPr="00E44EAA">
        <w:rPr>
          <w:rtl/>
        </w:rPr>
        <w:t xml:space="preserve"> </w:t>
      </w:r>
      <w:r w:rsidRPr="00E44EAA">
        <w:rPr>
          <w:rFonts w:hint="cs"/>
          <w:rtl/>
        </w:rPr>
        <w:t>כסף</w:t>
      </w:r>
      <w:r w:rsidRPr="00E44EAA">
        <w:rPr>
          <w:rtl/>
        </w:rPr>
        <w:t xml:space="preserve"> </w:t>
      </w:r>
      <w:r w:rsidRPr="00E44EAA">
        <w:rPr>
          <w:rFonts w:hint="cs"/>
          <w:rtl/>
        </w:rPr>
        <w:t>הוא</w:t>
      </w:r>
      <w:r w:rsidRPr="00E44EAA">
        <w:rPr>
          <w:rtl/>
        </w:rPr>
        <w:t xml:space="preserve"> </w:t>
      </w:r>
      <w:r w:rsidRPr="00E44EAA">
        <w:rPr>
          <w:rFonts w:hint="cs"/>
          <w:rtl/>
        </w:rPr>
        <w:t>עבודת</w:t>
      </w:r>
      <w:r w:rsidRPr="00E44EAA">
        <w:rPr>
          <w:rtl/>
        </w:rPr>
        <w:t xml:space="preserve"> </w:t>
      </w:r>
      <w:r w:rsidRPr="00E44EAA">
        <w:rPr>
          <w:rFonts w:hint="cs"/>
          <w:rtl/>
        </w:rPr>
        <w:t>האהבה</w:t>
      </w:r>
      <w:r w:rsidRPr="00E44EAA">
        <w:rPr>
          <w:rtl/>
        </w:rPr>
        <w:t xml:space="preserve">, </w:t>
      </w: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הוא</w:t>
      </w:r>
      <w:r w:rsidRPr="00E44EAA">
        <w:rPr>
          <w:rtl/>
        </w:rPr>
        <w:t xml:space="preserve"> </w:t>
      </w:r>
      <w:r w:rsidRPr="00E44EAA">
        <w:rPr>
          <w:rFonts w:hint="cs"/>
          <w:rtl/>
        </w:rPr>
        <w:t>למשוך</w:t>
      </w:r>
      <w:r w:rsidRPr="00E44EAA">
        <w:rPr>
          <w:rtl/>
        </w:rPr>
        <w:t xml:space="preserve"> </w:t>
      </w:r>
      <w:r w:rsidRPr="00E44EAA">
        <w:rPr>
          <w:rFonts w:hint="cs"/>
          <w:rtl/>
        </w:rPr>
        <w:t>מעלמא</w:t>
      </w:r>
      <w:r w:rsidRPr="00E44EAA">
        <w:rPr>
          <w:rtl/>
        </w:rPr>
        <w:t xml:space="preserve"> </w:t>
      </w:r>
      <w:r w:rsidRPr="00E44EAA">
        <w:rPr>
          <w:rFonts w:hint="cs"/>
          <w:rtl/>
        </w:rPr>
        <w:t>דפרודא</w:t>
      </w:r>
      <w:r w:rsidRPr="00E44EAA">
        <w:rPr>
          <w:rtl/>
        </w:rPr>
        <w:t xml:space="preserve"> </w:t>
      </w:r>
      <w:r w:rsidRPr="00E44EAA">
        <w:rPr>
          <w:rFonts w:hint="cs"/>
          <w:rtl/>
        </w:rPr>
        <w:t>ליחידו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קונה</w:t>
      </w:r>
      <w:r w:rsidRPr="00E44EAA">
        <w:rPr>
          <w:rtl/>
        </w:rPr>
        <w:t xml:space="preserve"> </w:t>
      </w:r>
      <w:r w:rsidRPr="00E44EAA">
        <w:rPr>
          <w:rFonts w:hint="cs"/>
          <w:rtl/>
        </w:rPr>
        <w:t>הכל</w:t>
      </w:r>
      <w:r w:rsidRPr="00E44EAA">
        <w:rPr>
          <w:rtl/>
        </w:rPr>
        <w:t xml:space="preserve"> </w:t>
      </w:r>
      <w:r w:rsidRPr="00E44EAA">
        <w:rPr>
          <w:rFonts w:hint="cs"/>
          <w:rtl/>
        </w:rPr>
        <w:t>ולכן</w:t>
      </w:r>
      <w:r w:rsidRPr="00E44EAA">
        <w:rPr>
          <w:rtl/>
        </w:rPr>
        <w:t xml:space="preserve"> </w:t>
      </w:r>
      <w:r w:rsidRPr="00E44EAA">
        <w:rPr>
          <w:rFonts w:hint="cs"/>
          <w:rtl/>
        </w:rPr>
        <w:t>בהמה</w:t>
      </w:r>
      <w:r w:rsidRPr="00E44EAA">
        <w:rPr>
          <w:rtl/>
        </w:rPr>
        <w:t xml:space="preserve"> </w:t>
      </w:r>
      <w:r w:rsidRPr="00E44EAA">
        <w:rPr>
          <w:rFonts w:hint="cs"/>
          <w:rtl/>
        </w:rPr>
        <w:t>דקה</w:t>
      </w:r>
      <w:r w:rsidRPr="00E44EAA">
        <w:rPr>
          <w:rtl/>
        </w:rPr>
        <w:t xml:space="preserve"> </w:t>
      </w:r>
      <w:r w:rsidRPr="00E44EAA">
        <w:rPr>
          <w:rFonts w:hint="cs"/>
          <w:rtl/>
        </w:rPr>
        <w:t>במשיכה</w:t>
      </w:r>
      <w:r w:rsidRPr="00E44EAA">
        <w:rPr>
          <w:rtl/>
        </w:rPr>
        <w:t xml:space="preserve"> </w:t>
      </w:r>
      <w:r w:rsidRPr="00E44EAA">
        <w:rPr>
          <w:rFonts w:hint="cs"/>
          <w:rtl/>
        </w:rPr>
        <w:t>ובהמה</w:t>
      </w:r>
      <w:r w:rsidRPr="00E44EAA">
        <w:rPr>
          <w:rtl/>
        </w:rPr>
        <w:t xml:space="preserve"> </w:t>
      </w:r>
      <w:r w:rsidRPr="00E44EAA">
        <w:rPr>
          <w:rFonts w:hint="cs"/>
          <w:rtl/>
        </w:rPr>
        <w:t>גסה</w:t>
      </w:r>
      <w:r w:rsidRPr="00E44EAA">
        <w:rPr>
          <w:rtl/>
        </w:rPr>
        <w:t xml:space="preserve"> </w:t>
      </w:r>
      <w:r w:rsidRPr="00E44EAA">
        <w:rPr>
          <w:rFonts w:hint="cs"/>
          <w:rtl/>
        </w:rPr>
        <w:t>במסירה</w:t>
      </w:r>
      <w:r w:rsidRPr="00E44EAA">
        <w:rPr>
          <w:rtl/>
        </w:rPr>
        <w:t xml:space="preserve"> </w:t>
      </w:r>
      <w:r w:rsidRPr="00E44EAA">
        <w:rPr>
          <w:rFonts w:hint="cs"/>
          <w:rtl/>
        </w:rPr>
        <w:t>שצריך</w:t>
      </w:r>
      <w:r w:rsidRPr="00E44EAA">
        <w:rPr>
          <w:rtl/>
        </w:rPr>
        <w:t xml:space="preserve"> </w:t>
      </w:r>
      <w:r w:rsidRPr="00E44EAA">
        <w:rPr>
          <w:rFonts w:hint="cs"/>
          <w:rtl/>
        </w:rPr>
        <w:t>מסירת</w:t>
      </w:r>
      <w:r w:rsidRPr="00E44EAA">
        <w:rPr>
          <w:rtl/>
        </w:rPr>
        <w:t xml:space="preserve"> </w:t>
      </w:r>
      <w:r w:rsidRPr="00E44EAA">
        <w:rPr>
          <w:rFonts w:hint="cs"/>
          <w:rtl/>
        </w:rPr>
        <w:t>נפש</w:t>
      </w:r>
      <w:r>
        <w:rPr>
          <w:rFonts w:hint="cs"/>
          <w:rtl/>
        </w:rPr>
        <w:t>.</w:t>
      </w:r>
    </w:p>
    <w:p w14:paraId="4BE76AB1" w14:textId="77777777" w:rsidR="00D42EB2" w:rsidRPr="00E44EAA" w:rsidRDefault="00D42EB2" w:rsidP="00D42EB2">
      <w:pPr>
        <w:pStyle w:val="a2"/>
        <w:rPr>
          <w:rtl/>
        </w:rPr>
      </w:pP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קונה</w:t>
      </w:r>
      <w:r w:rsidRPr="00E44EAA">
        <w:rPr>
          <w:rtl/>
        </w:rPr>
        <w:t xml:space="preserve"> </w:t>
      </w:r>
      <w:r w:rsidRPr="00E44EAA">
        <w:rPr>
          <w:rFonts w:hint="cs"/>
          <w:rtl/>
        </w:rPr>
        <w:t>רק</w:t>
      </w:r>
      <w:r w:rsidRPr="00E44EAA">
        <w:rPr>
          <w:rtl/>
        </w:rPr>
        <w:t xml:space="preserve"> </w:t>
      </w:r>
      <w:r w:rsidRPr="00E44EAA">
        <w:rPr>
          <w:rFonts w:hint="cs"/>
          <w:rtl/>
        </w:rPr>
        <w:t>בסימטה</w:t>
      </w:r>
      <w:r w:rsidRPr="00E44EAA">
        <w:rPr>
          <w:rtl/>
        </w:rPr>
        <w:t xml:space="preserve"> </w:t>
      </w:r>
      <w:r w:rsidRPr="00E44EAA">
        <w:rPr>
          <w:rFonts w:hint="cs"/>
          <w:rtl/>
        </w:rPr>
        <w:t>היינו</w:t>
      </w:r>
      <w:r w:rsidRPr="00E44EAA">
        <w:rPr>
          <w:rtl/>
        </w:rPr>
        <w:t xml:space="preserve"> </w:t>
      </w:r>
      <w:r w:rsidRPr="00E44EAA">
        <w:rPr>
          <w:rFonts w:hint="cs"/>
          <w:rtl/>
        </w:rPr>
        <w:t>רק</w:t>
      </w:r>
      <w:r w:rsidRPr="00E44EAA">
        <w:rPr>
          <w:rtl/>
        </w:rPr>
        <w:t xml:space="preserve"> </w:t>
      </w:r>
      <w:r w:rsidRPr="00E44EAA">
        <w:rPr>
          <w:rFonts w:hint="cs"/>
          <w:rtl/>
        </w:rPr>
        <w:t>כשמושך</w:t>
      </w:r>
      <w:r w:rsidRPr="00E44EAA">
        <w:rPr>
          <w:rtl/>
        </w:rPr>
        <w:t xml:space="preserve"> </w:t>
      </w:r>
      <w:r w:rsidRPr="00E44EAA">
        <w:rPr>
          <w:rFonts w:hint="cs"/>
          <w:rtl/>
        </w:rPr>
        <w:t>לרשות</w:t>
      </w:r>
      <w:r w:rsidRPr="00E44EAA">
        <w:rPr>
          <w:rtl/>
        </w:rPr>
        <w:t xml:space="preserve"> </w:t>
      </w:r>
      <w:r w:rsidRPr="00E44EAA">
        <w:rPr>
          <w:rFonts w:hint="cs"/>
          <w:rtl/>
        </w:rPr>
        <w:t>היחיד</w:t>
      </w:r>
      <w:r w:rsidRPr="00E44EAA">
        <w:rPr>
          <w:rtl/>
        </w:rPr>
        <w:t xml:space="preserve"> </w:t>
      </w:r>
      <w:r w:rsidRPr="00E44EAA">
        <w:rPr>
          <w:rFonts w:hint="cs"/>
          <w:rtl/>
        </w:rPr>
        <w:t>וזה</w:t>
      </w:r>
      <w:r w:rsidRPr="00E44EAA">
        <w:rPr>
          <w:rtl/>
        </w:rPr>
        <w:t xml:space="preserve"> </w:t>
      </w:r>
      <w:r w:rsidRPr="00E44EAA">
        <w:rPr>
          <w:rFonts w:hint="cs"/>
          <w:rtl/>
        </w:rPr>
        <w:t>עבודת</w:t>
      </w:r>
      <w:r w:rsidRPr="00E44EAA">
        <w:rPr>
          <w:rtl/>
        </w:rPr>
        <w:t xml:space="preserve"> </w:t>
      </w:r>
      <w:r w:rsidRPr="00E44EAA">
        <w:rPr>
          <w:rFonts w:hint="cs"/>
          <w:rtl/>
        </w:rPr>
        <w:t>הצדיקים</w:t>
      </w:r>
      <w:r w:rsidRPr="00E44EAA">
        <w:rPr>
          <w:rtl/>
        </w:rPr>
        <w:t xml:space="preserve"> </w:t>
      </w:r>
      <w:r w:rsidRPr="00E44EAA">
        <w:rPr>
          <w:rFonts w:hint="cs"/>
          <w:rtl/>
        </w:rPr>
        <w:t>שמקיימים</w:t>
      </w:r>
      <w:r w:rsidRPr="00E44EAA">
        <w:rPr>
          <w:rtl/>
        </w:rPr>
        <w:t xml:space="preserve"> </w:t>
      </w:r>
      <w:r w:rsidRPr="00E44EAA">
        <w:rPr>
          <w:rFonts w:hint="cs"/>
          <w:rtl/>
        </w:rPr>
        <w:t>העולם</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שמקיימים</w:t>
      </w:r>
      <w:r w:rsidRPr="00E44EAA">
        <w:rPr>
          <w:rtl/>
        </w:rPr>
        <w:t xml:space="preserve"> </w:t>
      </w:r>
      <w:r w:rsidRPr="00E44EAA">
        <w:rPr>
          <w:rFonts w:hint="cs"/>
          <w:rtl/>
        </w:rPr>
        <w:t>במשיכה</w:t>
      </w:r>
      <w:r w:rsidRPr="00E44EAA">
        <w:rPr>
          <w:rtl/>
        </w:rPr>
        <w:t xml:space="preserve"> </w:t>
      </w:r>
      <w:r w:rsidRPr="00E44EAA">
        <w:rPr>
          <w:rFonts w:hint="cs"/>
          <w:rtl/>
        </w:rPr>
        <w:t>להעלות</w:t>
      </w:r>
      <w:r w:rsidRPr="00E44EAA">
        <w:rPr>
          <w:rtl/>
        </w:rPr>
        <w:t xml:space="preserve"> </w:t>
      </w:r>
      <w:r w:rsidRPr="00E44EAA">
        <w:rPr>
          <w:rFonts w:hint="cs"/>
          <w:rtl/>
        </w:rPr>
        <w:t>הכל</w:t>
      </w:r>
      <w:r w:rsidRPr="00E44EAA">
        <w:rPr>
          <w:rtl/>
        </w:rPr>
        <w:t xml:space="preserve"> </w:t>
      </w:r>
      <w:r w:rsidRPr="00E44EAA">
        <w:rPr>
          <w:rFonts w:hint="cs"/>
          <w:rtl/>
        </w:rPr>
        <w:t>לרשות</w:t>
      </w:r>
      <w:r w:rsidRPr="00E44EAA">
        <w:rPr>
          <w:rtl/>
        </w:rPr>
        <w:t xml:space="preserve"> </w:t>
      </w:r>
      <w:r w:rsidRPr="00E44EAA">
        <w:rPr>
          <w:rFonts w:hint="cs"/>
          <w:rtl/>
        </w:rPr>
        <w:t>היחיד</w:t>
      </w:r>
      <w:r w:rsidRPr="00E44EAA">
        <w:rPr>
          <w:rtl/>
        </w:rPr>
        <w:t xml:space="preserve"> </w:t>
      </w:r>
      <w:r w:rsidRPr="00E44EAA">
        <w:rPr>
          <w:rFonts w:hint="cs"/>
          <w:rtl/>
        </w:rPr>
        <w:t>יחידו</w:t>
      </w:r>
      <w:r w:rsidRPr="00E44EAA">
        <w:rPr>
          <w:rtl/>
        </w:rPr>
        <w:t xml:space="preserve"> </w:t>
      </w:r>
      <w:r w:rsidRPr="00E44EAA">
        <w:rPr>
          <w:rFonts w:hint="cs"/>
          <w:rtl/>
        </w:rPr>
        <w:t>של</w:t>
      </w:r>
      <w:r w:rsidRPr="00E44EAA">
        <w:rPr>
          <w:rtl/>
        </w:rPr>
        <w:t xml:space="preserve"> </w:t>
      </w:r>
      <w:r w:rsidRPr="00E44EAA">
        <w:rPr>
          <w:rFonts w:hint="cs"/>
          <w:rtl/>
        </w:rPr>
        <w:t>עולם</w:t>
      </w:r>
      <w:r>
        <w:rPr>
          <w:rFonts w:hint="cs"/>
          <w:rtl/>
        </w:rPr>
        <w:t>.</w:t>
      </w:r>
    </w:p>
    <w:p w14:paraId="07F4F5B3" w14:textId="77777777" w:rsidR="00D42EB2" w:rsidRPr="00E44EAA" w:rsidRDefault="00D42EB2" w:rsidP="00D42EB2">
      <w:pPr>
        <w:pStyle w:val="a2"/>
        <w:rPr>
          <w:rtl/>
        </w:rPr>
      </w:pPr>
      <w:r w:rsidRPr="00E44EAA">
        <w:rPr>
          <w:rFonts w:hint="cs"/>
          <w:rtl/>
        </w:rPr>
        <w:t>אבל</w:t>
      </w:r>
      <w:r w:rsidRPr="00E44EAA">
        <w:rPr>
          <w:rtl/>
        </w:rPr>
        <w:t xml:space="preserve"> </w:t>
      </w:r>
      <w:r w:rsidRPr="00E44EAA">
        <w:rPr>
          <w:rFonts w:hint="cs"/>
          <w:rtl/>
        </w:rPr>
        <w:t>תשובה</w:t>
      </w:r>
      <w:r w:rsidRPr="00E44EAA">
        <w:rPr>
          <w:rtl/>
        </w:rPr>
        <w:t xml:space="preserve"> </w:t>
      </w:r>
      <w:r w:rsidRPr="00E44EAA">
        <w:rPr>
          <w:rFonts w:hint="cs"/>
          <w:rtl/>
        </w:rPr>
        <w:t>מאהבה</w:t>
      </w:r>
      <w:r w:rsidRPr="00E44EAA">
        <w:rPr>
          <w:rtl/>
        </w:rPr>
        <w:t xml:space="preserve"> </w:t>
      </w:r>
      <w:r w:rsidRPr="00E44EAA">
        <w:rPr>
          <w:rFonts w:hint="cs"/>
          <w:rtl/>
        </w:rPr>
        <w:t>הוא</w:t>
      </w:r>
      <w:r w:rsidRPr="00E44EAA">
        <w:rPr>
          <w:rtl/>
        </w:rPr>
        <w:t xml:space="preserve"> </w:t>
      </w:r>
      <w:r w:rsidRPr="00E44EAA">
        <w:rPr>
          <w:rFonts w:hint="cs"/>
          <w:rtl/>
        </w:rPr>
        <w:t>קנין</w:t>
      </w:r>
      <w:r w:rsidRPr="00E44EAA">
        <w:rPr>
          <w:rtl/>
        </w:rPr>
        <w:t xml:space="preserve"> </w:t>
      </w:r>
      <w:r w:rsidRPr="00E44EAA">
        <w:rPr>
          <w:rFonts w:hint="cs"/>
          <w:rtl/>
        </w:rPr>
        <w:t>כסף</w:t>
      </w:r>
      <w:r w:rsidRPr="00E44EAA">
        <w:rPr>
          <w:rtl/>
        </w:rPr>
        <w:t xml:space="preserve"> </w:t>
      </w:r>
      <w:r w:rsidRPr="00E44EAA">
        <w:rPr>
          <w:rFonts w:hint="cs"/>
          <w:rtl/>
        </w:rPr>
        <w:t>שזה</w:t>
      </w:r>
      <w:r w:rsidRPr="00E44EAA">
        <w:rPr>
          <w:rtl/>
        </w:rPr>
        <w:t xml:space="preserve"> </w:t>
      </w:r>
      <w:r w:rsidRPr="00E44EAA">
        <w:rPr>
          <w:rFonts w:hint="cs"/>
          <w:rtl/>
        </w:rPr>
        <w:t>במאמר</w:t>
      </w:r>
      <w:r w:rsidRPr="00E44EAA">
        <w:rPr>
          <w:rtl/>
        </w:rPr>
        <w:t xml:space="preserve"> </w:t>
      </w:r>
      <w:r w:rsidRPr="00E44EAA">
        <w:rPr>
          <w:rFonts w:hint="cs"/>
          <w:rtl/>
        </w:rPr>
        <w:t>אחד</w:t>
      </w:r>
      <w:r w:rsidRPr="00E44EAA">
        <w:rPr>
          <w:rtl/>
        </w:rPr>
        <w:t xml:space="preserve">, </w:t>
      </w:r>
      <w:r w:rsidRPr="00E44EAA">
        <w:rPr>
          <w:rFonts w:hint="cs"/>
          <w:rtl/>
        </w:rPr>
        <w:t>ולכן</w:t>
      </w:r>
      <w:r w:rsidRPr="00E44EAA">
        <w:rPr>
          <w:rtl/>
        </w:rPr>
        <w:t xml:space="preserve"> </w:t>
      </w:r>
      <w:r w:rsidRPr="00E44EAA">
        <w:rPr>
          <w:rFonts w:hint="cs"/>
          <w:rtl/>
        </w:rPr>
        <w:t>מוזכר</w:t>
      </w:r>
      <w:r w:rsidRPr="00E44EAA">
        <w:rPr>
          <w:rtl/>
        </w:rPr>
        <w:t xml:space="preserve"> </w:t>
      </w:r>
      <w:r w:rsidRPr="00E44EAA">
        <w:rPr>
          <w:rFonts w:hint="cs"/>
          <w:rtl/>
        </w:rPr>
        <w:t>בדין</w:t>
      </w:r>
      <w:r w:rsidRPr="00E44EAA">
        <w:rPr>
          <w:rtl/>
        </w:rPr>
        <w:t xml:space="preserve"> </w:t>
      </w:r>
      <w:r w:rsidRPr="00E44EAA">
        <w:rPr>
          <w:rFonts w:hint="cs"/>
          <w:rtl/>
        </w:rPr>
        <w:t>מי</w:t>
      </w:r>
      <w:r w:rsidRPr="00E44EAA">
        <w:rPr>
          <w:rtl/>
        </w:rPr>
        <w:t xml:space="preserve"> </w:t>
      </w:r>
      <w:r w:rsidRPr="00E44EAA">
        <w:rPr>
          <w:rFonts w:hint="cs"/>
          <w:rtl/>
        </w:rPr>
        <w:t>שפרע</w:t>
      </w:r>
      <w:r w:rsidRPr="00E44EAA">
        <w:rPr>
          <w:rtl/>
        </w:rPr>
        <w:t xml:space="preserve"> </w:t>
      </w:r>
      <w:r w:rsidRPr="00E44EAA">
        <w:rPr>
          <w:rFonts w:hint="cs"/>
          <w:rtl/>
        </w:rPr>
        <w:t>רק</w:t>
      </w:r>
      <w:r w:rsidRPr="00E44EAA">
        <w:rPr>
          <w:rtl/>
        </w:rPr>
        <w:t xml:space="preserve"> </w:t>
      </w:r>
      <w:r w:rsidRPr="00E44EAA">
        <w:rPr>
          <w:rFonts w:hint="cs"/>
          <w:rtl/>
        </w:rPr>
        <w:t>הרשעים</w:t>
      </w:r>
      <w:r w:rsidRPr="00E44EAA">
        <w:rPr>
          <w:rtl/>
        </w:rPr>
        <w:t xml:space="preserve"> </w:t>
      </w:r>
      <w:r w:rsidRPr="00E44EAA">
        <w:rPr>
          <w:rFonts w:hint="cs"/>
          <w:rtl/>
        </w:rPr>
        <w:t>שלפני</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כי</w:t>
      </w:r>
      <w:r w:rsidRPr="00E44EAA">
        <w:rPr>
          <w:rtl/>
        </w:rPr>
        <w:t xml:space="preserve"> </w:t>
      </w:r>
      <w:r w:rsidRPr="00E44EAA">
        <w:rPr>
          <w:rFonts w:hint="cs"/>
          <w:rtl/>
        </w:rPr>
        <w:t>אז</w:t>
      </w:r>
      <w:r w:rsidRPr="00E44EAA">
        <w:rPr>
          <w:rtl/>
        </w:rPr>
        <w:t xml:space="preserve"> </w:t>
      </w:r>
      <w:r w:rsidRPr="00E44EAA">
        <w:rPr>
          <w:rFonts w:hint="cs"/>
          <w:rtl/>
        </w:rPr>
        <w:t>היה</w:t>
      </w:r>
      <w:r w:rsidRPr="00E44EAA">
        <w:rPr>
          <w:rtl/>
        </w:rPr>
        <w:t xml:space="preserve"> </w:t>
      </w:r>
      <w:r w:rsidRPr="00E44EAA">
        <w:rPr>
          <w:rFonts w:hint="cs"/>
          <w:rtl/>
        </w:rPr>
        <w:t>העולם</w:t>
      </w:r>
      <w:r w:rsidRPr="00E44EAA">
        <w:rPr>
          <w:rtl/>
        </w:rPr>
        <w:t xml:space="preserve"> </w:t>
      </w:r>
      <w:r w:rsidRPr="00E44EAA">
        <w:rPr>
          <w:rFonts w:hint="cs"/>
          <w:rtl/>
        </w:rPr>
        <w:t>קיים</w:t>
      </w:r>
      <w:r w:rsidRPr="00E44EAA">
        <w:rPr>
          <w:rtl/>
        </w:rPr>
        <w:t xml:space="preserve"> </w:t>
      </w:r>
      <w:r w:rsidRPr="00E44EAA">
        <w:rPr>
          <w:rFonts w:hint="cs"/>
          <w:rtl/>
        </w:rPr>
        <w:t>רק</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והא</w:t>
      </w:r>
      <w:r w:rsidRPr="00E44EAA">
        <w:rPr>
          <w:rtl/>
        </w:rPr>
        <w:t xml:space="preserve"> </w:t>
      </w:r>
      <w:r w:rsidRPr="00E44EAA">
        <w:rPr>
          <w:rFonts w:hint="cs"/>
          <w:rtl/>
        </w:rPr>
        <w:t>מה</w:t>
      </w:r>
      <w:r w:rsidRPr="00E44EAA">
        <w:rPr>
          <w:rtl/>
        </w:rPr>
        <w:t xml:space="preserve"> </w:t>
      </w:r>
      <w:r w:rsidRPr="00E44EAA">
        <w:rPr>
          <w:rFonts w:hint="cs"/>
          <w:rtl/>
        </w:rPr>
        <w:t>שאומר</w:t>
      </w:r>
      <w:r w:rsidRPr="00E44EAA">
        <w:rPr>
          <w:rtl/>
        </w:rPr>
        <w:t xml:space="preserve"> </w:t>
      </w:r>
      <w:r w:rsidRPr="00E44EAA">
        <w:rPr>
          <w:rFonts w:hint="cs"/>
          <w:rtl/>
        </w:rPr>
        <w:t>ומקיים</w:t>
      </w:r>
      <w:r w:rsidRPr="00E44EAA">
        <w:rPr>
          <w:rtl/>
        </w:rPr>
        <w:t xml:space="preserve"> </w:t>
      </w:r>
      <w:r>
        <w:rPr>
          <w:rFonts w:hint="cs"/>
          <w:rtl/>
        </w:rPr>
        <w:t xml:space="preserve">את </w:t>
      </w:r>
      <w:r w:rsidRPr="00E44EAA">
        <w:rPr>
          <w:rFonts w:hint="cs"/>
          <w:rtl/>
        </w:rPr>
        <w:t>דברו</w:t>
      </w:r>
      <w:r w:rsidRPr="00E44EAA">
        <w:rPr>
          <w:rtl/>
        </w:rPr>
        <w:t xml:space="preserve"> </w:t>
      </w:r>
      <w:r w:rsidRPr="00E44EAA">
        <w:rPr>
          <w:rFonts w:hint="cs"/>
          <w:rtl/>
        </w:rPr>
        <w:t>שנברא</w:t>
      </w:r>
      <w:r w:rsidRPr="00E44EAA">
        <w:rPr>
          <w:rtl/>
        </w:rPr>
        <w:t xml:space="preserve"> </w:t>
      </w:r>
      <w:r w:rsidRPr="00E44EAA">
        <w:rPr>
          <w:rFonts w:hint="cs"/>
          <w:rtl/>
        </w:rPr>
        <w:t>העולם</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דבור</w:t>
      </w:r>
      <w:r w:rsidRPr="00E44EAA">
        <w:rPr>
          <w:rtl/>
        </w:rPr>
        <w:t xml:space="preserve"> </w:t>
      </w:r>
      <w:r w:rsidRPr="00E44EAA">
        <w:rPr>
          <w:rFonts w:hint="cs"/>
          <w:rtl/>
        </w:rPr>
        <w:t>שזה</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אבל</w:t>
      </w:r>
      <w:r w:rsidRPr="00E44EAA">
        <w:rPr>
          <w:rtl/>
        </w:rPr>
        <w:t xml:space="preserve"> </w:t>
      </w:r>
      <w:r w:rsidRPr="00E44EAA">
        <w:rPr>
          <w:rFonts w:hint="cs"/>
          <w:rtl/>
        </w:rPr>
        <w:t>מאמר</w:t>
      </w:r>
      <w:r w:rsidRPr="00E44EAA">
        <w:rPr>
          <w:rtl/>
        </w:rPr>
        <w:t xml:space="preserve"> </w:t>
      </w:r>
      <w:r w:rsidRPr="00E44EAA">
        <w:rPr>
          <w:rFonts w:hint="cs"/>
          <w:rtl/>
        </w:rPr>
        <w:t>אחד</w:t>
      </w:r>
      <w:r w:rsidRPr="00E44EAA">
        <w:rPr>
          <w:rtl/>
        </w:rPr>
        <w:t xml:space="preserve"> </w:t>
      </w:r>
      <w:r w:rsidRPr="00E44EAA">
        <w:rPr>
          <w:rFonts w:hint="cs"/>
          <w:rtl/>
        </w:rPr>
        <w:t>הוא</w:t>
      </w:r>
      <w:r w:rsidRPr="00E44EAA">
        <w:rPr>
          <w:rtl/>
        </w:rPr>
        <w:t xml:space="preserve"> </w:t>
      </w:r>
      <w:r w:rsidRPr="00E44EAA">
        <w:rPr>
          <w:rFonts w:hint="cs"/>
          <w:rtl/>
        </w:rPr>
        <w:t>מחשבה</w:t>
      </w:r>
      <w:r>
        <w:rPr>
          <w:rFonts w:hint="cs"/>
          <w:rtl/>
        </w:rPr>
        <w:t>.</w:t>
      </w:r>
    </w:p>
    <w:p w14:paraId="5B828EFF" w14:textId="77777777" w:rsidR="00D42EB2" w:rsidRPr="00E44EAA" w:rsidRDefault="00D42EB2" w:rsidP="00D42EB2">
      <w:pPr>
        <w:pStyle w:val="a2"/>
        <w:rPr>
          <w:rtl/>
        </w:rPr>
      </w:pP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הוא</w:t>
      </w:r>
      <w:r w:rsidRPr="00E44EAA">
        <w:rPr>
          <w:rtl/>
        </w:rPr>
        <w:t xml:space="preserve"> </w:t>
      </w:r>
      <w:r w:rsidRPr="00E44EAA">
        <w:rPr>
          <w:rFonts w:hint="cs"/>
          <w:rtl/>
        </w:rPr>
        <w:t>מה</w:t>
      </w:r>
      <w:r w:rsidRPr="00E44EAA">
        <w:rPr>
          <w:rtl/>
        </w:rPr>
        <w:t xml:space="preserve"> </w:t>
      </w:r>
      <w:r w:rsidRPr="00E44EAA">
        <w:rPr>
          <w:rFonts w:hint="cs"/>
          <w:rtl/>
        </w:rPr>
        <w:t>שעל</w:t>
      </w:r>
      <w:r w:rsidRPr="00E44EAA">
        <w:rPr>
          <w:rtl/>
        </w:rPr>
        <w:t xml:space="preserve"> </w:t>
      </w:r>
      <w:r w:rsidRPr="00E44EAA">
        <w:rPr>
          <w:rFonts w:hint="cs"/>
          <w:rtl/>
        </w:rPr>
        <w:t>ידי</w:t>
      </w:r>
      <w:r w:rsidRPr="00E44EAA">
        <w:rPr>
          <w:rtl/>
        </w:rPr>
        <w:t xml:space="preserve"> </w:t>
      </w:r>
      <w:r w:rsidRPr="00E44EAA">
        <w:rPr>
          <w:rFonts w:hint="cs"/>
          <w:rtl/>
        </w:rPr>
        <w:t>הפרטים</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נברא</w:t>
      </w:r>
      <w:r w:rsidRPr="00E44EAA">
        <w:rPr>
          <w:rtl/>
        </w:rPr>
        <w:t xml:space="preserve"> </w:t>
      </w:r>
      <w:r w:rsidRPr="00E44EAA">
        <w:rPr>
          <w:rFonts w:hint="cs"/>
          <w:rtl/>
        </w:rPr>
        <w:t>עלמא</w:t>
      </w:r>
      <w:r w:rsidRPr="00E44EAA">
        <w:rPr>
          <w:rtl/>
        </w:rPr>
        <w:t xml:space="preserve"> </w:t>
      </w:r>
      <w:r w:rsidRPr="00E44EAA">
        <w:rPr>
          <w:rFonts w:hint="cs"/>
          <w:rtl/>
        </w:rPr>
        <w:t>דפרודא</w:t>
      </w:r>
      <w:r w:rsidRPr="00E44EAA">
        <w:rPr>
          <w:rtl/>
        </w:rPr>
        <w:t xml:space="preserve"> </w:t>
      </w:r>
      <w:r w:rsidRPr="00E44EAA">
        <w:rPr>
          <w:rFonts w:hint="cs"/>
          <w:rtl/>
        </w:rPr>
        <w:t>וקיומו</w:t>
      </w:r>
      <w:r w:rsidRPr="00E44EAA">
        <w:rPr>
          <w:rtl/>
        </w:rPr>
        <w:t xml:space="preserve"> </w:t>
      </w:r>
      <w:r w:rsidRPr="00E44EAA">
        <w:rPr>
          <w:rFonts w:hint="cs"/>
          <w:rtl/>
        </w:rPr>
        <w:t>הוא</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צדיקים</w:t>
      </w:r>
      <w:r w:rsidRPr="00E44EAA">
        <w:rPr>
          <w:rtl/>
        </w:rPr>
        <w:t xml:space="preserve"> </w:t>
      </w:r>
      <w:r w:rsidRPr="00E44EAA">
        <w:rPr>
          <w:rFonts w:hint="cs"/>
          <w:rtl/>
        </w:rPr>
        <w:t>שמושכים</w:t>
      </w:r>
      <w:r w:rsidRPr="00E44EAA">
        <w:rPr>
          <w:rtl/>
        </w:rPr>
        <w:t xml:space="preserve"> </w:t>
      </w:r>
      <w:r w:rsidRPr="00E44EAA">
        <w:rPr>
          <w:rFonts w:hint="cs"/>
          <w:rtl/>
        </w:rPr>
        <w:t>אותו</w:t>
      </w:r>
      <w:r w:rsidRPr="00E44EAA">
        <w:rPr>
          <w:rtl/>
        </w:rPr>
        <w:t xml:space="preserve"> </w:t>
      </w:r>
      <w:r w:rsidRPr="00E44EAA">
        <w:rPr>
          <w:rFonts w:hint="cs"/>
          <w:rtl/>
        </w:rPr>
        <w:t>ליחידו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אבל</w:t>
      </w:r>
      <w:r w:rsidRPr="00E44EAA">
        <w:rPr>
          <w:rtl/>
        </w:rPr>
        <w:t xml:space="preserve"> </w:t>
      </w:r>
      <w:r w:rsidRPr="00E44EAA">
        <w:rPr>
          <w:rFonts w:hint="cs"/>
          <w:rtl/>
        </w:rPr>
        <w:t>כשאינו</w:t>
      </w:r>
      <w:r w:rsidRPr="00E44EAA">
        <w:rPr>
          <w:rtl/>
        </w:rPr>
        <w:t xml:space="preserve"> </w:t>
      </w:r>
      <w:r w:rsidRPr="00E44EAA">
        <w:rPr>
          <w:rFonts w:hint="cs"/>
          <w:rtl/>
        </w:rPr>
        <w:t>עושה</w:t>
      </w:r>
      <w:r w:rsidRPr="00E44EAA">
        <w:rPr>
          <w:rtl/>
        </w:rPr>
        <w:t xml:space="preserve"> </w:t>
      </w:r>
      <w:r w:rsidRPr="00E44EAA">
        <w:rPr>
          <w:rFonts w:hint="cs"/>
          <w:rtl/>
        </w:rPr>
        <w:t>משיכה</w:t>
      </w:r>
      <w:r w:rsidRPr="00E44EAA">
        <w:rPr>
          <w:rtl/>
        </w:rPr>
        <w:t xml:space="preserve"> </w:t>
      </w:r>
      <w:r w:rsidRPr="00E44EAA">
        <w:rPr>
          <w:rFonts w:hint="cs"/>
          <w:rtl/>
        </w:rPr>
        <w:t>אז</w:t>
      </w:r>
      <w:r w:rsidRPr="00E44EAA">
        <w:rPr>
          <w:rtl/>
        </w:rPr>
        <w:t xml:space="preserve"> </w:t>
      </w:r>
      <w:r w:rsidRPr="00E44EAA">
        <w:rPr>
          <w:rFonts w:hint="cs"/>
          <w:rtl/>
        </w:rPr>
        <w:t>דורשים</w:t>
      </w:r>
      <w:r w:rsidRPr="00E44EAA">
        <w:rPr>
          <w:rtl/>
        </w:rPr>
        <w:t xml:space="preserve"> </w:t>
      </w:r>
      <w:r w:rsidRPr="00E44EAA">
        <w:rPr>
          <w:rFonts w:hint="cs"/>
          <w:rtl/>
        </w:rPr>
        <w:t>ממנו</w:t>
      </w:r>
      <w:r w:rsidRPr="00E44EAA">
        <w:rPr>
          <w:rtl/>
        </w:rPr>
        <w:t xml:space="preserve"> </w:t>
      </w:r>
      <w:r w:rsidRPr="00E44EAA">
        <w:rPr>
          <w:rFonts w:hint="cs"/>
          <w:rtl/>
        </w:rPr>
        <w:t>שיקיים</w:t>
      </w:r>
      <w:r w:rsidRPr="00E44EAA">
        <w:rPr>
          <w:rtl/>
        </w:rPr>
        <w:t xml:space="preserve"> </w:t>
      </w:r>
      <w:r w:rsidRPr="00E44EAA">
        <w:rPr>
          <w:rFonts w:hint="cs"/>
          <w:rtl/>
        </w:rPr>
        <w:t>את</w:t>
      </w:r>
      <w:r w:rsidRPr="00E44EAA">
        <w:rPr>
          <w:rtl/>
        </w:rPr>
        <w:t xml:space="preserve"> </w:t>
      </w:r>
      <w:r w:rsidRPr="00E44EAA">
        <w:rPr>
          <w:rFonts w:hint="cs"/>
          <w:rtl/>
        </w:rPr>
        <w:t>הקנין</w:t>
      </w:r>
      <w:r w:rsidRPr="00E44EAA">
        <w:rPr>
          <w:rtl/>
        </w:rPr>
        <w:t xml:space="preserve">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וזהו</w:t>
      </w:r>
      <w:r w:rsidRPr="00E44EAA">
        <w:rPr>
          <w:rtl/>
        </w:rPr>
        <w:t xml:space="preserve"> </w:t>
      </w:r>
      <w:r w:rsidRPr="00E44EAA">
        <w:rPr>
          <w:rFonts w:hint="cs"/>
          <w:rtl/>
        </w:rPr>
        <w:t>ליפרע</w:t>
      </w:r>
      <w:r w:rsidRPr="00E44EAA">
        <w:rPr>
          <w:rtl/>
        </w:rPr>
        <w:t xml:space="preserve"> </w:t>
      </w:r>
      <w:r w:rsidRPr="00E44EAA">
        <w:rPr>
          <w:rFonts w:hint="cs"/>
          <w:rtl/>
        </w:rPr>
        <w:t>מהרשעים</w:t>
      </w:r>
      <w:r w:rsidRPr="00E44EAA">
        <w:rPr>
          <w:rtl/>
        </w:rPr>
        <w:t xml:space="preserve"> </w:t>
      </w:r>
      <w:r w:rsidRPr="00E44EAA">
        <w:rPr>
          <w:rFonts w:hint="cs"/>
          <w:rtl/>
        </w:rPr>
        <w:t>עבודה</w:t>
      </w:r>
      <w:r w:rsidRPr="00E44EAA">
        <w:rPr>
          <w:rtl/>
        </w:rPr>
        <w:t xml:space="preserve"> </w:t>
      </w:r>
      <w:r w:rsidRPr="00E44EAA">
        <w:rPr>
          <w:rFonts w:hint="cs"/>
          <w:rtl/>
        </w:rPr>
        <w:t>נעלית</w:t>
      </w:r>
      <w:r w:rsidRPr="00E44EAA">
        <w:rPr>
          <w:rtl/>
        </w:rPr>
        <w:t xml:space="preserve"> </w:t>
      </w:r>
      <w:r w:rsidRPr="00E44EAA">
        <w:rPr>
          <w:rFonts w:hint="cs"/>
          <w:rtl/>
        </w:rPr>
        <w:t>יותר</w:t>
      </w:r>
      <w:r w:rsidRPr="00E44EAA">
        <w:rPr>
          <w:rtl/>
        </w:rPr>
        <w:t xml:space="preserve"> </w:t>
      </w:r>
      <w:r w:rsidRPr="00E44EAA">
        <w:rPr>
          <w:rFonts w:hint="cs"/>
          <w:rtl/>
        </w:rPr>
        <w:t>שיקיימו</w:t>
      </w:r>
      <w:r w:rsidRPr="00E44EAA">
        <w:rPr>
          <w:rtl/>
        </w:rPr>
        <w:t xml:space="preserve"> </w:t>
      </w:r>
      <w:r w:rsidRPr="00E44EAA">
        <w:rPr>
          <w:rFonts w:hint="cs"/>
          <w:rtl/>
        </w:rPr>
        <w:t>במאמר</w:t>
      </w:r>
      <w:r w:rsidRPr="00E44EAA">
        <w:rPr>
          <w:rtl/>
        </w:rPr>
        <w:t xml:space="preserve"> </w:t>
      </w:r>
      <w:r w:rsidRPr="00E44EAA">
        <w:rPr>
          <w:rFonts w:hint="cs"/>
          <w:rtl/>
        </w:rPr>
        <w:t>אחד</w:t>
      </w:r>
      <w:r w:rsidRPr="00E44EAA">
        <w:rPr>
          <w:rtl/>
        </w:rPr>
        <w:t xml:space="preserve"> </w:t>
      </w:r>
      <w:r w:rsidRPr="00E44EAA">
        <w:rPr>
          <w:rFonts w:hint="cs"/>
          <w:rtl/>
        </w:rPr>
        <w:t>שזה</w:t>
      </w:r>
      <w:r w:rsidRPr="00E44EAA">
        <w:rPr>
          <w:rtl/>
        </w:rPr>
        <w:t xml:space="preserve"> </w:t>
      </w:r>
      <w:r w:rsidRPr="00E44EAA">
        <w:rPr>
          <w:rFonts w:hint="cs"/>
          <w:rtl/>
        </w:rPr>
        <w:t>תשובה</w:t>
      </w:r>
      <w:r w:rsidRPr="00E44EAA">
        <w:rPr>
          <w:rtl/>
        </w:rPr>
        <w:t xml:space="preserve"> </w:t>
      </w:r>
      <w:r w:rsidRPr="00E44EAA">
        <w:rPr>
          <w:rFonts w:hint="cs"/>
          <w:rtl/>
        </w:rPr>
        <w:t>מאהבה</w:t>
      </w:r>
      <w:r>
        <w:rPr>
          <w:rFonts w:hint="cs"/>
          <w:rtl/>
        </w:rPr>
        <w:t>.</w:t>
      </w:r>
    </w:p>
    <w:p w14:paraId="3AB4A49A" w14:textId="77777777" w:rsidR="00D42EB2" w:rsidRDefault="00D42EB2" w:rsidP="00D42EB2">
      <w:pPr>
        <w:pStyle w:val="a2"/>
        <w:rPr>
          <w:rtl/>
        </w:rPr>
      </w:pPr>
      <w:r w:rsidRPr="00E44EAA">
        <w:rPr>
          <w:rFonts w:hint="cs"/>
          <w:rtl/>
        </w:rPr>
        <w:t>ואפשר</w:t>
      </w:r>
      <w:r w:rsidRPr="00E44EAA">
        <w:rPr>
          <w:rtl/>
        </w:rPr>
        <w:t xml:space="preserve"> </w:t>
      </w:r>
      <w:r w:rsidRPr="00E44EAA">
        <w:rPr>
          <w:rFonts w:hint="cs"/>
          <w:rtl/>
        </w:rPr>
        <w:t>הביאור</w:t>
      </w:r>
      <w:r w:rsidRPr="00E44EAA">
        <w:rPr>
          <w:rtl/>
        </w:rPr>
        <w:t xml:space="preserve"> </w:t>
      </w:r>
      <w:r w:rsidRPr="00E44EAA">
        <w:rPr>
          <w:rFonts w:hint="cs"/>
          <w:rtl/>
        </w:rPr>
        <w:t>בזה</w:t>
      </w:r>
      <w:r w:rsidRPr="00E44EAA">
        <w:rPr>
          <w:rtl/>
        </w:rPr>
        <w:t xml:space="preserve"> </w:t>
      </w:r>
      <w:r w:rsidRPr="00E44EAA">
        <w:rPr>
          <w:rFonts w:hint="cs"/>
          <w:rtl/>
        </w:rPr>
        <w:t>כי</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גרם</w:t>
      </w:r>
      <w:r w:rsidRPr="00E44EAA">
        <w:rPr>
          <w:rtl/>
        </w:rPr>
        <w:t xml:space="preserve"> </w:t>
      </w:r>
      <w:r w:rsidRPr="00E44EAA">
        <w:rPr>
          <w:rFonts w:hint="cs"/>
          <w:rtl/>
        </w:rPr>
        <w:t>לו</w:t>
      </w:r>
      <w:r w:rsidRPr="00E44EAA">
        <w:rPr>
          <w:rtl/>
        </w:rPr>
        <w:t xml:space="preserve"> </w:t>
      </w:r>
      <w:r w:rsidRPr="00E44EAA">
        <w:rPr>
          <w:rFonts w:hint="cs"/>
          <w:rtl/>
        </w:rPr>
        <w:t>לחטוא</w:t>
      </w:r>
      <w:r w:rsidRPr="00E44EAA">
        <w:rPr>
          <w:rtl/>
        </w:rPr>
        <w:t xml:space="preserve"> </w:t>
      </w:r>
      <w:r w:rsidRPr="00E44EAA">
        <w:rPr>
          <w:rFonts w:hint="cs"/>
          <w:rtl/>
        </w:rPr>
        <w:t>כמו</w:t>
      </w:r>
      <w:r w:rsidRPr="00E44EAA">
        <w:rPr>
          <w:rtl/>
        </w:rPr>
        <w:t xml:space="preserve"> </w:t>
      </w:r>
      <w:r w:rsidRPr="00E44EAA">
        <w:rPr>
          <w:rFonts w:hint="cs"/>
          <w:rtl/>
        </w:rPr>
        <w:t>ענין</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כך</w:t>
      </w:r>
      <w:r w:rsidRPr="00E44EAA">
        <w:rPr>
          <w:rtl/>
        </w:rPr>
        <w:t xml:space="preserve"> </w:t>
      </w:r>
      <w:r w:rsidRPr="00E44EAA">
        <w:rPr>
          <w:rFonts w:hint="cs"/>
          <w:rtl/>
        </w:rPr>
        <w:t>מחריבים</w:t>
      </w:r>
      <w:r w:rsidRPr="00E44EAA">
        <w:rPr>
          <w:rtl/>
        </w:rPr>
        <w:t xml:space="preserve"> </w:t>
      </w:r>
      <w:r w:rsidRPr="00E44EAA">
        <w:rPr>
          <w:rFonts w:hint="cs"/>
          <w:rtl/>
        </w:rPr>
        <w:t>את</w:t>
      </w:r>
      <w:r w:rsidRPr="00E44EAA">
        <w:rPr>
          <w:rtl/>
        </w:rPr>
        <w:t xml:space="preserve"> </w:t>
      </w:r>
      <w:r w:rsidRPr="00E44EAA">
        <w:rPr>
          <w:rFonts w:hint="cs"/>
          <w:rtl/>
        </w:rPr>
        <w:t>העולם</w:t>
      </w:r>
      <w:r w:rsidRPr="00E44EAA">
        <w:rPr>
          <w:rtl/>
        </w:rPr>
        <w:t xml:space="preserve"> </w:t>
      </w:r>
      <w:r w:rsidRPr="00E44EAA">
        <w:rPr>
          <w:rFonts w:hint="cs"/>
          <w:rtl/>
        </w:rPr>
        <w:t>כי</w:t>
      </w:r>
      <w:r w:rsidRPr="00E44EAA">
        <w:rPr>
          <w:rtl/>
        </w:rPr>
        <w:t xml:space="preserve"> </w:t>
      </w:r>
      <w:r w:rsidRPr="00E44EAA">
        <w:rPr>
          <w:rFonts w:hint="cs"/>
          <w:rtl/>
        </w:rPr>
        <w:t>אינו</w:t>
      </w:r>
      <w:r w:rsidRPr="00E44EAA">
        <w:rPr>
          <w:rtl/>
        </w:rPr>
        <w:t xml:space="preserve"> </w:t>
      </w:r>
      <w:r w:rsidRPr="00E44EAA">
        <w:rPr>
          <w:rFonts w:hint="cs"/>
          <w:rtl/>
        </w:rPr>
        <w:t>יכול</w:t>
      </w:r>
      <w:r w:rsidRPr="00E44EAA">
        <w:rPr>
          <w:rtl/>
        </w:rPr>
        <w:t xml:space="preserve"> </w:t>
      </w:r>
      <w:r w:rsidRPr="00E44EAA">
        <w:rPr>
          <w:rFonts w:hint="cs"/>
          <w:rtl/>
        </w:rPr>
        <w:t>לקיים</w:t>
      </w:r>
      <w:r w:rsidRPr="00E44EAA">
        <w:rPr>
          <w:rtl/>
        </w:rPr>
        <w:t xml:space="preserve"> </w:t>
      </w:r>
      <w:r w:rsidRPr="00E44EAA">
        <w:rPr>
          <w:rFonts w:hint="cs"/>
          <w:rtl/>
        </w:rPr>
        <w:t>בקנין</w:t>
      </w:r>
      <w:r w:rsidRPr="00E44EAA">
        <w:rPr>
          <w:rtl/>
        </w:rPr>
        <w:t xml:space="preserve"> </w:t>
      </w:r>
      <w:r w:rsidRPr="00E44EAA">
        <w:rPr>
          <w:rFonts w:hint="cs"/>
          <w:rtl/>
        </w:rPr>
        <w:t>משיכה</w:t>
      </w:r>
      <w:r w:rsidRPr="00E44EAA">
        <w:rPr>
          <w:rtl/>
        </w:rPr>
        <w:t xml:space="preserve"> </w:t>
      </w:r>
      <w:r w:rsidRPr="00E44EAA">
        <w:rPr>
          <w:rFonts w:hint="cs"/>
          <w:rtl/>
        </w:rPr>
        <w:t>למשוך</w:t>
      </w:r>
      <w:r w:rsidRPr="00E44EAA">
        <w:rPr>
          <w:rtl/>
        </w:rPr>
        <w:t xml:space="preserve"> </w:t>
      </w:r>
      <w:r w:rsidRPr="00E44EAA">
        <w:rPr>
          <w:rFonts w:hint="cs"/>
          <w:rtl/>
        </w:rPr>
        <w:lastRenderedPageBreak/>
        <w:t>מעלמא</w:t>
      </w:r>
      <w:r w:rsidRPr="00E44EAA">
        <w:rPr>
          <w:rtl/>
        </w:rPr>
        <w:t xml:space="preserve"> </w:t>
      </w:r>
      <w:r w:rsidRPr="00E44EAA">
        <w:rPr>
          <w:rFonts w:hint="cs"/>
          <w:rtl/>
        </w:rPr>
        <w:t>דפרודא</w:t>
      </w:r>
      <w:r w:rsidRPr="00E44EAA">
        <w:rPr>
          <w:rtl/>
        </w:rPr>
        <w:t xml:space="preserve"> </w:t>
      </w:r>
      <w:r w:rsidRPr="00E44EAA">
        <w:rPr>
          <w:rFonts w:hint="cs"/>
          <w:rtl/>
        </w:rPr>
        <w:t>לרשות</w:t>
      </w:r>
      <w:r w:rsidRPr="00E44EAA">
        <w:rPr>
          <w:rtl/>
        </w:rPr>
        <w:t xml:space="preserve"> </w:t>
      </w:r>
      <w:r w:rsidRPr="00E44EAA">
        <w:rPr>
          <w:rFonts w:hint="cs"/>
          <w:rtl/>
        </w:rPr>
        <w:t>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ולכן</w:t>
      </w:r>
      <w:r w:rsidRPr="00E44EAA">
        <w:rPr>
          <w:rtl/>
        </w:rPr>
        <w:t xml:space="preserve"> </w:t>
      </w:r>
      <w:r w:rsidRPr="00E44EAA">
        <w:rPr>
          <w:rFonts w:hint="cs"/>
          <w:rtl/>
        </w:rPr>
        <w:t>מקיים</w:t>
      </w:r>
      <w:r w:rsidRPr="00E44EAA">
        <w:rPr>
          <w:rtl/>
        </w:rPr>
        <w:t xml:space="preserve">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שזה</w:t>
      </w:r>
      <w:r w:rsidRPr="00E44EAA">
        <w:rPr>
          <w:rtl/>
        </w:rPr>
        <w:t xml:space="preserve"> </w:t>
      </w:r>
      <w:r w:rsidRPr="00E44EAA">
        <w:rPr>
          <w:rFonts w:hint="cs"/>
          <w:rtl/>
        </w:rPr>
        <w:t>מאמר</w:t>
      </w:r>
      <w:r w:rsidRPr="00E44EAA">
        <w:rPr>
          <w:rtl/>
        </w:rPr>
        <w:t xml:space="preserve"> </w:t>
      </w:r>
      <w:r w:rsidRPr="00E44EAA">
        <w:rPr>
          <w:rFonts w:hint="cs"/>
          <w:rtl/>
        </w:rPr>
        <w:t>אחד</w:t>
      </w:r>
      <w:r w:rsidRPr="00E44EAA">
        <w:rPr>
          <w:rtl/>
        </w:rPr>
        <w:t xml:space="preserve"> </w:t>
      </w:r>
      <w:r w:rsidRPr="00E44EAA">
        <w:rPr>
          <w:rFonts w:hint="cs"/>
          <w:rtl/>
        </w:rPr>
        <w:t>כי</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תשובה</w:t>
      </w:r>
      <w:r w:rsidRPr="00E44EAA">
        <w:rPr>
          <w:rtl/>
        </w:rPr>
        <w:t xml:space="preserve"> </w:t>
      </w:r>
      <w:r w:rsidRPr="00E44EAA">
        <w:rPr>
          <w:rFonts w:hint="cs"/>
          <w:rtl/>
        </w:rPr>
        <w:t>עולה</w:t>
      </w:r>
      <w:r w:rsidRPr="00E44EAA">
        <w:rPr>
          <w:rtl/>
        </w:rPr>
        <w:t xml:space="preserve"> </w:t>
      </w:r>
      <w:r w:rsidRPr="00E44EAA">
        <w:rPr>
          <w:rFonts w:hint="cs"/>
          <w:rtl/>
        </w:rPr>
        <w:t>למעלה</w:t>
      </w:r>
      <w:r w:rsidRPr="00E44EAA">
        <w:rPr>
          <w:rtl/>
        </w:rPr>
        <w:t xml:space="preserve"> </w:t>
      </w:r>
      <w:r w:rsidRPr="00E44EAA">
        <w:rPr>
          <w:rFonts w:hint="cs"/>
          <w:rtl/>
        </w:rPr>
        <w:t>מהכלל</w:t>
      </w:r>
      <w:r w:rsidRPr="00E44EAA">
        <w:rPr>
          <w:rtl/>
        </w:rPr>
        <w:t xml:space="preserve"> </w:t>
      </w:r>
      <w:r w:rsidRPr="00E44EAA">
        <w:rPr>
          <w:rFonts w:hint="cs"/>
          <w:rtl/>
        </w:rPr>
        <w:t>שזה</w:t>
      </w:r>
      <w:r w:rsidRPr="00E44EAA">
        <w:rPr>
          <w:rtl/>
        </w:rPr>
        <w:t xml:space="preserve"> </w:t>
      </w:r>
      <w:r w:rsidRPr="00E44EAA">
        <w:rPr>
          <w:rFonts w:hint="cs"/>
          <w:rtl/>
        </w:rPr>
        <w:t>העלם</w:t>
      </w:r>
      <w:r w:rsidRPr="00E44EAA">
        <w:rPr>
          <w:rtl/>
        </w:rPr>
        <w:t xml:space="preserve"> </w:t>
      </w:r>
      <w:r w:rsidRPr="00E44EAA">
        <w:rPr>
          <w:rFonts w:hint="cs"/>
          <w:rtl/>
        </w:rPr>
        <w:t>העצמי</w:t>
      </w:r>
      <w:r>
        <w:rPr>
          <w:rFonts w:hint="cs"/>
          <w:rtl/>
        </w:rPr>
        <w:t>.</w:t>
      </w:r>
    </w:p>
    <w:p w14:paraId="3F1B8B3A" w14:textId="77777777" w:rsidR="00D42EB2" w:rsidRDefault="00D42EB2" w:rsidP="00D42EB2">
      <w:pPr>
        <w:pStyle w:val="a2"/>
        <w:rPr>
          <w:rtl/>
        </w:rPr>
      </w:pPr>
      <w:r>
        <w:rPr>
          <w:rFonts w:hint="cs"/>
          <w:rtl/>
        </w:rPr>
        <w:t>ובדרך אפשר נראה לבאר מה שמקיים במאמר אחד, כי התירוץ במשנה מדוע נברא העולם בעשרה מאמרות ליתן שכר טוב לצדיקים, כי זה ענין השכר שניתן בשביל עבודה על ידי בחירה, ולכן נברא בעשרה מאמרות, כי צדיק ורשע לא קאמר, היינו שזה נשאר במאמר אחד, ולכן אם היה נברא העולם במאמר אחד לא היה בחירה, כי במאמר אחד יודע אם יהיה צדיק או רשע, הרי כמו ששאר עניני הבריאה היו נבראים מיד מהמאמר אחד כך היה בורא צדיקים ורשעים.</w:t>
      </w:r>
    </w:p>
    <w:p w14:paraId="1EB8FD66" w14:textId="77777777" w:rsidR="00D42EB2" w:rsidRDefault="00D42EB2" w:rsidP="00D42EB2">
      <w:pPr>
        <w:pStyle w:val="a2"/>
        <w:rPr>
          <w:rtl/>
        </w:rPr>
      </w:pPr>
      <w:r>
        <w:rPr>
          <w:rFonts w:hint="cs"/>
          <w:rtl/>
        </w:rPr>
        <w:t>ולכן לא היה הבריאה ממאמר אחד כי אפילו שיודע שיהיה הבריאה הרי אינו מוכרח בבריאה, כי אין הידיעה סיבה רק אם נוסף על זה רצון, כי הוא בבחי' מקיף ולכן אינו סיבה להכריח כמבואר בכ"מ בדא"ח, אבל אם היה רוצה שיהיה הבריאה בפועל מהידיעה שבמאמר אחד אז היה סיבה המכריח, ואם כן גם הידיעה שיהיה צדיק או רשע היה מכריח, ולכן ברא בעשרה מאמרות שרק אחרי שירד בדיבור אז יהיה סיבה שפועל הבריאה, ואז צדיק ורשע לא קאמר ונשאר במאמר אחד, והרי המאמר אחד אינו סיבה שמכריח כנ"ל.</w:t>
      </w:r>
    </w:p>
    <w:p w14:paraId="39DDF6EA" w14:textId="77777777" w:rsidR="00D42EB2" w:rsidRDefault="00D42EB2" w:rsidP="00D42EB2">
      <w:pPr>
        <w:pStyle w:val="a2"/>
        <w:rPr>
          <w:rtl/>
        </w:rPr>
      </w:pPr>
      <w:r>
        <w:rPr>
          <w:rFonts w:hint="cs"/>
          <w:rtl/>
        </w:rPr>
        <w:t>והנה מה שהרשע יכול לתקן על ידי המאמר אחד, הוא כמו שמבואר המשל מהעץ אחרי שצמח הוא מבורר מה הפרי ומה הקליפה, אבל כשהוא במצב של גרעין ששם הוא בכח לפני הבירור ואז אפשר שהקליפה יהיה לפרי, וזהו שבעוה"ב לא שייך תשובה רק גהינום, כי שם הכל אחר הבירור, והרע אינו מעורב בטוב, ולכן הטוב בהיכל של גן עדן והרע מסירים בגהינום.</w:t>
      </w:r>
    </w:p>
    <w:p w14:paraId="13564614" w14:textId="77777777" w:rsidR="00D42EB2" w:rsidRDefault="00D42EB2" w:rsidP="00D42EB2">
      <w:pPr>
        <w:pStyle w:val="a2"/>
        <w:rPr>
          <w:rtl/>
        </w:rPr>
      </w:pPr>
      <w:r>
        <w:rPr>
          <w:rFonts w:hint="cs"/>
          <w:rtl/>
        </w:rPr>
        <w:t>אבל בעוה"ז ששם מאיר המאמר אחד שזהו בכח כמו הגרעין ויכול להפוך זדונות לזכויות, ולפי זה מובן שצדיק ורשע לא קאמר כי מצד העשרה מאמרות הוא כדוגמת העץ שצמח שהפרי והקליפה לא מעורב כי כבר ירד בפרטים, ואז לא היה שייך להפוך רע לטוב, כי כל מציאות הרשע הוא מהבירור של הפרטים שבעשרה מאמרות, שנתגלה הפסולת, אבל מצד כח הצומח שזה המאמר אחד יכול להתהפך הפסולת לפרי, וזה כמשל מה שמזבלין את השדות עם הקליפות שיוצא מזה פירות משובחים.</w:t>
      </w:r>
    </w:p>
    <w:p w14:paraId="6FCB2349" w14:textId="77777777" w:rsidR="00D42EB2" w:rsidRDefault="00D42EB2" w:rsidP="00D42EB2">
      <w:pPr>
        <w:pStyle w:val="a2"/>
        <w:rPr>
          <w:rtl/>
        </w:rPr>
      </w:pPr>
      <w:r>
        <w:rPr>
          <w:rFonts w:hint="cs"/>
          <w:rtl/>
        </w:rPr>
        <w:t>ולפי זה אפשר להבין את ההלכה שהאוכל תרומה בשוגג צריך לשלם לכהן חולין מתוקנים וזה נהפך לתרומה בנתינתו להכהן, ולומדים זה מהפסוק ונתן לכהן את הקדש שזה צריך להיות דבר הראוי להיות קדש, ומתקשים המפרשים איך חולין מתוקנים שכבר הוציאו ממנו את הקדש שזה התרומה ראוי להיות קדש.</w:t>
      </w:r>
    </w:p>
    <w:p w14:paraId="5F15A64C" w14:textId="77777777" w:rsidR="00D42EB2" w:rsidRDefault="00D42EB2" w:rsidP="00D42EB2">
      <w:pPr>
        <w:pStyle w:val="a2"/>
        <w:rPr>
          <w:rtl/>
        </w:rPr>
      </w:pPr>
      <w:r>
        <w:rPr>
          <w:rFonts w:hint="cs"/>
          <w:rtl/>
        </w:rPr>
        <w:lastRenderedPageBreak/>
        <w:t>ונראה לפרש לפי מה שכותב ה"משנה ראשונה" במשניות תרומות פ"ו מ"ה, כי לומדים את זה ממה שכתוב "את הקדש" ואת משמע הטפל לקדש, כי על ידי הרמת התרומה נעשה החולין טפל לקדש, כי כך יהיה סדר הבירורים שעל ידי שמוצאים את הטוב אז הנשאר יהיה יחסית למצב הקודם יותר בבחי' פסולת.</w:t>
      </w:r>
    </w:p>
    <w:p w14:paraId="5C999856" w14:textId="77777777" w:rsidR="00D42EB2" w:rsidRPr="00C8154B" w:rsidRDefault="00D42EB2" w:rsidP="00D42EB2">
      <w:pPr>
        <w:pStyle w:val="a2"/>
        <w:rPr>
          <w:rtl/>
        </w:rPr>
      </w:pPr>
      <w:r>
        <w:rPr>
          <w:rFonts w:hint="cs"/>
          <w:rtl/>
        </w:rPr>
        <w:t>והנה כשאכל תרומה בשוגג יהיה אז התיקון שיחזיר את החולין שהוא הטפל, ויעשה ממנו תרומה וזה כעין שהזדונות נעשים זכויות.</w:t>
      </w:r>
    </w:p>
    <w:p w14:paraId="0B75F635" w14:textId="77777777" w:rsidR="00D42EB2" w:rsidRPr="00552D8B" w:rsidRDefault="00D42EB2" w:rsidP="00D42EB2">
      <w:pPr>
        <w:pStyle w:val="a4"/>
        <w:sectPr w:rsidR="00D42EB2" w:rsidRPr="00552D8B"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552D8B">
        <w:t>g</w:t>
      </w:r>
    </w:p>
    <w:p w14:paraId="0C1F62A9" w14:textId="77777777" w:rsidR="00D22FBE" w:rsidRDefault="00D22FBE" w:rsidP="00D22FBE">
      <w:pPr>
        <w:pStyle w:val="a"/>
        <w:rPr>
          <w:rtl/>
        </w:rPr>
      </w:pPr>
      <w:bookmarkStart w:id="109" w:name="_Toc3515469"/>
      <w:r>
        <w:rPr>
          <w:rFonts w:hint="cs"/>
          <w:rtl/>
        </w:rPr>
        <w:t>הערה במקור בלקו"ש</w:t>
      </w:r>
      <w:bookmarkEnd w:id="109"/>
    </w:p>
    <w:p w14:paraId="2B18AD89" w14:textId="77777777" w:rsidR="00D22FBE" w:rsidRDefault="00D22FBE" w:rsidP="00D22FBE">
      <w:pPr>
        <w:pStyle w:val="a0"/>
        <w:rPr>
          <w:rtl/>
        </w:rPr>
      </w:pPr>
      <w:bookmarkStart w:id="110" w:name="_Toc3515470"/>
      <w:r>
        <w:rPr>
          <w:rFonts w:hint="cs"/>
          <w:rtl/>
        </w:rPr>
        <w:t>הת' שמואל גורארי'</w:t>
      </w:r>
      <w:bookmarkEnd w:id="110"/>
    </w:p>
    <w:p w14:paraId="6CC626D3" w14:textId="77777777" w:rsidR="00D22FBE" w:rsidRPr="00847B0F" w:rsidRDefault="00D22FBE" w:rsidP="00D22FBE">
      <w:pPr>
        <w:pStyle w:val="a1"/>
        <w:rPr>
          <w:rtl/>
          <w:lang w:val="en-GB"/>
        </w:rPr>
      </w:pPr>
      <w:r>
        <w:rPr>
          <w:rFonts w:hint="cs"/>
          <w:rtl/>
          <w:lang w:val="en-GB"/>
        </w:rPr>
        <w:t>תלמיד בישיבה</w:t>
      </w:r>
    </w:p>
    <w:p w14:paraId="08CC667D" w14:textId="77777777" w:rsidR="00D22FBE" w:rsidRDefault="00D22FBE" w:rsidP="00D22FBE">
      <w:pPr>
        <w:pStyle w:val="a2"/>
        <w:rPr>
          <w:rtl/>
        </w:rPr>
      </w:pPr>
      <w:r>
        <w:rPr>
          <w:rFonts w:hint="cs"/>
          <w:rtl/>
        </w:rPr>
        <w:t>בלקו"ש חי"ז ע' 127 ס"ד "אפי' לויט דער דעה (פון ר"ן) אז בפסח מצרים איז יא געווען א איסור מלאכה" ובהערה 25 "לפסחים קטז,א וראה עוד דעות בזה בתו"ש שם וכן מסיק בתורת חסד שם (אות ז')".</w:t>
      </w:r>
    </w:p>
    <w:p w14:paraId="24848A60" w14:textId="77777777" w:rsidR="00D22FBE" w:rsidRPr="004C6F14" w:rsidRDefault="00D22FBE" w:rsidP="00D22FBE">
      <w:pPr>
        <w:pStyle w:val="a2"/>
        <w:rPr>
          <w:rtl/>
        </w:rPr>
      </w:pPr>
      <w:r>
        <w:rPr>
          <w:rFonts w:hint="cs"/>
          <w:rtl/>
        </w:rPr>
        <w:t>ואולי ט"ס הוא וצריך להיות לפסחים קטז,</w:t>
      </w:r>
      <w:r>
        <w:rPr>
          <w:rFonts w:hint="cs"/>
          <w:b/>
          <w:bCs/>
          <w:rtl/>
        </w:rPr>
        <w:t>ב</w:t>
      </w:r>
      <w:r>
        <w:rPr>
          <w:rFonts w:hint="cs"/>
          <w:rtl/>
        </w:rPr>
        <w:t xml:space="preserve"> כי שם הר"ן בד"ה מצה כותב "ולא יכלו להתמהמה שאילו יכלו להתמהמה היו מחמיצין אותו, דפסח מצרים לא נהג אלא לילה ויום כדאיתא בפסח שני ולמחר היו מותרין דמלאכה ובחמץ כו'.</w:t>
      </w:r>
    </w:p>
    <w:p w14:paraId="3D247914" w14:textId="7D23B475" w:rsidR="00D22FBE" w:rsidRPr="00552D8B" w:rsidRDefault="00D22FBE" w:rsidP="00D22FBE">
      <w:pPr>
        <w:pStyle w:val="a4"/>
        <w:sectPr w:rsidR="00D22FBE" w:rsidRPr="00552D8B"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552D8B">
        <w:t>g</w:t>
      </w:r>
    </w:p>
    <w:p w14:paraId="01245F7A" w14:textId="77777777" w:rsidR="00933637" w:rsidRDefault="00933637">
      <w:pPr>
        <w:rPr>
          <w:rFonts w:ascii="FbTehilaMedium" w:hAnsi="FbTehilaMedium" w:cs="FbTehilaMedium"/>
          <w:sz w:val="70"/>
          <w:szCs w:val="70"/>
          <w:rtl/>
          <w:lang w:val="en-GB"/>
        </w:rPr>
      </w:pPr>
      <w:r>
        <w:br w:type="page"/>
      </w:r>
    </w:p>
    <w:p w14:paraId="4BED2D9D" w14:textId="2A5B06E6" w:rsidR="00993781" w:rsidRDefault="00993781" w:rsidP="00993781">
      <w:pPr>
        <w:pStyle w:val="12"/>
        <w:rPr>
          <w:rtl/>
        </w:rPr>
      </w:pPr>
      <w:bookmarkStart w:id="111" w:name="_Toc3515471"/>
      <w:r>
        <w:rPr>
          <w:rFonts w:hint="cs"/>
          <w:rtl/>
        </w:rPr>
        <w:lastRenderedPageBreak/>
        <w:t>רשימות</w:t>
      </w:r>
      <w:bookmarkEnd w:id="111"/>
    </w:p>
    <w:p w14:paraId="1044EF10" w14:textId="28C88576" w:rsidR="001E3C45" w:rsidRDefault="001E3C45" w:rsidP="001E3C45">
      <w:pPr>
        <w:pStyle w:val="a"/>
        <w:rPr>
          <w:rtl/>
        </w:rPr>
      </w:pPr>
      <w:bookmarkStart w:id="112" w:name="_Toc3515472"/>
      <w:r w:rsidRPr="004C6F14">
        <w:rPr>
          <w:rFonts w:hint="cs"/>
          <w:rtl/>
        </w:rPr>
        <w:t>שם המפורש</w:t>
      </w:r>
      <w:bookmarkEnd w:id="112"/>
    </w:p>
    <w:p w14:paraId="6CAAA820" w14:textId="1A7069EA" w:rsidR="00993781" w:rsidRDefault="000A61F3" w:rsidP="00C40187">
      <w:pPr>
        <w:pStyle w:val="a0"/>
        <w:rPr>
          <w:rtl/>
        </w:rPr>
      </w:pPr>
      <w:bookmarkStart w:id="113" w:name="_Toc3515473"/>
      <w:r>
        <w:rPr>
          <w:rFonts w:hint="cs"/>
          <w:rtl/>
        </w:rPr>
        <w:t>הרב ראובן וויטקעס</w:t>
      </w:r>
      <w:bookmarkEnd w:id="113"/>
    </w:p>
    <w:p w14:paraId="659C01C2" w14:textId="0F6F0C79" w:rsidR="000A61F3" w:rsidRPr="000A61F3" w:rsidRDefault="000A61F3" w:rsidP="000A61F3">
      <w:pPr>
        <w:pStyle w:val="a1"/>
        <w:rPr>
          <w:rtl/>
          <w:lang w:val="en-GB"/>
        </w:rPr>
      </w:pPr>
      <w:r>
        <w:rPr>
          <w:rFonts w:hint="cs"/>
          <w:rtl/>
          <w:lang w:val="en-GB"/>
        </w:rPr>
        <w:t>מחשובי אנ"ש פאמונא נ.י.</w:t>
      </w:r>
    </w:p>
    <w:p w14:paraId="6A00D6D2" w14:textId="77777777" w:rsidR="00993781" w:rsidRDefault="00993781" w:rsidP="00F8255E">
      <w:pPr>
        <w:pStyle w:val="a2"/>
        <w:rPr>
          <w:rtl/>
        </w:rPr>
      </w:pPr>
      <w:r>
        <w:rPr>
          <w:rFonts w:hint="cs"/>
          <w:rtl/>
        </w:rPr>
        <w:t>ברשימות חוברת מא שקו"ט כ"ק אדמו"ר בשיטת הרמב"ם</w:t>
      </w:r>
      <w:r w:rsidRPr="00523DE4">
        <w:rPr>
          <w:rFonts w:hint="cs"/>
          <w:rtl/>
        </w:rPr>
        <w:t xml:space="preserve"> (הל' יסוה"ת פ"ו ה"ב</w:t>
      </w:r>
      <w:r>
        <w:rPr>
          <w:rFonts w:hint="cs"/>
          <w:rtl/>
        </w:rPr>
        <w:t xml:space="preserve">. ועוד. </w:t>
      </w:r>
      <w:r>
        <w:rPr>
          <w:rtl/>
        </w:rPr>
        <w:t>–</w:t>
      </w:r>
      <w:r>
        <w:rPr>
          <w:rFonts w:hint="cs"/>
          <w:rtl/>
        </w:rPr>
        <w:t xml:space="preserve"> נסמן שם)</w:t>
      </w:r>
      <w:r w:rsidRPr="00523DE4">
        <w:rPr>
          <w:rFonts w:hint="cs"/>
          <w:rtl/>
        </w:rPr>
        <w:t xml:space="preserve"> </w:t>
      </w:r>
      <w:r>
        <w:rPr>
          <w:rFonts w:hint="cs"/>
          <w:rtl/>
        </w:rPr>
        <w:t>ד"שם המפורש" היינו שם הוי' [דלא כדעת רש"י דשם המפורש היינו שם בן מ"ב אותיות].</w:t>
      </w:r>
    </w:p>
    <w:p w14:paraId="3D3E3897" w14:textId="77777777" w:rsidR="00993781" w:rsidRDefault="00993781" w:rsidP="00F8255E">
      <w:pPr>
        <w:pStyle w:val="a2"/>
        <w:rPr>
          <w:rtl/>
        </w:rPr>
      </w:pPr>
      <w:r>
        <w:rPr>
          <w:rFonts w:hint="cs"/>
          <w:rtl/>
        </w:rPr>
        <w:t>ובין הדברים כתב "ויסייע לפי' הרמב"ם ל' הש"ס ( . . סנה' ס.) דקרי לשם ה' שהמ"פ".</w:t>
      </w:r>
    </w:p>
    <w:p w14:paraId="170DCDD4" w14:textId="77777777" w:rsidR="00993781" w:rsidRDefault="00993781" w:rsidP="00F8255E">
      <w:pPr>
        <w:pStyle w:val="a2"/>
        <w:rPr>
          <w:rtl/>
        </w:rPr>
      </w:pPr>
      <w:r>
        <w:rPr>
          <w:rFonts w:hint="cs"/>
          <w:rtl/>
        </w:rPr>
        <w:t xml:space="preserve">הלשון "שם המפורש" נזכר בסנה' שם ביחס למ"ש במשנה (שם נו, א) אודות המגדף "נגמר הדין . . עומדין", ועל זה כתוב בגמ' "עומדין מנלן . . והלא דברים קל וחומר, ומה עגלון מלך מואב שהוא נכרי ולא ידע אלא בכינוי עמד, ישראל ושם המפורש על אחת כמה וכמה". ובפשטות משמע, שהשם שנזכר במשנה </w:t>
      </w:r>
      <w:r>
        <w:rPr>
          <w:rtl/>
        </w:rPr>
        <w:t>–</w:t>
      </w:r>
      <w:r>
        <w:rPr>
          <w:rFonts w:hint="cs"/>
          <w:rtl/>
        </w:rPr>
        <w:t xml:space="preserve"> היינו שם המפורש.</w:t>
      </w:r>
    </w:p>
    <w:p w14:paraId="079DF0BF" w14:textId="77777777" w:rsidR="00993781" w:rsidRDefault="00993781" w:rsidP="00F8255E">
      <w:pPr>
        <w:pStyle w:val="a2"/>
        <w:rPr>
          <w:rtl/>
        </w:rPr>
      </w:pPr>
      <w:r>
        <w:rPr>
          <w:rFonts w:hint="cs"/>
          <w:rtl/>
        </w:rPr>
        <w:t xml:space="preserve">ולא זכיתי להבין, שהרי במשנה מיירי בשם בן ד' אותיות. וכמבואר ברשימה שם לעיל, </w:t>
      </w:r>
      <w:r w:rsidRPr="008909DB">
        <w:rPr>
          <w:rFonts w:hint="cs"/>
          <w:b/>
          <w:bCs/>
          <w:rtl/>
        </w:rPr>
        <w:t>לדעת הרמב"ם</w:t>
      </w:r>
      <w:r>
        <w:rPr>
          <w:rFonts w:hint="cs"/>
          <w:rtl/>
        </w:rPr>
        <w:t xml:space="preserve"> שם בן ד' אותיות היינו שם אדנ-י ולא שם הוי'. וא"כ לא מצינו כאן דקרי לשם ה' שם המפורש, ומהי הסייעתא להרמב"ם מל' הש"ס?</w:t>
      </w:r>
    </w:p>
    <w:p w14:paraId="05780743" w14:textId="512981BD" w:rsidR="00993781" w:rsidRPr="00993781" w:rsidRDefault="00993781" w:rsidP="00F8255E">
      <w:pPr>
        <w:pStyle w:val="a2"/>
        <w:rPr>
          <w:rtl/>
        </w:rPr>
      </w:pPr>
      <w:r>
        <w:rPr>
          <w:rFonts w:hint="cs"/>
          <w:rtl/>
        </w:rPr>
        <w:t>ובאם מי מהקוראים יודע לבאר כוונת הדברים, יואיל נא להאיר עיניי ולפרשם מעל גבי הגליון. וזכות הרבים תלוי בו.</w:t>
      </w:r>
    </w:p>
    <w:p w14:paraId="20BC5AC8" w14:textId="77777777" w:rsidR="00C8154B" w:rsidRPr="00552D8B" w:rsidRDefault="00C8154B" w:rsidP="005E6E84">
      <w:pPr>
        <w:pStyle w:val="a4"/>
        <w:sectPr w:rsidR="00C8154B" w:rsidRPr="00552D8B"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552D8B">
        <w:t>g</w:t>
      </w:r>
    </w:p>
    <w:p w14:paraId="3329F502" w14:textId="41B57EFF" w:rsidR="00C8154B" w:rsidRDefault="00C8154B" w:rsidP="00C8154B">
      <w:pPr>
        <w:pStyle w:val="12"/>
        <w:rPr>
          <w:rtl/>
        </w:rPr>
      </w:pPr>
      <w:bookmarkStart w:id="114" w:name="_Toc3515474"/>
      <w:r>
        <w:rPr>
          <w:rFonts w:hint="cs"/>
          <w:rtl/>
        </w:rPr>
        <w:lastRenderedPageBreak/>
        <w:t>נגלה</w:t>
      </w:r>
      <w:bookmarkEnd w:id="114"/>
    </w:p>
    <w:p w14:paraId="1E088906" w14:textId="77777777" w:rsidR="00847B0F" w:rsidRPr="001B3969" w:rsidRDefault="00847B0F" w:rsidP="00847B0F">
      <w:pPr>
        <w:pStyle w:val="a"/>
      </w:pPr>
      <w:bookmarkStart w:id="115" w:name="_Toc3515475"/>
      <w:r w:rsidRPr="001B3969">
        <w:rPr>
          <w:rtl/>
        </w:rPr>
        <w:t>דעת רבינו הזקן בשיעורים של מאכל בן דרוסאי ויד סולדת בו בבישול בשבת</w:t>
      </w:r>
      <w:bookmarkEnd w:id="115"/>
    </w:p>
    <w:p w14:paraId="0711D3D5" w14:textId="18069D8C" w:rsidR="00847B0F" w:rsidRDefault="009D4CF5" w:rsidP="00C40187">
      <w:pPr>
        <w:pStyle w:val="a0"/>
        <w:rPr>
          <w:rtl/>
        </w:rPr>
      </w:pPr>
      <w:bookmarkStart w:id="116" w:name="_Toc3515476"/>
      <w:r>
        <w:rPr>
          <w:rFonts w:hint="cs"/>
          <w:rtl/>
          <w:lang w:val="en-US"/>
        </w:rPr>
        <w:t xml:space="preserve">הרב </w:t>
      </w:r>
      <w:r w:rsidR="00847B0F">
        <w:rPr>
          <w:rtl/>
        </w:rPr>
        <w:t>אלימלך יוסף הכהן סילבערבערג</w:t>
      </w:r>
      <w:bookmarkEnd w:id="116"/>
    </w:p>
    <w:p w14:paraId="487D5B6F" w14:textId="51F8597C" w:rsidR="00847B0F" w:rsidRPr="001B3969" w:rsidRDefault="00847B0F" w:rsidP="00847B0F">
      <w:pPr>
        <w:pStyle w:val="a1"/>
      </w:pPr>
      <w:r w:rsidRPr="001B3969">
        <w:rPr>
          <w:rtl/>
        </w:rPr>
        <w:t>רב ושליח בוועסט בלומפעלד מישיגאן</w:t>
      </w:r>
    </w:p>
    <w:p w14:paraId="0C298A45" w14:textId="77777777" w:rsidR="00847B0F" w:rsidRPr="001B3969" w:rsidRDefault="00847B0F" w:rsidP="00847B0F">
      <w:pPr>
        <w:pStyle w:val="a2"/>
      </w:pPr>
      <w:r w:rsidRPr="001B3969">
        <w:rPr>
          <w:rtl/>
        </w:rPr>
        <w:t>עיין בתהילה לדוד סי' שי"ח סעיף טז "וענין בישול וצלי מבואר במנחות דף נז. וברמב"ם פרק ט הל' ה'</w:t>
      </w:r>
      <w:r>
        <w:rPr>
          <w:rFonts w:hint="cs"/>
          <w:rtl/>
        </w:rPr>
        <w:t xml:space="preserve"> </w:t>
      </w:r>
      <w:r w:rsidRPr="001B3969">
        <w:rPr>
          <w:rtl/>
        </w:rPr>
        <w:t>דעכ"פ בעינן שיתבשל או יצלה כמאכל בן דרוסאי“. אבל בסעיף יז הקשה התהילה לדוד "וכל זה צרך עיון דפשטא משמע דכלי ראשון מבשל לענין שבת אף בדבר שאינו נאכל חי</w:t>
      </w:r>
      <w:r>
        <w:rPr>
          <w:rtl/>
        </w:rPr>
        <w:t xml:space="preserve"> אף שלא נתבשל כמאכל בן דרוס</w:t>
      </w:r>
      <w:r>
        <w:rPr>
          <w:rFonts w:hint="cs"/>
          <w:rtl/>
        </w:rPr>
        <w:t>טאי</w:t>
      </w:r>
      <w:r w:rsidRPr="001B3969">
        <w:rPr>
          <w:rtl/>
        </w:rPr>
        <w:t xml:space="preserve"> ואפשר דרק בצלי בעינן כמאב"ד כו' וצ"ע"</w:t>
      </w:r>
    </w:p>
    <w:p w14:paraId="30AA1D7C" w14:textId="77777777" w:rsidR="00847B0F" w:rsidRPr="001B3969" w:rsidRDefault="00847B0F" w:rsidP="00847B0F">
      <w:pPr>
        <w:pStyle w:val="a2"/>
      </w:pPr>
      <w:r w:rsidRPr="001B3969">
        <w:rPr>
          <w:rtl/>
        </w:rPr>
        <w:t xml:space="preserve">קושיית התהילה לדוד מיוסד על העובדא שמצד אחד מבואר במסכת מנחות ששיעור בישול הוא כשהמאכל הגיע לשיעור חימום של מאכל דרוסאי ובניגוד לזה מצינו במסכת שבת דף </w:t>
      </w:r>
      <w:r>
        <w:rPr>
          <w:rFonts w:hint="cs"/>
          <w:rtl/>
        </w:rPr>
        <w:t>מ</w:t>
      </w:r>
      <w:r w:rsidRPr="001B3969">
        <w:rPr>
          <w:rtl/>
        </w:rPr>
        <w:t xml:space="preserve">: ששיעור בישול הוא שיעור של יד סולדת בו </w:t>
      </w:r>
      <w:r>
        <w:rPr>
          <w:rtl/>
        </w:rPr>
        <w:t>עיין שם</w:t>
      </w:r>
      <w:r w:rsidRPr="001B3969">
        <w:rPr>
          <w:rtl/>
        </w:rPr>
        <w:t>,</w:t>
      </w:r>
      <w:r>
        <w:rPr>
          <w:rFonts w:hint="cs"/>
          <w:rtl/>
        </w:rPr>
        <w:t xml:space="preserve"> </w:t>
      </w:r>
      <w:r w:rsidRPr="001B3969">
        <w:rPr>
          <w:rtl/>
        </w:rPr>
        <w:t>אמר רב יהודה אמר שמואל אחד שמן אחד מים יד סולדת בו אסור ע"כ וכן איתא בשו"ע סי'</w:t>
      </w:r>
      <w:r>
        <w:rPr>
          <w:rFonts w:hint="cs"/>
          <w:rtl/>
        </w:rPr>
        <w:t xml:space="preserve"> </w:t>
      </w:r>
      <w:r w:rsidRPr="001B3969">
        <w:rPr>
          <w:rtl/>
        </w:rPr>
        <w:t>שיח ס'</w:t>
      </w:r>
      <w:r>
        <w:rPr>
          <w:rFonts w:hint="cs"/>
          <w:rtl/>
        </w:rPr>
        <w:t xml:space="preserve"> </w:t>
      </w:r>
      <w:r w:rsidRPr="001B3969">
        <w:rPr>
          <w:rtl/>
        </w:rPr>
        <w:t>ט' "כלי ראשון לאחר שהעבירוהו מבשל כל זמן שהיד סולדת בו"</w:t>
      </w:r>
    </w:p>
    <w:p w14:paraId="0939DC2B" w14:textId="77777777" w:rsidR="00847B0F" w:rsidRPr="001B3969" w:rsidRDefault="00847B0F" w:rsidP="00847B0F">
      <w:pPr>
        <w:pStyle w:val="a2"/>
      </w:pPr>
      <w:r w:rsidRPr="001B3969">
        <w:rPr>
          <w:rtl/>
        </w:rPr>
        <w:t>בתחילה תירץ התהילה לדוד שהשיעור של יד סולדת בו הוא דוקא בדבר שנאכל כמו שהוא חי או בדבר שכבר נתבשל כל צורכו ונצטנן לגמרי שאז חייב אם חוזר ומחממו עד שיעור של יד סולדת בו שהוא שיעור פחותה ממאב"ד ולפי זה נוכל לומר שהשיעור של מאב"ד הוא דוקא בדבר חי או בדבר שכבר נתבשל כל צורכו. אבל לבסוף חזר בו התהילה לדוד מזה משום שפשטות לשון השו"ע מוכיחין שכלי ראשון שיד סולדת בו מבשלת בכל מקרים אפילו במקום שהמאכל אינו נאכל חי ואפילו במקום שהמאכל אינו מבושל כלל וא"כ הדרא קושיא לדוכתא האם השיעור בישול הוא כמאכל בן דרוסאי או האם השיעור הוא יד סולדת בו?</w:t>
      </w:r>
    </w:p>
    <w:p w14:paraId="0BC000FE" w14:textId="77777777" w:rsidR="00847B0F" w:rsidRPr="001B3969" w:rsidRDefault="00847B0F" w:rsidP="00847B0F">
      <w:pPr>
        <w:pStyle w:val="a2"/>
      </w:pPr>
      <w:r w:rsidRPr="001B3969">
        <w:rPr>
          <w:rtl/>
        </w:rPr>
        <w:t>קושיתו מיוסדת על ההנחה ששיער בישול של מאב"ד שונה מהשיעור של יד סולדת בו והחום של יד סולדת בו היא פחות מהחום של יד סולדת בו.</w:t>
      </w:r>
    </w:p>
    <w:p w14:paraId="5FF2B98F" w14:textId="77777777" w:rsidR="00847B0F" w:rsidRPr="001B3969" w:rsidRDefault="00847B0F" w:rsidP="00847B0F">
      <w:pPr>
        <w:pStyle w:val="a2"/>
      </w:pPr>
      <w:r w:rsidRPr="001B3969">
        <w:rPr>
          <w:rtl/>
        </w:rPr>
        <w:t>עיין שם שהוא ממשיך וכותב שאדמו"ר הזקן כותב בסי' רנד שגם במים השיעור הוא כחצי חימום וכפי הנראה היינו חצי השיעור שהוא רוצה לחממו אלא שמה לענין שמא יחתה כוי אבל לעני</w:t>
      </w:r>
      <w:r>
        <w:rPr>
          <w:rtl/>
        </w:rPr>
        <w:t xml:space="preserve">ן בישול ביד סולדת בו סגי כוי </w:t>
      </w:r>
      <w:r w:rsidRPr="001B3969">
        <w:rPr>
          <w:rtl/>
        </w:rPr>
        <w:t xml:space="preserve">גם מדבריו שם מוכח שהוא </w:t>
      </w:r>
      <w:r w:rsidRPr="001B3969">
        <w:rPr>
          <w:rtl/>
        </w:rPr>
        <w:lastRenderedPageBreak/>
        <w:t>סובר שהשיעור חימום שליד סולדת בו והשיעור חימום של מאכלדרוסאי אינם שווים.</w:t>
      </w:r>
    </w:p>
    <w:p w14:paraId="7DC58002" w14:textId="77777777" w:rsidR="00847B0F" w:rsidRPr="001B3969" w:rsidRDefault="00847B0F" w:rsidP="00847B0F">
      <w:pPr>
        <w:pStyle w:val="a2"/>
      </w:pPr>
      <w:r w:rsidRPr="001B3969">
        <w:rPr>
          <w:rtl/>
        </w:rPr>
        <w:t>וכן עיין בחזו"א סי'נ ס"ק ט' ע"ד בישול דבר בפחות משיעור מאכל בן דרוסאי שנחלקו האחרונים אם אסור מן התורה משום חצי שיעור שאסור מן התורה ,שדעת החז"א שהוא אסור מן התורה ובלבד שיגיע לשיעור חום של יד סולדת בו. גם מדבריו מוכח שהוא סובר ששיעור מאכל בן דרוסאי ושיעור יד סולדת בו אינם</w:t>
      </w:r>
      <w:r>
        <w:rPr>
          <w:rFonts w:hint="cs"/>
          <w:rtl/>
        </w:rPr>
        <w:t xml:space="preserve"> </w:t>
      </w:r>
      <w:r w:rsidRPr="001B3969">
        <w:rPr>
          <w:rtl/>
        </w:rPr>
        <w:t>שווין.</w:t>
      </w:r>
    </w:p>
    <w:p w14:paraId="1CCCBD7F" w14:textId="77777777" w:rsidR="00847B0F" w:rsidRPr="001B3969" w:rsidRDefault="00847B0F" w:rsidP="00847B0F">
      <w:pPr>
        <w:pStyle w:val="a2"/>
      </w:pPr>
      <w:r w:rsidRPr="001B3969">
        <w:rPr>
          <w:rtl/>
        </w:rPr>
        <w:t>וכן עיין באינצקלופידיא שכותב שבדבר גוש שיעור אכות הבישול הוא כמאכל בן דרוסאי ובמים ובשאר משקה איכו</w:t>
      </w:r>
      <w:r>
        <w:rPr>
          <w:rtl/>
        </w:rPr>
        <w:t>ת שיעור הבישול הוא יד סולדת בו</w:t>
      </w:r>
      <w:r>
        <w:rPr>
          <w:rFonts w:hint="cs"/>
          <w:rtl/>
        </w:rPr>
        <w:t xml:space="preserve">. </w:t>
      </w:r>
      <w:r w:rsidRPr="001B3969">
        <w:rPr>
          <w:rtl/>
        </w:rPr>
        <w:t>ומשמע מדבריו שהם שני שיעורים שאינם שווים.</w:t>
      </w:r>
    </w:p>
    <w:p w14:paraId="758E72D9" w14:textId="77777777" w:rsidR="00847B0F" w:rsidRPr="001B3969" w:rsidRDefault="00847B0F" w:rsidP="00847B0F">
      <w:pPr>
        <w:pStyle w:val="a2"/>
      </w:pPr>
      <w:r w:rsidRPr="001B3969">
        <w:rPr>
          <w:rtl/>
        </w:rPr>
        <w:t>והנה התהילה לדוד מסיים באומרו שאפשר שהשיעור של מאכל בן דרוסאי הוא דוקא בצלי משא"כ בבישול הוה השיעור יד סולדת בו. אבל זהו בניגוד לדברי רבינו שכותב בסי' שיח סעיף ז שכשם שאסור לבשל באור כך אסור לבשל בתולדות האור והוא מזכיר שם שהשיעור הוא כמאכל בן דרוסאי ואינו מזכיר השיעור של יד סולדת בו. ואם דברי התהילה ודוד נכונים שיש שיעור של מאכל בן דרוסאי לצליה ושיעור של יד סולדת בו בבישול היה רבינו מזכירו.</w:t>
      </w:r>
    </w:p>
    <w:p w14:paraId="74D8D422" w14:textId="0367773A" w:rsidR="00847B0F" w:rsidRPr="001B3969" w:rsidRDefault="00847B0F" w:rsidP="00847B0F">
      <w:pPr>
        <w:pStyle w:val="a2"/>
      </w:pPr>
      <w:r w:rsidRPr="001B3969">
        <w:rPr>
          <w:rtl/>
        </w:rPr>
        <w:t>וכמו כן ממה שרבינו כותב בפשיטות בסי' שנד שבין בצליית ובישול בשר ובין בבישול מים אין משהין אותם על האש אלא אם כן הגיעו לחום של מאכל דרוסאי מוכח שרבינו סובר שגם בדבר שמבשלים אותו הו</w:t>
      </w:r>
      <w:r>
        <w:rPr>
          <w:rtl/>
        </w:rPr>
        <w:t>ה השיעור בישול כמאכל בן דרוסאי</w:t>
      </w:r>
      <w:r>
        <w:rPr>
          <w:rFonts w:hint="cs"/>
          <w:rtl/>
        </w:rPr>
        <w:t>.</w:t>
      </w:r>
    </w:p>
    <w:p w14:paraId="1C9A6145" w14:textId="3355AA30" w:rsidR="00847B0F" w:rsidRPr="001B3969" w:rsidRDefault="00847B0F" w:rsidP="00847B0F">
      <w:pPr>
        <w:pStyle w:val="a2"/>
      </w:pPr>
      <w:r w:rsidRPr="001B3969">
        <w:rPr>
          <w:rtl/>
        </w:rPr>
        <w:t>ונראה לומר שפשטות דברי רבינו מוכיחין שהוא סובר ששיעור כמאכל בן דרוסאי ושיעור יד סולדת בו שווים, ואינו חייב על בישול כי אם נתבשל הדבר כחצי או כשליש בישולו וכידוע מחלוקת הראשונים בענין זה. ביחד אם זה הגמרא מספרת לנו שאם יניח מאכל בכלי ראשון שהיד סולדת בו אז יגיע המאכל לשיעור שלמאכל בןדרוסאי.</w:t>
      </w:r>
    </w:p>
    <w:p w14:paraId="699255DA" w14:textId="77777777" w:rsidR="00847B0F" w:rsidRPr="001B3969" w:rsidRDefault="00847B0F" w:rsidP="00847B0F">
      <w:pPr>
        <w:pStyle w:val="a2"/>
      </w:pPr>
      <w:r w:rsidRPr="001B3969">
        <w:rPr>
          <w:rtl/>
        </w:rPr>
        <w:t xml:space="preserve">דעת רבינו שכיון שהשיעור של מאכל בן דרוסאי הוא שיעור הנזכר בברייתא במסכת שבת דף </w:t>
      </w:r>
      <w:r>
        <w:rPr>
          <w:rFonts w:hint="cs"/>
          <w:rtl/>
        </w:rPr>
        <w:t>ל"ז:</w:t>
      </w:r>
      <w:r w:rsidRPr="001B3969">
        <w:rPr>
          <w:rtl/>
        </w:rPr>
        <w:t xml:space="preserve"> והשיעור של יד סולדת בו הוא רק ממימרא בגמרא דף מ: א"כ מסתברא לומר שמדאורייתא שיעור הבישול שנתנה לנו תורה הוא בישול מאב"ד אלא שכיון שקשה לסתם איש פרטי לשער זה על כן גילו לנו חז"ל שכל דביד סולדת בו יש בו היכולת לבשל אוכל או משקה עד שיגיע אותו מאכל או משקה לשיעור של מאכל בן דרוסאי אם ישהה בו לאיזה זמן.</w:t>
      </w:r>
    </w:p>
    <w:p w14:paraId="58632FAE" w14:textId="2DF47878" w:rsidR="00847B0F" w:rsidRDefault="00847B0F" w:rsidP="00847B0F">
      <w:pPr>
        <w:pStyle w:val="a2"/>
        <w:rPr>
          <w:rtl/>
        </w:rPr>
      </w:pPr>
      <w:r w:rsidRPr="001B3969">
        <w:rPr>
          <w:rtl/>
        </w:rPr>
        <w:t xml:space="preserve">וא"כ לפי דברינו מתורצת קושיית התהילה לדוד שבאמת שיעור יד סולדת בו ושיעור מאכל בן דרוסאי שווין ומעיקר הדין החיוב בישול הוא כשמגיע המאכל </w:t>
      </w:r>
      <w:r w:rsidRPr="001B3969">
        <w:rPr>
          <w:rtl/>
        </w:rPr>
        <w:lastRenderedPageBreak/>
        <w:t>למאכל בן דרוסאי רק שחז"ל שיערו שכלי ראשון שהיד סולדת בו יבשל מאכל הניתנת בתוכו עד שיגיע אותו מאכל עצמו לשיעור יד סולדת שהוא בקרוב להשיעור</w:t>
      </w:r>
      <w:r>
        <w:rPr>
          <w:rFonts w:hint="cs"/>
          <w:rtl/>
        </w:rPr>
        <w:t xml:space="preserve"> </w:t>
      </w:r>
      <w:r w:rsidRPr="001B3969">
        <w:rPr>
          <w:rtl/>
        </w:rPr>
        <w:t>של מאכל בן דרוסאי.</w:t>
      </w:r>
    </w:p>
    <w:p w14:paraId="0FBD25A6" w14:textId="77777777" w:rsidR="00847B0F" w:rsidRPr="00552D8B" w:rsidRDefault="00847B0F" w:rsidP="00847B0F">
      <w:pPr>
        <w:pStyle w:val="a4"/>
        <w:sectPr w:rsidR="00847B0F" w:rsidRPr="00552D8B"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552D8B">
        <w:t>g</w:t>
      </w:r>
    </w:p>
    <w:p w14:paraId="2A243C80" w14:textId="77777777" w:rsidR="004865C9" w:rsidRDefault="004865C9" w:rsidP="004865C9">
      <w:pPr>
        <w:pStyle w:val="a"/>
        <w:rPr>
          <w:rFonts w:eastAsia="David Libre" w:cs="David Libre"/>
        </w:rPr>
      </w:pPr>
      <w:bookmarkStart w:id="117" w:name="_Toc3515477"/>
      <w:r>
        <w:rPr>
          <w:rFonts w:eastAsia="David Libre"/>
          <w:rtl/>
        </w:rPr>
        <w:t>לחם עני הקרי והכתיב</w:t>
      </w:r>
      <w:bookmarkEnd w:id="117"/>
    </w:p>
    <w:p w14:paraId="44C87E4D" w14:textId="77777777" w:rsidR="004865C9" w:rsidRDefault="004865C9" w:rsidP="00C40187">
      <w:pPr>
        <w:pStyle w:val="a0"/>
        <w:rPr>
          <w:rtl/>
        </w:rPr>
      </w:pPr>
      <w:bookmarkStart w:id="118" w:name="_Toc3515478"/>
      <w:r>
        <w:rPr>
          <w:rtl/>
        </w:rPr>
        <w:t>הרב מרדכי דובער ווילהעלם</w:t>
      </w:r>
      <w:bookmarkEnd w:id="118"/>
      <w:r>
        <w:rPr>
          <w:rtl/>
        </w:rPr>
        <w:t xml:space="preserve"> </w:t>
      </w:r>
    </w:p>
    <w:p w14:paraId="4B31D35D" w14:textId="354F7E3F" w:rsidR="004865C9" w:rsidRPr="004865C9" w:rsidRDefault="004865C9" w:rsidP="00F8255E">
      <w:pPr>
        <w:pStyle w:val="a1"/>
        <w:rPr>
          <w:rFonts w:ascii="Times New Roman" w:eastAsia="Times New Roman" w:hAnsi="Times New Roman" w:cs="David"/>
          <w:sz w:val="22"/>
          <w:szCs w:val="22"/>
        </w:rPr>
      </w:pPr>
      <w:r>
        <w:rPr>
          <w:rtl/>
        </w:rPr>
        <w:t>ר"מ במתיבתא לויבאוויטש, טאראנט</w:t>
      </w:r>
      <w:r>
        <w:rPr>
          <w:rFonts w:hint="cs"/>
          <w:rtl/>
        </w:rPr>
        <w:t>א</w:t>
      </w:r>
    </w:p>
    <w:p w14:paraId="300E1F9B" w14:textId="44C0D07B" w:rsidR="004865C9" w:rsidRPr="004865C9" w:rsidRDefault="004865C9" w:rsidP="00F8255E">
      <w:pPr>
        <w:pStyle w:val="a2"/>
      </w:pPr>
      <w:r w:rsidRPr="004865C9">
        <w:rPr>
          <w:rtl/>
        </w:rPr>
        <w:t>גרסי' בפסחים (לו ע"א) ת"ר יכול יוצא אדם ידי חובתו במעשר שני בירושלים ת"ל לחם עוני מה שנאכל באנינות יצא זה שאינו נאכל באנינות אלא בשמחה דברי ר' יוסי הגלילי ר' עקיבא אומר מצות מצות ריבה אם כן מה ת"ל לחם עוני פרט לעיסה שנילושה ביין ושמן ודבש מאי טעמא דר' עקיבא מי כתיב לחם עוני עני כתיב ור' יוסי הגלילי מי קרינן עני עוני קרינן ור' עקיבא האי דקרינן ביה עוני כדשמואל דאמר שמואל לחם עוני לחם שעונין עליו דברים הרבה.</w:t>
      </w:r>
    </w:p>
    <w:p w14:paraId="18A6BAEE" w14:textId="6393F351" w:rsidR="004865C9" w:rsidRPr="004865C9" w:rsidRDefault="004865C9" w:rsidP="00F8255E">
      <w:pPr>
        <w:pStyle w:val="a2"/>
      </w:pPr>
      <w:r w:rsidRPr="004865C9">
        <w:rPr>
          <w:rtl/>
        </w:rPr>
        <w:t>וביארו המפרשים</w:t>
      </w:r>
      <w:r w:rsidRPr="004865C9">
        <w:rPr>
          <w:vertAlign w:val="superscript"/>
        </w:rPr>
        <w:footnoteReference w:id="6"/>
      </w:r>
      <w:r w:rsidRPr="004865C9">
        <w:rPr>
          <w:rtl/>
        </w:rPr>
        <w:t xml:space="preserve"> "אף שרבי עקיבא פירש טעמו דמצות מצות ריבה אפילו הכי מקשה מאי טעמא דרבי עקיבא</w:t>
      </w:r>
      <w:r>
        <w:rPr>
          <w:rtl/>
        </w:rPr>
        <w:t>"</w:t>
      </w:r>
      <w:r w:rsidRPr="004865C9">
        <w:rPr>
          <w:rtl/>
        </w:rPr>
        <w:t xml:space="preserve"> "דקים ליה לתלמודא דהאי מצות מצות ריבה דקאמר רבי עקיבא, לאו לענין מעשר שני לחוד איצטריך אלא לשאר מילי" ["לכהנים שיוצאים בחלה ותרומה כנ"ל" בגמרא].</w:t>
      </w:r>
    </w:p>
    <w:p w14:paraId="655CB2BB" w14:textId="6D214D42" w:rsidR="004865C9" w:rsidRPr="004865C9" w:rsidRDefault="004865C9" w:rsidP="00F8255E">
      <w:pPr>
        <w:pStyle w:val="a2"/>
      </w:pPr>
      <w:r w:rsidRPr="004865C9">
        <w:rPr>
          <w:rtl/>
        </w:rPr>
        <w:t>אבל הקשו ש"היה מצי הש"ס למימר דטעמיה דרבי עקיבא דאצטריך קרא לדרשה דעונין עליו דברים הרבה".</w:t>
      </w:r>
      <w:r w:rsidRPr="004865C9">
        <w:rPr>
          <w:vertAlign w:val="superscript"/>
        </w:rPr>
        <w:footnoteReference w:id="7"/>
      </w:r>
      <w:r w:rsidRPr="004865C9">
        <w:rPr>
          <w:rtl/>
        </w:rPr>
        <w:t xml:space="preserve"> ולמה הביא בראשונה הלימוד "פרט לעיסה שנילושה ביין ושמן ודבש" ומטעם "מי כתיב לחם עוני עני כתיב" ורק אחר כך כדבר נוסף מביא "ור' עקיבא האי דקרינן ביה עוני כדשמואל דאמר שמואל לחם עוני לחם שעונין עליו דברים הרבה". והלא לכאורה בזה נחלקו אם משמעותיה של "עוני" הוא "אוני" או "עונין". ולמה הפסיק הגמרא עם הלימוד "פרט לעיסה שנילושה ביין ושמן </w:t>
      </w:r>
      <w:r w:rsidRPr="004865C9">
        <w:rPr>
          <w:rtl/>
        </w:rPr>
        <w:lastRenderedPageBreak/>
        <w:t>ודבש". דמשמע שזוהי עיקר מחלקותו.</w:t>
      </w:r>
      <w:r w:rsidR="005D7B4D">
        <w:rPr>
          <w:rtl/>
        </w:rPr>
        <w:t xml:space="preserve"> </w:t>
      </w:r>
    </w:p>
    <w:p w14:paraId="62120BC4" w14:textId="62BC2EAC" w:rsidR="004865C9" w:rsidRPr="004865C9" w:rsidRDefault="004865C9" w:rsidP="00F8255E">
      <w:pPr>
        <w:pStyle w:val="a2"/>
      </w:pPr>
      <w:r w:rsidRPr="004865C9">
        <w:rPr>
          <w:rtl/>
        </w:rPr>
        <w:t>ויש לומר בזה ובהקדים מה שאמר בגמרא "מאי טעמא דר' עקיבא מי כתיב לחם עוני עני כתיב ור' יוסי הגלילי מי קרינן עני עוני קרינן" דמשמע שמחלקותם הוא אם יש אם למסורת או יש אם למקרא</w:t>
      </w:r>
      <w:r w:rsidRPr="004865C9">
        <w:rPr>
          <w:vertAlign w:val="superscript"/>
        </w:rPr>
        <w:footnoteReference w:id="8"/>
      </w:r>
      <w:r w:rsidRPr="004865C9">
        <w:rPr>
          <w:rtl/>
        </w:rPr>
        <w:t xml:space="preserve"> [ולרבי עקיבא דדורש "לחם עוני לחם שעונין עליו דברים הרבה" היינו כי</w:t>
      </w:r>
      <w:r w:rsidRPr="004865C9">
        <w:rPr>
          <w:b/>
        </w:rPr>
        <w:t xml:space="preserve"> </w:t>
      </w:r>
      <w:r w:rsidRPr="004865C9">
        <w:rPr>
          <w:rtl/>
        </w:rPr>
        <w:t>היכא דלא סתרי אהדדי דורש המסורת והמקרא</w:t>
      </w:r>
      <w:r w:rsidRPr="004865C9">
        <w:rPr>
          <w:vertAlign w:val="superscript"/>
        </w:rPr>
        <w:footnoteReference w:id="9"/>
      </w:r>
      <w:r w:rsidRPr="004865C9">
        <w:rPr>
          <w:rtl/>
        </w:rPr>
        <w:t>].</w:t>
      </w:r>
    </w:p>
    <w:p w14:paraId="47AE7271" w14:textId="0EE4EEC7" w:rsidR="004865C9" w:rsidRPr="004865C9" w:rsidRDefault="004865C9" w:rsidP="00F8255E">
      <w:pPr>
        <w:pStyle w:val="a2"/>
      </w:pPr>
      <w:r w:rsidRPr="004865C9">
        <w:rPr>
          <w:rtl/>
        </w:rPr>
        <w:t>ובביאור אופן הלימוד [לר"ע הכא] מקרי או מכתיב יש לומר, שזה תלוי בהחילוק שבין קרי וכתיב. היינו שהכתיב הוא גוף האותיות וזה מורה על גוף הדבר וממנו לומדים דין בהחפצא של מצוה. והקרי היינו איך שהאדם קורא התיבות וממנו לומדים דין של התייחסות הגברא אל החפצא של מצוה.</w:t>
      </w:r>
      <w:r w:rsidR="005D7B4D">
        <w:rPr>
          <w:rtl/>
        </w:rPr>
        <w:t xml:space="preserve"> </w:t>
      </w:r>
    </w:p>
    <w:p w14:paraId="7F28B9A3" w14:textId="79A5DF2D" w:rsidR="004865C9" w:rsidRPr="004865C9" w:rsidRDefault="004865C9" w:rsidP="00F8255E">
      <w:pPr>
        <w:pStyle w:val="a2"/>
      </w:pPr>
      <w:r w:rsidRPr="004865C9">
        <w:rPr>
          <w:rtl/>
        </w:rPr>
        <w:t>והנה לימודו של רבי יוסי הגלילי הוא "לחם עוני מה שנאכל באנינות יצא זה שאינו נאכל באנינות אלא בשמחה" היינו שהגם שהאוכל "הגברא" אינו אונן עכ"ז היות שמותר לאוכלו כשהוא אונן נעשה דין ב"החפצא" ש"נאכל באנינות" ולכן אינו יוצא בה במעשר שני "שאינו נאכל באנינות אלא בשמחה". [היינו שדינו של החפצא תלוי בהתייחסותו של הגברא אליו].</w:t>
      </w:r>
    </w:p>
    <w:p w14:paraId="73CAFC1E" w14:textId="6B6FAC7E" w:rsidR="004865C9" w:rsidRPr="004865C9" w:rsidRDefault="004865C9" w:rsidP="00F8255E">
      <w:pPr>
        <w:pStyle w:val="a2"/>
      </w:pPr>
      <w:r w:rsidRPr="004865C9">
        <w:rPr>
          <w:rtl/>
        </w:rPr>
        <w:t>ועל זה טוען רבי עקיבא [והביאו בראשונה] "מי כתיב לחם עוני עני כתיב" היינו שאין ללמוד דין בהחפצא מהקרי אלא מהכתיב, והכתיב הוא "עני" ולכן לרבי עקיבא "מה ת"ל לחם עוני פרט לעיסה שנילושה ביין ושמן ודבש" היינו שהוא דין בהחפצא של המצה שצריך להיות לחם עני פרט למצה עשירה. וזוהי עיקר מחלקותו על רבי יוסי הגלילי.</w:t>
      </w:r>
    </w:p>
    <w:p w14:paraId="105F9B1B" w14:textId="4D36F419" w:rsidR="004865C9" w:rsidRPr="004865C9" w:rsidRDefault="004865C9" w:rsidP="00F8255E">
      <w:pPr>
        <w:pStyle w:val="a2"/>
        <w:rPr>
          <w:rtl/>
        </w:rPr>
      </w:pPr>
      <w:r w:rsidRPr="004865C9">
        <w:rPr>
          <w:rtl/>
        </w:rPr>
        <w:t>ומסיים הגמרא שאכן מהקרי</w:t>
      </w:r>
      <w:r w:rsidRPr="004865C9">
        <w:t xml:space="preserve"> </w:t>
      </w:r>
      <w:r w:rsidRPr="004865C9">
        <w:rPr>
          <w:rtl/>
        </w:rPr>
        <w:t>יש ללמוד דין בנוגע להתייחסות ה"גברא" אל ה"חפצא" והיינו דמסיים "ור' עקיבא האי דקרינן ביה עוני כדשמואל דאמר שמואל לחם עוני לחם שעונין עליו דברים הרבה".</w:t>
      </w:r>
    </w:p>
    <w:p w14:paraId="5C4D0BFD" w14:textId="77777777" w:rsidR="004865C9" w:rsidRPr="00552D8B" w:rsidRDefault="004865C9" w:rsidP="005E6E84">
      <w:pPr>
        <w:pStyle w:val="a4"/>
        <w:sectPr w:rsidR="004865C9" w:rsidRPr="00552D8B"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552D8B">
        <w:t>g</w:t>
      </w:r>
    </w:p>
    <w:p w14:paraId="5F164475" w14:textId="77777777" w:rsidR="00847B0F" w:rsidRPr="002B4871" w:rsidRDefault="00847B0F" w:rsidP="00847B0F">
      <w:pPr>
        <w:pStyle w:val="a"/>
        <w:rPr>
          <w:rtl/>
        </w:rPr>
      </w:pPr>
      <w:bookmarkStart w:id="119" w:name="_Toc3515479"/>
      <w:r w:rsidRPr="002B4871">
        <w:rPr>
          <w:rFonts w:hint="cs"/>
          <w:rtl/>
        </w:rPr>
        <w:lastRenderedPageBreak/>
        <w:t>קבוע עדיף מחזקה או לא</w:t>
      </w:r>
      <w:bookmarkEnd w:id="119"/>
    </w:p>
    <w:p w14:paraId="744D38A8" w14:textId="77777777" w:rsidR="00847B0F" w:rsidRDefault="00847B0F" w:rsidP="00C40187">
      <w:pPr>
        <w:pStyle w:val="a0"/>
        <w:rPr>
          <w:rtl/>
        </w:rPr>
      </w:pPr>
      <w:bookmarkStart w:id="120" w:name="_Toc3515480"/>
      <w:r w:rsidRPr="00BF0FF2">
        <w:rPr>
          <w:rFonts w:hint="cs"/>
          <w:rtl/>
        </w:rPr>
        <w:t>הת' יוסף אברהם הלוי שטאל</w:t>
      </w:r>
      <w:bookmarkEnd w:id="120"/>
    </w:p>
    <w:p w14:paraId="62C348B1" w14:textId="78C89300" w:rsidR="00847B0F" w:rsidRPr="00847B0F" w:rsidRDefault="00847B0F" w:rsidP="00847B0F">
      <w:pPr>
        <w:pStyle w:val="a1"/>
        <w:rPr>
          <w:rtl/>
          <w:lang w:val="en-GB"/>
        </w:rPr>
      </w:pPr>
      <w:r>
        <w:rPr>
          <w:rFonts w:hint="cs"/>
          <w:rtl/>
          <w:lang w:val="en-GB"/>
        </w:rPr>
        <w:t>תלמיד בישיבה</w:t>
      </w:r>
    </w:p>
    <w:p w14:paraId="51838469" w14:textId="3740E328" w:rsidR="00847B0F" w:rsidRPr="00847B0F" w:rsidRDefault="00847B0F" w:rsidP="00847B0F">
      <w:pPr>
        <w:pStyle w:val="a2"/>
        <w:rPr>
          <w:rtl/>
        </w:rPr>
      </w:pPr>
      <w:r w:rsidRPr="00847B0F">
        <w:rPr>
          <w:rtl/>
        </w:rPr>
        <w:t>שנינו במכילתין (פסחים ט,</w:t>
      </w:r>
      <w:r w:rsidR="00933637">
        <w:rPr>
          <w:rFonts w:hint="cs"/>
          <w:rtl/>
        </w:rPr>
        <w:t xml:space="preserve"> </w:t>
      </w:r>
      <w:r w:rsidRPr="00847B0F">
        <w:rPr>
          <w:rtl/>
        </w:rPr>
        <w:t>ב) "תשע ציבורין של מצה ואחד של חמץ, ואתא עכבר ושקל ולא ידעינן אי מצה שקל אי חמץ שקל היינו תשע חנויות. פירש ואתא עכבר ושקל היינו סיפא. דתנן תשע חנויות, כולן מוכרין בשר שחוטה ואחת מוכרת בשר נבלה, ולקח מאחת מהן ואינו יודע מאיזה מהן לקח ספיקו אסור. ובנמצא הלך אחר הרוב".</w:t>
      </w:r>
    </w:p>
    <w:p w14:paraId="3D7B81E4" w14:textId="77777777" w:rsidR="00847B0F" w:rsidRPr="00847B0F" w:rsidRDefault="00847B0F" w:rsidP="00847B0F">
      <w:pPr>
        <w:pStyle w:val="a2"/>
        <w:rPr>
          <w:rtl/>
        </w:rPr>
      </w:pPr>
      <w:r w:rsidRPr="00847B0F">
        <w:rPr>
          <w:rtl/>
        </w:rPr>
        <w:t>ופרש"י (ד"ה ואתא עכבר ושקל) "ונכנס לבית בפנינו, ולא ידעינן אי חמץ שקל, וכיון דחזינא - צריכין אנו לבדוק, או דילמא מצה שקל".</w:t>
      </w:r>
    </w:p>
    <w:p w14:paraId="4632E830" w14:textId="77777777" w:rsidR="00847B0F" w:rsidRPr="00847B0F" w:rsidRDefault="00847B0F" w:rsidP="00847B0F">
      <w:pPr>
        <w:pStyle w:val="a2"/>
        <w:rPr>
          <w:rtl/>
        </w:rPr>
      </w:pPr>
      <w:r w:rsidRPr="00847B0F">
        <w:rPr>
          <w:rtl/>
        </w:rPr>
        <w:t>ומקשים התוס' (ד"ה היינו תשע חנויות) "לפי מה שפ"ה לענין בדיקה לא נהירא לר"י</w:t>
      </w:r>
      <w:r w:rsidRPr="00847B0F">
        <w:t xml:space="preserve"> </w:t>
      </w:r>
      <w:r w:rsidRPr="00847B0F">
        <w:rPr>
          <w:rtl/>
        </w:rPr>
        <w:t>. . ועוד קשה דגבי תשע חנויות ליכא חזקת היתר אבל הכא אוקמא אחזקת בדוק דהא בבדוק מיירי דאי לאו הכי פשיטא דבעי בדיקה ונראה לר"י דלענין שהביא עכבר לבית ונמצא קבעי אי שרי לאכילה אי לאו".</w:t>
      </w:r>
    </w:p>
    <w:p w14:paraId="2A02438B" w14:textId="77777777" w:rsidR="00847B0F" w:rsidRPr="00847B0F" w:rsidRDefault="00847B0F" w:rsidP="00847B0F">
      <w:pPr>
        <w:pStyle w:val="a2"/>
        <w:rPr>
          <w:rtl/>
        </w:rPr>
      </w:pPr>
      <w:r w:rsidRPr="00847B0F">
        <w:rPr>
          <w:rtl/>
        </w:rPr>
        <w:t>ונראה לבאר פלוגתתם בהקדם.</w:t>
      </w:r>
    </w:p>
    <w:p w14:paraId="33E5F7A0" w14:textId="77777777" w:rsidR="00847B0F" w:rsidRPr="00847B0F" w:rsidRDefault="00847B0F" w:rsidP="00847B0F">
      <w:pPr>
        <w:pStyle w:val="a2"/>
        <w:rPr>
          <w:rtl/>
        </w:rPr>
      </w:pPr>
      <w:r w:rsidRPr="00847B0F">
        <w:rPr>
          <w:rtl/>
        </w:rPr>
        <w:t xml:space="preserve">הרמב"ם בהל' חמץ ומצה (פ"ב ה"י) כתב "הניח תשעה צבורין של מצה ואחד של חמץ ובא עכבר ונטל ולא ידענו אם חמץ אם מצה נטל ונכנס לבית בדוק צריך לבדוק שכל הקבוע כמחצה על מחצה". והשיג עליו הראב"ד וז"ל "הניח "א"א לא מיחוורא הא מילתא אלא לענין בטול אבל לענין בדיקה ספיקא דרבנן הוא". כלומר שקשה להראב"ד, מאחר שאמרינן שכל קבוע כמחצה על מחצה, ומיירי בבדיקה שהוא רק מדרבנן, לכאו' הוה לי' להרמב"ם להקל ולהכשיר הלחם ולא להחמיר. (ומשו"ה ס"ל להראב"ד שדין זו מיירי בפסח אם צריך לבטל </w:t>
      </w:r>
      <w:r w:rsidRPr="00847B0F">
        <w:rPr>
          <w:b/>
          <w:bCs/>
          <w:rtl/>
        </w:rPr>
        <w:t>מדאורייתא</w:t>
      </w:r>
      <w:r w:rsidRPr="00847B0F">
        <w:rPr>
          <w:rtl/>
        </w:rPr>
        <w:t xml:space="preserve"> ומשו"ה מחמירין).</w:t>
      </w:r>
    </w:p>
    <w:p w14:paraId="18597D95" w14:textId="77777777" w:rsidR="00847B0F" w:rsidRPr="00847B0F" w:rsidRDefault="00847B0F" w:rsidP="00847B0F">
      <w:pPr>
        <w:pStyle w:val="a2"/>
        <w:rPr>
          <w:rtl/>
        </w:rPr>
      </w:pPr>
      <w:r w:rsidRPr="00847B0F">
        <w:rPr>
          <w:rtl/>
        </w:rPr>
        <w:t xml:space="preserve">והמגיד משנה (על אתר) "ובהשגות א"א לא מיחוורא הא מלתא וכו'. ודעת רש"י ז"ל ושאר המפרשים האחרונים כדעת רבינו גם מדברי הגאונים נראה כן וכן כתוב בפירוש בהלכות ה"ר יצחק אבן גיאת וכתב הרא"ה ז"ל שהטעם דאע"ג דספיקא דרבנן היא כיון שבדיקת חמץ תחילתה על הספק החמירו בספקה יותר משאר ספיקות של דבריה' וכן עיקר". כלומר שמכיון </w:t>
      </w:r>
      <w:r w:rsidRPr="00847B0F">
        <w:rPr>
          <w:b/>
          <w:bCs/>
          <w:rtl/>
        </w:rPr>
        <w:t xml:space="preserve">שלכתחילה </w:t>
      </w:r>
      <w:r w:rsidRPr="00847B0F">
        <w:rPr>
          <w:rtl/>
        </w:rPr>
        <w:t>תקנו חכמים בדיקה על הספק, לכן בכל הספיקות מחמירין.</w:t>
      </w:r>
    </w:p>
    <w:p w14:paraId="3C338968" w14:textId="77777777" w:rsidR="00847B0F" w:rsidRPr="00847B0F" w:rsidRDefault="00847B0F" w:rsidP="00847B0F">
      <w:pPr>
        <w:pStyle w:val="a2"/>
        <w:rPr>
          <w:rtl/>
        </w:rPr>
      </w:pPr>
      <w:r w:rsidRPr="00847B0F">
        <w:rPr>
          <w:rtl/>
        </w:rPr>
        <w:lastRenderedPageBreak/>
        <w:t>אבל עדיין קשה ממש"כ הרמב"ם בההלכה אחרי זה (הי"א) "שני צבורין אחד של חמץ ואחד של מצה ושני בתים אחד בדוק ואחד שאינו בדוק, ובאו שני עכברים זה נטל חמץ וזה נטל מצה, ואין ידוע לאיזה בית נכנס זה שנטל החמץ, וכן שני בתים בדוקין וצבור אחד של חמץ ובא עכבר ונטל ואין ידוע לאיזה בית נכנס, או שידע שנכנס לאחד מהן ונכנס אחריו ובדק ולא מצא כלום או שבדק ומצא ככר, או שהיו תשעה צבורין של מצה ואחד של חמץ ופירש ככר מהן ואין ידוע אם חמץ אם מצה, ובא עכבר ונטל הככר שפירש ונכנס לבית בדוק בכל אלו אינו צריך לבדוק פעם שניה שאין כאן קבוע".</w:t>
      </w:r>
    </w:p>
    <w:p w14:paraId="202B312D" w14:textId="77777777" w:rsidR="00847B0F" w:rsidRPr="00847B0F" w:rsidRDefault="00847B0F" w:rsidP="00847B0F">
      <w:pPr>
        <w:pStyle w:val="a2"/>
        <w:rPr>
          <w:rtl/>
        </w:rPr>
      </w:pPr>
      <w:r w:rsidRPr="00847B0F">
        <w:rPr>
          <w:rtl/>
        </w:rPr>
        <w:t>וכמו שהקשה הלחם משנה "וקשה דא"כ דיש להחמיר בספיקא למה לקמן בכל הבעיות דאיכא תיקו פסק רבינו לקולא גבי חמץ. כמו גבי נחש, וכל השאר שהזכיר הא היה לו להחמיר בספיקא מהך טעמא . . וא"כ קשה דאמאי נקטינן הא בדיקת חמץ תחלתה על הספק ויש להחמיר בשל תורה וכי היכי דגבי תשע חנויות מדמינן מהאי טעמא הכא נמי אית לן לדמויי".</w:t>
      </w:r>
    </w:p>
    <w:p w14:paraId="340A4F62" w14:textId="77777777" w:rsidR="00847B0F" w:rsidRPr="00847B0F" w:rsidRDefault="00847B0F" w:rsidP="00847B0F">
      <w:pPr>
        <w:pStyle w:val="a2"/>
        <w:rPr>
          <w:rtl/>
        </w:rPr>
      </w:pPr>
      <w:r w:rsidRPr="00847B0F">
        <w:rPr>
          <w:rtl/>
        </w:rPr>
        <w:t xml:space="preserve">ויעויין בלשון אדה"ז בשולחנו (סי' תלט ס"ד) "שני צבורים אחד של חמץ ואחד של מצה ושני בתים אחד בדוק ואחד שאינו בדוק ובאו שני עכברים זה נטל חמץ וזה נטל מצה, וכל אחד נכנס לבית אחד ואין ידוע לאיזה בית נכנס זה שנטל חמץ, אם כבר ביטלו או שיכולים עדיין לבטל שאין כאן אלא ספק דברי סופרים או שהוא ככר קטן שיש כאן ב' ספיקות להקל, אין צריך לחזור ולבדוק. ואף על פי שבשעה שנכנס כל ככר לבית אחד נולד לו הספק על כל ככר אם הוא חמץ או מצה, וא"כ הרי ידוע לנו שלכל בית נכנס ככר ספק חמץ, אף על פי כן אין הבית עומד בחזקת שאינו בדוק ולא נגרעה חזקת בדיקתו על ידי ספק חמץ שנכנס לתוכו אלא אם כן נולד לו הספק כשהיה הככר במקום שקבוע שם חמץ ודאי, שהספק הנולד במקום קביעת החמץ כיון שהחמירה בו תורה שלא לילך בו אחר הרוב שאף שהרוב הוא מצה, אף על פי כן נידון כמחצה על מחצה </w:t>
      </w:r>
      <w:r w:rsidRPr="00847B0F">
        <w:rPr>
          <w:b/>
          <w:bCs/>
          <w:rtl/>
        </w:rPr>
        <w:t>החמירו בו חכמים גם כן ואמרו שספק זה מגרע חזקת בדיקת הבית</w:t>
      </w:r>
      <w:r w:rsidRPr="00847B0F">
        <w:rPr>
          <w:rtl/>
        </w:rPr>
        <w:t>. אבל שאר ספיקות שלא נולדו במקום שקבוע שם חמץ ודאי לא החמירו בהם חכמים כל כך שיוציא הבית מחזקת בדיקתו". ועפ"ז יובן דברי המגיד משנה.</w:t>
      </w:r>
    </w:p>
    <w:p w14:paraId="0A9439BF" w14:textId="77777777" w:rsidR="00847B0F" w:rsidRPr="00847B0F" w:rsidRDefault="00847B0F" w:rsidP="00847B0F">
      <w:pPr>
        <w:pStyle w:val="a2"/>
        <w:rPr>
          <w:rtl/>
        </w:rPr>
      </w:pPr>
      <w:r w:rsidRPr="00847B0F">
        <w:rPr>
          <w:rtl/>
        </w:rPr>
        <w:t>ויש לדייק בדברי אדה"ז, שמחדש כאן דרך חדש איך ללמוד דין קביעות עדיף מרוב. דהנה יש לחקור בזה דאמרינן דכיון דגלי קרא דלא ניזול בתר רובא במקום שיש דין קביעות, האם אומרים דכ"ש בתר חזקה לא אזלינן, דרובא וחזקה רובא עדיף, או היכי דגלי גלי ואין בו אלא חידושו. [וראה מש"כ הפמ"ג יו"ד סי' ק"י סקי"ד].</w:t>
      </w:r>
    </w:p>
    <w:p w14:paraId="73781160" w14:textId="77777777" w:rsidR="00847B0F" w:rsidRPr="00847B0F" w:rsidRDefault="00847B0F" w:rsidP="00847B0F">
      <w:pPr>
        <w:pStyle w:val="a2"/>
        <w:rPr>
          <w:rtl/>
        </w:rPr>
      </w:pPr>
      <w:r w:rsidRPr="00847B0F">
        <w:rPr>
          <w:rtl/>
        </w:rPr>
        <w:t xml:space="preserve">דהנה אפשר ללמוד דין קביעות דקבועה בב' אופנים, א' אם גדר דין קבוע הוא שאין הולכים בקבועה אחר הרוב, א"כ ה"ה שאין הולכים בקבוע אחר חזקה, והרי רובא וחזקה רובא עדיף, וכיון שאין הולכים בקבוע אחר הרוב, כ"ש /שאין הולכים אחר </w:t>
      </w:r>
      <w:r w:rsidRPr="00847B0F">
        <w:rPr>
          <w:rtl/>
        </w:rPr>
        <w:lastRenderedPageBreak/>
        <w:t>חזקה. ב', אמנם אם גדר דין קבוע הוא שהחשיבה תורה את צד המיעוט למחצה וממילא קרוב ליכא רוב, א"כ אין זה ענין כלל לחזקה, ושפיר י"ל דבקבוע אזלינן בתר חזקה, דדוקא רוב לא מהני משום דליכא רוב, והצדדין שקולין, אבל חזקה ודאי מהניא, דאף כשהצדדין שקולין מהניא החזקה.</w:t>
      </w:r>
    </w:p>
    <w:p w14:paraId="603F8A88" w14:textId="77777777" w:rsidR="00847B0F" w:rsidRPr="00847B0F" w:rsidRDefault="00847B0F" w:rsidP="00847B0F">
      <w:pPr>
        <w:pStyle w:val="a2"/>
        <w:rPr>
          <w:rtl/>
        </w:rPr>
      </w:pPr>
      <w:r w:rsidRPr="00847B0F">
        <w:rPr>
          <w:rtl/>
        </w:rPr>
        <w:t>ומבואר בדברי אדה"ז בהדיא דלא אמרינן אין בו אלא חידושו ואכן אמרים כאופן הא'.</w:t>
      </w:r>
    </w:p>
    <w:p w14:paraId="00B26A96" w14:textId="77777777" w:rsidR="00847B0F" w:rsidRPr="00847B0F" w:rsidRDefault="00847B0F" w:rsidP="00847B0F">
      <w:pPr>
        <w:pStyle w:val="a2"/>
        <w:rPr>
          <w:rtl/>
        </w:rPr>
      </w:pPr>
      <w:r w:rsidRPr="00847B0F">
        <w:rPr>
          <w:rtl/>
        </w:rPr>
        <w:t>משא"כ מקושיית התוס' (הנ"ל) על מש"כ רש"י נראה להיפך ממש"כ "דגבי תשע חנויות ליכא חזקת היתר אבל הכא אוקמא אחזקת בדוק", ומבואר מזה שבגלל שהבית עומד בחזקת בדוק ה"ז עדיף מדין קביעות.</w:t>
      </w:r>
    </w:p>
    <w:p w14:paraId="57AFB48A" w14:textId="77777777" w:rsidR="00847B0F" w:rsidRPr="00847B0F" w:rsidRDefault="00847B0F" w:rsidP="00847B0F">
      <w:pPr>
        <w:pStyle w:val="a2"/>
        <w:rPr>
          <w:rtl/>
        </w:rPr>
      </w:pPr>
      <w:r w:rsidRPr="00847B0F">
        <w:rPr>
          <w:rtl/>
        </w:rPr>
        <w:t>וכן יש להביא ראי' ששיטת תוס' בזה (כתובות כט,א) "ואפילו לרב אי דאזיל איהו גבה ה"ל קבוע וכל קבוע כמחצה על מחצה דמי ויש לומר דכל אחת מוקמינן לה אחזקת אבהתא שהיו כותים".</w:t>
      </w:r>
    </w:p>
    <w:p w14:paraId="43FABB66" w14:textId="0AADE6E2" w:rsidR="00847B0F" w:rsidRPr="00847B0F" w:rsidRDefault="00847B0F" w:rsidP="00847B0F">
      <w:pPr>
        <w:pStyle w:val="a2"/>
        <w:rPr>
          <w:rtl/>
        </w:rPr>
      </w:pPr>
      <w:r w:rsidRPr="00847B0F">
        <w:rPr>
          <w:rtl/>
        </w:rPr>
        <w:t>ואולי, בזה חולקים רש"י ותוס', שרש"י ס"ל כשיטת אדה"ז (שכמו דאמרינן קבוע עדיף מרוב, כ"ש עדיף מחזקה), משא"כ תוס' אינו סובר כן.</w:t>
      </w:r>
    </w:p>
    <w:p w14:paraId="48AB67C1" w14:textId="77777777" w:rsidR="009B3863" w:rsidRPr="00552D8B" w:rsidRDefault="009B3863" w:rsidP="005E6E84">
      <w:pPr>
        <w:pStyle w:val="a4"/>
        <w:sectPr w:rsidR="009B3863" w:rsidRPr="00552D8B"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r w:rsidRPr="00552D8B">
        <w:t>g</w:t>
      </w:r>
    </w:p>
    <w:p w14:paraId="4A7F2CAF" w14:textId="77777777" w:rsidR="009B3863" w:rsidRPr="005E2319" w:rsidRDefault="009B3863" w:rsidP="009B3863">
      <w:pPr>
        <w:pStyle w:val="a"/>
        <w:rPr>
          <w:rtl/>
        </w:rPr>
      </w:pPr>
      <w:bookmarkStart w:id="121" w:name="_Toc3515481"/>
      <w:r w:rsidRPr="005E2319">
        <w:rPr>
          <w:rtl/>
        </w:rPr>
        <w:t>הטעם שנשים חייבות במצות אכילת מצה</w:t>
      </w:r>
      <w:bookmarkEnd w:id="121"/>
    </w:p>
    <w:p w14:paraId="0BE209DF" w14:textId="77777777" w:rsidR="009B3863" w:rsidRDefault="009B3863" w:rsidP="00C40187">
      <w:pPr>
        <w:pStyle w:val="a0"/>
        <w:rPr>
          <w:rtl/>
        </w:rPr>
      </w:pPr>
      <w:bookmarkStart w:id="122" w:name="_Toc3515482"/>
      <w:r w:rsidRPr="005E2319">
        <w:rPr>
          <w:rtl/>
        </w:rPr>
        <w:t>הת' נתן יהושע סטאליק</w:t>
      </w:r>
      <w:bookmarkEnd w:id="122"/>
    </w:p>
    <w:p w14:paraId="59BB6E15" w14:textId="067AF878" w:rsidR="009B3863" w:rsidRPr="009B3863" w:rsidRDefault="009B3863" w:rsidP="009B3863">
      <w:pPr>
        <w:pStyle w:val="a1"/>
        <w:rPr>
          <w:rtl/>
          <w:lang w:val="en-GB"/>
        </w:rPr>
      </w:pPr>
      <w:r>
        <w:rPr>
          <w:rFonts w:hint="cs"/>
          <w:rtl/>
          <w:lang w:val="en-GB"/>
        </w:rPr>
        <w:t>תלמיד בישיבה</w:t>
      </w:r>
    </w:p>
    <w:p w14:paraId="79A170BF" w14:textId="77777777" w:rsidR="009B3863" w:rsidRPr="009B3863" w:rsidRDefault="009B3863" w:rsidP="009B3863">
      <w:pPr>
        <w:pStyle w:val="a2"/>
        <w:rPr>
          <w:rtl/>
        </w:rPr>
      </w:pPr>
      <w:r w:rsidRPr="009B3863">
        <w:rPr>
          <w:rtl/>
        </w:rPr>
        <w:t>איתא בגמ' (פסחים קח,א) "אמר ריב"ל נשים חייבות בארבעה כוסות הללו שאף הן היו באותו הנס". וכן הובא בטור ושו"ע וז"ל (סי' תעב סי"ב) "אחד אנשים ואחד נשים חייבים בהם" (ד' כוסות) ומוסיף "ובכל מצות הנוהגות באותו לילה כגון מצה ומרור".</w:t>
      </w:r>
    </w:p>
    <w:p w14:paraId="416F4D31" w14:textId="77777777" w:rsidR="009B3863" w:rsidRPr="009B3863" w:rsidRDefault="009B3863" w:rsidP="009B3863">
      <w:pPr>
        <w:pStyle w:val="a2"/>
        <w:rPr>
          <w:rtl/>
        </w:rPr>
      </w:pPr>
      <w:r w:rsidRPr="009B3863">
        <w:rPr>
          <w:rtl/>
        </w:rPr>
        <w:t>ומסביר הב"י הטעם לזה (שנשים חייבות בכל המצוות הנוהגות באותו לילה), וז"ל "נשים חייבות בד' כוסות שאף הן היו באותו הנס, ומטעם זה צ"ל שהם חייבות בכל מצוות הנוהגות באותו לילה כמ"ש רבינו". היינו שהטעם בגמ' שאף הם היו באותו הנס, הוי ג"כ הטעם לשאר מצוות הנוהגות באותו לילה.</w:t>
      </w:r>
    </w:p>
    <w:p w14:paraId="65F129BD" w14:textId="77777777" w:rsidR="009B3863" w:rsidRPr="009B3863" w:rsidRDefault="009B3863" w:rsidP="009B3863">
      <w:pPr>
        <w:pStyle w:val="a2"/>
        <w:rPr>
          <w:rtl/>
        </w:rPr>
      </w:pPr>
      <w:r w:rsidRPr="009B3863">
        <w:rPr>
          <w:rtl/>
        </w:rPr>
        <w:lastRenderedPageBreak/>
        <w:t>והנה מצינו בגמ' בנוגע לחיוב נשים באכילת מצה טעם אחר, כמ"ש (פסחים מג, ב צא, ב), "נשים חייבות באכילת מצה דבר תורה, שנאמר (דברים טז,ג) "לא תאכל עליו חמץ שבעת ימים תאכל עליו מצות" כל שישנו בבל תאכל חמץ ישנו בקום אכול מצה, והני נשי הואיל וישנן בבל תאכל חמץ ישנן בקום אכול מצה".</w:t>
      </w:r>
    </w:p>
    <w:p w14:paraId="6FDB28CD" w14:textId="77777777" w:rsidR="009B3863" w:rsidRPr="009B3863" w:rsidRDefault="009B3863" w:rsidP="009B3863">
      <w:pPr>
        <w:pStyle w:val="a2"/>
        <w:rPr>
          <w:rtl/>
        </w:rPr>
      </w:pPr>
      <w:r w:rsidRPr="009B3863">
        <w:rPr>
          <w:rtl/>
        </w:rPr>
        <w:t>ולפ"ז צ"ל, למה כותב הב"י שזה שנשים חייבות באכילת מצה הוא מטעם "שאף הן היו באותו הנס" כמו הטעם של ד' כוסות, ולא מצד ההיקש כמפורש בגמ'</w:t>
      </w:r>
      <w:r w:rsidRPr="009B3863">
        <w:rPr>
          <w:rStyle w:val="FootnoteReference"/>
          <w:rtl/>
        </w:rPr>
        <w:footnoteReference w:id="10"/>
      </w:r>
      <w:r w:rsidRPr="009B3863">
        <w:rPr>
          <w:rtl/>
        </w:rPr>
        <w:t>?</w:t>
      </w:r>
    </w:p>
    <w:p w14:paraId="45B924F4" w14:textId="77777777" w:rsidR="009B3863" w:rsidRPr="009B3863" w:rsidRDefault="009B3863" w:rsidP="009B3863">
      <w:pPr>
        <w:pStyle w:val="a2"/>
        <w:rPr>
          <w:rtl/>
        </w:rPr>
      </w:pPr>
      <w:r w:rsidRPr="009B3863">
        <w:rPr>
          <w:rtl/>
        </w:rPr>
        <w:t xml:space="preserve">והנה בנוגע הטעם של "אף הם כו'" מביא כ"ק אדמו"ר נשי"ד (בההגדה ד"ה מצוה עלינו), ב' דיעות אם הוי טעם לחיוב דאורייתא או רק לחיוב מדרבנן. ולהדעה דהוי דאורייתא, מציין שם לשיטת ר"י בתוס' ד"ה שאף (מגילה ד,א) "גבי מצה יש מקשה למה לי היקשא דכל שישנו בבל תאכל חמץ ישנו בקום אכול מצה תיפוק ליה מטעם שהן היו באותו הנס וי"ל דמשום האי טעמא לא מחייבא אלא מדרבנן אי לאו מהיקשא ורבינו יוסף איש ירושלים תירץ דסלקא דעתך למיפטרה מגזירה שוה דט"ו ט"ו דחג הסוכות כדפי' פרק אלו עוברין (פסחים מג: ד"ה סלקא)". היינו שלפי תירוץ הא' הוי הטעם לחיוב רק דרבנן. </w:t>
      </w:r>
    </w:p>
    <w:p w14:paraId="6ACB6E71" w14:textId="77777777" w:rsidR="009B3863" w:rsidRPr="009B3863" w:rsidRDefault="009B3863" w:rsidP="009B3863">
      <w:pPr>
        <w:pStyle w:val="a2"/>
        <w:rPr>
          <w:rtl/>
        </w:rPr>
      </w:pPr>
      <w:r w:rsidRPr="009B3863">
        <w:rPr>
          <w:rtl/>
        </w:rPr>
        <w:t>ונראה שלפי תירוץ הב', הטעם "שאף הם כו'" הוי טעמא דקרא, וכמ"ש הכפות תמרים, (סוכה לח,א תוס' ד"ה מי) "ואף על גב דבגמרא לא אמר טעם זה שאף הן היו באותו הנס גבי מצה אלא מטעם דהקישא דכל שישנו בבל תאכל חמץ ישנו בקום אכול מצה זהו העיקר הלימוד מהכתוב ולעולם אימא לך טעמא דקרא משום דאף הן היו באותו נס והיינו טעמא דבמצה נשים חייבות".</w:t>
      </w:r>
    </w:p>
    <w:p w14:paraId="1958E209" w14:textId="77777777" w:rsidR="009B3863" w:rsidRPr="009B3863" w:rsidRDefault="009B3863" w:rsidP="009B3863">
      <w:pPr>
        <w:pStyle w:val="a2"/>
        <w:rPr>
          <w:rtl/>
        </w:rPr>
      </w:pPr>
      <w:r w:rsidRPr="009B3863">
        <w:rPr>
          <w:rtl/>
        </w:rPr>
        <w:t>ועפ"ז י"ל שהב"י סובר כמו תי' הב' של התוס', דאף הם כו' הוי טעם לחיוב דאורייתא, רק דבמצה אינו אלא סיבת ההיקש, ולכן אמר הב"י דהטעם לחיוב מצה הוי "אף הם כו'", אותו טעם של ד' כוסות.</w:t>
      </w:r>
    </w:p>
    <w:p w14:paraId="01E425DA" w14:textId="77777777" w:rsidR="009B3863" w:rsidRPr="009B3863" w:rsidRDefault="009B3863" w:rsidP="009B3863">
      <w:pPr>
        <w:pStyle w:val="a2"/>
        <w:rPr>
          <w:rtl/>
        </w:rPr>
      </w:pPr>
      <w:r w:rsidRPr="009B3863">
        <w:rPr>
          <w:rtl/>
        </w:rPr>
        <w:t xml:space="preserve">והנה בהגדת רבינו שם כותב "משו"ע אדה"ז (ס' תעב סכ"ה) משמע, שסובר שהטעם שאף הם היו באותו הנס הוי טעם רק לחיוב מדרבנן. </w:t>
      </w:r>
    </w:p>
    <w:p w14:paraId="6E3EAE87" w14:textId="288CC09D" w:rsidR="009B3863" w:rsidRPr="009B3863" w:rsidRDefault="009B3863" w:rsidP="009B3863">
      <w:pPr>
        <w:pStyle w:val="a2"/>
        <w:rPr>
          <w:rtl/>
        </w:rPr>
      </w:pPr>
      <w:r w:rsidRPr="009B3863">
        <w:rPr>
          <w:rtl/>
        </w:rPr>
        <w:t xml:space="preserve">וז"ל אדה"ז "וכן בשאר כל המצות הנוהגות בלילה זה אין חילוק בין אנשים לנשים שאף שהנשים פטורות מכל מצות עשה שהזמן גרמא בין של תורה בין של דברי סופרים אף על פי כן חייבו אותן חכמים בכל הדברים שתקנו בלילה זה לפי שאף הם היו באותו הנס של יציאת מצרים ובאכילת מצה הן חייבות מן התורה לפי שהוקשה </w:t>
      </w:r>
      <w:r w:rsidRPr="009B3863">
        <w:rPr>
          <w:rtl/>
        </w:rPr>
        <w:lastRenderedPageBreak/>
        <w:t>מצות עשה של אכילת מצה למצות לא תעשה של אכילת חמץ שנאמר לא תאכל עליו חמץ שבעת ימים תאכל עליו מצות לומר לך שכשם שהנשים מוזהרות על לא תעשה של אכילת חמץ שנאמר כי כל אוכל מחמצת ונכרתה וגו' כי כל לרבות הנשים כך הן מוזהרות על מצות עשה של אכילת מצה", והיינו שהטעם שאף הם היו באותו הנס הוא רק טעם למה ש"חייבו אותן חכמים", ולדברים "שתקנו בלילה זה", אבל אינו טעם לחיוב מצה, שהם חייבות מן התורה אלא הטעם הוא "לפי שהוקשו מצה לחמץ".</w:t>
      </w:r>
    </w:p>
    <w:p w14:paraId="3F2DEDF3" w14:textId="77777777" w:rsidR="004C6F14" w:rsidRPr="00552D8B" w:rsidRDefault="004C6F14" w:rsidP="004C6F14">
      <w:pPr>
        <w:pStyle w:val="a4"/>
        <w:sectPr w:rsidR="004C6F14" w:rsidRPr="00552D8B"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r w:rsidRPr="00552D8B">
        <w:t>g</w:t>
      </w:r>
    </w:p>
    <w:p w14:paraId="5DAB87E9" w14:textId="03CC3C1D" w:rsidR="00C64BCC" w:rsidRPr="00C64BCC" w:rsidRDefault="00C64BCC" w:rsidP="00C64BCC">
      <w:pPr>
        <w:pStyle w:val="a"/>
        <w:rPr>
          <w:rtl/>
        </w:rPr>
      </w:pPr>
      <w:bookmarkStart w:id="123" w:name="_Toc3515483"/>
      <w:r w:rsidRPr="00024771">
        <w:rPr>
          <w:rFonts w:asciiTheme="majorBidi" w:hAnsiTheme="majorBidi" w:cs="Times New Roman"/>
          <w:b/>
          <w:sz w:val="36"/>
          <w:szCs w:val="36"/>
          <w:rtl/>
        </w:rPr>
        <w:t>בע</w:t>
      </w:r>
      <w:r>
        <w:rPr>
          <w:rFonts w:asciiTheme="majorBidi" w:hAnsiTheme="majorBidi" w:cs="Times New Roman"/>
          <w:b/>
          <w:sz w:val="36"/>
          <w:szCs w:val="36"/>
          <w:rtl/>
        </w:rPr>
        <w:t xml:space="preserve">נין גיררה חולדה היכא דחזינן </w:t>
      </w:r>
      <w:r>
        <w:rPr>
          <w:rFonts w:asciiTheme="majorBidi" w:hAnsiTheme="majorBidi" w:cs="Times New Roman" w:hint="cs"/>
          <w:b/>
          <w:sz w:val="36"/>
          <w:szCs w:val="36"/>
          <w:rtl/>
        </w:rPr>
        <w:t>דשקל</w:t>
      </w:r>
      <w:r w:rsidR="00D9489C">
        <w:rPr>
          <w:rFonts w:asciiTheme="majorBidi" w:hAnsiTheme="majorBidi" w:cs="Times New Roman" w:hint="cs"/>
          <w:b/>
          <w:sz w:val="36"/>
          <w:szCs w:val="36"/>
          <w:rtl/>
        </w:rPr>
        <w:t xml:space="preserve"> </w:t>
      </w:r>
      <w:r>
        <w:rPr>
          <w:rFonts w:hint="cs"/>
          <w:rtl/>
        </w:rPr>
        <w:t>(גליון)</w:t>
      </w:r>
      <w:bookmarkEnd w:id="123"/>
      <w:r w:rsidR="005D7B4D">
        <w:rPr>
          <w:rFonts w:hint="cs"/>
          <w:rtl/>
        </w:rPr>
        <w:t xml:space="preserve"> </w:t>
      </w:r>
    </w:p>
    <w:p w14:paraId="2DF107E5" w14:textId="3DEC7F6F" w:rsidR="00C64BCC" w:rsidRPr="00C60FEE" w:rsidRDefault="00C64BCC" w:rsidP="00C40187">
      <w:pPr>
        <w:pStyle w:val="a0"/>
        <w:rPr>
          <w:rFonts w:hint="cs"/>
          <w:rtl/>
        </w:rPr>
      </w:pPr>
      <w:bookmarkStart w:id="124" w:name="_Toc3515484"/>
      <w:r w:rsidRPr="00C60FEE">
        <w:rPr>
          <w:rFonts w:hint="cs"/>
          <w:rtl/>
        </w:rPr>
        <w:t>הרב יעקב משה וואלבערג</w:t>
      </w:r>
      <w:bookmarkEnd w:id="124"/>
    </w:p>
    <w:p w14:paraId="20DC5B81" w14:textId="10D2154B" w:rsidR="00C64BCC" w:rsidRDefault="00C64BCC" w:rsidP="00F8255E">
      <w:pPr>
        <w:pStyle w:val="a1"/>
        <w:rPr>
          <w:rtl/>
        </w:rPr>
      </w:pPr>
      <w:r w:rsidRPr="00C60FEE">
        <w:rPr>
          <w:rFonts w:hint="cs"/>
          <w:rtl/>
        </w:rPr>
        <w:t>ר"מ ביש"ג מנצ'סתר</w:t>
      </w:r>
    </w:p>
    <w:p w14:paraId="1889DAE0" w14:textId="6BCCC97F" w:rsidR="00C64BCC" w:rsidRDefault="00C64BCC" w:rsidP="008A457D">
      <w:pPr>
        <w:pStyle w:val="a2"/>
        <w:rPr>
          <w:sz w:val="28"/>
          <w:szCs w:val="28"/>
        </w:rPr>
      </w:pPr>
      <w:r>
        <w:rPr>
          <w:rFonts w:hint="cs"/>
          <w:rtl/>
        </w:rPr>
        <w:t>ב</w:t>
      </w:r>
      <w:r w:rsidR="00933637">
        <w:rPr>
          <w:rFonts w:hint="cs"/>
          <w:rtl/>
        </w:rPr>
        <w:t>גליון א'קנ"ח</w:t>
      </w:r>
      <w:r>
        <w:rPr>
          <w:rFonts w:hint="cs"/>
          <w:rtl/>
        </w:rPr>
        <w:t xml:space="preserve"> מביא הר' ע.ג.וו. משו"ע אדה"ז </w:t>
      </w:r>
      <w:r w:rsidRPr="00403ABD">
        <w:rPr>
          <w:rtl/>
        </w:rPr>
        <w:t xml:space="preserve">סי' תל"ד (ס"ב) "ואימתי מצניעו קודם שיתחיל לבדוק שאם לא יצניע מקודם יש לחוש שבשעת הבדיקה עצמה כשבדק זוית אחת והולך ממנה לזוית אחרת שמא יראה בעיניו שעכבר או חולדה נטלה מעט חמץ מן החמץ המוכן לאכילה ויצטרך לחזור ולבדוק פעם אחרת </w:t>
      </w:r>
      <w:r w:rsidRPr="00403ABD">
        <w:rPr>
          <w:b/>
          <w:bCs/>
          <w:rtl/>
        </w:rPr>
        <w:t>אותה זוית שבדק</w:t>
      </w:r>
      <w:r w:rsidRPr="00403ABD">
        <w:rPr>
          <w:rtl/>
        </w:rPr>
        <w:t xml:space="preserve"> שמא גררו את החמץ שנטלו והניחו בזוית זו.</w:t>
      </w:r>
    </w:p>
    <w:p w14:paraId="7B9E860F" w14:textId="28DA7D17" w:rsidR="00C64BCC" w:rsidRDefault="00C64BCC" w:rsidP="00D42EB2">
      <w:pPr>
        <w:pStyle w:val="a2"/>
        <w:rPr>
          <w:rtl/>
        </w:rPr>
      </w:pPr>
      <w:r>
        <w:rPr>
          <w:rFonts w:hint="cs"/>
          <w:rtl/>
        </w:rPr>
        <w:t>ובהמשך דבריו</w:t>
      </w:r>
      <w:r w:rsidR="00D42EB2">
        <w:rPr>
          <w:rFonts w:hint="cs"/>
          <w:rtl/>
        </w:rPr>
        <w:t xml:space="preserve"> מבאר שזה מחלוקת הראשונים ושזהו</w:t>
      </w:r>
      <w:r>
        <w:rPr>
          <w:rFonts w:hint="cs"/>
          <w:rtl/>
        </w:rPr>
        <w:t xml:space="preserve"> שיטת רש"י, ומבאר שיש מקום לומר שאם רואים חולדה שנטלה חמץ, זה רק מבטל החזקת בדוק מהזוית שבדק אבל לא מצריך לבדוק מקומות שאין מכניסין בו חמץ, עיי"ש.</w:t>
      </w:r>
    </w:p>
    <w:p w14:paraId="0B89E09E" w14:textId="77777777" w:rsidR="00C64BCC" w:rsidRDefault="00C64BCC" w:rsidP="00F8255E">
      <w:pPr>
        <w:pStyle w:val="a2"/>
        <w:rPr>
          <w:rtl/>
        </w:rPr>
      </w:pPr>
      <w:r>
        <w:rPr>
          <w:rFonts w:hint="cs"/>
          <w:rtl/>
        </w:rPr>
        <w:t>ולא הבנתי דבריו, דלכאורה אחרי שבדק הזוית כבר אין חמץ בהזוית והוי כמקום שאין מכניסין בו חמץ, ואם חוששין לשמא הביאה החולדה למקום זה, למה לא נחוש גם למקום שלעולם הוא מקום שאין מכניסין בו חמץ.</w:t>
      </w:r>
    </w:p>
    <w:p w14:paraId="437AC7EB" w14:textId="77777777" w:rsidR="00C64BCC" w:rsidRDefault="00C64BCC" w:rsidP="00F8255E">
      <w:pPr>
        <w:pStyle w:val="a2"/>
        <w:rPr>
          <w:rtl/>
        </w:rPr>
      </w:pPr>
      <w:r>
        <w:rPr>
          <w:rFonts w:hint="cs"/>
          <w:rtl/>
        </w:rPr>
        <w:t>ואם ראינו חולדה שנטלה חמץ ונכנסה למרתף שמסתפקים ממנו, שצריך לבדוק רק ב' שורות וכבר בדקו המרתף האם גם שם נאמר שעכשיו צריך לבדוק רק במקום שהיינו צריכים לבדוק לכתחילה דהיינו ב' שורות, הרי לגבי החולדה אין לב' שורות אלו שום משמעות (דהרי הב' שורות הוא רק מחשש שהשמש שנכנס באמצע הסעודה השאיר שם מפתו משא"כ בחולדה החשש הוא בכל המרתף).</w:t>
      </w:r>
    </w:p>
    <w:p w14:paraId="585456E4" w14:textId="77777777" w:rsidR="00C64BCC" w:rsidRDefault="00C64BCC" w:rsidP="00F8255E">
      <w:pPr>
        <w:pStyle w:val="a2"/>
        <w:rPr>
          <w:rtl/>
        </w:rPr>
      </w:pPr>
      <w:r>
        <w:rPr>
          <w:rFonts w:hint="cs"/>
          <w:rtl/>
        </w:rPr>
        <w:t xml:space="preserve">ועוד, הדיוק בדין הנ"ל מאדה"ז צ"ב, דהא בפשטות הדין הוא דצריך להצניעו בגלל שמא תבוא חולדה בפנינו כו'. וע"כ מדובר במקום דשכיחי חולדות דאל"כ </w:t>
      </w:r>
      <w:r>
        <w:rPr>
          <w:rFonts w:hint="cs"/>
          <w:rtl/>
        </w:rPr>
        <w:lastRenderedPageBreak/>
        <w:t>מהי"ת שנחוש שתבוא חולדה בפנינו.</w:t>
      </w:r>
    </w:p>
    <w:p w14:paraId="3BCC4889" w14:textId="3CE77309" w:rsidR="00C64BCC" w:rsidRPr="00C64BCC" w:rsidRDefault="00C64BCC" w:rsidP="00F8255E">
      <w:pPr>
        <w:pStyle w:val="a2"/>
        <w:rPr>
          <w:sz w:val="22"/>
          <w:szCs w:val="22"/>
          <w:rtl/>
        </w:rPr>
      </w:pPr>
      <w:r>
        <w:rPr>
          <w:rFonts w:hint="cs"/>
          <w:rtl/>
        </w:rPr>
        <w:t>וא"כ לפני זמן הבדיקה כשהחמץ אינו מכוסה מסתמא כבר הגיע חולדה בפנינו ונטלה חמץ וא"כ כל הבית צריך בדיקה דהרי שייך שחולדה שיש בפי' חמץ בפנינו תגיע לשם וא"כ כל הדין שצריך לכסות החמץ הוא רק בשביל המקומות שכבר בדק, דהא שאר המקומות מסתמא בין כך צריך לבדוק.</w:t>
      </w:r>
    </w:p>
    <w:p w14:paraId="0702BCE1" w14:textId="77777777" w:rsidR="00C8154B" w:rsidRPr="00552D8B" w:rsidRDefault="00C8154B" w:rsidP="005E6E84">
      <w:pPr>
        <w:pStyle w:val="a4"/>
        <w:sectPr w:rsidR="00C8154B" w:rsidRPr="00552D8B"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r w:rsidRPr="00552D8B">
        <w:t>g</w:t>
      </w:r>
    </w:p>
    <w:p w14:paraId="21BB450E" w14:textId="2854F850" w:rsidR="00C8154B" w:rsidRDefault="00C8154B" w:rsidP="00C8154B">
      <w:pPr>
        <w:pStyle w:val="12"/>
        <w:rPr>
          <w:rtl/>
        </w:rPr>
      </w:pPr>
      <w:bookmarkStart w:id="125" w:name="_Toc3515485"/>
      <w:r>
        <w:rPr>
          <w:rFonts w:hint="cs"/>
          <w:rtl/>
        </w:rPr>
        <w:t>חסידות</w:t>
      </w:r>
      <w:bookmarkEnd w:id="125"/>
    </w:p>
    <w:p w14:paraId="0B01AC02" w14:textId="7B74E1D1" w:rsidR="00595AF0" w:rsidRPr="00552D8B" w:rsidRDefault="00595AF0" w:rsidP="00595AF0">
      <w:pPr>
        <w:pStyle w:val="a4"/>
        <w:sectPr w:rsidR="00595AF0" w:rsidRPr="00552D8B" w:rsidSect="00E65DD5">
          <w:headerReference w:type="even" r:id="rId32"/>
          <w:headerReference w:type="default" r:id="rId33"/>
          <w:footnotePr>
            <w:numRestart w:val="eachSect"/>
          </w:footnotePr>
          <w:type w:val="continuous"/>
          <w:pgSz w:w="7920" w:h="12240"/>
          <w:pgMar w:top="-810" w:right="864" w:bottom="720" w:left="864" w:header="270" w:footer="0" w:gutter="0"/>
          <w:cols w:space="720"/>
          <w:docGrid w:linePitch="360"/>
        </w:sectPr>
      </w:pPr>
    </w:p>
    <w:p w14:paraId="05515A38" w14:textId="77777777" w:rsidR="0044589B" w:rsidRPr="00835D96" w:rsidRDefault="0044589B" w:rsidP="009D4CF5">
      <w:pPr>
        <w:pStyle w:val="a"/>
        <w:rPr>
          <w:rFonts w:eastAsia="David Libre" w:cs="David Libre"/>
          <w:szCs w:val="40"/>
        </w:rPr>
      </w:pPr>
      <w:bookmarkStart w:id="126" w:name="_Toc3515486"/>
      <w:r w:rsidRPr="00933637">
        <w:rPr>
          <w:rFonts w:eastAsia="David Libre"/>
          <w:szCs w:val="40"/>
          <w:rtl/>
        </w:rPr>
        <w:t>"</w:t>
      </w:r>
      <w:r w:rsidRPr="00835D96">
        <w:rPr>
          <w:rFonts w:eastAsia="David Libre"/>
          <w:rtl/>
        </w:rPr>
        <w:t>ומניקתו הרבה</w:t>
      </w:r>
      <w:r w:rsidRPr="00933637">
        <w:rPr>
          <w:rFonts w:eastAsia="David Libre"/>
          <w:szCs w:val="40"/>
          <w:rtl/>
        </w:rPr>
        <w:t>"</w:t>
      </w:r>
      <w:bookmarkEnd w:id="126"/>
    </w:p>
    <w:p w14:paraId="5EE3303A" w14:textId="12293677" w:rsidR="0098357F" w:rsidRPr="0098357F" w:rsidRDefault="0098357F" w:rsidP="00C40187">
      <w:pPr>
        <w:pStyle w:val="a0"/>
        <w:rPr>
          <w:rtl/>
        </w:rPr>
      </w:pPr>
      <w:bookmarkStart w:id="127" w:name="_Toc3515487"/>
      <w:r w:rsidRPr="0098357F">
        <w:rPr>
          <w:rFonts w:hint="cs"/>
          <w:rtl/>
        </w:rPr>
        <w:t>הרב</w:t>
      </w:r>
      <w:r w:rsidR="0044589B" w:rsidRPr="0098357F">
        <w:rPr>
          <w:rtl/>
        </w:rPr>
        <w:t xml:space="preserve"> מרדכי דובער ווילהעלם</w:t>
      </w:r>
      <w:bookmarkEnd w:id="127"/>
      <w:r w:rsidR="0044589B" w:rsidRPr="0098357F">
        <w:rPr>
          <w:rtl/>
        </w:rPr>
        <w:t xml:space="preserve"> </w:t>
      </w:r>
    </w:p>
    <w:p w14:paraId="1670D1B1" w14:textId="77777777" w:rsidR="0044589B" w:rsidRPr="00C60FEE" w:rsidRDefault="0044589B" w:rsidP="00F8255E">
      <w:pPr>
        <w:pStyle w:val="a1"/>
        <w:rPr>
          <w:rFonts w:hint="cs"/>
          <w:rtl/>
        </w:rPr>
      </w:pPr>
      <w:r>
        <w:rPr>
          <w:rtl/>
        </w:rPr>
        <w:t>ר"מ במתיבתא לויבאוויטש, טאראנטא</w:t>
      </w:r>
    </w:p>
    <w:p w14:paraId="77E45430" w14:textId="7288A574" w:rsidR="0044589B" w:rsidRPr="00835D96" w:rsidRDefault="0044589B" w:rsidP="00F8255E">
      <w:pPr>
        <w:pStyle w:val="a2"/>
        <w:rPr>
          <w:rFonts w:cs="David Libre"/>
          <w:highlight w:val="white"/>
        </w:rPr>
      </w:pPr>
      <w:r w:rsidRPr="00835D96">
        <w:rPr>
          <w:highlight w:val="white"/>
          <w:rtl/>
        </w:rPr>
        <w:t>כתוב בלקוטי תורה לפרשת תזריע יט</w:t>
      </w:r>
      <w:r w:rsidRPr="00933637">
        <w:rPr>
          <w:rFonts w:ascii="FbFRealBelet Bold" w:hAnsi="FbFRealBelet Bold" w:cs="FbFRealBelet Bold"/>
          <w:highlight w:val="white"/>
          <w:rtl/>
        </w:rPr>
        <w:t>,</w:t>
      </w:r>
      <w:r w:rsidRPr="00835D96">
        <w:rPr>
          <w:rFonts w:cs="David Libre"/>
          <w:highlight w:val="white"/>
          <w:rtl/>
        </w:rPr>
        <w:t xml:space="preserve"> </w:t>
      </w:r>
      <w:r w:rsidRPr="00835D96">
        <w:rPr>
          <w:highlight w:val="white"/>
          <w:rtl/>
        </w:rPr>
        <w:t>ג</w:t>
      </w:r>
      <w:r w:rsidRPr="00835D96">
        <w:rPr>
          <w:rFonts w:cs="David Libre"/>
          <w:highlight w:val="white"/>
          <w:rtl/>
        </w:rPr>
        <w:t xml:space="preserve">. </w:t>
      </w:r>
      <w:r w:rsidRPr="00933637">
        <w:rPr>
          <w:rFonts w:ascii="FbFRealBelet Bold" w:hAnsi="FbFRealBelet Bold" w:cs="FbFRealBelet Bold"/>
          <w:highlight w:val="white"/>
          <w:rtl/>
        </w:rPr>
        <w:t>"</w:t>
      </w:r>
      <w:r w:rsidRPr="00835D96">
        <w:rPr>
          <w:highlight w:val="white"/>
          <w:rtl/>
        </w:rPr>
        <w:t xml:space="preserve">חסד שבגבורה היינו האם שמשפעת לבנה כל טוב </w:t>
      </w:r>
      <w:r w:rsidRPr="00835D96">
        <w:rPr>
          <w:b/>
          <w:highlight w:val="white"/>
          <w:rtl/>
        </w:rPr>
        <w:t xml:space="preserve">ומניקתו הרבה </w:t>
      </w:r>
      <w:r w:rsidRPr="00835D96">
        <w:rPr>
          <w:highlight w:val="white"/>
          <w:rtl/>
        </w:rPr>
        <w:t>כו</w:t>
      </w:r>
      <w:r w:rsidRPr="00835D96">
        <w:rPr>
          <w:rFonts w:cs="David Libre"/>
          <w:highlight w:val="white"/>
          <w:rtl/>
        </w:rPr>
        <w:t xml:space="preserve">' </w:t>
      </w:r>
      <w:r w:rsidRPr="00835D96">
        <w:rPr>
          <w:b/>
          <w:highlight w:val="white"/>
          <w:rtl/>
        </w:rPr>
        <w:t>ואין זה טובתו כלל</w:t>
      </w:r>
      <w:r w:rsidRPr="00835D96">
        <w:rPr>
          <w:rFonts w:cs="David Libre"/>
          <w:highlight w:val="white"/>
        </w:rPr>
        <w:t>."</w:t>
      </w:r>
    </w:p>
    <w:p w14:paraId="4F9E16AC" w14:textId="62347BDF" w:rsidR="0044589B" w:rsidRPr="0044589B" w:rsidRDefault="0044589B" w:rsidP="00F8255E">
      <w:pPr>
        <w:pStyle w:val="a2"/>
        <w:rPr>
          <w:rFonts w:cs="David Libre"/>
          <w:highlight w:val="white"/>
        </w:rPr>
      </w:pPr>
      <w:r w:rsidRPr="00835D96">
        <w:rPr>
          <w:highlight w:val="white"/>
          <w:rtl/>
        </w:rPr>
        <w:t>ויש לומר הכוונה במ</w:t>
      </w:r>
      <w:r w:rsidRPr="00835D96">
        <w:rPr>
          <w:rFonts w:cs="David Libre"/>
          <w:highlight w:val="white"/>
          <w:rtl/>
        </w:rPr>
        <w:t>"</w:t>
      </w:r>
      <w:r w:rsidRPr="00835D96">
        <w:rPr>
          <w:highlight w:val="white"/>
          <w:rtl/>
        </w:rPr>
        <w:t xml:space="preserve">ש </w:t>
      </w:r>
      <w:r w:rsidRPr="00933637">
        <w:rPr>
          <w:rFonts w:ascii="FbFRealBelet Bold" w:hAnsi="FbFRealBelet Bold" w:cs="FbFRealBelet Bold"/>
          <w:highlight w:val="white"/>
          <w:rtl/>
        </w:rPr>
        <w:t>"</w:t>
      </w:r>
      <w:r w:rsidRPr="00835D96">
        <w:rPr>
          <w:highlight w:val="white"/>
          <w:rtl/>
        </w:rPr>
        <w:t>ומניקתו הרבה</w:t>
      </w:r>
      <w:r w:rsidRPr="00933637">
        <w:rPr>
          <w:rFonts w:ascii="FbFRealBelet Bold" w:hAnsi="FbFRealBelet Bold" w:cs="FbFRealBelet Bold"/>
          <w:highlight w:val="white"/>
          <w:rtl/>
        </w:rPr>
        <w:t>"</w:t>
      </w:r>
      <w:r w:rsidRPr="00835D96">
        <w:rPr>
          <w:rFonts w:cs="David Libre"/>
          <w:highlight w:val="white"/>
          <w:rtl/>
        </w:rPr>
        <w:t xml:space="preserve"> </w:t>
      </w:r>
      <w:r w:rsidRPr="00835D96">
        <w:rPr>
          <w:highlight w:val="white"/>
          <w:rtl/>
        </w:rPr>
        <w:t>דהנה כתב השואל בשו</w:t>
      </w:r>
      <w:r w:rsidRPr="00933637">
        <w:rPr>
          <w:rFonts w:ascii="FbFRealBelet Bold" w:hAnsi="FbFRealBelet Bold" w:cs="FbFRealBelet Bold"/>
          <w:highlight w:val="white"/>
          <w:rtl/>
        </w:rPr>
        <w:t>"</w:t>
      </w:r>
      <w:r w:rsidRPr="00835D96">
        <w:rPr>
          <w:highlight w:val="white"/>
          <w:rtl/>
        </w:rPr>
        <w:t>ת אדני פז</w:t>
      </w:r>
      <w:r w:rsidRPr="00835D96">
        <w:rPr>
          <w:rFonts w:cs="David Libre"/>
          <w:highlight w:val="white"/>
          <w:vertAlign w:val="superscript"/>
        </w:rPr>
        <w:footnoteReference w:id="11"/>
      </w:r>
      <w:r w:rsidRPr="00835D96">
        <w:rPr>
          <w:highlight w:val="white"/>
          <w:rtl/>
        </w:rPr>
        <w:t xml:space="preserve"> סימן יז </w:t>
      </w:r>
      <w:r w:rsidRPr="00835D96">
        <w:rPr>
          <w:rFonts w:cs="David Libre"/>
          <w:highlight w:val="white"/>
          <w:rtl/>
        </w:rPr>
        <w:t>[</w:t>
      </w:r>
      <w:r w:rsidRPr="00835D96">
        <w:rPr>
          <w:highlight w:val="white"/>
          <w:rtl/>
        </w:rPr>
        <w:t>מובא בפתחי תשובה יורה דעה סימן פא ס</w:t>
      </w:r>
      <w:r w:rsidRPr="00835D96">
        <w:rPr>
          <w:rFonts w:cs="David Libre"/>
          <w:highlight w:val="white"/>
          <w:rtl/>
        </w:rPr>
        <w:t>"</w:t>
      </w:r>
      <w:r w:rsidRPr="00835D96">
        <w:rPr>
          <w:highlight w:val="white"/>
          <w:rtl/>
        </w:rPr>
        <w:t>ק טז</w:t>
      </w:r>
      <w:r w:rsidRPr="00835D96">
        <w:rPr>
          <w:rFonts w:cs="David Libre"/>
          <w:highlight w:val="white"/>
          <w:rtl/>
        </w:rPr>
        <w:t>] "</w:t>
      </w:r>
      <w:r w:rsidRPr="00835D96">
        <w:rPr>
          <w:highlight w:val="white"/>
          <w:rtl/>
        </w:rPr>
        <w:t>כל דממעט התינוק בהנקה יותר מוכשר לקבל טהרה בלימוד התורה</w:t>
      </w:r>
      <w:r w:rsidRPr="00835D96">
        <w:rPr>
          <w:rFonts w:cs="David Libre"/>
          <w:highlight w:val="white"/>
          <w:rtl/>
        </w:rPr>
        <w:t>".</w:t>
      </w:r>
    </w:p>
    <w:p w14:paraId="5ADF1E0D" w14:textId="0C0FB43A" w:rsidR="0044589B" w:rsidRPr="0044589B" w:rsidRDefault="0044589B" w:rsidP="00F8255E">
      <w:pPr>
        <w:pStyle w:val="a2"/>
        <w:rPr>
          <w:rFonts w:cs="David Libre"/>
          <w:highlight w:val="white"/>
        </w:rPr>
      </w:pPr>
      <w:r w:rsidRPr="00835D96">
        <w:rPr>
          <w:highlight w:val="white"/>
          <w:rtl/>
        </w:rPr>
        <w:t xml:space="preserve">ובתשובה על זה כתב </w:t>
      </w:r>
      <w:r w:rsidRPr="00933637">
        <w:rPr>
          <w:rFonts w:ascii="FbFRealBelet Bold" w:hAnsi="FbFRealBelet Bold" w:cs="FbFRealBelet Bold"/>
          <w:highlight w:val="white"/>
          <w:rtl/>
        </w:rPr>
        <w:t>"</w:t>
      </w:r>
      <w:r w:rsidRPr="00835D96">
        <w:rPr>
          <w:highlight w:val="white"/>
          <w:rtl/>
        </w:rPr>
        <w:t xml:space="preserve">לא מצאתי ולא ראיתי דבר זה בשום פוסק ראשון ואחרון </w:t>
      </w:r>
      <w:r w:rsidRPr="00933637">
        <w:rPr>
          <w:rFonts w:ascii="FbFRealBelet Bold" w:hAnsi="FbFRealBelet Bold" w:cs="FbFRealBelet Bold"/>
          <w:highlight w:val="white"/>
          <w:rtl/>
        </w:rPr>
        <w:t xml:space="preserve">. . </w:t>
      </w:r>
      <w:r w:rsidRPr="00835D96">
        <w:rPr>
          <w:highlight w:val="white"/>
          <w:rtl/>
        </w:rPr>
        <w:t xml:space="preserve">ולדעתי אפילו איסורא יש לגמול קודם זמן </w:t>
      </w:r>
      <w:r w:rsidRPr="00835D96">
        <w:rPr>
          <w:b/>
          <w:highlight w:val="white"/>
          <w:rtl/>
        </w:rPr>
        <w:t>כ</w:t>
      </w:r>
      <w:r w:rsidRPr="00933637">
        <w:rPr>
          <w:rFonts w:ascii="FbFRealBelet Bold" w:hAnsi="FbFRealBelet Bold" w:cs="FbFRealBelet Bold"/>
          <w:highlight w:val="white"/>
          <w:rtl/>
        </w:rPr>
        <w:t>"</w:t>
      </w:r>
      <w:r w:rsidRPr="00835D96">
        <w:rPr>
          <w:b/>
          <w:highlight w:val="white"/>
          <w:rtl/>
        </w:rPr>
        <w:t>ד חדש</w:t>
      </w:r>
      <w:r w:rsidRPr="00835D96">
        <w:rPr>
          <w:highlight w:val="white"/>
          <w:rtl/>
        </w:rPr>
        <w:t xml:space="preserve"> אם אין מוכרח לזה</w:t>
      </w:r>
      <w:r w:rsidRPr="00933637">
        <w:rPr>
          <w:rFonts w:ascii="FbFRealBelet Bold" w:hAnsi="FbFRealBelet Bold" w:cs="FbFRealBelet Bold"/>
          <w:highlight w:val="white"/>
          <w:rtl/>
        </w:rPr>
        <w:t>"</w:t>
      </w:r>
      <w:r>
        <w:rPr>
          <w:rFonts w:cs="David Libre"/>
          <w:highlight w:val="white"/>
          <w:rtl/>
        </w:rPr>
        <w:t>.</w:t>
      </w:r>
    </w:p>
    <w:p w14:paraId="17CE3C97" w14:textId="45E71F42" w:rsidR="0044589B" w:rsidRPr="0044589B" w:rsidRDefault="0044589B" w:rsidP="00F8255E">
      <w:pPr>
        <w:pStyle w:val="a2"/>
        <w:rPr>
          <w:rFonts w:cs="David Libre"/>
          <w:highlight w:val="white"/>
        </w:rPr>
      </w:pPr>
      <w:r w:rsidRPr="00835D96">
        <w:rPr>
          <w:highlight w:val="white"/>
          <w:rtl/>
        </w:rPr>
        <w:t>וראה בשדי חמד אסיפת דינים מערכת ה</w:t>
      </w:r>
      <w:r w:rsidRPr="00933637">
        <w:rPr>
          <w:highlight w:val="white"/>
          <w:rtl/>
        </w:rPr>
        <w:t>"</w:t>
      </w:r>
      <w:r w:rsidRPr="00835D96">
        <w:rPr>
          <w:highlight w:val="white"/>
          <w:rtl/>
        </w:rPr>
        <w:t>א אות מב אחר שהביא דברי האדני פז</w:t>
      </w:r>
      <w:r w:rsidRPr="00835D96">
        <w:rPr>
          <w:rFonts w:cs="David Libre"/>
          <w:highlight w:val="white"/>
          <w:vertAlign w:val="superscript"/>
        </w:rPr>
        <w:footnoteReference w:id="12"/>
      </w:r>
      <w:r w:rsidRPr="00835D96">
        <w:rPr>
          <w:highlight w:val="white"/>
          <w:rtl/>
        </w:rPr>
        <w:t xml:space="preserve"> כתב </w:t>
      </w:r>
      <w:r w:rsidRPr="00933637">
        <w:rPr>
          <w:highlight w:val="white"/>
          <w:rtl/>
        </w:rPr>
        <w:t>"</w:t>
      </w:r>
      <w:r w:rsidRPr="00835D96">
        <w:rPr>
          <w:highlight w:val="white"/>
          <w:rtl/>
        </w:rPr>
        <w:t>ודבריו נכונים בסברא דאין לנו להתחכם על פעולת הבורא יתברך והחלב הוא המזון שהכין לו ברחמיו</w:t>
      </w:r>
      <w:r w:rsidRPr="00933637">
        <w:rPr>
          <w:highlight w:val="white"/>
          <w:rtl/>
        </w:rPr>
        <w:t>"</w:t>
      </w:r>
      <w:r>
        <w:rPr>
          <w:rFonts w:cs="David Libre"/>
          <w:highlight w:val="white"/>
          <w:rtl/>
        </w:rPr>
        <w:t>.</w:t>
      </w:r>
      <w:r w:rsidRPr="00835D96">
        <w:rPr>
          <w:rFonts w:cs="David Libre"/>
          <w:highlight w:val="white"/>
          <w:rtl/>
        </w:rPr>
        <w:t xml:space="preserve"> </w:t>
      </w:r>
      <w:r w:rsidRPr="00835D96">
        <w:rPr>
          <w:highlight w:val="white"/>
          <w:rtl/>
        </w:rPr>
        <w:t>עיי</w:t>
      </w:r>
      <w:r w:rsidRPr="00933637">
        <w:rPr>
          <w:highlight w:val="white"/>
          <w:rtl/>
        </w:rPr>
        <w:t>"</w:t>
      </w:r>
      <w:r w:rsidRPr="00835D96">
        <w:rPr>
          <w:highlight w:val="white"/>
          <w:rtl/>
        </w:rPr>
        <w:t>ש מה שמביא מהצדה לדרך</w:t>
      </w:r>
      <w:r>
        <w:rPr>
          <w:rFonts w:cs="David Libre"/>
          <w:highlight w:val="white"/>
          <w:rtl/>
        </w:rPr>
        <w:t>.</w:t>
      </w:r>
    </w:p>
    <w:p w14:paraId="6BE836D3" w14:textId="62BC9C6E" w:rsidR="0044589B" w:rsidRPr="0044589B" w:rsidRDefault="0044589B" w:rsidP="00F8255E">
      <w:pPr>
        <w:pStyle w:val="a2"/>
        <w:rPr>
          <w:rFonts w:cs="David Libre"/>
          <w:highlight w:val="white"/>
        </w:rPr>
      </w:pPr>
      <w:r w:rsidRPr="00835D96">
        <w:rPr>
          <w:highlight w:val="white"/>
          <w:rtl/>
        </w:rPr>
        <w:t>ואח</w:t>
      </w:r>
      <w:r w:rsidRPr="00933637">
        <w:rPr>
          <w:highlight w:val="white"/>
          <w:rtl/>
        </w:rPr>
        <w:t>"</w:t>
      </w:r>
      <w:r w:rsidRPr="00835D96">
        <w:rPr>
          <w:highlight w:val="white"/>
          <w:rtl/>
        </w:rPr>
        <w:t>כ הביא מ</w:t>
      </w:r>
      <w:r w:rsidRPr="00933637">
        <w:rPr>
          <w:highlight w:val="white"/>
          <w:rtl/>
        </w:rPr>
        <w:t>"</w:t>
      </w:r>
      <w:r w:rsidRPr="00835D96">
        <w:rPr>
          <w:highlight w:val="white"/>
          <w:rtl/>
        </w:rPr>
        <w:t xml:space="preserve">ש בפלא יועץ בערך יונקי שדים </w:t>
      </w:r>
      <w:r w:rsidRPr="00933637">
        <w:rPr>
          <w:highlight w:val="white"/>
          <w:rtl/>
        </w:rPr>
        <w:t>"</w:t>
      </w:r>
      <w:r w:rsidRPr="00835D96">
        <w:rPr>
          <w:highlight w:val="white"/>
          <w:rtl/>
        </w:rPr>
        <w:t xml:space="preserve">והזהירו בספרים שלא תניק </w:t>
      </w:r>
      <w:r w:rsidRPr="00835D96">
        <w:rPr>
          <w:highlight w:val="white"/>
          <w:rtl/>
        </w:rPr>
        <w:lastRenderedPageBreak/>
        <w:t>זמן הרבה את הבנים שגורם להם שיהיו טפשים</w:t>
      </w:r>
      <w:r w:rsidRPr="00933637">
        <w:rPr>
          <w:highlight w:val="white"/>
          <w:rtl/>
        </w:rPr>
        <w:t>"</w:t>
      </w:r>
      <w:r w:rsidRPr="00835D96">
        <w:rPr>
          <w:rFonts w:cs="David Libre"/>
          <w:highlight w:val="white"/>
          <w:rtl/>
        </w:rPr>
        <w:t xml:space="preserve">. </w:t>
      </w:r>
      <w:r w:rsidRPr="00835D96">
        <w:rPr>
          <w:highlight w:val="white"/>
          <w:rtl/>
        </w:rPr>
        <w:t xml:space="preserve">וכתב עליו </w:t>
      </w:r>
      <w:r w:rsidRPr="00933637">
        <w:rPr>
          <w:highlight w:val="white"/>
          <w:rtl/>
        </w:rPr>
        <w:t>"</w:t>
      </w:r>
      <w:r w:rsidRPr="00835D96">
        <w:rPr>
          <w:highlight w:val="white"/>
          <w:rtl/>
        </w:rPr>
        <w:t xml:space="preserve">ולא פירש מה זה הזמן הרבה שאמרו המזהירים אם כונתם שלא תשלים להניקו </w:t>
      </w:r>
      <w:r w:rsidRPr="00835D96">
        <w:rPr>
          <w:b/>
          <w:highlight w:val="white"/>
          <w:rtl/>
        </w:rPr>
        <w:t>שנתים ימים</w:t>
      </w:r>
      <w:r w:rsidRPr="00835D96">
        <w:rPr>
          <w:rFonts w:cs="David Libre"/>
          <w:highlight w:val="white"/>
          <w:rtl/>
        </w:rPr>
        <w:t xml:space="preserve">. </w:t>
      </w:r>
      <w:r w:rsidRPr="00835D96">
        <w:rPr>
          <w:highlight w:val="white"/>
          <w:rtl/>
        </w:rPr>
        <w:t xml:space="preserve">אומר אני ההדיוט דאין לשמוע להם </w:t>
      </w:r>
      <w:r w:rsidRPr="00933637">
        <w:rPr>
          <w:highlight w:val="white"/>
          <w:rtl/>
        </w:rPr>
        <w:t>. .</w:t>
      </w:r>
      <w:r w:rsidRPr="00835D96">
        <w:rPr>
          <w:rFonts w:cs="David Libre"/>
          <w:highlight w:val="white"/>
          <w:rtl/>
        </w:rPr>
        <w:t xml:space="preserve"> </w:t>
      </w:r>
      <w:r w:rsidRPr="00835D96">
        <w:rPr>
          <w:highlight w:val="white"/>
          <w:rtl/>
        </w:rPr>
        <w:t>ועל כל פנים במחכ</w:t>
      </w:r>
      <w:r w:rsidRPr="00835D96">
        <w:rPr>
          <w:rFonts w:cs="David Libre"/>
          <w:highlight w:val="white"/>
          <w:rtl/>
        </w:rPr>
        <w:t>"</w:t>
      </w:r>
      <w:r w:rsidRPr="00835D96">
        <w:rPr>
          <w:highlight w:val="white"/>
          <w:rtl/>
        </w:rPr>
        <w:t xml:space="preserve">ת הרב פלא יועץ לא טוב עשה שסתם הדברים והשומע ישמע ויבין כי טוב הדבר למעט מהילד החלב אף כשהוא עדיין בתוך </w:t>
      </w:r>
      <w:r w:rsidRPr="00835D96">
        <w:rPr>
          <w:b/>
          <w:highlight w:val="white"/>
          <w:rtl/>
        </w:rPr>
        <w:t>כ</w:t>
      </w:r>
      <w:r w:rsidRPr="00835D96">
        <w:rPr>
          <w:rFonts w:cs="David Libre"/>
          <w:b/>
          <w:highlight w:val="white"/>
          <w:rtl/>
        </w:rPr>
        <w:t>"</w:t>
      </w:r>
      <w:r w:rsidRPr="00835D96">
        <w:rPr>
          <w:b/>
          <w:highlight w:val="white"/>
          <w:rtl/>
        </w:rPr>
        <w:t>ד חדש</w:t>
      </w:r>
      <w:r w:rsidR="001F4F74">
        <w:rPr>
          <w:rFonts w:cs="David Libre" w:hint="cs"/>
          <w:highlight w:val="white"/>
          <w:rtl/>
        </w:rPr>
        <w:t xml:space="preserve"> </w:t>
      </w:r>
      <w:r w:rsidRPr="00835D96">
        <w:rPr>
          <w:highlight w:val="white"/>
          <w:rtl/>
        </w:rPr>
        <w:t>ולי הדל אין להתנהג כן</w:t>
      </w:r>
      <w:r>
        <w:rPr>
          <w:rFonts w:cs="David Libre"/>
          <w:highlight w:val="white"/>
          <w:rtl/>
        </w:rPr>
        <w:t>".</w:t>
      </w:r>
    </w:p>
    <w:p w14:paraId="0C3E385D" w14:textId="407F234B" w:rsidR="0044589B" w:rsidRPr="00933637" w:rsidRDefault="0044589B" w:rsidP="00F8255E">
      <w:pPr>
        <w:pStyle w:val="a2"/>
        <w:rPr>
          <w:highlight w:val="white"/>
        </w:rPr>
      </w:pPr>
      <w:r w:rsidRPr="00835D96">
        <w:rPr>
          <w:highlight w:val="white"/>
          <w:rtl/>
        </w:rPr>
        <w:t>ובהמשך הביא מ</w:t>
      </w:r>
      <w:r w:rsidRPr="00933637">
        <w:rPr>
          <w:highlight w:val="white"/>
          <w:rtl/>
        </w:rPr>
        <w:t>"</w:t>
      </w:r>
      <w:r w:rsidRPr="00835D96">
        <w:rPr>
          <w:highlight w:val="white"/>
          <w:rtl/>
        </w:rPr>
        <w:t>ש הכלבו בסימן קכב שהביא שם בח</w:t>
      </w:r>
      <w:r w:rsidRPr="00933637">
        <w:rPr>
          <w:highlight w:val="white"/>
          <w:rtl/>
        </w:rPr>
        <w:t>"</w:t>
      </w:r>
      <w:r w:rsidRPr="00835D96">
        <w:rPr>
          <w:highlight w:val="white"/>
          <w:rtl/>
        </w:rPr>
        <w:t xml:space="preserve">ג סימן פא </w:t>
      </w:r>
      <w:r w:rsidRPr="00933637">
        <w:rPr>
          <w:highlight w:val="white"/>
          <w:rtl/>
        </w:rPr>
        <w:t>"</w:t>
      </w:r>
      <w:r w:rsidRPr="00835D96">
        <w:rPr>
          <w:highlight w:val="white"/>
          <w:rtl/>
        </w:rPr>
        <w:t xml:space="preserve">לא תבשל גדי בחלב אמו רמז שלא ינק </w:t>
      </w:r>
      <w:r w:rsidRPr="00933637">
        <w:rPr>
          <w:highlight w:val="white"/>
          <w:rtl/>
        </w:rPr>
        <w:t>יותר</w:t>
      </w:r>
      <w:r w:rsidRPr="00933637">
        <w:rPr>
          <w:highlight w:val="white"/>
        </w:rPr>
        <w:t xml:space="preserve"> </w:t>
      </w:r>
      <w:r w:rsidRPr="00933637">
        <w:rPr>
          <w:highlight w:val="white"/>
          <w:rtl/>
        </w:rPr>
        <w:t>מכ"ד חדש</w:t>
      </w:r>
      <w:r w:rsidRPr="00835D96">
        <w:rPr>
          <w:highlight w:val="white"/>
          <w:rtl/>
        </w:rPr>
        <w:t xml:space="preserve"> שהן כמנין</w:t>
      </w:r>
      <w:r w:rsidRPr="00933637">
        <w:rPr>
          <w:highlight w:val="white"/>
          <w:vertAlign w:val="superscript"/>
        </w:rPr>
        <w:footnoteReference w:id="13"/>
      </w:r>
      <w:r w:rsidRPr="00835D96">
        <w:rPr>
          <w:highlight w:val="white"/>
          <w:rtl/>
        </w:rPr>
        <w:t xml:space="preserve"> שתי שנים ימים ויום שנולד ויום שאחר שתי שנים הרי הן </w:t>
      </w:r>
      <w:r w:rsidRPr="00933637">
        <w:rPr>
          <w:highlight w:val="white"/>
          <w:rtl/>
        </w:rPr>
        <w:t>[</w:t>
      </w:r>
      <w:r w:rsidRPr="00835D96">
        <w:rPr>
          <w:highlight w:val="white"/>
          <w:rtl/>
        </w:rPr>
        <w:t>בגימטריא</w:t>
      </w:r>
      <w:r w:rsidRPr="00933637">
        <w:rPr>
          <w:highlight w:val="white"/>
          <w:rtl/>
        </w:rPr>
        <w:t xml:space="preserve">] </w:t>
      </w:r>
      <w:r w:rsidRPr="00835D96">
        <w:rPr>
          <w:highlight w:val="white"/>
          <w:rtl/>
        </w:rPr>
        <w:t>תבשל</w:t>
      </w:r>
      <w:r w:rsidRPr="00933637">
        <w:rPr>
          <w:highlight w:val="white"/>
          <w:rtl/>
        </w:rPr>
        <w:t>".</w:t>
      </w:r>
    </w:p>
    <w:p w14:paraId="6A891B99" w14:textId="6CE13368" w:rsidR="0044589B" w:rsidRPr="00933637" w:rsidRDefault="0044589B" w:rsidP="00F8255E">
      <w:pPr>
        <w:pStyle w:val="a2"/>
        <w:rPr>
          <w:highlight w:val="white"/>
          <w:rtl/>
        </w:rPr>
      </w:pPr>
      <w:r w:rsidRPr="00835D96">
        <w:rPr>
          <w:highlight w:val="white"/>
          <w:rtl/>
        </w:rPr>
        <w:t xml:space="preserve">ולפי הנזכר יש לפרש </w:t>
      </w:r>
      <w:r w:rsidRPr="00933637">
        <w:rPr>
          <w:highlight w:val="white"/>
          <w:rtl/>
        </w:rPr>
        <w:t>"</w:t>
      </w:r>
      <w:r w:rsidRPr="00835D96">
        <w:rPr>
          <w:highlight w:val="white"/>
          <w:rtl/>
        </w:rPr>
        <w:t>ומניקתו הרבה</w:t>
      </w:r>
      <w:r w:rsidRPr="00933637">
        <w:rPr>
          <w:highlight w:val="white"/>
          <w:rtl/>
        </w:rPr>
        <w:t>"</w:t>
      </w:r>
      <w:r w:rsidRPr="00933637">
        <w:rPr>
          <w:highlight w:val="white"/>
          <w:vertAlign w:val="superscript"/>
        </w:rPr>
        <w:footnoteReference w:id="14"/>
      </w:r>
      <w:r w:rsidRPr="00835D96">
        <w:rPr>
          <w:highlight w:val="white"/>
          <w:rtl/>
        </w:rPr>
        <w:t xml:space="preserve"> היינו יותר מכ</w:t>
      </w:r>
      <w:r w:rsidRPr="00933637">
        <w:rPr>
          <w:highlight w:val="white"/>
          <w:rtl/>
        </w:rPr>
        <w:t>"</w:t>
      </w:r>
      <w:r w:rsidRPr="00835D96">
        <w:rPr>
          <w:highlight w:val="white"/>
          <w:rtl/>
        </w:rPr>
        <w:t>ד חדש</w:t>
      </w:r>
      <w:r w:rsidRPr="00933637">
        <w:rPr>
          <w:highlight w:val="white"/>
          <w:vertAlign w:val="superscript"/>
        </w:rPr>
        <w:footnoteReference w:id="15"/>
      </w:r>
      <w:r w:rsidRPr="00933637">
        <w:rPr>
          <w:rFonts w:hint="cs"/>
          <w:highlight w:val="white"/>
          <w:rtl/>
        </w:rPr>
        <w:t>.</w:t>
      </w:r>
    </w:p>
    <w:p w14:paraId="754BFE1D" w14:textId="77777777" w:rsidR="0044589B" w:rsidRPr="00552D8B" w:rsidRDefault="0044589B" w:rsidP="005E6E84">
      <w:pPr>
        <w:pStyle w:val="a4"/>
        <w:sectPr w:rsidR="0044589B" w:rsidRPr="00552D8B" w:rsidSect="00E65DD5">
          <w:headerReference w:type="even" r:id="rId34"/>
          <w:headerReference w:type="default" r:id="rId35"/>
          <w:footnotePr>
            <w:numRestart w:val="eachSect"/>
          </w:footnotePr>
          <w:type w:val="continuous"/>
          <w:pgSz w:w="7920" w:h="12240"/>
          <w:pgMar w:top="-810" w:right="864" w:bottom="720" w:left="864" w:header="270" w:footer="0" w:gutter="0"/>
          <w:cols w:space="720"/>
          <w:docGrid w:linePitch="360"/>
        </w:sectPr>
      </w:pPr>
      <w:r w:rsidRPr="00552D8B">
        <w:t>g</w:t>
      </w:r>
    </w:p>
    <w:p w14:paraId="35CCD1C4" w14:textId="77777777" w:rsidR="002A3A9E" w:rsidRDefault="002A3A9E">
      <w:pPr>
        <w:rPr>
          <w:rFonts w:ascii="FbTehilaMedium" w:hAnsi="FbTehilaMedium" w:cs="FbTehilaMedium"/>
          <w:sz w:val="70"/>
          <w:szCs w:val="70"/>
          <w:rtl/>
          <w:lang w:val="en-GB"/>
        </w:rPr>
      </w:pPr>
      <w:r>
        <w:br w:type="page"/>
      </w:r>
    </w:p>
    <w:p w14:paraId="2256FDE1" w14:textId="00256629" w:rsidR="00C8154B" w:rsidRDefault="00C8154B" w:rsidP="00C8154B">
      <w:pPr>
        <w:pStyle w:val="12"/>
        <w:rPr>
          <w:rtl/>
        </w:rPr>
      </w:pPr>
      <w:bookmarkStart w:id="128" w:name="_Toc3515488"/>
      <w:r>
        <w:rPr>
          <w:rFonts w:hint="cs"/>
          <w:rtl/>
        </w:rPr>
        <w:lastRenderedPageBreak/>
        <w:t>הלכה ומנהג</w:t>
      </w:r>
      <w:bookmarkEnd w:id="128"/>
    </w:p>
    <w:p w14:paraId="4FFA9B84" w14:textId="77777777" w:rsidR="002651A4" w:rsidRDefault="002651A4" w:rsidP="002651A4">
      <w:pPr>
        <w:pStyle w:val="a"/>
        <w:rPr>
          <w:rFonts w:ascii="Narkisim" w:hAnsi="Narkisim"/>
          <w:lang w:val="hu-HU"/>
        </w:rPr>
      </w:pPr>
      <w:bookmarkStart w:id="129" w:name="_Toc3515489"/>
      <w:r>
        <w:rPr>
          <w:rFonts w:hint="cs"/>
          <w:rtl/>
        </w:rPr>
        <w:t>מנהג הדלקת נרות בבית הכנסת</w:t>
      </w:r>
      <w:bookmarkEnd w:id="129"/>
    </w:p>
    <w:p w14:paraId="5C2CEEEB" w14:textId="77777777" w:rsidR="002651A4" w:rsidRDefault="002651A4" w:rsidP="00C40187">
      <w:pPr>
        <w:pStyle w:val="a0"/>
        <w:rPr>
          <w:rtl/>
        </w:rPr>
      </w:pPr>
      <w:bookmarkStart w:id="130" w:name="_Toc2301361"/>
      <w:bookmarkStart w:id="131" w:name="_Toc3515490"/>
      <w:r>
        <w:rPr>
          <w:rFonts w:hint="cs"/>
          <w:rtl/>
        </w:rPr>
        <w:t>הרב ברוך אבערלאנדער</w:t>
      </w:r>
      <w:bookmarkEnd w:id="130"/>
      <w:bookmarkEnd w:id="131"/>
    </w:p>
    <w:p w14:paraId="42D690A7" w14:textId="77777777" w:rsidR="002651A4" w:rsidRDefault="002651A4" w:rsidP="005D7B4D">
      <w:pPr>
        <w:pStyle w:val="a1"/>
        <w:spacing w:after="0"/>
        <w:rPr>
          <w:rtl/>
          <w:lang w:val="hu-HU"/>
        </w:rPr>
      </w:pPr>
      <w:r>
        <w:rPr>
          <w:rFonts w:hint="cs"/>
          <w:rtl/>
          <w:lang w:val="hu-HU"/>
        </w:rPr>
        <w:t>אב"ד הבד"צ דקהילות החרדים</w:t>
      </w:r>
    </w:p>
    <w:p w14:paraId="3C7823FF" w14:textId="77777777" w:rsidR="002651A4" w:rsidRDefault="002651A4" w:rsidP="005D7B4D">
      <w:pPr>
        <w:pStyle w:val="a1"/>
        <w:spacing w:after="0"/>
        <w:rPr>
          <w:rtl/>
          <w:lang w:val="hu-HU"/>
        </w:rPr>
      </w:pPr>
      <w:r>
        <w:rPr>
          <w:rFonts w:hint="cs"/>
          <w:rtl/>
          <w:lang w:val="hu-HU"/>
        </w:rPr>
        <w:t>ושליח כ"ק אדמו"ר זי"ע</w:t>
      </w:r>
    </w:p>
    <w:p w14:paraId="6809B27E" w14:textId="77777777" w:rsidR="002651A4" w:rsidRDefault="002651A4" w:rsidP="00F8255E">
      <w:pPr>
        <w:pStyle w:val="a1"/>
        <w:rPr>
          <w:rtl/>
          <w:lang w:val="hu-HU"/>
        </w:rPr>
      </w:pPr>
      <w:r>
        <w:rPr>
          <w:rFonts w:hint="cs"/>
          <w:rtl/>
          <w:lang w:val="hu-HU"/>
        </w:rPr>
        <w:t>בודאפעסט, הונגריה</w:t>
      </w:r>
    </w:p>
    <w:p w14:paraId="57118934" w14:textId="77777777" w:rsidR="002651A4" w:rsidRPr="00D74B52" w:rsidRDefault="002651A4" w:rsidP="00F8255E">
      <w:pPr>
        <w:pStyle w:val="a2"/>
        <w:rPr>
          <w:rtl/>
        </w:rPr>
      </w:pPr>
      <w:r w:rsidRPr="00D74B52">
        <w:rPr>
          <w:rtl/>
        </w:rPr>
        <w:t xml:space="preserve">כתב הרמב"ם </w:t>
      </w:r>
      <w:r w:rsidRPr="00D74B52">
        <w:rPr>
          <w:sz w:val="20"/>
          <w:szCs w:val="20"/>
          <w:rtl/>
        </w:rPr>
        <w:t>(הל' תפילה פי"א ה"ה)</w:t>
      </w:r>
      <w:r w:rsidRPr="00D74B52">
        <w:rPr>
          <w:rtl/>
        </w:rPr>
        <w:t xml:space="preserve">: "בתי כנסיות ובתי מדרשות נוהגין בהן כבוד, ומכבדים אותן ומרביצין אותן. ונהגו כל ישראל בספרד ובמערב בשנער וארץ הצבי להדליק עששיות בבתי כנסיות ולהציע בקרקען מחצלות כדי לישב עליהם...". </w:t>
      </w:r>
    </w:p>
    <w:p w14:paraId="56C96C47" w14:textId="77777777" w:rsidR="002651A4" w:rsidRPr="00D74B52" w:rsidRDefault="002651A4" w:rsidP="00F8255E">
      <w:pPr>
        <w:pStyle w:val="a2"/>
        <w:rPr>
          <w:rtl/>
        </w:rPr>
      </w:pPr>
      <w:r w:rsidRPr="00D74B52">
        <w:rPr>
          <w:rtl/>
        </w:rPr>
        <w:t xml:space="preserve">ובשו"ע </w:t>
      </w:r>
      <w:r w:rsidRPr="00D74B52">
        <w:rPr>
          <w:sz w:val="20"/>
          <w:szCs w:val="20"/>
          <w:rtl/>
        </w:rPr>
        <w:t xml:space="preserve">(או"ח סי' קנא ס"ט) </w:t>
      </w:r>
      <w:r w:rsidRPr="00D74B52">
        <w:rPr>
          <w:rtl/>
        </w:rPr>
        <w:t>כתב המחבר: "נוהגים בהם כבוד לכבדן ולרחצן. ונוהגין להדליק בהם נרות, לכבדן". ומקורו מה'טור' שם. וב'בית יוסף' שם ציין מקור מהגמרא על "לכבדן ולרבצן", אבל לא ציין כלום על מנהג הדלקת הנרות.</w:t>
      </w:r>
    </w:p>
    <w:p w14:paraId="084BB836" w14:textId="77777777" w:rsidR="002651A4" w:rsidRPr="00D74B52" w:rsidRDefault="002651A4" w:rsidP="00F8255E">
      <w:pPr>
        <w:pStyle w:val="a2"/>
        <w:rPr>
          <w:rtl/>
        </w:rPr>
      </w:pPr>
      <w:r w:rsidRPr="00D74B52">
        <w:rPr>
          <w:rtl/>
        </w:rPr>
        <w:t xml:space="preserve">ובהל' יוהכ"פ כתב המחבר </w:t>
      </w:r>
      <w:r w:rsidRPr="00D74B52">
        <w:rPr>
          <w:sz w:val="20"/>
          <w:szCs w:val="20"/>
          <w:rtl/>
        </w:rPr>
        <w:t>(סי' תרי ס"ד)</w:t>
      </w:r>
      <w:r w:rsidRPr="00D74B52">
        <w:rPr>
          <w:rtl/>
        </w:rPr>
        <w:t xml:space="preserve">: "נוהגים בכל מקום להרבות נרות בבתי כנסיות ולהציע בגדים נאים בבית הכנסת". וב'טור' שם כתב: "ונוהגין בכל מקום להרבות נרות בבתי כנסיות, משום דכתיב </w:t>
      </w:r>
      <w:r w:rsidRPr="00D74B52">
        <w:rPr>
          <w:sz w:val="20"/>
          <w:szCs w:val="20"/>
          <w:rtl/>
        </w:rPr>
        <w:t xml:space="preserve">[ישעיה כד, טו] </w:t>
      </w:r>
      <w:r w:rsidRPr="00D74B52">
        <w:rPr>
          <w:rtl/>
        </w:rPr>
        <w:t xml:space="preserve">על כן באורים כבדו ה', ומתרגמינן בפנסיא יקרו ה'. ואמרינן ולקדוש ה' מכובד </w:t>
      </w:r>
      <w:r w:rsidRPr="00D74B52">
        <w:rPr>
          <w:sz w:val="20"/>
          <w:szCs w:val="20"/>
          <w:rtl/>
        </w:rPr>
        <w:t xml:space="preserve">[שם נח, יג] </w:t>
      </w:r>
      <w:r w:rsidRPr="00D74B52">
        <w:rPr>
          <w:rtl/>
        </w:rPr>
        <w:t xml:space="preserve">זה יום הכפורים שאין בו לא אכילה ולא שתיה, כבדוהו בכסות נקיה, על כן מכבדין אותו בכל מיני כיבודים. ומטעם זה נמי נוהגין להציע בבית הכנסת בגדים נאים". וב'בית יוסף' שם ציין שמקור מ'פסקי הרא"ש' </w:t>
      </w:r>
      <w:r w:rsidRPr="00D74B52">
        <w:rPr>
          <w:sz w:val="20"/>
          <w:szCs w:val="20"/>
          <w:rtl/>
        </w:rPr>
        <w:t>(יומא פ"ח סי' ט)</w:t>
      </w:r>
      <w:r w:rsidRPr="00D74B52">
        <w:rPr>
          <w:rtl/>
        </w:rPr>
        <w:t>, שהביא את הפסוקים הנ"ל וכתב ע"ז: "וכיון דאין בו לא אכילה ולא שתיה יש לכבדו בכל דבר שמצינו שנקרא כבוד".</w:t>
      </w:r>
    </w:p>
    <w:p w14:paraId="5BE6AFFB" w14:textId="77777777" w:rsidR="002651A4" w:rsidRPr="00D74B52" w:rsidRDefault="002651A4" w:rsidP="00F8255E">
      <w:pPr>
        <w:pStyle w:val="a2"/>
        <w:rPr>
          <w:rtl/>
        </w:rPr>
      </w:pPr>
      <w:r w:rsidRPr="00D74B52">
        <w:rPr>
          <w:rtl/>
        </w:rPr>
        <w:t>ומזה יוצא שיש כאן שני מנהגים שונים: (א) בכל ימות השנה נוהגים להדליק נרות בביהכ"נ, בשביל לכבדו. (ב) ביוהכ"פ נוהגים להוסיף ולהרבות נרות בביהכ"נ בשביל כבוד החג.</w:t>
      </w:r>
    </w:p>
    <w:p w14:paraId="3BFA0B26" w14:textId="77777777" w:rsidR="002651A4" w:rsidRPr="00D74B52" w:rsidRDefault="002651A4" w:rsidP="00F8255E">
      <w:pPr>
        <w:pStyle w:val="a2"/>
        <w:rPr>
          <w:rtl/>
        </w:rPr>
      </w:pPr>
      <w:r w:rsidRPr="00D74B52">
        <w:rPr>
          <w:rtl/>
        </w:rPr>
        <w:t xml:space="preserve">ואולי יש לבאר למה הובא המקור של באורים כבדו ה' רק בהל' יוהכ"פ ולא בהל' תפילה, הרי פסוק זה שממנו לומדים על חשיבות הנרות אינו שייך דוקא ליוהכ"פ, וי"ל שבהל' תפלה אין צריך מקור מיוחד למנהג הדלקת נרות, כיון שכולי עלמא ידעי שנרות מכבדים את המקום, אבל בהל' יוהכ"פ ששם יש מנהג "להרבות" בנרות, הוצרך לציין מקור לזה כדי שזה יוכלל ב"כל דבר שמצינו שנקרא כבוד" שיש להרבות בהם </w:t>
      </w:r>
      <w:r w:rsidRPr="00D74B52">
        <w:rPr>
          <w:rtl/>
        </w:rPr>
        <w:lastRenderedPageBreak/>
        <w:t>ביוהכ"פ יותר מאשר בכל ימות השנה.</w:t>
      </w:r>
    </w:p>
    <w:p w14:paraId="028A77EA" w14:textId="77777777" w:rsidR="002651A4" w:rsidRPr="00D74B52" w:rsidRDefault="002651A4" w:rsidP="00F8255E">
      <w:pPr>
        <w:pStyle w:val="a2"/>
        <w:rPr>
          <w:rtl/>
        </w:rPr>
      </w:pPr>
      <w:r w:rsidRPr="00D74B52">
        <w:rPr>
          <w:rtl/>
        </w:rPr>
        <w:t xml:space="preserve">ואכן אדה"ז מביא את החיוב של באורים כבדו ה' גם בהל' יו"ט </w:t>
      </w:r>
      <w:r w:rsidRPr="00D74B52">
        <w:rPr>
          <w:sz w:val="20"/>
          <w:szCs w:val="20"/>
          <w:rtl/>
        </w:rPr>
        <w:t>(סי' תקיד סי"ד)</w:t>
      </w:r>
      <w:r w:rsidRPr="00D74B52">
        <w:rPr>
          <w:rtl/>
        </w:rPr>
        <w:t>: "וכן כל נר של מצוה, כגון נרות של בית הכנסת, אין זה נר של בטלה, ומותר להדליקן אפילו ביום טוב אחר מנחה, ואין בזה משום מכין מיו"ט לחול. שהרי בהדלקתו יש מצוה לאותה שעה, אפילו אין שם שום אדם בבית הכנסת, מפני שהוא כבוד המקום כשמדליקין נרות לפניו, שנאמר על כן באורים כבדו ה'".</w:t>
      </w:r>
    </w:p>
    <w:p w14:paraId="15270DF3"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164ED0C4" w14:textId="77777777" w:rsidR="002651A4" w:rsidRPr="00D74B52" w:rsidRDefault="002651A4" w:rsidP="00F8255E">
      <w:pPr>
        <w:pStyle w:val="11"/>
        <w:bidi/>
        <w:rPr>
          <w:rtl/>
        </w:rPr>
      </w:pPr>
      <w:r w:rsidRPr="00D74B52">
        <w:rPr>
          <w:rtl/>
        </w:rPr>
        <w:t>כמה תמיהות בדברי ה'פסקי תשובות'</w:t>
      </w:r>
    </w:p>
    <w:p w14:paraId="68AB9D22" w14:textId="77777777" w:rsidR="002651A4" w:rsidRPr="00D74B52" w:rsidRDefault="002651A4" w:rsidP="00F8255E">
      <w:pPr>
        <w:pStyle w:val="a2"/>
        <w:rPr>
          <w:rtl/>
        </w:rPr>
      </w:pPr>
      <w:r w:rsidRPr="00D74B52">
        <w:rPr>
          <w:rtl/>
        </w:rPr>
        <w:t xml:space="preserve">ובהאי ענינא ראיתי כמה דברים תמוהים בספר 'פסקי תשובות' </w:t>
      </w:r>
      <w:r w:rsidRPr="00D74B52">
        <w:rPr>
          <w:sz w:val="20"/>
          <w:szCs w:val="20"/>
          <w:rtl/>
        </w:rPr>
        <w:t>(סי' קנא)</w:t>
      </w:r>
      <w:r w:rsidRPr="00D74B52">
        <w:rPr>
          <w:rtl/>
        </w:rPr>
        <w:t>, ואסדר אותם אחת לאחת.</w:t>
      </w:r>
    </w:p>
    <w:p w14:paraId="1AB80875" w14:textId="77777777" w:rsidR="002651A4" w:rsidRPr="00D74B52" w:rsidRDefault="002651A4" w:rsidP="00F8255E">
      <w:pPr>
        <w:pStyle w:val="11"/>
        <w:bidi/>
        <w:rPr>
          <w:rtl/>
        </w:rPr>
      </w:pPr>
      <w:r w:rsidRPr="00D74B52">
        <w:rPr>
          <w:rtl/>
        </w:rPr>
        <w:t>העתיק לשון ה'ילקוט' שאינו נמצא</w:t>
      </w:r>
    </w:p>
    <w:p w14:paraId="21292196" w14:textId="77777777" w:rsidR="002651A4" w:rsidRPr="00D74B52" w:rsidRDefault="002651A4" w:rsidP="00F8255E">
      <w:pPr>
        <w:pStyle w:val="a2"/>
        <w:rPr>
          <w:rtl/>
        </w:rPr>
      </w:pPr>
      <w:r w:rsidRPr="00D74B52">
        <w:rPr>
          <w:rtl/>
        </w:rPr>
        <w:t xml:space="preserve">כתב שם </w:t>
      </w:r>
      <w:r w:rsidRPr="00D74B52">
        <w:rPr>
          <w:sz w:val="20"/>
          <w:szCs w:val="20"/>
          <w:rtl/>
        </w:rPr>
        <w:t>(אות יח)</w:t>
      </w:r>
      <w:r w:rsidRPr="00D74B52">
        <w:rPr>
          <w:rtl/>
        </w:rPr>
        <w:t xml:space="preserve">: "ונהגו להדליק בהם נרות לכבדן. והוא כעין הנרות שהדליקו בבית המקדש, וככתוב בילקוט </w:t>
      </w:r>
      <w:r w:rsidRPr="00D74B52">
        <w:rPr>
          <w:sz w:val="20"/>
          <w:szCs w:val="20"/>
          <w:rtl/>
        </w:rPr>
        <w:t>(פ' בהעלותך)</w:t>
      </w:r>
      <w:r w:rsidRPr="00D74B52">
        <w:rPr>
          <w:rtl/>
        </w:rPr>
        <w:t>: 'באורים כבדו ה' (ישעיה כ"ד), מלמד שישראל חייבים להדליק נר בבתי כנסיות ובבתי מדרשות שהן כמקדש, שנאמר ואהי להם למקדש מעט, מה מקדש לא היה הנר כבה בו כך בתי כנסיות ובתי מדרשות' וכו'...".</w:t>
      </w:r>
    </w:p>
    <w:p w14:paraId="41FA29FE" w14:textId="77777777" w:rsidR="002651A4" w:rsidRPr="00D74B52" w:rsidRDefault="002651A4" w:rsidP="00F8255E">
      <w:pPr>
        <w:pStyle w:val="a2"/>
        <w:rPr>
          <w:rtl/>
        </w:rPr>
      </w:pPr>
      <w:r w:rsidRPr="00D74B52">
        <w:rPr>
          <w:rtl/>
        </w:rPr>
        <w:t>דברי ה'ילקוט' הללו הובאו כאן בסימני ציטוט, שבדרך כלל הכוונה שהועתקו בלשונם ממש. אבל חיפשתי ולא מצאתי את הדברים הללו בשום מקור.</w:t>
      </w:r>
    </w:p>
    <w:p w14:paraId="3529DF73" w14:textId="77777777" w:rsidR="002651A4" w:rsidRPr="00D74B52" w:rsidRDefault="002651A4" w:rsidP="00F8255E">
      <w:pPr>
        <w:pStyle w:val="a2"/>
        <w:rPr>
          <w:rtl/>
        </w:rPr>
      </w:pPr>
      <w:r w:rsidRPr="00D74B52">
        <w:rPr>
          <w:rtl/>
        </w:rPr>
        <w:t xml:space="preserve">אמנם ב'ילקוט שמעוני' </w:t>
      </w:r>
      <w:r w:rsidRPr="00D74B52">
        <w:rPr>
          <w:sz w:val="20"/>
          <w:szCs w:val="20"/>
          <w:rtl/>
        </w:rPr>
        <w:t>(ישעיה רמז תכה)</w:t>
      </w:r>
      <w:r w:rsidRPr="00D74B52">
        <w:rPr>
          <w:rtl/>
        </w:rPr>
        <w:t xml:space="preserve"> כתוב: "על כן באורים כבוד ה'. באלין פנסייא". ובמקורות שם צוין ל'פסיקתא', וזה מופיע ב'פסיקתא דרב כהנא' </w:t>
      </w:r>
      <w:r w:rsidRPr="00D74B52">
        <w:rPr>
          <w:sz w:val="20"/>
          <w:szCs w:val="20"/>
          <w:rtl/>
        </w:rPr>
        <w:t>(מהדורת מנדלבוים, פסקא כא, קומי אורי)</w:t>
      </w:r>
      <w:r w:rsidRPr="00D74B52">
        <w:rPr>
          <w:rtl/>
        </w:rPr>
        <w:t xml:space="preserve">: על כן באורים כבדו ה' וגו', במה מכבדין אותו, באילין פנסייא". והרמב"ן בפירושו עה"ת </w:t>
      </w:r>
      <w:r w:rsidRPr="00D74B52">
        <w:rPr>
          <w:sz w:val="20"/>
          <w:szCs w:val="20"/>
          <w:rtl/>
        </w:rPr>
        <w:t xml:space="preserve">(בראשית יא, כח בסופו) </w:t>
      </w:r>
      <w:r w:rsidRPr="00D74B52">
        <w:rPr>
          <w:rtl/>
        </w:rPr>
        <w:t>כתב: "וראיתי במדרש קומי אור, על כן באורים כבדו ה', במה מכבדין אותו, ר' ייבא בר כהנא אמר באילין פנסיא, הן כגון העששיות שמדליקין בבתי כנסיות בכל מקום, אפילו באיי הים, לכבוד השם". ועדיין לא נאמר כאן מה שהובא לעיל בשם ה'ילקוט', והוא פלא.</w:t>
      </w:r>
    </w:p>
    <w:p w14:paraId="226E0104" w14:textId="77777777" w:rsidR="002651A4" w:rsidRPr="00D74B52" w:rsidRDefault="002651A4" w:rsidP="00F8255E">
      <w:pPr>
        <w:pStyle w:val="a2"/>
        <w:rPr>
          <w:rtl/>
        </w:rPr>
      </w:pPr>
      <w:r w:rsidRPr="00D74B52">
        <w:rPr>
          <w:rtl/>
        </w:rPr>
        <w:t>וחיפוש ב'אוצר החכמה' מגלה שאחרי שהדברים הופיעו ב'פסקי תשובות' נתרבו מחברים שמביאים דברי ה'ילקוט' הללו, בלי לציין מקורם היחיד ב'פסקי תשובות'.</w:t>
      </w:r>
    </w:p>
    <w:p w14:paraId="7129BFCE" w14:textId="77777777" w:rsidR="002651A4" w:rsidRPr="00D74B52" w:rsidRDefault="002651A4" w:rsidP="00F8255E">
      <w:pPr>
        <w:pStyle w:val="11"/>
        <w:bidi/>
        <w:rPr>
          <w:rtl/>
        </w:rPr>
      </w:pPr>
      <w:r w:rsidRPr="00D74B52">
        <w:rPr>
          <w:rtl/>
        </w:rPr>
        <w:lastRenderedPageBreak/>
        <w:t>מקור דברי ה'פסיקתא' הוא ב'אבודרהם'</w:t>
      </w:r>
    </w:p>
    <w:p w14:paraId="69B03B5E" w14:textId="77777777" w:rsidR="002651A4" w:rsidRPr="00D74B52" w:rsidRDefault="002651A4" w:rsidP="00F8255E">
      <w:pPr>
        <w:pStyle w:val="a2"/>
        <w:rPr>
          <w:rtl/>
        </w:rPr>
      </w:pPr>
      <w:r w:rsidRPr="00D74B52">
        <w:rPr>
          <w:rtl/>
        </w:rPr>
        <w:t>שם כתב: "וכן בפסיקתא עה"פ באורים כבדו ה', אמר הקב"ה הדליקו לפני נרות כדי שאשמור את נשמתכם המשולה לנר שנאמר נר ה' נשמת אדם".</w:t>
      </w:r>
    </w:p>
    <w:p w14:paraId="28E276F7" w14:textId="77777777" w:rsidR="002651A4" w:rsidRPr="00D74B52" w:rsidRDefault="002651A4" w:rsidP="00F8255E">
      <w:pPr>
        <w:pStyle w:val="a2"/>
        <w:rPr>
          <w:rtl/>
        </w:rPr>
      </w:pPr>
      <w:r w:rsidRPr="00D74B52">
        <w:rPr>
          <w:rtl/>
        </w:rPr>
        <w:t xml:space="preserve">גם כאן אין הדברים מופיעים לפנינו ב'פסיקתא', אמנם הדברים מובאים ב'אבודרהם' </w:t>
      </w:r>
      <w:r w:rsidRPr="00D74B52">
        <w:rPr>
          <w:sz w:val="20"/>
          <w:szCs w:val="20"/>
          <w:rtl/>
        </w:rPr>
        <w:t>(עמ' רצ במהדורת ירושלים תשכ"ג)</w:t>
      </w:r>
      <w:r w:rsidRPr="00D74B52">
        <w:rPr>
          <w:rtl/>
        </w:rPr>
        <w:t xml:space="preserve">: "מה שנהנו להדליק נרות בלילי יום הכפורים בבתי כנסיות ובבתי מדרשות... וי"א טעם אחר מדאמרינן בפסיקתא דקומי אורי ע"כ באורים כבדו ה', אלו הפנסין. אמר הקב"ה הדליקו לפני נרות כדי שאשמור את נשמתכם המשולה בנר שנאמר נר אלהים נשמת אדם. ופי' פנסין עששיות כמו שכתבנו למעלה". ושם </w:t>
      </w:r>
      <w:r w:rsidRPr="00D74B52">
        <w:rPr>
          <w:sz w:val="20"/>
          <w:szCs w:val="20"/>
          <w:rtl/>
        </w:rPr>
        <w:t>(עמ' רנו)</w:t>
      </w:r>
      <w:r w:rsidRPr="00D74B52">
        <w:rPr>
          <w:rtl/>
        </w:rPr>
        <w:t xml:space="preserve"> כתב: "פיר[ו]ש פנסין, כלים שנותנין בהם הנרות מפני הרוח שלא יכבו, שקורין להם עששיות".</w:t>
      </w:r>
    </w:p>
    <w:p w14:paraId="12FAB833" w14:textId="77777777" w:rsidR="002651A4" w:rsidRPr="00D74B52" w:rsidRDefault="002651A4" w:rsidP="00F8255E">
      <w:pPr>
        <w:pStyle w:val="11"/>
        <w:bidi/>
        <w:rPr>
          <w:rtl/>
        </w:rPr>
      </w:pPr>
      <w:r w:rsidRPr="00D74B52">
        <w:rPr>
          <w:rtl/>
        </w:rPr>
        <w:t>האם נרות ביהכ"נ חייב להיות של שמן או שעוה?</w:t>
      </w:r>
    </w:p>
    <w:p w14:paraId="37794788" w14:textId="77777777" w:rsidR="002651A4" w:rsidRPr="00D74B52" w:rsidRDefault="002651A4" w:rsidP="00F8255E">
      <w:pPr>
        <w:pStyle w:val="a2"/>
        <w:rPr>
          <w:rtl/>
        </w:rPr>
      </w:pPr>
      <w:r w:rsidRPr="00D74B52">
        <w:rPr>
          <w:rtl/>
        </w:rPr>
        <w:t xml:space="preserve">שם כתב: "ונרות אלו מצוה מן המובחר שיהיו דווקא של שמן או חלב ושעוה, ולא ע"י חשמל. והמקבל על עצמו לתת נר לבית הכנסת לא יקוים נדרו אלא אם כן יתן נרות שמות, חלב או שעוה, ואינו יוצא ע"י אור החשמל". ומקור לדבר זה ציין </w:t>
      </w:r>
      <w:r w:rsidRPr="00D74B52">
        <w:rPr>
          <w:sz w:val="20"/>
          <w:szCs w:val="20"/>
          <w:rtl/>
        </w:rPr>
        <w:t xml:space="preserve">(הערה 87) </w:t>
      </w:r>
      <w:r w:rsidRPr="00D74B52">
        <w:rPr>
          <w:rtl/>
        </w:rPr>
        <w:t>לכמה מספרי השו"ת, ונעיין בדבריהם האם דנים אודות נרות ביהכ"נ.</w:t>
      </w:r>
    </w:p>
    <w:p w14:paraId="42B9FF6D" w14:textId="77777777" w:rsidR="002651A4" w:rsidRPr="00D74B52" w:rsidRDefault="002651A4" w:rsidP="00F8255E">
      <w:pPr>
        <w:pStyle w:val="11"/>
        <w:bidi/>
        <w:rPr>
          <w:rtl/>
        </w:rPr>
      </w:pPr>
      <w:r w:rsidRPr="00D74B52">
        <w:rPr>
          <w:rtl/>
        </w:rPr>
        <w:t>(א) דברי ה'משנה הלכות' והרב מטשעבין אודות נר נשמה ונדר</w:t>
      </w:r>
    </w:p>
    <w:p w14:paraId="7488DC53" w14:textId="77777777" w:rsidR="002651A4" w:rsidRPr="00D74B52" w:rsidRDefault="002651A4" w:rsidP="00F8255E">
      <w:pPr>
        <w:pStyle w:val="a2"/>
        <w:rPr>
          <w:rtl/>
        </w:rPr>
      </w:pPr>
      <w:r w:rsidRPr="00D74B52">
        <w:rPr>
          <w:b/>
          <w:bCs/>
          <w:rtl/>
        </w:rPr>
        <w:t>"שו"ת משנה הלכות ח"ה סי' ע' בשם קובץ הבאר שנה ט"ו סי' נ"ח (שנת תרצ"ט) מאמר מגאב"ד טשעבין זצ"ל, דרק בשעת הדחק יש להקל בחשמל"</w:t>
      </w:r>
      <w:r w:rsidRPr="00D74B52">
        <w:rPr>
          <w:rtl/>
        </w:rPr>
        <w:t xml:space="preserve"> – וזה מה שכתב ב'משנה הלכות' שם: "במה שראיתי לכ"ג שכתב בפשיטות שידליק נר חשמלי עיו"ט, נראה דפשיטא ליה לכ"ג דשפיר יאי להדליק נר חשמלי </w:t>
      </w:r>
      <w:r w:rsidRPr="00D74B52">
        <w:rPr>
          <w:b/>
          <w:bCs/>
          <w:rtl/>
        </w:rPr>
        <w:t>ליאר צייט</w:t>
      </w:r>
      <w:r w:rsidRPr="00D74B52">
        <w:rPr>
          <w:rtl/>
        </w:rPr>
        <w:t>, אמנם באחרונים ראיתי בזה קצת מבוכה, הבית יצחק התיר לכתחלה להדליק בנרות אלו אפילו לנר שבת, אמנם קצת אחרונים פקפקו בזה. ומצאתי בשם הגאון מטשעבין (נדפס בהבאר שנה ט"ו סי נ"ח שנת תרצ"ט) שנשאל בזה והעלה לחומרא כיון שהוא לטובת הנשמה ושנר ה' נשמת אדם... ומ"מ כנראה דגם דעת כ"ג רק בשעת הדחק כה"ג שאינו יכול להדליק מנרות שעוה".</w:t>
      </w:r>
    </w:p>
    <w:p w14:paraId="4179534A" w14:textId="77777777" w:rsidR="002651A4" w:rsidRPr="00D74B52" w:rsidRDefault="002651A4" w:rsidP="00F8255E">
      <w:pPr>
        <w:pStyle w:val="a2"/>
        <w:rPr>
          <w:rtl/>
        </w:rPr>
      </w:pPr>
      <w:r w:rsidRPr="00D74B52">
        <w:rPr>
          <w:rtl/>
        </w:rPr>
        <w:t>ובדקתי בקובץ 'הבאר' שם, ושם בשוה"ג פירט השואל את שאלתו: "שאלתי היתה באחד שנדר נרות לבית הכנסת, ועכשיו נתפשט המאור ב'עלעקטרי', אם אפשר לצאת י"ח להאיר בעלעקטרי שהוא עוד מאיר יותר מנר? והנה לכאורה רציתי לומר דאם נדר בפירוש נרות אינו יכול להחליף על דבר אחר אפילו נימא דעלעקטרי מאיר יותר... אבל אם נדר סתם להאיר לביהכ"נ יצא בעלעקטרי ג"כ".</w:t>
      </w:r>
    </w:p>
    <w:p w14:paraId="667D1087" w14:textId="77777777" w:rsidR="002651A4" w:rsidRPr="00D74B52" w:rsidRDefault="002651A4" w:rsidP="00F8255E">
      <w:pPr>
        <w:pStyle w:val="a2"/>
        <w:rPr>
          <w:rtl/>
        </w:rPr>
      </w:pPr>
      <w:r w:rsidRPr="00D74B52">
        <w:rPr>
          <w:rtl/>
        </w:rPr>
        <w:lastRenderedPageBreak/>
        <w:t xml:space="preserve">ועל זה באה תשובת הגאון מטשעבין, והכוונה למה שנדפס לאחרונה בשו"ת 'דובב מישרים' </w:t>
      </w:r>
      <w:r w:rsidRPr="00D74B52">
        <w:rPr>
          <w:sz w:val="20"/>
          <w:szCs w:val="20"/>
          <w:rtl/>
        </w:rPr>
        <w:t>(הוספות למהדורה החדשה של ח"ג, סי' יח)</w:t>
      </w:r>
      <w:r w:rsidRPr="00D74B52">
        <w:rPr>
          <w:rtl/>
        </w:rPr>
        <w:t>: "בדבר השאלה אם יצא בזה שמדליק נר עלעקטרי ידי נדרו שנדר נרות לבית הכנסת. מאז נשאלתי על זה, והנני מעתיק לו חו"ד. ע"ד שאלתו באנשים שנדרו מעות קרן קיימת לחברה בתנאי שלאחר הסתלקותם ילמדו משניות וידליקו נר נשמה ביום היארצייט, וכן היא התקנה מאז, ועל כן שואל אם בזה שמדליקין נר נשמה בעלעקטרי חשיב כמקיימים התנאי. ולדעתי אינה מהנכון לעשות כן אחרי שנר ה' נשמת אדם... ועל כן הנראה דגם לענין נדר שנדר נרות לבית הכנסת לא יצא בזה".</w:t>
      </w:r>
    </w:p>
    <w:p w14:paraId="66EFF24B" w14:textId="77777777" w:rsidR="002651A4" w:rsidRPr="00D74B52" w:rsidRDefault="002651A4" w:rsidP="00F8255E">
      <w:pPr>
        <w:pStyle w:val="a2"/>
        <w:rPr>
          <w:rtl/>
        </w:rPr>
      </w:pPr>
      <w:r w:rsidRPr="00D74B52">
        <w:rPr>
          <w:rtl/>
        </w:rPr>
        <w:t>ולכאורה דברי הרב מטשעבין אינם מובנים, שאלת השואל היתה בדיני נדרים, וא"כ למה הוא מעתיק לו באריכות דיון אודות גדר של נר נשמה. ואולי יש לבאר את כוונתו, שאחרי שעכ"פ בנוגע לנר נשמה שונה אור החשמל מאור הנר, מעתה גם בנוגע לנדר הם נחשבים כשני דברים שונים, ומשום כך באם נדר נר אינו יכול לשנות לחשמל.</w:t>
      </w:r>
    </w:p>
    <w:p w14:paraId="1E2F0CA0" w14:textId="77777777" w:rsidR="002651A4" w:rsidRPr="00D74B52" w:rsidRDefault="002651A4" w:rsidP="00F8255E">
      <w:pPr>
        <w:pStyle w:val="a2"/>
        <w:rPr>
          <w:rtl/>
        </w:rPr>
      </w:pPr>
      <w:r w:rsidRPr="00D74B52">
        <w:rPr>
          <w:rtl/>
        </w:rPr>
        <w:t>מעתה יוצא ברור: (א) ה'משנה הלכות' כלל לא דן בנרות ביהכ"נ אלא בנרות של יארצייט. (ב) ההיתר של שעת הדחק היה רק הלימוד זכות של ה'משנה הלכות' נגד הרב שאליו הוא כותב, ולא יצא מפי הרב מטשעבין. (ג) גם אצל הרב מטשעבין הדיון הוא בקשר לנר נשמה ודיני נדרים, ואין בדבריו שום רמז אודות נרות ביהכ"נ שחייבים להיות דוקא חלב או שעוה.</w:t>
      </w:r>
    </w:p>
    <w:p w14:paraId="0E0426C0" w14:textId="77777777" w:rsidR="002651A4" w:rsidRPr="00D74B52" w:rsidRDefault="002651A4" w:rsidP="00F8255E">
      <w:pPr>
        <w:pStyle w:val="11"/>
        <w:bidi/>
        <w:rPr>
          <w:rtl/>
        </w:rPr>
      </w:pPr>
      <w:r w:rsidRPr="00D74B52">
        <w:rPr>
          <w:rtl/>
        </w:rPr>
        <w:t>(ב) דברי ה'כוכבי יצחק' אודות נר ביהכ"נ ושלפני הש"ץ</w:t>
      </w:r>
    </w:p>
    <w:p w14:paraId="504F584F" w14:textId="77777777" w:rsidR="002651A4" w:rsidRPr="00D74B52" w:rsidRDefault="002651A4" w:rsidP="00F8255E">
      <w:pPr>
        <w:pStyle w:val="a2"/>
        <w:rPr>
          <w:rtl/>
        </w:rPr>
      </w:pPr>
      <w:r w:rsidRPr="00D74B52">
        <w:rPr>
          <w:b/>
          <w:bCs/>
          <w:rtl/>
        </w:rPr>
        <w:t xml:space="preserve">"שו"ת כוכבי יצחק </w:t>
      </w:r>
      <w:r w:rsidRPr="00D74B52">
        <w:rPr>
          <w:rtl/>
        </w:rPr>
        <w:t xml:space="preserve">[ח"א] </w:t>
      </w:r>
      <w:r w:rsidRPr="00D74B52">
        <w:rPr>
          <w:b/>
          <w:bCs/>
          <w:rtl/>
        </w:rPr>
        <w:t>סי' י"ב"</w:t>
      </w:r>
      <w:r w:rsidRPr="00D74B52">
        <w:rPr>
          <w:rtl/>
        </w:rPr>
        <w:t xml:space="preserve"> – בדבריו שם יש דיון ארוך, ומסיק: "ובהא סליקנא דברות ביהכ"נ ובתי מדרשות דעיקרם להאיר להמתפללין וללמוד, אין חילוק בין נרות של חלב לנרות אלקטר. ולנר תמיד דעיקר משום זכר למקדש, המצוה מן המובחר בשמן. והנרות שהם באים לכבול כגון אצל העמוד וכדומה, מצוה מן המובחר ג"כ בנרות חלב... וכן ראיתי נוהגין בבתי מדרשות באירופא שנחרבו בעו"ה על ידי הרשעים הארורים ימח שמם וזכרם".</w:t>
      </w:r>
    </w:p>
    <w:p w14:paraId="0EFBB042" w14:textId="77777777" w:rsidR="002651A4" w:rsidRPr="00D74B52" w:rsidRDefault="002651A4" w:rsidP="00F8255E">
      <w:pPr>
        <w:pStyle w:val="11"/>
        <w:bidi/>
        <w:rPr>
          <w:rtl/>
        </w:rPr>
      </w:pPr>
      <w:r w:rsidRPr="00D74B52">
        <w:rPr>
          <w:rtl/>
        </w:rPr>
        <w:t>(ג) דברי ה'חלקת יעקב' אודות נדר ונר נשמה</w:t>
      </w:r>
    </w:p>
    <w:p w14:paraId="68A59A7B" w14:textId="77777777" w:rsidR="002651A4" w:rsidRPr="00D74B52" w:rsidRDefault="002651A4" w:rsidP="00F8255E">
      <w:pPr>
        <w:pStyle w:val="a2"/>
        <w:rPr>
          <w:rtl/>
        </w:rPr>
      </w:pPr>
      <w:r w:rsidRPr="00D74B52">
        <w:rPr>
          <w:b/>
          <w:bCs/>
          <w:rtl/>
        </w:rPr>
        <w:t>"שו"ת חלקת יעקב ח"א סי' קמ"א"</w:t>
      </w:r>
      <w:r w:rsidRPr="00D74B52">
        <w:rPr>
          <w:rtl/>
        </w:rPr>
        <w:t xml:space="preserve"> – הנה לכל לראש יש לתקן הציון, שזה לא נמצא בחלק א, אלא בחיו"ד סי' קמא. ואעתיק בזה את עיקרי דבריו: "בדבר שאלתו באחד שנדר נרות לבית הכנסת, ועכשו שנתפשט מאור החשמל אם אפשר לצאת יד"ח להאיר בחשמל שמאיר עוד יותר מנר... כפי המנהג בנודרין נרות לבית הכנסת הכוונה עבור נשמת המתים, ודאי הוא דיש חילוק בין נר לחשמל, דבמקומות החרדים </w:t>
      </w:r>
      <w:r w:rsidRPr="00D74B52">
        <w:rPr>
          <w:rtl/>
        </w:rPr>
        <w:lastRenderedPageBreak/>
        <w:t>מדקדקים עבור נשמת המתים להדליק רק נרות ולא חשמל ע"ש הפסוק נר ד' נשמת אדם, ובדברים נעלמים ונסתרים כאלו העיקר קבלת אבותינו בזה מדור דור, מיוסד על ספרי המקובלים... אכן לפע"ד אי"צ לכ"ז דבנדרים דהולכין אחר לשון בני אדם אפילו כשלשון בני אדם אינו כלשון המקרא... וא"כ בני"ד כשאדם נודר נרות ידוע וידוע לשון בני"א דאין חשמל בכלל... ואפשר דאין יוצא אף בשמן... ולפע"ד זה פשוט".</w:t>
      </w:r>
    </w:p>
    <w:p w14:paraId="34245DF7" w14:textId="77777777" w:rsidR="002651A4" w:rsidRPr="00D74B52" w:rsidRDefault="002651A4" w:rsidP="00F8255E">
      <w:pPr>
        <w:pStyle w:val="a2"/>
        <w:rPr>
          <w:rtl/>
        </w:rPr>
      </w:pPr>
      <w:r w:rsidRPr="00D74B52">
        <w:rPr>
          <w:rtl/>
        </w:rPr>
        <w:t>הרי לן ברור שה'חלקת יעקב' מביע דעתו רק בהלכות נדרים ובמנהג נר היארצייט, ואינו דן בכלל אודות נרות ביהכ"נ.</w:t>
      </w:r>
    </w:p>
    <w:p w14:paraId="72359B2D" w14:textId="77777777" w:rsidR="002651A4" w:rsidRPr="00D74B52" w:rsidRDefault="002651A4" w:rsidP="00F8255E">
      <w:pPr>
        <w:pStyle w:val="11"/>
        <w:bidi/>
        <w:rPr>
          <w:rtl/>
        </w:rPr>
      </w:pPr>
      <w:r w:rsidRPr="00D74B52">
        <w:rPr>
          <w:rtl/>
        </w:rPr>
        <w:t>(ד) דברי ה'באר משה' שמחלק בין נר תמיד לנר שלפני הש"ץ</w:t>
      </w:r>
    </w:p>
    <w:p w14:paraId="0D8F145F" w14:textId="77777777" w:rsidR="002651A4" w:rsidRPr="00D74B52" w:rsidRDefault="002651A4" w:rsidP="00F8255E">
      <w:pPr>
        <w:pStyle w:val="a2"/>
        <w:rPr>
          <w:rtl/>
        </w:rPr>
      </w:pPr>
      <w:r w:rsidRPr="00D74B52">
        <w:rPr>
          <w:b/>
          <w:bCs/>
          <w:rtl/>
        </w:rPr>
        <w:t>"שו"ת באר משה ח"ז קונטרס אלקטריק סי' קטו"</w:t>
      </w:r>
      <w:r w:rsidRPr="00D74B52">
        <w:rPr>
          <w:rtl/>
        </w:rPr>
        <w:t xml:space="preserve"> – לכל לראש יש לתקן גם כאן את הציון, שזה נמצא שם בסי' קא. ואלו עיקרי דבריו: "נשאלתי נר עלעקטרי אם יפה לנר יאהרצייט של אב ואם ולנר תמיד בביהכ"נ. השבת... שלא להדליק נר שבת וחנוכה נר עלעקטרי. ולפענ"ד גם נר תמיד לא... וכמו כן נר יאהר"צ איננ[י] מתיר להדליק בנר עלעקטרי, כי נר ה' נשמת אדם צריך שיהיה נר הנראה לעינים... וגם נר תמיד צריך שיהיה דומה לנר ביהמ"ק נר ממש, אש של נר שמן הנראה לעינים... נר לפני העמוד לפני הבעל התפלה כעת כבר נ(ו)הגו להדליק נר עלעקטרי. עכ"ז בביהכ"נ שלי, הגם שהקהל קבעה נר עלעקטריק לפני העמוד, צויתי להם שבכל תפלה ותפלה כשמדליקין הנר עלעקטרי מחוייבים ג"כ להדליק נרות פשוטין. וכן עושין, וב' נרות תמיד דולקין לפני הבעל תפלה על העמוד".</w:t>
      </w:r>
    </w:p>
    <w:p w14:paraId="450D4047" w14:textId="77777777" w:rsidR="002651A4" w:rsidRPr="00D74B52" w:rsidRDefault="002651A4" w:rsidP="00F8255E">
      <w:pPr>
        <w:pStyle w:val="a2"/>
        <w:rPr>
          <w:rtl/>
        </w:rPr>
      </w:pPr>
      <w:r w:rsidRPr="00D74B52">
        <w:rPr>
          <w:rtl/>
        </w:rPr>
        <w:t>מדבריו יוצא שמחלק בין נר נשמה ונר תמיד שחייבים להיות נר של שמן, לעומת נר שלפני הש"ץ שאפשר שיהיה חשמלי, אבל לכתחילה עדיף שיהיה של נרות.</w:t>
      </w:r>
    </w:p>
    <w:p w14:paraId="2867AD60" w14:textId="77777777" w:rsidR="002651A4" w:rsidRPr="00D74B52" w:rsidRDefault="002651A4" w:rsidP="00F8255E">
      <w:pPr>
        <w:pStyle w:val="11"/>
        <w:bidi/>
        <w:rPr>
          <w:rtl/>
        </w:rPr>
      </w:pPr>
      <w:r w:rsidRPr="00D74B52">
        <w:rPr>
          <w:rtl/>
        </w:rPr>
        <w:t>(ה) דברי ה'תשובות והנהגות' אודות נר של יאהרצייט</w:t>
      </w:r>
    </w:p>
    <w:p w14:paraId="2C72FD97" w14:textId="77777777" w:rsidR="002651A4" w:rsidRPr="00D74B52" w:rsidRDefault="002651A4" w:rsidP="00F8255E">
      <w:pPr>
        <w:pStyle w:val="a2"/>
        <w:rPr>
          <w:rtl/>
        </w:rPr>
      </w:pPr>
      <w:r w:rsidRPr="00D74B52">
        <w:rPr>
          <w:b/>
          <w:bCs/>
          <w:rtl/>
        </w:rPr>
        <w:t>"תשובות והנהגות ח"א סי' תש"ב"</w:t>
      </w:r>
      <w:r w:rsidRPr="00D74B52">
        <w:rPr>
          <w:rtl/>
        </w:rPr>
        <w:t xml:space="preserve"> – ושם כתב: "שאלה: מה עדיף להדליק ביאהרצייט, נר של שעוה או שמן זית או כל שמן. הנה נהגו להדליק ביאהרצייט נר לעלוי נשמת הנפטר, ונר אלקים נשמת אדם. והרמז כשם שפתילה מוקף בשמן והפתילה לבד דולק, כך הנשמה בגוף ואור הנשמה מאיר. ולפי זה ברור שהמצוה בפתילה ואור ולא מהני נר אלקטרי. ונראה דלהנ"ל גם נר שעוה שפיר דמי...". אינו דן בכלל אודות נר שלפני הש"ץ.</w:t>
      </w:r>
    </w:p>
    <w:p w14:paraId="527748CB" w14:textId="77777777" w:rsidR="002651A4" w:rsidRPr="00D74B52" w:rsidRDefault="002651A4" w:rsidP="00F8255E">
      <w:pPr>
        <w:pStyle w:val="a2"/>
        <w:rPr>
          <w:rtl/>
        </w:rPr>
      </w:pPr>
      <w:r w:rsidRPr="00D74B52">
        <w:rPr>
          <w:b/>
          <w:bCs/>
          <w:rtl/>
        </w:rPr>
        <w:t xml:space="preserve">סיכום: </w:t>
      </w:r>
      <w:r w:rsidRPr="00D74B52">
        <w:rPr>
          <w:rtl/>
        </w:rPr>
        <w:t xml:space="preserve">רוב המקורות שצוינו בכלל לא דנים אודות נרות שלפני הש"ץ, ורק ה'כוכבי יצחק' ברור מללו שצריך שיהיו של נרות חלב. ואילו לפי ה'באר משה' כבר נתפשט המנהג להדליק נרות חשמליים, אבל עדיף באם יהיו של נרות ממש. ובהמשך </w:t>
      </w:r>
      <w:r w:rsidRPr="00D74B52">
        <w:rPr>
          <w:rtl/>
        </w:rPr>
        <w:lastRenderedPageBreak/>
        <w:t xml:space="preserve">עוד מביא דברי ה'יחוה דעת' </w:t>
      </w:r>
      <w:r w:rsidRPr="00D74B52">
        <w:rPr>
          <w:sz w:val="20"/>
          <w:szCs w:val="20"/>
          <w:rtl/>
        </w:rPr>
        <w:t xml:space="preserve">(ח"ה סי' ס) </w:t>
      </w:r>
      <w:r w:rsidRPr="00D74B52">
        <w:rPr>
          <w:rtl/>
        </w:rPr>
        <w:t>דלכתחילה יוצא ידי חובה בנרות חשמליים.</w:t>
      </w:r>
    </w:p>
    <w:p w14:paraId="453083C4"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713BBEE2" w14:textId="77777777" w:rsidR="002651A4" w:rsidRPr="00D74B52" w:rsidRDefault="002651A4" w:rsidP="00F8255E">
      <w:pPr>
        <w:pStyle w:val="11"/>
        <w:bidi/>
        <w:rPr>
          <w:rtl/>
        </w:rPr>
      </w:pPr>
      <w:r w:rsidRPr="00D74B52">
        <w:rPr>
          <w:rtl/>
        </w:rPr>
        <w:t>האם ההדלקה קשורה לתפילה או זכר למקדש</w:t>
      </w:r>
    </w:p>
    <w:p w14:paraId="1C16C549" w14:textId="77777777" w:rsidR="002651A4" w:rsidRPr="00D74B52" w:rsidRDefault="002651A4" w:rsidP="00F8255E">
      <w:pPr>
        <w:pStyle w:val="a2"/>
        <w:rPr>
          <w:rtl/>
        </w:rPr>
      </w:pPr>
      <w:r w:rsidRPr="00D74B52">
        <w:rPr>
          <w:rtl/>
        </w:rPr>
        <w:t>ב'אליה רבא' (סי' קנא סקט"ו) העתיק מה שכתב ב'כל בו' (סי' יז: "וכתב הרבי אשר ז"ל [ספר 'המנהגות' לרבינו אשר ב"ר שאול מלוניל שבפרובאנס, קטעים ממנו נדפסו ע"י ש' אסף, 'ספרן של ראשונים', עמ' 129] נהגו כל העולם להדליק נר בביהכ"נ קודם שיכנס אדם שם להתפלל. ונראה בעיני כי טעם המנהג הזה, משום הא דאמרינן בברכות [ו, א] עשרה קדמא שכינה ואתיא, על כן צריך להדליק הנר ולהקדים. ועוד מפני שכן היו עושין במקדש".</w:t>
      </w:r>
    </w:p>
    <w:p w14:paraId="309B4BA0" w14:textId="77777777" w:rsidR="002651A4" w:rsidRPr="00D74B52" w:rsidRDefault="002651A4" w:rsidP="00F8255E">
      <w:pPr>
        <w:pStyle w:val="a2"/>
        <w:rPr>
          <w:rtl/>
        </w:rPr>
      </w:pPr>
      <w:r w:rsidRPr="00D74B52">
        <w:rPr>
          <w:rtl/>
        </w:rPr>
        <w:t xml:space="preserve">והנה בטעם השני לא ביאר בדיוק למה הכוונה. וכנראה כוונתו על דרך שכתב בעל 'פלא יועץ' בספרו 'יעלזו חסידים' </w:t>
      </w:r>
      <w:r w:rsidRPr="00D74B52">
        <w:rPr>
          <w:sz w:val="20"/>
          <w:szCs w:val="20"/>
          <w:rtl/>
        </w:rPr>
        <w:t>(מאמר הכבוד שבסוף הספר, קכ, א-ב – מובא ב'פסקי תשובות' שם הערה 93, אבל לא אדע למה ציין ל"אות שצה")</w:t>
      </w:r>
      <w:r w:rsidRPr="00D74B52">
        <w:rPr>
          <w:rtl/>
        </w:rPr>
        <w:t>: "כתיב באורים כבדו ה', למדנו שגם זה בכלל כבוד ה' להרבות אורה לכבודו בבתי כנסיות, והוא דוגמת מצות הדלקת המנורה... וכבר נהגו בכל ערי ישראל להדליק נר שמן לפני היכל הקדש זכר למנורה. ולכן יש מקומות שמקפידים מאד על נר זה שיהא דולק תמיד יום ולילה לא יכבה, ולקיים קרא כדכתיב להעלות נר תמיד...".</w:t>
      </w:r>
    </w:p>
    <w:p w14:paraId="50B10540" w14:textId="77777777" w:rsidR="002651A4" w:rsidRPr="00D74B52" w:rsidRDefault="002651A4" w:rsidP="00F8255E">
      <w:pPr>
        <w:pStyle w:val="a2"/>
        <w:rPr>
          <w:rtl/>
        </w:rPr>
      </w:pPr>
      <w:r w:rsidRPr="00D74B52">
        <w:rPr>
          <w:rtl/>
        </w:rPr>
        <w:t xml:space="preserve">ולפי זה נראה ששני הטעמים הנ"ל משנים לגמרי פני המנהג ד"להדליק נר בביהכ"נ קודם שיכנס אדם שם להתפלל". שלפי הטעם הראשון המנהג קשור לתפילה דוקא, אלא שכיון שקדמה שכינה ואתיא, על כן מקדימים להדליק הנרות לפני שבאים האנשים להתפלל. אמנם לפי הטעם השני הרי זה לזכר "שכן היו עושין במקדש" שדלק שם נר תמיד, ועל כן אין זה קשור כלל באם ישנם אנשים בביהכ"נ. אמנם לפועל גם לפי הטעם השני שב'כל בו' היה המנהג להדליק הנרות רק לפני התפילה, וכפי שמודגש שם: "קודם שיכנס אדם שם </w:t>
      </w:r>
      <w:r w:rsidRPr="00D74B52">
        <w:rPr>
          <w:b/>
          <w:bCs/>
          <w:rtl/>
        </w:rPr>
        <w:t>להתפלל</w:t>
      </w:r>
      <w:r w:rsidRPr="00D74B52">
        <w:rPr>
          <w:rtl/>
        </w:rPr>
        <w:t>", ולא היו מגיעים במשך כל היום והלילה כדי להדליק את הנרות (וכמו המנהג שב'יעלזו חסידים' "שיהא דולק תמיד יום ולילה לא יכבה").</w:t>
      </w:r>
    </w:p>
    <w:p w14:paraId="32235712" w14:textId="77777777" w:rsidR="002651A4" w:rsidRPr="00D74B52" w:rsidRDefault="002651A4" w:rsidP="00F8255E">
      <w:pPr>
        <w:pStyle w:val="a2"/>
        <w:rPr>
          <w:rtl/>
        </w:rPr>
      </w:pPr>
      <w:r w:rsidRPr="00D74B52">
        <w:rPr>
          <w:rtl/>
        </w:rPr>
        <w:t xml:space="preserve">ואכן יש לשים לב שברמב"ם ובשו"ע לא נאמר שהמנהג ד"להדליק בהם נרות, לכבדן" קשור לתפילה דוקא. ואילו הט"ז </w:t>
      </w:r>
      <w:r w:rsidRPr="00D74B52">
        <w:rPr>
          <w:sz w:val="20"/>
          <w:szCs w:val="20"/>
          <w:rtl/>
        </w:rPr>
        <w:t xml:space="preserve">(סי' קנד סקי"א) </w:t>
      </w:r>
      <w:r w:rsidRPr="00D74B52">
        <w:rPr>
          <w:rtl/>
        </w:rPr>
        <w:t xml:space="preserve">כשהעתיק את דברי ה'כל בו', העתיק רק את הטעם הראשון. ולכאורה זה מתבאר ע"פ הנ"ל. וה'חות יאיר' ב'מקור חיים' לשו"ע שם (סי' קנא ס"ט) אכן הרגיש בזה ועל דברי השו"ע: "ונוהגין להדליק בהם נרות" כתב: "ובפרט בשעת התפלה, וכן נהג מהרי"ל </w:t>
      </w:r>
      <w:r w:rsidRPr="00D74B52">
        <w:rPr>
          <w:sz w:val="20"/>
          <w:szCs w:val="20"/>
          <w:rtl/>
        </w:rPr>
        <w:t xml:space="preserve">['מנהגי מהרי"ל' עמ' תלט אות </w:t>
      </w:r>
      <w:r w:rsidRPr="00D74B52">
        <w:rPr>
          <w:sz w:val="20"/>
          <w:szCs w:val="20"/>
          <w:rtl/>
        </w:rPr>
        <w:lastRenderedPageBreak/>
        <w:t>ד והערה 1 שם, אות ה]</w:t>
      </w:r>
      <w:r w:rsidRPr="00D74B52">
        <w:rPr>
          <w:rtl/>
        </w:rPr>
        <w:t>".</w:t>
      </w:r>
    </w:p>
    <w:p w14:paraId="10D019D2" w14:textId="77777777" w:rsidR="002651A4" w:rsidRPr="00D74B52" w:rsidRDefault="002651A4" w:rsidP="00F8255E">
      <w:pPr>
        <w:pStyle w:val="11"/>
        <w:bidi/>
        <w:rPr>
          <w:rtl/>
        </w:rPr>
      </w:pPr>
      <w:r w:rsidRPr="00D74B52">
        <w:rPr>
          <w:rtl/>
        </w:rPr>
        <w:t>ביאור דברי אדה"ז בהל' יו"ט</w:t>
      </w:r>
    </w:p>
    <w:p w14:paraId="1A7B3D52" w14:textId="77777777" w:rsidR="002651A4" w:rsidRPr="00D74B52" w:rsidRDefault="002651A4" w:rsidP="00F8255E">
      <w:pPr>
        <w:pStyle w:val="a2"/>
        <w:rPr>
          <w:rtl/>
        </w:rPr>
      </w:pPr>
      <w:r w:rsidRPr="00D74B52">
        <w:rPr>
          <w:rtl/>
        </w:rPr>
        <w:t xml:space="preserve">והנה לעיל בתחילת המאמר הובאו דברי אדה"ז בהל' יו"ט: "וכן כל נר של מצוה, כגון נרות של בית הכנסת, אין זה נר של בטלה, ומותר להדליקן אפילו ביום טוב אחר מנחה, ואין בזה משום מכין מיו"ט לחול. שהרי בהדלקתו יש מצוה לאותה שעה, אפילו אין שם שום אדם בבית הכנסת, מפני שהוא כבוד המקום כשמדליקין נרות לפניו, שנאמר על כן באורים כבדו ה'". </w:t>
      </w:r>
    </w:p>
    <w:p w14:paraId="04EC36D4" w14:textId="77777777" w:rsidR="002651A4" w:rsidRPr="00D74B52" w:rsidRDefault="002651A4" w:rsidP="00F8255E">
      <w:pPr>
        <w:pStyle w:val="a2"/>
        <w:rPr>
          <w:rtl/>
        </w:rPr>
      </w:pPr>
      <w:r w:rsidRPr="00D74B52">
        <w:rPr>
          <w:rtl/>
        </w:rPr>
        <w:t xml:space="preserve">ולכאורה ביאור דבריו זה כך, אין ספק שכוונת השמש כשמדליק את הנרות בביהכ"נ ביו"ט ראשון אחר המנחה הוא כדי שידלקו במשך זמן תפילת ערבית בליל יו"ט שני, כי כך הוא המנהג שמדליקים נרות לפני התפילה שדולקים במשך זמן התפילה, ולכאורה לפי כוונתו הרי בהדלקתו מכין השמש מיו"ט ראשון לשני, וע"ז אומר אדה"ז שאין זה נחשב כמכין, שהרי לפי האמת הדלקת הנר בכל היום הרי זה כבוד לביהכ"נ, למרות שלא נהגו בדרך כלל להדליק שלא בקשר לתפילה. וכך נאמר ב'טור' שם </w:t>
      </w:r>
      <w:r w:rsidRPr="00D74B52">
        <w:rPr>
          <w:sz w:val="20"/>
          <w:szCs w:val="20"/>
          <w:rtl/>
        </w:rPr>
        <w:t>(שזה מקור דברי אדה"ז, וראה 'בית יוסף' שם ובריטב"א בחידושים עמ"ס ביצה יד, ב ומה שנעתק שם בהערה 164 במהדורת מה"ק)</w:t>
      </w:r>
      <w:r w:rsidRPr="00D74B52">
        <w:rPr>
          <w:rtl/>
        </w:rPr>
        <w:t xml:space="preserve">: "...שמותר להדליקו ביום הראשון בערב </w:t>
      </w:r>
      <w:r w:rsidRPr="00D74B52">
        <w:rPr>
          <w:b/>
          <w:bCs/>
          <w:rtl/>
        </w:rPr>
        <w:t>לצורך ליל שני</w:t>
      </w:r>
      <w:r w:rsidRPr="00D74B52">
        <w:rPr>
          <w:rtl/>
        </w:rPr>
        <w:t xml:space="preserve">... ואין בזה משום אין יו"ט מכין לחול, שמיד בהדלקתו יש מצוה לאותה שעה, שבכל שעה, אפילו ביום </w:t>
      </w:r>
      <w:r w:rsidRPr="00D74B52">
        <w:rPr>
          <w:sz w:val="20"/>
          <w:szCs w:val="20"/>
          <w:rtl/>
        </w:rPr>
        <w:t>[בריטב"א שם: וכל היום]</w:t>
      </w:r>
      <w:r w:rsidRPr="00D74B52">
        <w:rPr>
          <w:rtl/>
        </w:rPr>
        <w:t>, יש מצוה בהדלקת נרות בביהכ"נ".</w:t>
      </w:r>
    </w:p>
    <w:p w14:paraId="750013CB" w14:textId="77777777" w:rsidR="002651A4" w:rsidRPr="00D74B52" w:rsidRDefault="002651A4" w:rsidP="00F8255E">
      <w:pPr>
        <w:pStyle w:val="11"/>
        <w:bidi/>
        <w:rPr>
          <w:rtl/>
        </w:rPr>
      </w:pPr>
      <w:r w:rsidRPr="00D74B52">
        <w:rPr>
          <w:rtl/>
        </w:rPr>
        <w:t>הדלקת הנרות שלא בשעת התפילה</w:t>
      </w:r>
    </w:p>
    <w:p w14:paraId="1F04361A" w14:textId="77777777" w:rsidR="002651A4" w:rsidRPr="00D74B52" w:rsidRDefault="002651A4" w:rsidP="00F8255E">
      <w:pPr>
        <w:pStyle w:val="a2"/>
        <w:rPr>
          <w:rtl/>
        </w:rPr>
      </w:pPr>
      <w:r w:rsidRPr="00D74B52">
        <w:rPr>
          <w:rtl/>
        </w:rPr>
        <w:t xml:space="preserve">ב'פסקי תשובות' שם </w:t>
      </w:r>
      <w:r w:rsidRPr="00D74B52">
        <w:rPr>
          <w:sz w:val="20"/>
          <w:szCs w:val="20"/>
          <w:rtl/>
        </w:rPr>
        <w:t xml:space="preserve">(אות יט) </w:t>
      </w:r>
      <w:r w:rsidRPr="00D74B52">
        <w:rPr>
          <w:rtl/>
        </w:rPr>
        <w:t xml:space="preserve">הביא את דברי ה'כל בו' הנ"ל </w:t>
      </w:r>
      <w:r w:rsidRPr="00D74B52">
        <w:rPr>
          <w:sz w:val="20"/>
          <w:szCs w:val="20"/>
          <w:rtl/>
        </w:rPr>
        <w:t>(שהובא ב'משנה ברורה' סקכ"ז)</w:t>
      </w:r>
      <w:r w:rsidRPr="00D74B52">
        <w:rPr>
          <w:rtl/>
        </w:rPr>
        <w:t xml:space="preserve">, ובהמשך לזה כתב: "ובליקוטי מהרי"ח </w:t>
      </w:r>
      <w:r w:rsidRPr="00D74B52">
        <w:rPr>
          <w:sz w:val="20"/>
          <w:szCs w:val="20"/>
          <w:rtl/>
        </w:rPr>
        <w:t>(סדר הנהגת התפילה)</w:t>
      </w:r>
      <w:r w:rsidRPr="00D74B52">
        <w:rPr>
          <w:rtl/>
        </w:rPr>
        <w:t xml:space="preserve"> בשם שלמי ציבור </w:t>
      </w:r>
      <w:r w:rsidRPr="00D74B52">
        <w:rPr>
          <w:sz w:val="20"/>
          <w:szCs w:val="20"/>
          <w:rtl/>
        </w:rPr>
        <w:t>[מהדורת אהבת שלום עמ' לט-מ אות טז]</w:t>
      </w:r>
      <w:r w:rsidRPr="00D74B52">
        <w:rPr>
          <w:rtl/>
        </w:rPr>
        <w:t xml:space="preserve"> 'דבביהכ"נ הקב"ה מצוי שם תמיד, אם כן ראוי ונכון שיהיו הנרות דולקות שם כל היום, ואין לכבות אותם אחרי התפילה'. וכן כתוב במגן אברהם </w:t>
      </w:r>
      <w:r w:rsidRPr="00D74B52">
        <w:rPr>
          <w:sz w:val="20"/>
          <w:szCs w:val="20"/>
          <w:rtl/>
        </w:rPr>
        <w:t xml:space="preserve">(סי' תקי"ד סקי"ד, הו"ד במשנה ברורה שם סקל"ד) </w:t>
      </w:r>
      <w:r w:rsidRPr="00D74B52">
        <w:rPr>
          <w:rtl/>
        </w:rPr>
        <w:t>שנר זה של ביהכ"נ נהוג שדולק אפילו אין אדם בביהכ"נ. וכ"כ במקור חיים לחו"י 'נוהגין בקהלות קדושות להדליק שני נרות של שמן תמידין כסדרן בביהכ"נ וכו'...".</w:t>
      </w:r>
    </w:p>
    <w:p w14:paraId="7F9C57E3" w14:textId="77777777" w:rsidR="002651A4" w:rsidRPr="00D74B52" w:rsidRDefault="002651A4" w:rsidP="00F8255E">
      <w:pPr>
        <w:pStyle w:val="a2"/>
        <w:rPr>
          <w:rtl/>
        </w:rPr>
      </w:pPr>
      <w:r w:rsidRPr="00D74B52">
        <w:rPr>
          <w:rtl/>
        </w:rPr>
        <w:t xml:space="preserve">וגם כאן ישנם כמה דברים תמוהים, ואסדר אותם אחת לאחת. </w:t>
      </w:r>
    </w:p>
    <w:p w14:paraId="2BE49481" w14:textId="77777777" w:rsidR="002651A4" w:rsidRPr="00D74B52" w:rsidRDefault="002651A4" w:rsidP="00F8255E">
      <w:pPr>
        <w:pStyle w:val="11"/>
        <w:bidi/>
        <w:rPr>
          <w:rtl/>
        </w:rPr>
      </w:pPr>
      <w:r w:rsidRPr="00D74B52">
        <w:rPr>
          <w:rtl/>
        </w:rPr>
        <w:t>ב'מגן אברהם' וב'ביאור הלכה' אינו מבואר שהמנהג שדולקים נרות כל היום</w:t>
      </w:r>
    </w:p>
    <w:p w14:paraId="7B21E836" w14:textId="77777777" w:rsidR="002651A4" w:rsidRPr="00D74B52" w:rsidRDefault="002651A4" w:rsidP="00F8255E">
      <w:pPr>
        <w:pStyle w:val="a2"/>
        <w:rPr>
          <w:rtl/>
        </w:rPr>
      </w:pPr>
      <w:r w:rsidRPr="00D74B52">
        <w:rPr>
          <w:rtl/>
        </w:rPr>
        <w:t xml:space="preserve">אלו דברי ה'מגן אברהם' שם: "יש מצוה. משמע אפילו אין שם אדם בביהכ"נ שרי מהאי טעמא". ודברי אדה"ז דלעיל מיוסדים על הדברים הללו. וכל מעיין יראה </w:t>
      </w:r>
      <w:r w:rsidRPr="00D74B52">
        <w:rPr>
          <w:rtl/>
        </w:rPr>
        <w:lastRenderedPageBreak/>
        <w:t>שלא כתב שכן היה המנהג, ואדרבה, כוונת דבריו הוא, שלמרות שלא כך המנהג, אבל לפועל "הוא כבוד המקום כשמדליקין נרות לפניו".</w:t>
      </w:r>
    </w:p>
    <w:p w14:paraId="5ED6472B" w14:textId="77777777" w:rsidR="002651A4" w:rsidRPr="00D74B52" w:rsidRDefault="002651A4" w:rsidP="00F8255E">
      <w:pPr>
        <w:pStyle w:val="a2"/>
        <w:rPr>
          <w:rtl/>
        </w:rPr>
      </w:pPr>
      <w:r w:rsidRPr="00D74B52">
        <w:rPr>
          <w:rtl/>
        </w:rPr>
        <w:t xml:space="preserve">וב'ביאור הלכה' שם מפלפל בדברי ה'מגן אברהם': "...אינו מוכח משם </w:t>
      </w:r>
      <w:r w:rsidRPr="00D74B52">
        <w:rPr>
          <w:sz w:val="20"/>
          <w:szCs w:val="20"/>
          <w:rtl/>
        </w:rPr>
        <w:t xml:space="preserve">[=מדברי הגמרא בברכות נג, א – ראה 'ביאור הגר"א' סק"כ] </w:t>
      </w:r>
      <w:r w:rsidRPr="00D74B52">
        <w:rPr>
          <w:rtl/>
        </w:rPr>
        <w:t>אלא דבלילה היו דולקין נר בביהכ"נ משום כבוד, אבל ביום ושלא בשעת תפלה וגם בשעה שכבר הלכו כל הקהל לביתם לא מצינו שהוא כבוד להדליק...". וצ"ל שאין כוונתו לשאול על שלא מצינו שנהגו להדליק נרות כל היום, שהרי גם לפי ה'מגן אברהם' אין הכוונה שאכן נהגו להדליק נרות כל היום, וכנ"ל. אלא שכוונתו לשאול שלכאורה אין מקור שאכן זה כבוד לביהכ"נ שידלקו נרות במשך כל היום. ועוד, שבאם זה כבוד לביהכ"נ, ודאי היו נוהגים כן, וכיון שלא מצינו שנהגו כן זה עצמו הראיה שאין בזה שום כבוד.</w:t>
      </w:r>
    </w:p>
    <w:p w14:paraId="5D7517A8" w14:textId="77777777" w:rsidR="002651A4" w:rsidRPr="00D74B52" w:rsidRDefault="002651A4" w:rsidP="00F8255E">
      <w:pPr>
        <w:pStyle w:val="a2"/>
        <w:rPr>
          <w:rtl/>
        </w:rPr>
      </w:pPr>
      <w:r w:rsidRPr="00D74B52">
        <w:rPr>
          <w:rtl/>
        </w:rPr>
        <w:t xml:space="preserve">וב'פסקי תשובות' שם </w:t>
      </w:r>
      <w:r w:rsidRPr="00D74B52">
        <w:rPr>
          <w:sz w:val="20"/>
          <w:szCs w:val="20"/>
          <w:rtl/>
        </w:rPr>
        <w:t xml:space="preserve">(הערה 92) </w:t>
      </w:r>
      <w:r w:rsidRPr="00D74B52">
        <w:rPr>
          <w:rtl/>
        </w:rPr>
        <w:t xml:space="preserve">כתב: "ועיין גם בביאור הלכה </w:t>
      </w:r>
      <w:r w:rsidRPr="00D74B52">
        <w:rPr>
          <w:sz w:val="20"/>
          <w:szCs w:val="20"/>
          <w:rtl/>
        </w:rPr>
        <w:t xml:space="preserve">(סי' תקי"ד ד"ה שהרי) </w:t>
      </w:r>
      <w:r w:rsidRPr="00D74B52">
        <w:rPr>
          <w:rtl/>
        </w:rPr>
        <w:t xml:space="preserve">שתמה על המנהג להשאיר דלוק נר ביהכ"נ אפילו כשאין שם אדם". אמנם הרואה יראה שלא תמה ה'ביאור הלכה' על "מנהג" זה, ואדרבה, הוא תמה על </w:t>
      </w:r>
      <w:r w:rsidRPr="00D74B52">
        <w:rPr>
          <w:b/>
          <w:bCs/>
          <w:rtl/>
        </w:rPr>
        <w:t>שאין</w:t>
      </w:r>
      <w:r w:rsidRPr="00D74B52">
        <w:rPr>
          <w:rtl/>
        </w:rPr>
        <w:t xml:space="preserve"> מנהג כזה וכנ"ל.</w:t>
      </w:r>
    </w:p>
    <w:p w14:paraId="70197C78" w14:textId="77777777" w:rsidR="002651A4" w:rsidRPr="00D74B52" w:rsidRDefault="002651A4" w:rsidP="00F8255E">
      <w:pPr>
        <w:pStyle w:val="11"/>
        <w:bidi/>
        <w:rPr>
          <w:rtl/>
        </w:rPr>
      </w:pPr>
      <w:r w:rsidRPr="00D74B52">
        <w:rPr>
          <w:rtl/>
        </w:rPr>
        <w:t>נרות תמידין ונר שלפני הש"ץ</w:t>
      </w:r>
    </w:p>
    <w:p w14:paraId="1CC8EBC6" w14:textId="77777777" w:rsidR="002651A4" w:rsidRPr="00D74B52" w:rsidRDefault="002651A4" w:rsidP="00F8255E">
      <w:pPr>
        <w:pStyle w:val="a2"/>
        <w:rPr>
          <w:rtl/>
        </w:rPr>
      </w:pPr>
      <w:r w:rsidRPr="00D74B52">
        <w:rPr>
          <w:rtl/>
        </w:rPr>
        <w:t xml:space="preserve">שוב העתיק מדברי ה'חות יאיר' ב'מקור חיים' </w:t>
      </w:r>
      <w:r w:rsidRPr="00D74B52">
        <w:rPr>
          <w:sz w:val="20"/>
          <w:szCs w:val="20"/>
          <w:rtl/>
        </w:rPr>
        <w:t>(סי' קנא שם)</w:t>
      </w:r>
      <w:r w:rsidRPr="00D74B52">
        <w:rPr>
          <w:rtl/>
        </w:rPr>
        <w:t>: "נוהגין בקהלות קדושות להדליק שני נרות של שמן תמידין כסדרן בביהכ"נ וכו'...".</w:t>
      </w:r>
    </w:p>
    <w:p w14:paraId="6309DF39" w14:textId="77777777" w:rsidR="002651A4" w:rsidRPr="00D74B52" w:rsidRDefault="002651A4" w:rsidP="00F8255E">
      <w:pPr>
        <w:pStyle w:val="a2"/>
        <w:rPr>
          <w:rtl/>
        </w:rPr>
      </w:pPr>
      <w:r w:rsidRPr="00D74B52">
        <w:rPr>
          <w:rtl/>
        </w:rPr>
        <w:t xml:space="preserve">וכדאי להעתיק את כל אריכות דבריו: "בקהלות קדושות נוהגין להדליק שני נרות של שמן תמידין כסדרן בבה"כ, כמ"ש באורים כבדו ה', וכמ"ש </w:t>
      </w:r>
      <w:r w:rsidRPr="00D74B52">
        <w:rPr>
          <w:sz w:val="20"/>
          <w:szCs w:val="20"/>
          <w:rtl/>
        </w:rPr>
        <w:t>[יחזקאל מג, ב]</w:t>
      </w:r>
      <w:r w:rsidRPr="00D74B52">
        <w:rPr>
          <w:rtl/>
        </w:rPr>
        <w:t xml:space="preserve"> והארץ האירה מכבודו, כמו שנוהגין להדליק נר לפני המתפלל במנין אפילו בבית. והירא דבר ה' אפילו כשיתפלל ביחיד ידליק נר לפניו לכבוד השם ב"ה, שבזה יתעורר לידע לפני מי הוא עומד".</w:t>
      </w:r>
    </w:p>
    <w:p w14:paraId="0CC574D0" w14:textId="77777777" w:rsidR="002651A4" w:rsidRPr="00D74B52" w:rsidRDefault="002651A4" w:rsidP="00F8255E">
      <w:pPr>
        <w:pStyle w:val="a2"/>
        <w:rPr>
          <w:rtl/>
        </w:rPr>
      </w:pPr>
      <w:r w:rsidRPr="00D74B52">
        <w:rPr>
          <w:rtl/>
        </w:rPr>
        <w:t xml:space="preserve">ויש להבחין בשינויי המנהגים, שבתחילת דבריו הוא מביא את מנהג הקהילות בביהכ"נ "להדליק </w:t>
      </w:r>
      <w:r w:rsidRPr="00D74B52">
        <w:rPr>
          <w:b/>
          <w:bCs/>
          <w:rtl/>
        </w:rPr>
        <w:t>שני נרות</w:t>
      </w:r>
      <w:r w:rsidRPr="00D74B52">
        <w:rPr>
          <w:rtl/>
        </w:rPr>
        <w:t xml:space="preserve"> של שמן תמידין כסדרן", כמו שנוהגין "להדליק נר לפני המתפלל במנין אפילו בבית", שבביהכ"נ מדליקין שתי נרות, ואילו במנין בבית מדליקין </w:t>
      </w:r>
      <w:r w:rsidRPr="00D74B52">
        <w:rPr>
          <w:b/>
          <w:bCs/>
          <w:rtl/>
        </w:rPr>
        <w:t>נר אחת</w:t>
      </w:r>
      <w:r w:rsidRPr="00D74B52">
        <w:rPr>
          <w:rtl/>
        </w:rPr>
        <w:t>.</w:t>
      </w:r>
    </w:p>
    <w:p w14:paraId="0E1F00A5" w14:textId="77777777" w:rsidR="002651A4" w:rsidRPr="00D74B52" w:rsidRDefault="002651A4" w:rsidP="00F8255E">
      <w:pPr>
        <w:pStyle w:val="a2"/>
        <w:rPr>
          <w:rtl/>
        </w:rPr>
      </w:pPr>
      <w:r w:rsidRPr="00D74B52">
        <w:rPr>
          <w:rtl/>
        </w:rPr>
        <w:t xml:space="preserve">והביאור בזה הוא שאכן שני מנהגים שונים יש כאן, וכפי שמתבאר מספר 'מנהגים דק"ק וורמיישא' ששם כיהן ה'חות יאיר' בתור רב. מהמבואר שם </w:t>
      </w:r>
      <w:r w:rsidRPr="00D74B52">
        <w:rPr>
          <w:sz w:val="20"/>
          <w:szCs w:val="20"/>
          <w:rtl/>
        </w:rPr>
        <w:t>(ח"א עמ' כט אות כב, עמ' יד אות יא)</w:t>
      </w:r>
      <w:r w:rsidRPr="00D74B52">
        <w:rPr>
          <w:rtl/>
        </w:rPr>
        <w:t xml:space="preserve"> יוצא שהשמש מדליק בכל יום "הנרות תמידין, דהיינו שנים של הקדש... ותמיד כל השנה לילה ויום יהיו שני נירות תמידין נדלקים לכבוד הכנסת", </w:t>
      </w:r>
      <w:r w:rsidRPr="00D74B52">
        <w:rPr>
          <w:rtl/>
        </w:rPr>
        <w:lastRenderedPageBreak/>
        <w:t xml:space="preserve">ובנוסף לזה ישנו "בעל הדלקה", היינו מי שקנה את זכות ההדלקה, שמדליק "רק נר אחד" לפני התפילה, וכשמגיעים ל'ויברך דוד' הוא מדליק "כל הנרות הרגילין להדליק בעת התפלה" (ולא נתבאר שם מנין הנרות). וכן כתב גם ב'מקור חיים' </w:t>
      </w:r>
      <w:r w:rsidRPr="00D74B52">
        <w:rPr>
          <w:sz w:val="20"/>
          <w:szCs w:val="20"/>
          <w:rtl/>
        </w:rPr>
        <w:t>(סוף סי' נב)</w:t>
      </w:r>
      <w:r w:rsidRPr="00D74B52">
        <w:rPr>
          <w:rtl/>
        </w:rPr>
        <w:t>: "כשמגיע האומר לויברך דוד בעל הדלקה מדליק הנרות לפני העמוד, ובערב לפני הקדיש". ומעתה מבואר למה שבמנין שיש בבית מדליקין רק נר אחת. אמנם לא ברור לי למה הם נקראים "נרות תמידין" אחרי שמדליקין אותן "כל ימי השבוע". ואולי הם דולקים כל היום עד שהם נכבים.</w:t>
      </w:r>
    </w:p>
    <w:p w14:paraId="56686C71" w14:textId="77777777" w:rsidR="002651A4" w:rsidRPr="00D74B52" w:rsidRDefault="002651A4" w:rsidP="00F8255E">
      <w:pPr>
        <w:pStyle w:val="a2"/>
        <w:rPr>
          <w:rtl/>
        </w:rPr>
      </w:pPr>
      <w:r w:rsidRPr="00D74B52">
        <w:rPr>
          <w:rtl/>
        </w:rPr>
        <w:t xml:space="preserve">ולכאורה ע"פ כל זה מה שהוסיף לציין ב'פסקי תשובות' שם </w:t>
      </w:r>
      <w:r w:rsidRPr="00D74B52">
        <w:rPr>
          <w:sz w:val="20"/>
          <w:szCs w:val="20"/>
          <w:rtl/>
        </w:rPr>
        <w:t xml:space="preserve">(הערה 91) </w:t>
      </w:r>
      <w:r w:rsidRPr="00D74B52">
        <w:rPr>
          <w:rtl/>
        </w:rPr>
        <w:t xml:space="preserve">למה "שנוהגין בימות החול להדליק לפני התיבה שני נרות...", הרי זה עירוב מנהגים שונים שאינם קשורים, ובפרט שסיים שם בפנים "שמ"מ צריכים להשתדל שיהיה לכל הפחות </w:t>
      </w:r>
      <w:r w:rsidRPr="00D74B52">
        <w:rPr>
          <w:b/>
          <w:bCs/>
          <w:rtl/>
        </w:rPr>
        <w:t>נר אחד</w:t>
      </w:r>
      <w:r w:rsidRPr="00D74B52">
        <w:rPr>
          <w:rtl/>
        </w:rPr>
        <w:t xml:space="preserve"> לפני הארון קודש שיהיה דלוק יומם ולילה", שהרי לפי מנהג וורמיישא הרי דוקא הנר תמידין הם שנים, ונר שלפני הש"ץ הוא אחד.</w:t>
      </w:r>
    </w:p>
    <w:p w14:paraId="7F151538"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66DC144E" w14:textId="77777777" w:rsidR="002651A4" w:rsidRPr="00D74B52" w:rsidRDefault="002651A4" w:rsidP="00F8255E">
      <w:pPr>
        <w:pStyle w:val="11"/>
        <w:bidi/>
        <w:rPr>
          <w:rtl/>
        </w:rPr>
      </w:pPr>
      <w:r w:rsidRPr="00D74B52">
        <w:rPr>
          <w:rtl/>
        </w:rPr>
        <w:t>מנהג חב"ד להדליק בכל תפילה מנורה חשמלית בת חמש נרות?</w:t>
      </w:r>
    </w:p>
    <w:p w14:paraId="2403E40E" w14:textId="77777777" w:rsidR="002651A4" w:rsidRPr="00D74B52" w:rsidRDefault="002651A4" w:rsidP="00F8255E">
      <w:pPr>
        <w:pStyle w:val="a2"/>
        <w:rPr>
          <w:rtl/>
        </w:rPr>
      </w:pPr>
      <w:r w:rsidRPr="00D74B52">
        <w:rPr>
          <w:rtl/>
        </w:rPr>
        <w:t xml:space="preserve">ב'ספר המנהגים – חב"ד' </w:t>
      </w:r>
      <w:r w:rsidRPr="00D74B52">
        <w:rPr>
          <w:sz w:val="20"/>
          <w:szCs w:val="20"/>
          <w:rtl/>
        </w:rPr>
        <w:t xml:space="preserve">(עמ' 8) </w:t>
      </w:r>
      <w:r w:rsidRPr="00D74B52">
        <w:rPr>
          <w:rtl/>
        </w:rPr>
        <w:t>כתוב: "אבל, במשך י"א חודש, וכן בעל יארצייט, מדליקין חמשה נרות בשעת התפלה". ובשוה"ג הוסיף: "כנגד רוח נשמה חיה יחידה (משיחות כ"ק אדמו"ר מוהריי"צ נ"ע...). ומכאן יש ללמוד גם בהנוגע למנורה החשמלית שנוהגים להעמיד אצל העמוד, שתהיה בת חמש נרות חשמליות (הוראת כ"ק אדמו"ר זי"ע)".</w:t>
      </w:r>
    </w:p>
    <w:p w14:paraId="4450C042" w14:textId="77777777" w:rsidR="002651A4" w:rsidRPr="00D74B52" w:rsidRDefault="002651A4" w:rsidP="00F8255E">
      <w:pPr>
        <w:pStyle w:val="a2"/>
        <w:rPr>
          <w:rtl/>
        </w:rPr>
      </w:pPr>
      <w:r w:rsidRPr="00D74B52">
        <w:rPr>
          <w:rtl/>
        </w:rPr>
        <w:t>והנה מפשטות הדברים יוצא שהוראת הרבי היתה שלא צריך להדליק נרות ממש, אלא מספיק להדליק מנורה חשמלית. אמנם מעולם לא ראינו נוהגים כן.</w:t>
      </w:r>
    </w:p>
    <w:p w14:paraId="68EC6F47" w14:textId="77777777" w:rsidR="002651A4" w:rsidRPr="00D74B52" w:rsidRDefault="002651A4" w:rsidP="00F8255E">
      <w:pPr>
        <w:pStyle w:val="a2"/>
        <w:rPr>
          <w:rtl/>
        </w:rPr>
      </w:pPr>
      <w:r w:rsidRPr="00D74B52">
        <w:rPr>
          <w:rtl/>
        </w:rPr>
        <w:t xml:space="preserve">אמנם הרי"ש גינזבורג כתב </w:t>
      </w:r>
      <w:r w:rsidRPr="00D74B52">
        <w:rPr>
          <w:sz w:val="20"/>
          <w:szCs w:val="20"/>
          <w:rtl/>
        </w:rPr>
        <w:t>('שיחת השבוע' גליון 1676 עמ' 4)</w:t>
      </w:r>
      <w:r w:rsidRPr="00D74B52">
        <w:rPr>
          <w:rtl/>
        </w:rPr>
        <w:t>: "למנהג חב"ד מדליקים חמש נורות במנורה החשמלית שבעמוד הש"ץ (כנגד חמש הדרגות שבנשמה: נרנח"י) לפני התפילות, וכן לפני כניסת שבת ויום טוב. עושים זאת גם כשאין אבל או בעל יארצייט בבית הכנסת. נוסף על הנורות החשמליות מדליקים גם נרות בעמוד הש"ץ, כשיש אבל או בעל יארצייט מדליקים חמש נרות, ואם אין, מדליקים לפחות שני נרות (ויש המדקדקים תמיד חמישה נרות)".</w:t>
      </w:r>
    </w:p>
    <w:p w14:paraId="5175E5B0" w14:textId="77777777" w:rsidR="002651A4" w:rsidRPr="00D74B52" w:rsidRDefault="002651A4" w:rsidP="00F8255E">
      <w:pPr>
        <w:pStyle w:val="a2"/>
        <w:rPr>
          <w:rtl/>
        </w:rPr>
      </w:pPr>
      <w:r w:rsidRPr="00D74B52">
        <w:rPr>
          <w:rtl/>
        </w:rPr>
        <w:t xml:space="preserve">לפי דבריו יוצא, שהוראת הרבי היתה שכל ביהכ"נ חייב שיהיה לה מנורה חשמלית בת חמש נרות, וצריך להדליקה בכל תפילה, נוסף על הנרות שמדליקים. וצ"ב מה משמעות המנורה החשמלית הזאת, ולמה היא חיוב, ולמה חמש נורות </w:t>
      </w:r>
      <w:r w:rsidRPr="00D74B52">
        <w:rPr>
          <w:rtl/>
        </w:rPr>
        <w:lastRenderedPageBreak/>
        <w:t>דולקות בכל תפילה.</w:t>
      </w:r>
    </w:p>
    <w:p w14:paraId="0F15DA71" w14:textId="32F9642F" w:rsidR="002651A4" w:rsidRDefault="002651A4" w:rsidP="00F8255E">
      <w:pPr>
        <w:pStyle w:val="a2"/>
        <w:rPr>
          <w:rtl/>
        </w:rPr>
      </w:pPr>
      <w:r w:rsidRPr="00D74B52">
        <w:rPr>
          <w:rtl/>
        </w:rPr>
        <w:t xml:space="preserve">שוב ראיתי שזה מבוסס על מה שהביא ב'התקשרות' </w:t>
      </w:r>
      <w:r w:rsidRPr="00D74B52">
        <w:rPr>
          <w:sz w:val="20"/>
          <w:szCs w:val="20"/>
          <w:rtl/>
        </w:rPr>
        <w:t>(גליון תרפ עמ' 18)</w:t>
      </w:r>
      <w:r w:rsidRPr="00D74B52">
        <w:rPr>
          <w:rtl/>
        </w:rPr>
        <w:t>: "למעשה מסר לנו הרה"ח רי"ל שי' גרונר בשם הרבי כדלהלן: המנורה החשמלית, בת חמישה נרות, דייק הרבי שתהא דולקת תמיד בכל תפילה". והדברים צריכים עיון וביאור.</w:t>
      </w:r>
    </w:p>
    <w:p w14:paraId="70DDD13E" w14:textId="77777777" w:rsidR="0073252C" w:rsidRPr="00552D8B" w:rsidRDefault="0073252C" w:rsidP="005E6E84">
      <w:pPr>
        <w:pStyle w:val="a4"/>
        <w:sectPr w:rsidR="0073252C" w:rsidRPr="00552D8B" w:rsidSect="00E65DD5">
          <w:headerReference w:type="even" r:id="rId36"/>
          <w:headerReference w:type="default" r:id="rId37"/>
          <w:footnotePr>
            <w:numRestart w:val="eachSect"/>
          </w:footnotePr>
          <w:type w:val="continuous"/>
          <w:pgSz w:w="7920" w:h="12240"/>
          <w:pgMar w:top="-810" w:right="864" w:bottom="720" w:left="864" w:header="270" w:footer="0" w:gutter="0"/>
          <w:cols w:space="720"/>
          <w:docGrid w:linePitch="360"/>
        </w:sectPr>
      </w:pPr>
      <w:r w:rsidRPr="00552D8B">
        <w:t>g</w:t>
      </w:r>
    </w:p>
    <w:p w14:paraId="771F71AD" w14:textId="77777777" w:rsidR="0073252C" w:rsidRPr="0097710E" w:rsidRDefault="0073252C" w:rsidP="0073252C">
      <w:pPr>
        <w:keepNext/>
        <w:bidi/>
        <w:spacing w:before="120" w:after="120" w:line="240" w:lineRule="auto"/>
        <w:jc w:val="center"/>
        <w:outlineLvl w:val="1"/>
        <w:rPr>
          <w:rFonts w:ascii="FbFRealBelet Bold" w:eastAsia="Times New Roman" w:hAnsi="FbFRealBelet Bold" w:cs="FbFRealBelet Bold"/>
          <w:bCs/>
          <w:sz w:val="39"/>
          <w:szCs w:val="39"/>
          <w:rtl/>
          <w:lang w:val="en-GB"/>
        </w:rPr>
      </w:pPr>
      <w:r w:rsidRPr="0097710E">
        <w:rPr>
          <w:rFonts w:ascii="FbFRealBelet Bold" w:eastAsia="Times New Roman" w:hAnsi="FbFRealBelet Bold" w:cs="FbFRealBelet Bold" w:hint="cs"/>
          <w:bCs/>
          <w:sz w:val="39"/>
          <w:szCs w:val="39"/>
          <w:rtl/>
          <w:lang w:val="en-GB"/>
        </w:rPr>
        <w:t>בענין חציצה של שיער בתפילין של ראש</w:t>
      </w:r>
    </w:p>
    <w:p w14:paraId="0C58EEE4" w14:textId="77777777" w:rsidR="0073252C" w:rsidRPr="0097710E" w:rsidRDefault="0073252C" w:rsidP="0073252C">
      <w:pPr>
        <w:keepNext/>
        <w:keepLines/>
        <w:tabs>
          <w:tab w:val="left" w:pos="1895"/>
          <w:tab w:val="center" w:pos="3096"/>
          <w:tab w:val="left" w:pos="4086"/>
          <w:tab w:val="right" w:pos="6192"/>
        </w:tabs>
        <w:bidi/>
        <w:spacing w:before="240" w:after="0"/>
        <w:jc w:val="right"/>
        <w:outlineLvl w:val="2"/>
        <w:rPr>
          <w:rFonts w:ascii="Times New Roman" w:eastAsia="David" w:hAnsi="Times New Roman" w:cs="AAd_Livorna"/>
          <w:b/>
          <w:bCs/>
          <w:sz w:val="28"/>
          <w:szCs w:val="28"/>
          <w:rtl/>
          <w:lang w:val="en-GB" w:bidi="ar-SA"/>
        </w:rPr>
      </w:pPr>
      <w:r w:rsidRPr="0097710E">
        <w:rPr>
          <w:rFonts w:ascii="Times New Roman" w:eastAsia="David" w:hAnsi="Times New Roman" w:cs="AAd_Livorna" w:hint="cs"/>
          <w:b/>
          <w:bCs/>
          <w:sz w:val="28"/>
          <w:szCs w:val="28"/>
          <w:rtl/>
          <w:lang w:val="en-GB"/>
        </w:rPr>
        <w:t>הרב שלום דובער הלוי וולפא</w:t>
      </w:r>
    </w:p>
    <w:p w14:paraId="4AD149D0" w14:textId="77777777" w:rsidR="0073252C" w:rsidRPr="0097710E" w:rsidRDefault="0073252C" w:rsidP="0073252C">
      <w:pPr>
        <w:bidi/>
        <w:spacing w:after="120"/>
        <w:jc w:val="right"/>
        <w:rPr>
          <w:rFonts w:ascii="AAd_Livorna4" w:hAnsi="AAd_Livorna4" w:cs="AAd_Livorna4"/>
          <w:sz w:val="23"/>
          <w:szCs w:val="23"/>
          <w:rtl/>
        </w:rPr>
      </w:pPr>
      <w:r w:rsidRPr="0097710E">
        <w:rPr>
          <w:rFonts w:ascii="AAd_Livorna4" w:hAnsi="AAd_Livorna4" w:cs="AAd_Livorna4" w:hint="cs"/>
          <w:sz w:val="23"/>
          <w:szCs w:val="23"/>
          <w:rtl/>
        </w:rPr>
        <w:t>ראש מכון הרמב"ם השלם, ביתר עלית</w:t>
      </w:r>
    </w:p>
    <w:p w14:paraId="5A09981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נשאלתי ע"י אחד התמימים בנה"ח, מדוע מזכיר הגר"ח נאה ז"ל בספרו קצוה"ש סימן ח' ס"י, שאותן המגדלין בלורית.. יש איסור משום הנחת תפילין, </w:t>
      </w:r>
      <w:r w:rsidRPr="0097710E">
        <w:rPr>
          <w:rFonts w:ascii="FbFrankReal" w:hAnsi="FbFrankReal" w:cs="FbFrankReal" w:hint="cs"/>
          <w:b/>
          <w:bCs/>
          <w:sz w:val="24"/>
          <w:szCs w:val="24"/>
          <w:bdr w:val="nil"/>
          <w:rtl/>
          <w:lang w:val="bg-BG"/>
        </w:rPr>
        <w:t>דכיון שגדולים הרבה הוו חציצה</w:t>
      </w:r>
      <w:r w:rsidRPr="0097710E">
        <w:rPr>
          <w:rFonts w:ascii="FbFrankReal" w:hAnsi="FbFrankReal" w:cs="FbFrankReal" w:hint="cs"/>
          <w:sz w:val="24"/>
          <w:szCs w:val="24"/>
          <w:bdr w:val="nil"/>
          <w:rtl/>
          <w:lang w:val="bg-BG"/>
        </w:rPr>
        <w:t xml:space="preserve">". והרי דין זה הוא חידושו של מחה"ש סימן כז סק"ד, ואילו אדמוה"ז בשו"ע שם ס"ז לא הזכיר כלל חציצה בשערות. </w:t>
      </w:r>
    </w:p>
    <w:p w14:paraId="3D1D6B6C"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(ולכאורה, הטעם שאדמוה"ז לא הזכיר זאת הוא אכן כיון שלדעתו כל החשש הוא רק בשערות שאינן במקומן, וכמו שהעיר הגרעק"א על גליון השו"ע מספר "נזירות שמשון", וכן העיר בפרמ"ג א"א סק"ד, משא"כ כשהן במקומן הרי גם אם הן ארוכות אינן חוצצות. וי"ל ראיה ברורה לזה, דאם שערות ארוכות הוי חציצה, א"כ איך מניח הנזיר תפילין).</w:t>
      </w:r>
    </w:p>
    <w:p w14:paraId="2CAEF4B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ועפ"ז יש להבין, מדוע כתב בקצוה"ש דין זה של חציצה בבלורית. והת' השואל הטעים את שאלתו, שהרי הגר"ח נאה כתב ספרו ע"פ פסקי אדמוה"ז. וציין להסכמת הרד"ץ חן שם, שקצוה"ש "עושה </w:t>
      </w:r>
      <w:r w:rsidRPr="0097710E">
        <w:rPr>
          <w:rFonts w:ascii="FbFrankReal" w:hAnsi="FbFrankReal" w:cs="FbFrankReal" w:hint="cs"/>
          <w:b/>
          <w:bCs/>
          <w:sz w:val="24"/>
          <w:szCs w:val="24"/>
          <w:bdr w:val="nil"/>
          <w:rtl/>
          <w:lang w:val="bg-BG"/>
        </w:rPr>
        <w:t>עיקר</w:t>
      </w:r>
      <w:r w:rsidRPr="0097710E">
        <w:rPr>
          <w:rFonts w:ascii="FbFrankReal" w:hAnsi="FbFrankReal" w:cs="FbFrankReal" w:hint="cs"/>
          <w:sz w:val="24"/>
          <w:szCs w:val="24"/>
          <w:bdr w:val="nil"/>
          <w:rtl/>
          <w:lang w:val="bg-BG"/>
        </w:rPr>
        <w:t xml:space="preserve"> משו"ע אדמו"ר" וא"כ למה הוסיף קצוה"ש את דברי מחה"ש, כאשר בודאי </w:t>
      </w:r>
      <w:r w:rsidRPr="0097710E">
        <w:rPr>
          <w:rFonts w:ascii="FbFrankReal" w:hAnsi="FbFrankReal" w:cs="FbFrankReal" w:hint="cs"/>
          <w:b/>
          <w:bCs/>
          <w:sz w:val="24"/>
          <w:szCs w:val="24"/>
          <w:bdr w:val="nil"/>
          <w:rtl/>
          <w:lang w:val="bg-BG"/>
        </w:rPr>
        <w:t>אדמוה"ז אינו סובר כך</w:t>
      </w:r>
      <w:r w:rsidRPr="0097710E">
        <w:rPr>
          <w:rFonts w:ascii="FbFrankReal" w:hAnsi="FbFrankReal" w:cs="FbFrankReal" w:hint="cs"/>
          <w:sz w:val="24"/>
          <w:szCs w:val="24"/>
          <w:bdr w:val="nil"/>
          <w:rtl/>
          <w:lang w:val="bg-BG"/>
        </w:rPr>
        <w:t>.</w:t>
      </w:r>
    </w:p>
    <w:p w14:paraId="4EEFBCB8"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והשבתי, דאדרבה מלשון זה גופא של הרד"ץ, מובן שהגר"ח נאה אמנם עשה </w:t>
      </w:r>
      <w:r w:rsidRPr="0097710E">
        <w:rPr>
          <w:rFonts w:ascii="FbFrankReal" w:hAnsi="FbFrankReal" w:cs="FbFrankReal" w:hint="cs"/>
          <w:b/>
          <w:bCs/>
          <w:sz w:val="24"/>
          <w:szCs w:val="24"/>
          <w:bdr w:val="nil"/>
          <w:rtl/>
          <w:lang w:val="bg-BG"/>
        </w:rPr>
        <w:t>עיקר</w:t>
      </w:r>
      <w:r w:rsidRPr="0097710E">
        <w:rPr>
          <w:rFonts w:ascii="FbFrankReal" w:hAnsi="FbFrankReal" w:cs="FbFrankReal" w:hint="cs"/>
          <w:sz w:val="24"/>
          <w:szCs w:val="24"/>
          <w:bdr w:val="nil"/>
          <w:rtl/>
          <w:lang w:val="bg-BG"/>
        </w:rPr>
        <w:t xml:space="preserve"> את שו"ע אדמוה"ז, אבל אעפ"כ הוא לא רק העתיק משם, אלא הרשה לעצמו להוסיף כל מיני פרטים שכתבו גדולי ישראל אחרים. אלא שכאשר מדובר </w:t>
      </w:r>
      <w:r w:rsidRPr="0097710E">
        <w:rPr>
          <w:rFonts w:ascii="FbFrankReal" w:hAnsi="FbFrankReal" w:cs="FbFrankReal" w:hint="cs"/>
          <w:b/>
          <w:bCs/>
          <w:sz w:val="24"/>
          <w:szCs w:val="24"/>
          <w:bdr w:val="nil"/>
          <w:rtl/>
          <w:lang w:val="bg-BG"/>
        </w:rPr>
        <w:t>בחומרא</w:t>
      </w:r>
      <w:r w:rsidRPr="0097710E">
        <w:rPr>
          <w:rFonts w:ascii="FbFrankReal" w:hAnsi="FbFrankReal" w:cs="FbFrankReal" w:hint="cs"/>
          <w:sz w:val="24"/>
          <w:szCs w:val="24"/>
          <w:bdr w:val="nil"/>
          <w:rtl/>
          <w:lang w:val="bg-BG"/>
        </w:rPr>
        <w:t xml:space="preserve"> של אדמוה"ז הרי בודאי שקצוה"ש יפסוק כן וילחם על אמיתות פסק זה של רבו, אבל כאשר מדובר, כמו כאן, על </w:t>
      </w:r>
      <w:r w:rsidRPr="0097710E">
        <w:rPr>
          <w:rFonts w:ascii="FbFrankReal" w:hAnsi="FbFrankReal" w:cs="FbFrankReal" w:hint="cs"/>
          <w:b/>
          <w:bCs/>
          <w:sz w:val="24"/>
          <w:szCs w:val="24"/>
          <w:bdr w:val="nil"/>
          <w:rtl/>
          <w:lang w:val="bg-BG"/>
        </w:rPr>
        <w:t>קולא</w:t>
      </w:r>
      <w:r w:rsidRPr="0097710E">
        <w:rPr>
          <w:rFonts w:ascii="FbFrankReal" w:hAnsi="FbFrankReal" w:cs="FbFrankReal" w:hint="cs"/>
          <w:sz w:val="24"/>
          <w:szCs w:val="24"/>
          <w:bdr w:val="nil"/>
          <w:rtl/>
          <w:lang w:val="bg-BG"/>
        </w:rPr>
        <w:t xml:space="preserve"> של אדמוה"ז וחומרא של האחרונים, אז אין הקצוה"ש נמנע מלהוסיף החומרא.</w:t>
      </w:r>
    </w:p>
    <w:p w14:paraId="5E27B250"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lastRenderedPageBreak/>
        <w:t xml:space="preserve">וציינתי לו לעמוד השער של קצוה"ש: "על פי פסקי אדמו"ר הזקן.. בשו"ע וסידור שלו, ואדמו"ר הצמח צדק.. ומנהגי אנ"ש חב"ד. </w:t>
      </w:r>
      <w:r w:rsidRPr="0097710E">
        <w:rPr>
          <w:rFonts w:ascii="FbFrankReal" w:hAnsi="FbFrankReal" w:cs="FbFrankReal" w:hint="cs"/>
          <w:b/>
          <w:bCs/>
          <w:sz w:val="24"/>
          <w:szCs w:val="24"/>
          <w:bdr w:val="nil"/>
          <w:rtl/>
          <w:lang w:val="bg-BG"/>
        </w:rPr>
        <w:t>ותוספת ליקוט מהאחרונים ז"ל</w:t>
      </w:r>
      <w:r w:rsidRPr="0097710E">
        <w:rPr>
          <w:rFonts w:ascii="FbFrankReal" w:hAnsi="FbFrankReal" w:cs="FbFrankReal" w:hint="cs"/>
          <w:sz w:val="24"/>
          <w:szCs w:val="24"/>
          <w:bdr w:val="nil"/>
          <w:rtl/>
          <w:lang w:val="bg-BG"/>
        </w:rPr>
        <w:t>". הרי מפורש שספרו אינו רק העתקה משו"ע אדמו"ר, אלא כולל מנהגי אנ"ש וגם ליקוט מהאחרונים (וכמו שציין בהלכה זו גופא, למחה"ש ומשנ"ב וקיצור שו"ע). ובודאי שליקוט זה הוא כאמור לעיל רק במצב שהאחרונים מחמירים יותר. וכמו בנדו"ד.</w:t>
      </w:r>
    </w:p>
    <w:p w14:paraId="33F08E3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ויש לבאר זאת יותר. דהנה בהמשך דברי אדמוה"ז שם, מוצא כל מיני תצדיקי למי שחולה וכו', שיוכל להניח תפילין על כובע וכדומה, וזאת בכדי להציל מי שקשה לו להניח בלי חציצה, שלא ימנע מקיום המצוה. וא"כ אף שמן הסתם גם לדבריו חשוב מאד שלא לגדל בלורית משום שחץ וגאוה, וגם יש בזה חומרא משום חציצה לתפילין, אבל אם היה עושה מזה הלכה בשו"ע שלו, הרי כאילו היה מכריז על מאות בעלי בלוריות בעולם, שלא מניחים תפילין כראוי (והוא הרי רוצה להציל אפילו את אלו המניחים על כובע כנ"ל). ובפרט לעת כזאת שמניחים במבצעים לרבבות יהודים על השערות האלו ולא מגלחים קודם את שערותיהם. ונתאר לעצמנו מה היה מצבנו ב'מבצע תפילין' אם היה אדמוה"ז פוסק שזה חציצה, שאז הבחורים היו יוצאים למבצע תפילין עם מכונות גילוח...</w:t>
      </w:r>
    </w:p>
    <w:p w14:paraId="2E8D9892"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משא"כ בספר של לקוטי מנהגים ודינים, כמו קצוה"ש, הרי לא קרה שום דבר אם פלוני בעל הבלורית לא קיים את אחת החומרות שמביא הגר"ח נאה. ומצד שני, הרי זה חשוב מאד שקצוה"ש נקט חומרא זו, של מחה"ש והמשנ"ב וכו'. כי אם יש אחד שמסלסל בשערו, מיד אומרים לו שידע שלדעת כמה מגדולי האחרונים יש לו בעיה עם חציצה בתפילין, וזה מרתיע ומחזירם לדרך הנכונה.</w:t>
      </w:r>
    </w:p>
    <w:p w14:paraId="2FA184EF" w14:textId="1C08FC35" w:rsidR="0073252C" w:rsidRPr="0073252C"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ואשמח מאד אם הקוראים יכולים להתייחס לשאלה זו.</w:t>
      </w:r>
    </w:p>
    <w:p w14:paraId="6B3BD68B" w14:textId="77777777" w:rsidR="00EB5208" w:rsidRPr="00552D8B" w:rsidRDefault="00EB5208" w:rsidP="00EB5208">
      <w:pPr>
        <w:pStyle w:val="a4"/>
        <w:sectPr w:rsidR="00EB5208" w:rsidRPr="00552D8B" w:rsidSect="00E65DD5">
          <w:headerReference w:type="even" r:id="rId38"/>
          <w:headerReference w:type="default" r:id="rId39"/>
          <w:footnotePr>
            <w:numRestart w:val="eachSect"/>
          </w:footnotePr>
          <w:type w:val="continuous"/>
          <w:pgSz w:w="7920" w:h="12240"/>
          <w:pgMar w:top="-810" w:right="864" w:bottom="720" w:left="864" w:header="270" w:footer="0" w:gutter="0"/>
          <w:cols w:space="720"/>
          <w:docGrid w:linePitch="360"/>
        </w:sectPr>
      </w:pPr>
      <w:r w:rsidRPr="00552D8B">
        <w:t>g</w:t>
      </w:r>
    </w:p>
    <w:p w14:paraId="2006DEEB" w14:textId="77777777" w:rsidR="002A3A9E" w:rsidRDefault="002A3A9E">
      <w:pPr>
        <w:rPr>
          <w:rFonts w:ascii="FbFRealBelet Bold" w:eastAsia="Times New Roman" w:hAnsi="FbFRealBelet Bold" w:cs="FbFRealBelet Bold"/>
          <w:bCs/>
          <w:sz w:val="39"/>
          <w:szCs w:val="39"/>
          <w:rtl/>
          <w:lang w:val="en-GB"/>
        </w:rPr>
      </w:pPr>
      <w:r>
        <w:br w:type="page"/>
      </w:r>
    </w:p>
    <w:p w14:paraId="7F13F9C8" w14:textId="0D981FC1" w:rsidR="00EB5208" w:rsidRDefault="00EB5208" w:rsidP="00EB5208">
      <w:pPr>
        <w:pStyle w:val="a"/>
        <w:rPr>
          <w:rtl/>
        </w:rPr>
        <w:sectPr w:rsidR="00EB5208" w:rsidSect="00E65DD5">
          <w:headerReference w:type="even" r:id="rId40"/>
          <w:headerReference w:type="default" r:id="rId41"/>
          <w:footnotePr>
            <w:numRestart w:val="eachSect"/>
          </w:footnotePr>
          <w:type w:val="continuous"/>
          <w:pgSz w:w="7920" w:h="12240"/>
          <w:pgMar w:top="-810" w:right="864" w:bottom="720" w:left="864" w:header="270" w:footer="0" w:gutter="0"/>
          <w:cols w:space="720"/>
          <w:docGrid w:linePitch="360"/>
        </w:sectPr>
      </w:pPr>
      <w:bookmarkStart w:id="132" w:name="_Toc3515491"/>
      <w:r w:rsidRPr="00293380">
        <w:rPr>
          <w:rFonts w:hint="cs"/>
          <w:rtl/>
        </w:rPr>
        <w:lastRenderedPageBreak/>
        <w:t>נשים במצות זכירת מעשה עמלק</w:t>
      </w:r>
      <w:r w:rsidRPr="00EB5208">
        <w:rPr>
          <w:rStyle w:val="FootnoteReference"/>
          <w:rFonts w:ascii="FbFrankReal" w:hAnsi="FbFrankReal" w:cs="FbFrankReal"/>
        </w:rPr>
        <w:footnoteReference w:customMarkFollows="1" w:id="16"/>
        <w:sym w:font="Symbol" w:char="F02A"/>
      </w:r>
      <w:bookmarkEnd w:id="132"/>
    </w:p>
    <w:p w14:paraId="134E13F9" w14:textId="77777777" w:rsidR="00EB5208" w:rsidRPr="003272D5" w:rsidRDefault="00EB5208" w:rsidP="00EB5208">
      <w:pPr>
        <w:pStyle w:val="a0"/>
        <w:rPr>
          <w:rtl/>
        </w:rPr>
      </w:pPr>
      <w:bookmarkStart w:id="133" w:name="_Toc3515492"/>
      <w:r w:rsidRPr="003272D5">
        <w:rPr>
          <w:rFonts w:hint="cs"/>
          <w:rtl/>
        </w:rPr>
        <w:t>הרב חיים רפופורט</w:t>
      </w:r>
      <w:bookmarkEnd w:id="133"/>
    </w:p>
    <w:p w14:paraId="64DC2511" w14:textId="7AA40D8A" w:rsidR="00EB5208" w:rsidRPr="00EB5208" w:rsidRDefault="00EB5208" w:rsidP="00EB5208">
      <w:pPr>
        <w:pStyle w:val="a1"/>
        <w:rPr>
          <w:rtl/>
        </w:rPr>
      </w:pPr>
      <w:r w:rsidRPr="003272D5">
        <w:rPr>
          <w:rFonts w:hint="cs"/>
          <w:rtl/>
        </w:rPr>
        <w:t xml:space="preserve">לונדון אנגלי' </w:t>
      </w:r>
    </w:p>
    <w:p w14:paraId="6C86F8F4" w14:textId="77777777" w:rsidR="00EB5208" w:rsidRPr="00EB5208" w:rsidRDefault="00EB5208" w:rsidP="00EB5208">
      <w:pPr>
        <w:pStyle w:val="11"/>
        <w:bidi/>
        <w:rPr>
          <w:rtl/>
        </w:rPr>
      </w:pPr>
      <w:r w:rsidRPr="00EB5208">
        <w:rPr>
          <w:rtl/>
        </w:rPr>
        <w:t>מחלוקת הרמב"ם והחינוך בדין נשים במצות זכירת מעשה עמלק ומה שצ"ע בשיטת החינוך</w:t>
      </w:r>
    </w:p>
    <w:p w14:paraId="1109AB8B" w14:textId="77777777" w:rsidR="00EB5208" w:rsidRPr="00EB5208" w:rsidRDefault="00EB5208" w:rsidP="00EB5208">
      <w:pPr>
        <w:pStyle w:val="a2"/>
        <w:rPr>
          <w:rtl/>
        </w:rPr>
      </w:pPr>
      <w:r w:rsidRPr="00EB5208">
        <w:rPr>
          <w:b/>
          <w:bCs/>
          <w:rtl/>
        </w:rPr>
        <w:t>א)</w:t>
      </w:r>
      <w:r w:rsidRPr="00EB5208">
        <w:t xml:space="preserve"> </w:t>
      </w:r>
      <w:r w:rsidRPr="00EB5208">
        <w:rPr>
          <w:rtl/>
        </w:rPr>
        <w:t>בספר החינוך, במצות זכירת מעשה עמלק (מצוה תרג), כתב:</w:t>
      </w:r>
      <w:r w:rsidRPr="00EB5208">
        <w:rPr>
          <w:b/>
          <w:bCs/>
        </w:rPr>
        <w:t xml:space="preserve"> </w:t>
      </w:r>
      <w:r w:rsidRPr="00EB5208">
        <w:rPr>
          <w:rtl/>
        </w:rPr>
        <w:t xml:space="preserve">"ונוהגת מצוה זו בכל מקום ובכל זמן, </w:t>
      </w:r>
      <w:r w:rsidRPr="00EB5208">
        <w:rPr>
          <w:b/>
          <w:bCs/>
          <w:rtl/>
        </w:rPr>
        <w:t>בזכרים</w:t>
      </w:r>
      <w:r w:rsidRPr="00EB5208">
        <w:rPr>
          <w:rtl/>
        </w:rPr>
        <w:t xml:space="preserve">, כי </w:t>
      </w:r>
      <w:r w:rsidRPr="00EB5208">
        <w:rPr>
          <w:b/>
          <w:bCs/>
          <w:rtl/>
        </w:rPr>
        <w:t>להם</w:t>
      </w:r>
      <w:r w:rsidRPr="00EB5208">
        <w:rPr>
          <w:rtl/>
        </w:rPr>
        <w:t xml:space="preserve"> לעשות המלחמה ונקמת האויב</w:t>
      </w:r>
      <w:r w:rsidRPr="00EB5208">
        <w:rPr>
          <w:rStyle w:val="FootnoteReference"/>
          <w:rtl/>
        </w:rPr>
        <w:footnoteReference w:id="17"/>
      </w:r>
      <w:r w:rsidRPr="00EB5208">
        <w:rPr>
          <w:rtl/>
        </w:rPr>
        <w:t xml:space="preserve">, </w:t>
      </w:r>
      <w:r w:rsidRPr="00EB5208">
        <w:rPr>
          <w:b/>
          <w:bCs/>
          <w:rtl/>
        </w:rPr>
        <w:t>לא לנשים</w:t>
      </w:r>
      <w:r w:rsidRPr="00EB5208">
        <w:rPr>
          <w:rtl/>
        </w:rPr>
        <w:t xml:space="preserve">". </w:t>
      </w:r>
    </w:p>
    <w:p w14:paraId="3B06B38F" w14:textId="77777777" w:rsidR="00EB5208" w:rsidRPr="00EB5208" w:rsidRDefault="00EB5208" w:rsidP="00EB5208">
      <w:pPr>
        <w:pStyle w:val="a2"/>
        <w:rPr>
          <w:rtl/>
        </w:rPr>
      </w:pPr>
      <w:r w:rsidRPr="00EB5208">
        <w:rPr>
          <w:rtl/>
        </w:rPr>
        <w:t>מבואר מדבריו דכיון שנשים פטורות ממצות מחיית עמלק, וכמבואר גם ממ"ש בספר החינוך (מצוה תרד)</w:t>
      </w:r>
      <w:r w:rsidRPr="00EB5208">
        <w:t xml:space="preserve"> </w:t>
      </w:r>
      <w:r w:rsidRPr="00EB5208">
        <w:rPr>
          <w:rtl/>
        </w:rPr>
        <w:t xml:space="preserve">ש"על כל יחיד מישראל </w:t>
      </w:r>
      <w:r w:rsidRPr="00EB5208">
        <w:rPr>
          <w:b/>
          <w:bCs/>
          <w:rtl/>
        </w:rPr>
        <w:t>הזכרים</w:t>
      </w:r>
      <w:r w:rsidRPr="00EB5208">
        <w:rPr>
          <w:rtl/>
        </w:rPr>
        <w:t xml:space="preserve"> מוטל החיוב להרגם ולאבדם מן העולם"</w:t>
      </w:r>
      <w:r w:rsidRPr="00EB5208">
        <w:rPr>
          <w:rStyle w:val="FootnoteReference"/>
          <w:rtl/>
        </w:rPr>
        <w:footnoteReference w:id="18"/>
      </w:r>
      <w:r w:rsidRPr="00EB5208">
        <w:rPr>
          <w:rtl/>
        </w:rPr>
        <w:t>, הרי הן פטורות גם ממצות זכירת מעשה עמלק, כי מצות 'זכור את אשר עשה לך עמלק' קשורה ותלוי' במצות 'תמחה את זכר עמלק'</w:t>
      </w:r>
      <w:r w:rsidRPr="00EB5208">
        <w:rPr>
          <w:rStyle w:val="FootnoteReference"/>
          <w:rtl/>
        </w:rPr>
        <w:footnoteReference w:id="19"/>
      </w:r>
      <w:r w:rsidRPr="00EB5208">
        <w:rPr>
          <w:rtl/>
        </w:rPr>
        <w:t>, ומי שאינו מצווה במחיית זרעו של עמלק, אינו מצווה בזכירת מעשיו. ובספר מנחת חינוך (שם)</w:t>
      </w:r>
      <w:r w:rsidRPr="00EB5208">
        <w:t xml:space="preserve"> </w:t>
      </w:r>
      <w:r w:rsidRPr="00EB5208">
        <w:rPr>
          <w:rtl/>
        </w:rPr>
        <w:t>כתב שמדברי החינוך נראה שפטר את הנשים גם מה</w:t>
      </w:r>
      <w:r w:rsidRPr="00EB5208">
        <w:rPr>
          <w:b/>
          <w:bCs/>
          <w:rtl/>
        </w:rPr>
        <w:t>ל"ת</w:t>
      </w:r>
      <w:r w:rsidRPr="00EB5208">
        <w:rPr>
          <w:rtl/>
        </w:rPr>
        <w:t xml:space="preserve"> (מצוה תרה) "שנמנענו מלשכוח מה שעשה עמנו עמלק"</w:t>
      </w:r>
      <w:r w:rsidRPr="00EB5208">
        <w:t xml:space="preserve"> </w:t>
      </w:r>
      <w:r w:rsidRPr="00EB5208">
        <w:rPr>
          <w:rtl/>
        </w:rPr>
        <w:t>כמ"ש "לא תשכח".</w:t>
      </w:r>
    </w:p>
    <w:p w14:paraId="664FF902" w14:textId="6BF206CC" w:rsidR="00EB5208" w:rsidRPr="00EB5208" w:rsidRDefault="00EB5208" w:rsidP="00EB5208">
      <w:pPr>
        <w:pStyle w:val="a2"/>
        <w:rPr>
          <w:rtl/>
        </w:rPr>
      </w:pPr>
      <w:r w:rsidRPr="00EB5208">
        <w:rPr>
          <w:rtl/>
        </w:rPr>
        <w:t xml:space="preserve">ועל יסוד דברי ספר החינוך כתבו כמה אחרונים לפטור נשים משמיעת פרשת זכור, ומהם בשו"ת תורה לשמה (סי' קפז) שגזר אומר ש"מצוה זו גם מה"ת אינה נוהגת בנשים, משום דלא בני מלחמה נינהו, ולכן ליתנהו בזכירה, כי חיוב הזכירה הוא בעבור המלחמה והנקמה שצריך לנקום ממנו".  </w:t>
      </w:r>
    </w:p>
    <w:p w14:paraId="0B1E24FA" w14:textId="299FA10C" w:rsidR="00EB5208" w:rsidRPr="00EB5208" w:rsidRDefault="00EB5208" w:rsidP="00EB5208">
      <w:pPr>
        <w:pStyle w:val="a2"/>
        <w:rPr>
          <w:rtl/>
        </w:rPr>
      </w:pPr>
      <w:r w:rsidRPr="00EB5208">
        <w:rPr>
          <w:rtl/>
        </w:rPr>
        <w:lastRenderedPageBreak/>
        <w:t>שוב כתב המנ"ח להעיר על החינוך, ש"צריך ראי' לפטור נשים ממ"ע שאין הזמ"ג</w:t>
      </w:r>
      <w:r w:rsidRPr="00EB5208">
        <w:rPr>
          <w:rStyle w:val="FootnoteReference"/>
          <w:rtl/>
        </w:rPr>
        <w:footnoteReference w:id="20"/>
      </w:r>
      <w:r w:rsidRPr="00EB5208">
        <w:rPr>
          <w:rtl/>
        </w:rPr>
        <w:t xml:space="preserve">, ובפרט במקום לאו [דלא תשכח] ג"כ. ומ"ש 'כי להם לעשות המלחמה ולא לנשים', באמת מלחמת מצוה הכל יוצאין, אפילו כלה מחופתה", וכמפורש בדבר משנה (סוטה מד, ב). וכן הקשה בשו"ת תורת חסד (או"ח סי' לז), ע"ש. [ויעויין בשו"ת מהרי"ל דיסקין (קו"א אות קב) שפסק להלכה, שנשים חייבות בפ' זכור מה"ת כיוון שלמלחמת מצוה הכל יוצאין ואפילו כלה מחופתה, וכסברת המנחת חינוך].  </w:t>
      </w:r>
    </w:p>
    <w:p w14:paraId="481EC083" w14:textId="3EFBBE37" w:rsidR="00EB5208" w:rsidRPr="00EB5208" w:rsidRDefault="00EB5208" w:rsidP="00EB5208">
      <w:pPr>
        <w:pStyle w:val="a2"/>
        <w:rPr>
          <w:rtl/>
        </w:rPr>
      </w:pPr>
      <w:r w:rsidRPr="00EB5208">
        <w:rPr>
          <w:rtl/>
        </w:rPr>
        <w:t>עוד השיג המנ"ח על החינוך בזה"ל:</w:t>
      </w:r>
      <w:r w:rsidRPr="00EB5208">
        <w:t xml:space="preserve"> </w:t>
      </w:r>
      <w:r w:rsidRPr="00EB5208">
        <w:rPr>
          <w:rtl/>
        </w:rPr>
        <w:t>"גם מי עמד בסוד ה' ית' אם הטעם מחמת הנקמה, דאפשר גזירת הכתוב שנזכור שנאתו מאיזה טעם</w:t>
      </w:r>
      <w:r w:rsidRPr="00EB5208">
        <w:rPr>
          <w:rStyle w:val="FootnoteReference"/>
          <w:rtl/>
        </w:rPr>
        <w:footnoteReference w:id="21"/>
      </w:r>
      <w:r w:rsidRPr="00EB5208">
        <w:rPr>
          <w:rtl/>
        </w:rPr>
        <w:t>, ואנחנו אין יודעים. ואפשר אף בביאת משיחנו שיכרת עמלק מכל וכל ולא יהי' זכר להם, מ"מ הזכירה יהי' תמיד מ"ע, לזכור ולא לשכוח</w:t>
      </w:r>
      <w:r w:rsidRPr="00EB5208">
        <w:rPr>
          <w:rStyle w:val="FootnoteReference"/>
          <w:rtl/>
        </w:rPr>
        <w:footnoteReference w:id="22"/>
      </w:r>
      <w:r w:rsidRPr="00EB5208">
        <w:rPr>
          <w:rtl/>
        </w:rPr>
        <w:t>, על כן צ"ע דפוטר נשים ממ"ע זו", וע"פ דבריו הכריע המנ"ח והחליט ד"נראה דכל אישי ישראל חייבים כמו כל מ"ע שאין הז"ג".</w:t>
      </w:r>
    </w:p>
    <w:p w14:paraId="5AA3AD0E" w14:textId="5ABD126E" w:rsidR="00EB5208" w:rsidRPr="00EB5208" w:rsidRDefault="00EB5208" w:rsidP="00EB5208">
      <w:pPr>
        <w:pStyle w:val="a2"/>
        <w:rPr>
          <w:rtl/>
        </w:rPr>
      </w:pPr>
      <w:r w:rsidRPr="00EB5208">
        <w:rPr>
          <w:rtl/>
        </w:rPr>
        <w:t xml:space="preserve">והנה מ"ש המנחת חינוך להקשות מהא דקיי"ל שבמלחמת מצוה גם כלה יוצאת מחופתה, כבר תירצו שכוונת המשנה אינה שגם כלה נלחמת במלחמת מצוה, אלא כמ"ש הרדב"ז (הל' מלכים פ"ז ה"ד) ד"כיון דחתן יוצא מחדרו כלה יוצאה מחופתה </w:t>
      </w:r>
      <w:r w:rsidRPr="00EB5208">
        <w:rPr>
          <w:b/>
          <w:bCs/>
          <w:rtl/>
        </w:rPr>
        <w:t>שאינה נוהגת ימי חופה</w:t>
      </w:r>
      <w:r w:rsidRPr="00EB5208">
        <w:rPr>
          <w:rtl/>
        </w:rPr>
        <w:t xml:space="preserve">", אבל אינה יוצאת להלחם, שהרי 'כל כבודה בת מלך פנימה', ע"ש.  </w:t>
      </w:r>
    </w:p>
    <w:p w14:paraId="3F668AFF" w14:textId="38061884" w:rsidR="00EB5208" w:rsidRPr="00EB5208" w:rsidRDefault="00EB5208" w:rsidP="00EB5208">
      <w:pPr>
        <w:pStyle w:val="a2"/>
        <w:rPr>
          <w:rtl/>
        </w:rPr>
      </w:pPr>
      <w:r w:rsidRPr="00EB5208">
        <w:rPr>
          <w:rtl/>
        </w:rPr>
        <w:t xml:space="preserve">אבל מה שהקשה דמנין לו להחינוך שטעם מצות זכירת מעשה עמלק אינו אלא </w:t>
      </w:r>
      <w:r w:rsidRPr="00EB5208">
        <w:rPr>
          <w:rtl/>
        </w:rPr>
        <w:lastRenderedPageBreak/>
        <w:t>כדי לזרז על המלחמה כדי שנאמר שנשים דלאו בנות כיבוש נינהו פטורות ממנה, לכאורה קושיא אלימתא היא, שמא טעמים אחרים יש למצוה זו, ו'נעו מעגלותי' לא תדע' כתיב</w:t>
      </w:r>
      <w:r w:rsidRPr="00EB5208">
        <w:rPr>
          <w:rStyle w:val="FootnoteReference"/>
          <w:rtl/>
        </w:rPr>
        <w:footnoteReference w:id="23"/>
      </w:r>
      <w:r w:rsidRPr="00EB5208">
        <w:rPr>
          <w:rtl/>
        </w:rPr>
        <w:t xml:space="preserve">. </w:t>
      </w:r>
    </w:p>
    <w:p w14:paraId="041C90BA" w14:textId="32DF3522" w:rsidR="00EB5208" w:rsidRPr="00EB5208" w:rsidRDefault="00EB5208" w:rsidP="00EB5208">
      <w:pPr>
        <w:pStyle w:val="a2"/>
        <w:rPr>
          <w:rtl/>
        </w:rPr>
      </w:pPr>
      <w:r w:rsidRPr="00EB5208">
        <w:rPr>
          <w:rtl/>
        </w:rPr>
        <w:t>ויש להוסיף על קושייתו, דאפילו את"ל שטעם מצות זכירת מעשה עמלק הוא משום זירוז וחיזוק למלחמת עמלק</w:t>
      </w:r>
      <w:r w:rsidRPr="00EB5208">
        <w:rPr>
          <w:rStyle w:val="FootnoteReference"/>
          <w:rtl/>
        </w:rPr>
        <w:footnoteReference w:id="24"/>
      </w:r>
      <w:r w:rsidRPr="00EB5208">
        <w:rPr>
          <w:rtl/>
        </w:rPr>
        <w:t xml:space="preserve"> הלא קיי"ל דלא דרשינן טעמא דקרא, וכמבואר בש"ס (ב"מ קטו, ב) לגבי הא דתניא "</w:t>
      </w:r>
      <w:r w:rsidRPr="00EB5208">
        <w:rPr>
          <w:color w:val="000000"/>
          <w:rtl/>
        </w:rPr>
        <w:t xml:space="preserve">אלמנה בין שהיא עני' בין שהיא עשירה אין ממשכנין אותה, דברי ר"י. ר"ש אומר, עשירה ממשכנין אותה, עני' אין ממשכנין אותה, שאתה חייב להחזיר לה ואתה משיאה שם רע בשכנותי'". ואיתא בגמרא (ב"מ שם) "דר"י לא דריש טעמא דקרא ור"ש דריש טעמא דקרא", וקיי"ל (רמב"ם הל' מלוה ולוה רפ"ג. טושו"ע חו"מ ר"ס צז) ד"אלמנה בין שהיא עני' בין שהיא עשירה אין ממשכנין אותה", ומשום דלא דרשינן טעמא דקרא. והוא הדין בנדו"ד, דאף את"ל דטעמא דקרא הוא כדי לחזק את הלוחמים והנוקמים, </w:t>
      </w:r>
      <w:r w:rsidRPr="00EB5208">
        <w:rPr>
          <w:rtl/>
        </w:rPr>
        <w:t>מהיכי תיתי להוציא חילוק דין למעשה על פי הטעם</w:t>
      </w:r>
      <w:r w:rsidRPr="00EB5208">
        <w:rPr>
          <w:rStyle w:val="FootnoteReference"/>
          <w:rtl/>
        </w:rPr>
        <w:footnoteReference w:id="25"/>
      </w:r>
      <w:r w:rsidRPr="00EB5208">
        <w:rPr>
          <w:rtl/>
        </w:rPr>
        <w:t xml:space="preserve">. </w:t>
      </w:r>
    </w:p>
    <w:p w14:paraId="3F413632" w14:textId="5CE75E83" w:rsidR="00EB5208" w:rsidRPr="00EB5208" w:rsidRDefault="00EB5208" w:rsidP="00EB5208">
      <w:pPr>
        <w:pStyle w:val="a2"/>
        <w:rPr>
          <w:rtl/>
        </w:rPr>
      </w:pPr>
      <w:r w:rsidRPr="00EB5208">
        <w:rPr>
          <w:rtl/>
        </w:rPr>
        <w:t xml:space="preserve">ועוד בה שלישי', דאפילו למ"ד דדרשינן טעמא דקרא, כבר כתב בשו"ת חתם סופר (אהע"ז סי' יז) "דאפילו מאן דדריש טעמי' דקרא היינו טעם המקובל </w:t>
      </w:r>
      <w:r w:rsidRPr="00EB5208">
        <w:rPr>
          <w:b/>
          <w:bCs/>
          <w:rtl/>
        </w:rPr>
        <w:t>לחז"ל</w:t>
      </w:r>
      <w:r w:rsidRPr="00EB5208">
        <w:rPr>
          <w:rtl/>
        </w:rPr>
        <w:t xml:space="preserve">, אבל טעם שהמציאו חכמים אחר התלמוד אין לבנות עליו", ע"ש. </w:t>
      </w:r>
    </w:p>
    <w:p w14:paraId="0F503903" w14:textId="1876B18C" w:rsidR="00EB5208" w:rsidRPr="00EB5208" w:rsidRDefault="00EB5208" w:rsidP="00EB5208">
      <w:pPr>
        <w:pStyle w:val="a2"/>
        <w:rPr>
          <w:rtl/>
        </w:rPr>
      </w:pPr>
      <w:r w:rsidRPr="00EB5208">
        <w:rPr>
          <w:rtl/>
        </w:rPr>
        <w:t>[וכ"כ בשו"ת אגרות משה (קדשים טהרות ח"א סי' טו ענף א)</w:t>
      </w:r>
      <w:r w:rsidRPr="00EB5208">
        <w:t xml:space="preserve"> </w:t>
      </w:r>
      <w:r w:rsidRPr="00EB5208">
        <w:rPr>
          <w:rtl/>
        </w:rPr>
        <w:t xml:space="preserve">"שברור שכל טעמי המצוות שלא הוזכרו בגמרא לדינא, כמו </w:t>
      </w:r>
      <w:r w:rsidRPr="00EB5208">
        <w:rPr>
          <w:b/>
          <w:bCs/>
          <w:rtl/>
        </w:rPr>
        <w:t>טעמי החינוך</w:t>
      </w:r>
      <w:r w:rsidRPr="00EB5208">
        <w:rPr>
          <w:rtl/>
        </w:rPr>
        <w:t xml:space="preserve"> וטעמי הרמב"ם בספרו מורה נבוכים, אינם נוגעים כלל לדינא, ואין למדים מהם כלל אף להחמיר, וכל שכן להקל, משום שלא כיוונו כלל לדינא, כי מנין להם לומר מסברת עצמן</w:t>
      </w:r>
      <w:r w:rsidRPr="00EB5208">
        <w:rPr>
          <w:rStyle w:val="FootnoteReference"/>
        </w:rPr>
        <w:footnoteReference w:id="26"/>
      </w:r>
      <w:r w:rsidRPr="00EB5208">
        <w:rPr>
          <w:rtl/>
        </w:rPr>
        <w:t xml:space="preserve"> בלא ראי' </w:t>
      </w:r>
      <w:r w:rsidRPr="00EB5208">
        <w:rPr>
          <w:rtl/>
        </w:rPr>
        <w:lastRenderedPageBreak/>
        <w:t>מגמרא טעמים שישנו הדין, אלא כוונתם לומר זה לטעמים בעלמא להבין איזה דבר מוסר וללמוד מכל מצוה, ולא שטעם זה הוא בדוקא, כי ידוע שיש עוד כמה טעמים גלויים ונסתרים, ידועים ואין ידועים, לכל מצוה</w:t>
      </w:r>
      <w:r w:rsidRPr="00EB5208">
        <w:rPr>
          <w:rStyle w:val="FootnoteReference"/>
        </w:rPr>
        <w:footnoteReference w:id="27"/>
      </w:r>
      <w:r w:rsidRPr="00EB5208">
        <w:rPr>
          <w:rtl/>
        </w:rPr>
        <w:t xml:space="preserve">, ואולי לפי טעמים ההם ישתנה הדין, לכן כל טעם שלא הוזכר בגמרא </w:t>
      </w:r>
      <w:r w:rsidRPr="00EB5208">
        <w:rPr>
          <w:b/>
          <w:bCs/>
          <w:rtl/>
        </w:rPr>
        <w:t>לדינא</w:t>
      </w:r>
      <w:r w:rsidRPr="00EB5208">
        <w:rPr>
          <w:rStyle w:val="FootnoteReference"/>
          <w:b/>
          <w:bCs/>
          <w:rtl/>
        </w:rPr>
        <w:footnoteReference w:id="28"/>
      </w:r>
      <w:r w:rsidRPr="00EB5208">
        <w:rPr>
          <w:rtl/>
        </w:rPr>
        <w:t xml:space="preserve">, אינו כלום לחדש מהם דינים". וכ"כ במק"א (שו"ת אגרות משה יו"ד ח"ד סי' יד): "טעמים דנזכרים במורה נבוכים ובפירוש הרמב"ן והחינוך, שאינם נוגעים כלל לדינא"]. </w:t>
      </w:r>
    </w:p>
    <w:p w14:paraId="13A7ED2D" w14:textId="77777777" w:rsidR="00EB5208" w:rsidRPr="00EB5208" w:rsidRDefault="00EB5208" w:rsidP="00EB5208">
      <w:pPr>
        <w:pStyle w:val="11"/>
        <w:bidi/>
        <w:rPr>
          <w:rtl/>
        </w:rPr>
      </w:pPr>
      <w:r w:rsidRPr="00EB5208">
        <w:rPr>
          <w:rtl/>
        </w:rPr>
        <w:t xml:space="preserve">ביאור שיטת החינוך </w:t>
      </w:r>
    </w:p>
    <w:p w14:paraId="128C3308" w14:textId="0F92112C" w:rsidR="00EB5208" w:rsidRPr="00EB5208" w:rsidRDefault="00EB5208" w:rsidP="00EB5208">
      <w:pPr>
        <w:pStyle w:val="a2"/>
        <w:rPr>
          <w:rtl/>
        </w:rPr>
      </w:pPr>
      <w:r w:rsidRPr="00EB5208">
        <w:rPr>
          <w:b/>
          <w:bCs/>
          <w:rtl/>
        </w:rPr>
        <w:t>ב)</w:t>
      </w:r>
      <w:r w:rsidRPr="00EB5208">
        <w:rPr>
          <w:rtl/>
        </w:rPr>
        <w:t xml:space="preserve"> והנראה בזה הוא בהקדם מ"ש הרמב"ם (הל' ע"ז פי"ב ה"ז) בדבר איסור השחתת הזקן, וז"ל: "דרך כהני עוע"ז הי' להשחית זקנם, </w:t>
      </w:r>
      <w:r w:rsidRPr="00EB5208">
        <w:rPr>
          <w:b/>
          <w:bCs/>
          <w:rtl/>
        </w:rPr>
        <w:t>לפיכך</w:t>
      </w:r>
      <w:r w:rsidRPr="00EB5208">
        <w:rPr>
          <w:rtl/>
        </w:rPr>
        <w:t xml:space="preserve"> אסרה תורה להשחית הזקן"</w:t>
      </w:r>
      <w:r w:rsidRPr="00EB5208">
        <w:rPr>
          <w:rStyle w:val="FootnoteReference"/>
        </w:rPr>
        <w:footnoteReference w:id="29"/>
      </w:r>
      <w:r w:rsidRPr="00EB5208">
        <w:rPr>
          <w:rtl/>
        </w:rPr>
        <w:t xml:space="preserve">, אשר מסגנון לשונו משמע שהחליט וקבע דטעמו, יסודו וגדרו של איסור </w:t>
      </w:r>
      <w:r w:rsidRPr="00EB5208">
        <w:rPr>
          <w:rtl/>
        </w:rPr>
        <w:lastRenderedPageBreak/>
        <w:t>השחתת הזקן הוא כדי להתרחק מדרכי עוע"ז. ובט"ז (יו"ד סי' קפא סק"א)</w:t>
      </w:r>
      <w:r w:rsidRPr="00EB5208">
        <w:rPr>
          <w:rStyle w:val="FootnoteReference"/>
          <w:rtl/>
        </w:rPr>
        <w:t xml:space="preserve"> </w:t>
      </w:r>
      <w:r w:rsidRPr="00EB5208">
        <w:rPr>
          <w:rtl/>
        </w:rPr>
        <w:t>כתב "דהרמב"ם תלה דין זה בעוע"ז שהוא חוק שלהם" משום דנפק"מ להלכה, כי עפ"ז "יש לפעמים היתר משום שלום מלכות", כמו שמצינו לענין חוקות הגוים (שו"ע שם סי' קעח ס"ב) ד"מי שהוא קרוב למלכות וצריך ללבוש במלבושיהם ולדמות להם מותר בכל".</w:t>
      </w:r>
    </w:p>
    <w:p w14:paraId="1DFB9ACB" w14:textId="71A96C65" w:rsidR="00EB5208" w:rsidRPr="00EB5208" w:rsidRDefault="00EB5208" w:rsidP="00EB5208">
      <w:pPr>
        <w:pStyle w:val="a2"/>
        <w:rPr>
          <w:rtl/>
        </w:rPr>
      </w:pPr>
      <w:r w:rsidRPr="00EB5208">
        <w:rPr>
          <w:rtl/>
        </w:rPr>
        <w:t>ובזה הסבירו מחלוקת הרמב"ם והטור: בטור (יו"ד סי' קפא) הביא טעם הרמב"ם לאיסור השחתת זקן וכתב עליו "זה אינו מפורש, ואין אנו צריכים לבקש טעם למצוות, כי מצוות מלך הם עלינו אף לא נדע טעמן". ונתקשו נושאי כלי הטור להבין במה נחלק עם הרמב"ם, דהלא פשוט דגם הרמב"ם מודה שצריכים לקיים מצות מלכו של עולם אף אם לא נדע טעמיהן. וביאר הרמ"א (דרכי משה יו"ד שם סק"א) שהטור "רצה לומר, שלא נדרוש טעמי' דקרא לומר שאינו אסור אלא כדרך שעשו עוע"ז וכומריהם, אלא בכל ענין אסור, הואיל ואין הטעם מפורש במקרא אין להתיר במקום שאין הטעם שייך"</w:t>
      </w:r>
      <w:r w:rsidRPr="00EB5208">
        <w:rPr>
          <w:rStyle w:val="FootnoteReference"/>
        </w:rPr>
        <w:footnoteReference w:id="30"/>
      </w:r>
      <w:r w:rsidRPr="00EB5208">
        <w:rPr>
          <w:rtl/>
        </w:rPr>
        <w:t xml:space="preserve">. </w:t>
      </w:r>
    </w:p>
    <w:p w14:paraId="13FEADB5" w14:textId="34629D12" w:rsidR="00EB5208" w:rsidRPr="00EB5208" w:rsidRDefault="00EB5208" w:rsidP="00EB5208">
      <w:pPr>
        <w:pStyle w:val="a2"/>
        <w:rPr>
          <w:rtl/>
        </w:rPr>
      </w:pPr>
      <w:r w:rsidRPr="00EB5208">
        <w:rPr>
          <w:rtl/>
        </w:rPr>
        <w:t>ומבואר לכאורה מדברי הרמ"א, דהרמב"ם סובר שאין איסור הקפת הראש נוהג "במקום שאין הטעם שייך", וגם הטור לא חלק ע"ז כי אם משום דלא דרשינן טעמא דקרא כשאין הטעם מפורש בתורה, ומשמע מזה שלמ"ד דרשינן טעמא דקרא יתכן שיהי' נפק"מ למעשה מזה הטעם שכתב הרמב"ם, ואף שאין טעם זה מפורש בדברי חז"ל.</w:t>
      </w:r>
    </w:p>
    <w:p w14:paraId="2D8E251B" w14:textId="2278E69F" w:rsidR="00EB5208" w:rsidRPr="00EB5208" w:rsidRDefault="00EB5208" w:rsidP="00EB5208">
      <w:pPr>
        <w:pStyle w:val="a2"/>
        <w:rPr>
          <w:rtl/>
        </w:rPr>
      </w:pPr>
      <w:r w:rsidRPr="00EB5208">
        <w:rPr>
          <w:rtl/>
        </w:rPr>
        <w:t xml:space="preserve">ובביאור שיטתו של הרמב"ם שדרש טעמו של איסור הקפה, כתב הבית יוסף (יו"ד ס' קפא) ש"במצות </w:t>
      </w:r>
      <w:r w:rsidRPr="00EB5208">
        <w:rPr>
          <w:b/>
          <w:bCs/>
          <w:rtl/>
        </w:rPr>
        <w:t>האלו</w:t>
      </w:r>
      <w:r w:rsidRPr="00EB5208">
        <w:rPr>
          <w:rtl/>
        </w:rPr>
        <w:t xml:space="preserve"> [הקפת הראש והשחתת הפיאות] נראה לי שלא נתן בהם טעם הרמב"ם מדעתו, </w:t>
      </w:r>
      <w:r w:rsidRPr="00EB5208">
        <w:rPr>
          <w:b/>
          <w:bCs/>
          <w:rtl/>
        </w:rPr>
        <w:t>אלא מדעת הכתוב</w:t>
      </w:r>
      <w:r w:rsidRPr="00EB5208">
        <w:rPr>
          <w:rtl/>
        </w:rPr>
        <w:t xml:space="preserve">, שמצאן מוקפות מלפניהן ומלאחריהן ממצות הנאסרות משום חוקי הגוים שהרי כתוב לפניהם (פ' קדושים יט, כו) לא תאכלו על הדם לא תנחשו ולא תעוננו, ואחריהן (שם, כח) כתוב ושרט לנפש וכתובת </w:t>
      </w:r>
      <w:r w:rsidRPr="00EB5208">
        <w:rPr>
          <w:rtl/>
        </w:rPr>
        <w:lastRenderedPageBreak/>
        <w:t>קעקע, והרי זה כמפרש שהקפת הראש והשחתת הזקן נאסרו מפני שהיו עושין כן עוע"ז וכומריהם". [ובב"ח (יו"ד שם) כתב על זה: "ונכון הוא"].</w:t>
      </w:r>
    </w:p>
    <w:p w14:paraId="4321B0C1" w14:textId="632F2BF3" w:rsidR="00EB5208" w:rsidRPr="00EB5208" w:rsidRDefault="00EB5208" w:rsidP="00EB5208">
      <w:pPr>
        <w:pStyle w:val="a2"/>
        <w:rPr>
          <w:rtl/>
        </w:rPr>
      </w:pPr>
      <w:r w:rsidRPr="00EB5208">
        <w:rPr>
          <w:rtl/>
        </w:rPr>
        <w:t>הרי מבואר שבמקום שהטעם מפורש יוצא מהכתוב בתורה:</w:t>
      </w:r>
      <w:r w:rsidRPr="00EB5208">
        <w:rPr>
          <w:b/>
          <w:bCs/>
        </w:rPr>
        <w:t xml:space="preserve"> </w:t>
      </w:r>
      <w:r w:rsidRPr="00EB5208">
        <w:rPr>
          <w:b/>
          <w:bCs/>
          <w:rtl/>
        </w:rPr>
        <w:t>(א)</w:t>
      </w:r>
      <w:r w:rsidRPr="00EB5208">
        <w:rPr>
          <w:rtl/>
        </w:rPr>
        <w:t xml:space="preserve"> אכן דרשינן טעמא דקרא, ואפילו להקל – וכמו במצוה האמורה, להתיר השחתת הזקן בכה"ג שאין הטעם נוהג, והוא הדין</w:t>
      </w:r>
      <w:r w:rsidRPr="00EB5208">
        <w:rPr>
          <w:b/>
          <w:bCs/>
          <w:rtl/>
        </w:rPr>
        <w:t xml:space="preserve"> (ב) </w:t>
      </w:r>
      <w:r w:rsidRPr="00EB5208">
        <w:rPr>
          <w:rtl/>
        </w:rPr>
        <w:t>אפילו אם אין הטעם מבואר בש"ס ובדברי חז"ל</w:t>
      </w:r>
      <w:r w:rsidRPr="00EB5208">
        <w:rPr>
          <w:rStyle w:val="FootnoteReference"/>
        </w:rPr>
        <w:footnoteReference w:id="31"/>
      </w:r>
      <w:r>
        <w:rPr>
          <w:rtl/>
        </w:rPr>
        <w:t>.</w:t>
      </w:r>
    </w:p>
    <w:p w14:paraId="0EE2BBA1" w14:textId="12358AAA" w:rsidR="00EB5208" w:rsidRPr="00EB5208" w:rsidRDefault="00EB5208" w:rsidP="00EB5208">
      <w:pPr>
        <w:pStyle w:val="a2"/>
        <w:rPr>
          <w:rtl/>
        </w:rPr>
      </w:pPr>
      <w:r w:rsidRPr="00EB5208">
        <w:rPr>
          <w:rtl/>
        </w:rPr>
        <w:t>ויסוד הדברים נראה דהוא ע"פ סוגיית הגמרא (ב"מ שם; סנהדרין כא, א), וז"ל: למימרא דרבי יהודה לא דריש טעמא דקרא, ורבי שמעון דריש טעמא דקרא והא איפכא שמעינן להו, דתניא 'ולא ירבה לו נשים', רבי יהודה אומר מרבה הוא ובלבד שלא יהו מסירות את לבו. רבי שמעון אומר, אפילו אחת והיא מסירה את לבו הרי זה לא ישאנה, א"כ מה ת"ל לומר 'ולא ירבה לו נשים' אפילו כאביגיל. לעולם רבי יהודה לא דריש טעמא דקרא, ושאני הכא דמפרש קרא 'ולא ירבה לו נשים ולא יסור', מאי טעמא לא ירבה לו נשים, משום דלא יסור. ור"ש, מכדי בעלמא דרשינן טעמא דקרא, לכתוב רחמנא לא ירבה ולא בעינן לא יסור, ואנא ידענא מאי טעמא לא ירבה משום דלא יסור, לא יסור דכתב רחמנא למה לי, אפילו אחת ומסירה את לבו הר"ז לא ישאנה. עכ"ל הגמרא. ועפ"ז כתב הלחם משנה (הל' מלוה ולוה פ"ג ה"א) שנקט הרמב"ם להלכה ד"היכא דמפורש הטעם בכתוב"</w:t>
      </w:r>
      <w:r w:rsidRPr="00EB5208">
        <w:t xml:space="preserve"> </w:t>
      </w:r>
      <w:r w:rsidRPr="00EB5208">
        <w:rPr>
          <w:rtl/>
        </w:rPr>
        <w:t xml:space="preserve">גם רבי יהודה דורש טעמא דקרא. </w:t>
      </w:r>
    </w:p>
    <w:p w14:paraId="090C42FE" w14:textId="7D9090CA" w:rsidR="00EB5208" w:rsidRPr="00EB5208" w:rsidRDefault="00EB5208" w:rsidP="00EB5208">
      <w:pPr>
        <w:pStyle w:val="a2"/>
        <w:rPr>
          <w:rtl/>
        </w:rPr>
      </w:pPr>
      <w:r w:rsidRPr="00EB5208">
        <w:rPr>
          <w:rtl/>
        </w:rPr>
        <w:t>ועפ"ז ביארו אחרונים מ"ש הרא"ש בהלכות קטנות (הל' ס"ת</w:t>
      </w:r>
      <w:r w:rsidRPr="00EB5208">
        <w:t xml:space="preserve"> </w:t>
      </w:r>
      <w:r w:rsidRPr="00EB5208">
        <w:rPr>
          <w:rtl/>
        </w:rPr>
        <w:t xml:space="preserve">סי' א) שמצות כתיבת ס"ת "היא ללמוד בה כדכתיב (דברים לא, יט) ולמדה את בני ישראל שימה בפיהם, וע"י הגמרא והפירושים ידע פירוש המצות והדינים על בוריים, לכן הם הם הספרים שאדם מצווה לכתבם", דלכאורה כיון דקיי"ל דלא דרשינן טעמא דקרא, אפילו אם אמת נכון הדבר שטעם מצות כתיבת ס"ת הוא כדי ללמוד ממנו, האיך אפשר לומר שבזה"ז אפשר לקיים המצוה בכתיבת ספרים אחרים.  </w:t>
      </w:r>
    </w:p>
    <w:p w14:paraId="690915E3" w14:textId="0175E5E5" w:rsidR="00EB5208" w:rsidRPr="00EB5208" w:rsidRDefault="00EB5208" w:rsidP="00EB5208">
      <w:pPr>
        <w:pStyle w:val="a2"/>
        <w:rPr>
          <w:rtl/>
        </w:rPr>
      </w:pPr>
      <w:r w:rsidRPr="00EB5208">
        <w:rPr>
          <w:rtl/>
        </w:rPr>
        <w:t>וכתב בשו"ת מנחת אלעזר (ח"ב סי' נד בהגה"ה) די"ל שהרא"ש סובר דכמו שאמרו שבמצות ולא ירבה לו נשים גם רבי יהודה מודה דדרשינן טעמא דקרא המפורש בתורה, הוא הדין במצות כתיבת ס"ת, כיון שמפורש בקרא "ולמדה את בנ"י"</w:t>
      </w:r>
      <w:r w:rsidRPr="00EB5208">
        <w:t xml:space="preserve"> </w:t>
      </w:r>
      <w:r w:rsidRPr="00EB5208">
        <w:rPr>
          <w:rtl/>
        </w:rPr>
        <w:t>יש לדרוש הטעם "לפטור מכתיבת ס"ת"</w:t>
      </w:r>
      <w:r w:rsidRPr="00EB5208">
        <w:t xml:space="preserve"> </w:t>
      </w:r>
      <w:r w:rsidRPr="00EB5208">
        <w:rPr>
          <w:rtl/>
        </w:rPr>
        <w:t>בזה"ז ונשאר רק החיוב "לקנות ש"ס ופוסקים כדי ללמוד בהם, דזיל בתר טעמא".</w:t>
      </w:r>
    </w:p>
    <w:p w14:paraId="4C6CEEB1" w14:textId="02E40A90" w:rsidR="00EB5208" w:rsidRPr="00EB5208" w:rsidRDefault="00EB5208" w:rsidP="00EB5208">
      <w:pPr>
        <w:pStyle w:val="a2"/>
        <w:rPr>
          <w:rtl/>
        </w:rPr>
      </w:pPr>
      <w:r w:rsidRPr="00EB5208">
        <w:rPr>
          <w:rtl/>
        </w:rPr>
        <w:t xml:space="preserve">וע"פ דברי הב"י והט"ז הנ"ל י"ל דס"ל להרמב"ם דהוא הדין גם כשאין הטעם </w:t>
      </w:r>
      <w:r w:rsidRPr="00EB5208">
        <w:rPr>
          <w:rtl/>
        </w:rPr>
        <w:lastRenderedPageBreak/>
        <w:t xml:space="preserve">מפורש בתורה אלא שהדבר מבואר מתוך המשך הכתובים בתורה וכבנידון איסורי הקפת הפאה והשחתת הזקן שנמצאו </w:t>
      </w:r>
      <w:r w:rsidRPr="00EB5208">
        <w:rPr>
          <w:b/>
          <w:bCs/>
          <w:rtl/>
        </w:rPr>
        <w:t>"</w:t>
      </w:r>
      <w:r w:rsidRPr="00EB5208">
        <w:rPr>
          <w:rtl/>
        </w:rPr>
        <w:t>מוקפות מלפניהן ומלאחריהן" באיסורים הקשורים לעניני ע"ז וחוקותי', ש"</w:t>
      </w:r>
      <w:r w:rsidRPr="00EB5208">
        <w:rPr>
          <w:b/>
          <w:bCs/>
          <w:rtl/>
        </w:rPr>
        <w:t>הרי זה כמפרש</w:t>
      </w:r>
      <w:r w:rsidRPr="00EB5208">
        <w:rPr>
          <w:rtl/>
        </w:rPr>
        <w:t>" שגם איסורים אלו הם "מפני שהיו עושין כן עוע"ז"</w:t>
      </w:r>
      <w:r w:rsidRPr="00EB5208">
        <w:t xml:space="preserve"> </w:t>
      </w:r>
      <w:r w:rsidRPr="00EB5208">
        <w:rPr>
          <w:rtl/>
        </w:rPr>
        <w:t>וכמ"ש הב"י.</w:t>
      </w:r>
    </w:p>
    <w:p w14:paraId="4F1F3D49" w14:textId="438DC677" w:rsidR="00EB5208" w:rsidRPr="00EB5208" w:rsidRDefault="00EB5208" w:rsidP="00EB5208">
      <w:pPr>
        <w:pStyle w:val="a2"/>
        <w:rPr>
          <w:rtl/>
        </w:rPr>
      </w:pPr>
      <w:r w:rsidRPr="00EB5208">
        <w:rPr>
          <w:rtl/>
        </w:rPr>
        <w:t>ועד"ז נראה לומר בביאור דעת ספר החינוך, ובהקדם לשון הכתובים בס"פ כי תצא: "</w:t>
      </w:r>
      <w:r w:rsidRPr="00EB5208">
        <w:rPr>
          <w:b/>
          <w:bCs/>
          <w:rtl/>
        </w:rPr>
        <w:t>זכור את אשר עשה לך עמלק</w:t>
      </w:r>
      <w:r w:rsidRPr="00EB5208">
        <w:rPr>
          <w:rtl/>
        </w:rPr>
        <w:t xml:space="preserve"> בדרך בצאתכם ממצרים. אשר קרך בדרך ויזנב בך כל הנחשלים אחריך ואתה עיף ויגע ולא ירא אלקים. והי' בהניח ה"א לך מכל איביך מסביב בארץ אשר ה"א נותן לך נחלה לרשתה </w:t>
      </w:r>
      <w:r w:rsidRPr="00EB5208">
        <w:rPr>
          <w:b/>
          <w:bCs/>
          <w:rtl/>
        </w:rPr>
        <w:t>תמחה את זכר עמלק</w:t>
      </w:r>
      <w:r w:rsidRPr="00EB5208">
        <w:rPr>
          <w:rtl/>
        </w:rPr>
        <w:t xml:space="preserve"> מתחת השמים </w:t>
      </w:r>
      <w:r w:rsidRPr="00EB5208">
        <w:rPr>
          <w:b/>
          <w:bCs/>
          <w:rtl/>
        </w:rPr>
        <w:t>לא תשכח</w:t>
      </w:r>
      <w:r>
        <w:rPr>
          <w:rtl/>
        </w:rPr>
        <w:t>".</w:t>
      </w:r>
    </w:p>
    <w:p w14:paraId="7C7EF65A" w14:textId="77777777" w:rsidR="00EB5208" w:rsidRPr="00EB5208" w:rsidRDefault="00EB5208" w:rsidP="00EB5208">
      <w:pPr>
        <w:pStyle w:val="a2"/>
        <w:rPr>
          <w:rtl/>
        </w:rPr>
      </w:pPr>
      <w:r w:rsidRPr="00EB5208">
        <w:rPr>
          <w:rtl/>
        </w:rPr>
        <w:t>הרי שהקיף הכתוב [מלפניו ומלאחריו] מצות מחיית עמלק במ"ע דזכירת מעשה עמלק ובמל"ת דלא תשכח מעשה עמלק, ומזה למד החינוך שיסוד המ"ע דזכירה והמל"ת דשכחה אינו אלא כדי לחזק את קיום מצות מחיית עמלק, ו"</w:t>
      </w:r>
      <w:r w:rsidRPr="00EB5208">
        <w:rPr>
          <w:b/>
          <w:bCs/>
          <w:rtl/>
        </w:rPr>
        <w:t>הרי זה כמפרש</w:t>
      </w:r>
      <w:r w:rsidRPr="00EB5208">
        <w:rPr>
          <w:rtl/>
        </w:rPr>
        <w:t>" שזהו טעם מצות זכירה ואיסור שכחה</w:t>
      </w:r>
      <w:r w:rsidRPr="00EB5208">
        <w:rPr>
          <w:rStyle w:val="FootnoteReference"/>
          <w:rtl/>
        </w:rPr>
        <w:footnoteReference w:id="32"/>
      </w:r>
      <w:r w:rsidRPr="00EB5208">
        <w:rPr>
          <w:rtl/>
        </w:rPr>
        <w:t>, ואשר על כן פסק החינוך שנשים פטורות מצוות אלו, דבכה"ג אכן דרשינן טעמא דקרא.</w:t>
      </w:r>
    </w:p>
    <w:p w14:paraId="707A9F5C" w14:textId="1B10993C" w:rsidR="00EB5208" w:rsidRPr="00EB5208" w:rsidRDefault="00EB5208" w:rsidP="00EB5208">
      <w:pPr>
        <w:pStyle w:val="a2"/>
        <w:rPr>
          <w:rtl/>
        </w:rPr>
      </w:pPr>
      <w:r w:rsidRPr="00EB5208">
        <w:rPr>
          <w:rtl/>
        </w:rPr>
        <w:t>שוב ראיתי בשו"ת התעוררות תשובה (להגר"ש סופר) חלק ראשון (סי' ה) שכתב מדנפשי' לפטור נשים משמיעת פרשת זכור וכסברת ספר החינוך הנ"ל, ד"כיון דתליא תורת הטעם דזכירה משום 'והי' כי יניח ה"א לך מכל אויביך מסביב וגו', תמחה את עמלק' והיינו במלחמה, ונשים אין דרכן לכבוש, דמהאי טעמא פטורי גם כן מפו"ר ד'כבשה' כתיב (בראשית א, כח)</w:t>
      </w:r>
      <w:r w:rsidRPr="00EB5208">
        <w:t xml:space="preserve"> </w:t>
      </w:r>
      <w:r w:rsidRPr="00EB5208">
        <w:rPr>
          <w:rtl/>
        </w:rPr>
        <w:t>מי שדרכו לכבוש (יבמות סה, ב), הוא הדין בזה, כיון דכל טעמא דכל המצוה הוא כדי לזכור לעת המיועד ומצוי לנו למחות זרעו של עמלק, ונשים לאו בני כיבוש נינהו"</w:t>
      </w:r>
      <w:r w:rsidRPr="00EB5208">
        <w:t xml:space="preserve"> </w:t>
      </w:r>
      <w:r w:rsidRPr="00EB5208">
        <w:rPr>
          <w:rtl/>
        </w:rPr>
        <w:t>הרי הן פטורות ממצוה זו. ושוב הוסיף:</w:t>
      </w:r>
      <w:r w:rsidRPr="00EB5208">
        <w:t xml:space="preserve"> </w:t>
      </w:r>
      <w:r w:rsidRPr="00EB5208">
        <w:rPr>
          <w:rtl/>
        </w:rPr>
        <w:t xml:space="preserve">"הגם דלא דרשינן טעמא דקרא, ומכל שכן לקולא, מכל מקום הכא </w:t>
      </w:r>
      <w:r w:rsidRPr="00EB5208">
        <w:rPr>
          <w:b/>
          <w:bCs/>
          <w:rtl/>
        </w:rPr>
        <w:t xml:space="preserve">דבפירוש כתבה קרא להאי טעמא </w:t>
      </w:r>
      <w:r w:rsidRPr="00EB5208">
        <w:rPr>
          <w:rtl/>
        </w:rPr>
        <w:t>דרשינן לי'", והוא כמשנ"ת.</w:t>
      </w:r>
    </w:p>
    <w:p w14:paraId="15AAFAB9" w14:textId="77777777" w:rsidR="005879D2" w:rsidRPr="00552D8B" w:rsidRDefault="005879D2" w:rsidP="005E6E84">
      <w:pPr>
        <w:pStyle w:val="a4"/>
        <w:sectPr w:rsidR="005879D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60FE5AB" w14:textId="77777777" w:rsidR="0098357F" w:rsidRPr="0098357F" w:rsidRDefault="0098357F" w:rsidP="0098357F">
      <w:pPr>
        <w:pStyle w:val="a"/>
        <w:rPr>
          <w:rFonts w:eastAsia="Calibri"/>
          <w:rtl/>
        </w:rPr>
      </w:pPr>
      <w:bookmarkStart w:id="134" w:name="_Toc3515493"/>
      <w:r w:rsidRPr="0098357F">
        <w:rPr>
          <w:rFonts w:eastAsia="Calibri" w:hint="cs"/>
          <w:rtl/>
        </w:rPr>
        <w:lastRenderedPageBreak/>
        <w:t>הלל בציבור</w:t>
      </w:r>
      <w:bookmarkEnd w:id="134"/>
    </w:p>
    <w:p w14:paraId="2AEA8679" w14:textId="4FAE90F8" w:rsidR="0098357F" w:rsidRPr="0098357F" w:rsidRDefault="0098357F" w:rsidP="00C40187">
      <w:pPr>
        <w:pStyle w:val="a0"/>
        <w:rPr>
          <w:rtl/>
        </w:rPr>
      </w:pPr>
      <w:bookmarkStart w:id="135" w:name="_Toc458140187"/>
      <w:r w:rsidRPr="0098357F">
        <w:rPr>
          <w:rtl/>
        </w:rPr>
        <w:t xml:space="preserve"> </w:t>
      </w:r>
      <w:bookmarkStart w:id="136" w:name="_Toc3515494"/>
      <w:r w:rsidR="00EB5208">
        <w:rPr>
          <w:rFonts w:hint="cs"/>
          <w:rtl/>
        </w:rPr>
        <w:t xml:space="preserve">הרב </w:t>
      </w:r>
      <w:r w:rsidRPr="0098357F">
        <w:rPr>
          <w:rtl/>
        </w:rPr>
        <w:t>מנחם מענדל רייצס</w:t>
      </w:r>
      <w:bookmarkEnd w:id="135"/>
      <w:bookmarkEnd w:id="136"/>
    </w:p>
    <w:p w14:paraId="02359006" w14:textId="46DA7A94" w:rsidR="0098357F" w:rsidRPr="0098357F" w:rsidRDefault="0098357F" w:rsidP="00F8255E">
      <w:pPr>
        <w:pStyle w:val="a1"/>
        <w:rPr>
          <w:rtl/>
        </w:rPr>
      </w:pPr>
      <w:r w:rsidRPr="0098357F">
        <w:rPr>
          <w:rtl/>
        </w:rPr>
        <w:t>קרית גת</w:t>
      </w:r>
      <w:r>
        <w:rPr>
          <w:rFonts w:hint="cs"/>
          <w:rtl/>
        </w:rPr>
        <w:t>, אה"ק</w:t>
      </w:r>
    </w:p>
    <w:p w14:paraId="5BE2F545" w14:textId="77777777" w:rsidR="0098357F" w:rsidRPr="00BB57FB" w:rsidRDefault="0098357F" w:rsidP="00F8255E">
      <w:pPr>
        <w:pStyle w:val="a2"/>
        <w:rPr>
          <w:rtl/>
        </w:rPr>
      </w:pPr>
      <w:r w:rsidRPr="00BB57FB">
        <w:rPr>
          <w:rFonts w:hint="cs"/>
          <w:rtl/>
        </w:rPr>
        <w:t>ב'שולחן מ</w:t>
      </w:r>
      <w:r w:rsidRPr="0098357F">
        <w:rPr>
          <w:rFonts w:hint="cs"/>
          <w:rtl/>
        </w:rPr>
        <w:t>נחם' חלק ב ע' רנ הובאה אגרת קודש מכ"ק אדמו"ר וז"ל: "מסופר</w:t>
      </w:r>
      <w:r w:rsidRPr="00BB57FB">
        <w:rPr>
          <w:rFonts w:hint="cs"/>
          <w:rtl/>
        </w:rPr>
        <w:t xml:space="preserve"> בפי חסידים, שאף שרבותינו נשיאינו בתפלת שבת היו מאריכים בתפלה אפילו כמה שעות לאחרי גמר הצבור את תפלתם, </w:t>
      </w:r>
      <w:r w:rsidRPr="00BB57FB">
        <w:rPr>
          <w:rFonts w:hint="cs"/>
          <w:b/>
          <w:bCs/>
          <w:rtl/>
        </w:rPr>
        <w:t>הנה ביום טוב היו מסתדרים באופן לגמור תפלת השחר עם הצבור ולאמר הלל עמהם</w:t>
      </w:r>
      <w:r w:rsidRPr="00BB57FB">
        <w:rPr>
          <w:rFonts w:hint="cs"/>
          <w:rtl/>
        </w:rPr>
        <w:t xml:space="preserve">" [וראה שם עוד דברים שאמר כ"ק אדמו"ר ב'יחידות' לא' החסידים: "צריכים להגיד הלל במנין"]. </w:t>
      </w:r>
    </w:p>
    <w:p w14:paraId="2CE82FA9" w14:textId="77777777" w:rsidR="0098357F" w:rsidRPr="00BB57FB" w:rsidRDefault="0098357F" w:rsidP="00F8255E">
      <w:pPr>
        <w:pStyle w:val="a2"/>
      </w:pPr>
      <w:r w:rsidRPr="00BB57FB">
        <w:rPr>
          <w:rFonts w:hint="cs"/>
          <w:rtl/>
        </w:rPr>
        <w:t xml:space="preserve">ולפום ריהטא, לכאורה בהנהגת </w:t>
      </w:r>
      <w:r w:rsidRPr="00BB57FB">
        <w:rPr>
          <w:rFonts w:hint="cs"/>
          <w:b/>
          <w:bCs/>
          <w:rtl/>
        </w:rPr>
        <w:t>כ"ק אדמו"ר עצמו</w:t>
      </w:r>
      <w:r w:rsidRPr="00BB57FB">
        <w:rPr>
          <w:rFonts w:hint="cs"/>
          <w:rtl/>
        </w:rPr>
        <w:t xml:space="preserve"> - לא ראינו </w:t>
      </w:r>
      <w:r w:rsidRPr="00BB57FB">
        <w:rPr>
          <w:rFonts w:hint="cs"/>
          <w:b/>
          <w:bCs/>
          <w:rtl/>
        </w:rPr>
        <w:t>הדגשה מיוחדת</w:t>
      </w:r>
      <w:r w:rsidRPr="00BB57FB">
        <w:rPr>
          <w:rFonts w:hint="cs"/>
          <w:rtl/>
        </w:rPr>
        <w:t xml:space="preserve"> לענין אמירת הלל בציבור, כי:</w:t>
      </w:r>
      <w:r w:rsidRPr="00BB57FB">
        <w:rPr>
          <w:rFonts w:hint="cs"/>
        </w:rPr>
        <w:t xml:space="preserve"> </w:t>
      </w:r>
    </w:p>
    <w:p w14:paraId="62793DD6" w14:textId="77777777" w:rsidR="0098357F" w:rsidRPr="00BB57FB" w:rsidRDefault="0098357F" w:rsidP="00F8255E">
      <w:pPr>
        <w:pStyle w:val="a2"/>
        <w:rPr>
          <w:rtl/>
        </w:rPr>
      </w:pPr>
      <w:r w:rsidRPr="00BB57FB">
        <w:rPr>
          <w:rFonts w:hint="cs"/>
          <w:rtl/>
        </w:rPr>
        <w:t>בשנים האחרונות (לאחר כ"ב שבט תשמ"ח)</w:t>
      </w:r>
      <w:r w:rsidRPr="00BB57FB">
        <w:rPr>
          <w:rFonts w:hint="cs"/>
        </w:rPr>
        <w:t xml:space="preserve"> </w:t>
      </w:r>
      <w:r w:rsidRPr="00BB57FB">
        <w:rPr>
          <w:rFonts w:hint="cs"/>
          <w:rtl/>
        </w:rPr>
        <w:t xml:space="preserve">התפלל בכל יום בציבור, ללא הבדל כלל; </w:t>
      </w:r>
    </w:p>
    <w:p w14:paraId="6046139B" w14:textId="77777777" w:rsidR="0098357F" w:rsidRPr="00BB57FB" w:rsidRDefault="0098357F" w:rsidP="00F8255E">
      <w:pPr>
        <w:pStyle w:val="a2"/>
        <w:rPr>
          <w:rFonts w:hint="cs"/>
          <w:rtl/>
        </w:rPr>
      </w:pPr>
      <w:r w:rsidRPr="00BB57FB">
        <w:rPr>
          <w:rFonts w:hint="cs"/>
          <w:rtl/>
        </w:rPr>
        <w:t xml:space="preserve">ובשנים שלפני כן גם לא ראינו שיאמר דוקא הלל בציבור </w:t>
      </w:r>
      <w:r w:rsidRPr="00BB57FB">
        <w:rPr>
          <w:rtl/>
        </w:rPr>
        <w:t>–</w:t>
      </w:r>
      <w:r w:rsidRPr="00BB57FB">
        <w:rPr>
          <w:rFonts w:hint="cs"/>
          <w:rtl/>
        </w:rPr>
        <w:t xml:space="preserve"> כי:</w:t>
      </w:r>
      <w:r w:rsidRPr="00BB57FB">
        <w:rPr>
          <w:rFonts w:hint="cs"/>
        </w:rPr>
        <w:t xml:space="preserve"> </w:t>
      </w:r>
      <w:r w:rsidRPr="00BB57FB">
        <w:rPr>
          <w:rFonts w:hint="cs"/>
          <w:rtl/>
        </w:rPr>
        <w:t xml:space="preserve">בימי חול הרי בכלל </w:t>
      </w:r>
      <w:r w:rsidRPr="00BB57FB">
        <w:rPr>
          <w:rFonts w:hint="cs"/>
          <w:b/>
          <w:bCs/>
          <w:rtl/>
        </w:rPr>
        <w:t xml:space="preserve">לא </w:t>
      </w:r>
      <w:r w:rsidRPr="00BB57FB">
        <w:rPr>
          <w:rFonts w:hint="cs"/>
          <w:rtl/>
        </w:rPr>
        <w:t xml:space="preserve">היה נכנס להתפלל בציבור תפילת שחרית, גם לא בימי חנוכה ובימי ר"ח שבהם אומרים הלל, ולאידך, בימי שבת וחג (כולל חוה"מ) היה נכנס להתפלל בציבור </w:t>
      </w:r>
      <w:r w:rsidRPr="00BB57FB">
        <w:rPr>
          <w:rFonts w:hint="cs"/>
          <w:b/>
          <w:bCs/>
          <w:rtl/>
        </w:rPr>
        <w:t>תמיד</w:t>
      </w:r>
      <w:r w:rsidRPr="00BB57FB">
        <w:rPr>
          <w:rFonts w:hint="cs"/>
          <w:rtl/>
        </w:rPr>
        <w:t xml:space="preserve">, אף שבשבת הרי אין אומרים הלל. </w:t>
      </w:r>
    </w:p>
    <w:p w14:paraId="7B6B0B7B" w14:textId="77777777" w:rsidR="0098357F" w:rsidRPr="00BB57FB" w:rsidRDefault="0098357F" w:rsidP="00F8255E">
      <w:pPr>
        <w:pStyle w:val="a2"/>
        <w:rPr>
          <w:rtl/>
        </w:rPr>
      </w:pPr>
      <w:r w:rsidRPr="00BB57FB">
        <w:rPr>
          <w:rFonts w:hint="cs"/>
          <w:rtl/>
        </w:rPr>
        <w:t>אך כד דייקת שפיר כן היה ניכר אצל כ"ק אדמו"ר השתדלות מיוחדת בענין זה -</w:t>
      </w:r>
      <w:r w:rsidRPr="00BB57FB">
        <w:rPr>
          <w:rFonts w:hint="cs"/>
          <w:b/>
          <w:bCs/>
          <w:rtl/>
        </w:rPr>
        <w:t>בשנת תשל"ח</w:t>
      </w:r>
      <w:r w:rsidRPr="00BB57FB">
        <w:rPr>
          <w:rFonts w:hint="cs"/>
          <w:rtl/>
        </w:rPr>
        <w:t xml:space="preserve">: </w:t>
      </w:r>
    </w:p>
    <w:p w14:paraId="54A45648" w14:textId="77777777" w:rsidR="0098357F" w:rsidRPr="00BB57FB" w:rsidRDefault="0098357F" w:rsidP="00F8255E">
      <w:pPr>
        <w:pStyle w:val="a2"/>
        <w:rPr>
          <w:rtl/>
        </w:rPr>
      </w:pPr>
      <w:r w:rsidRPr="00BB57FB">
        <w:rPr>
          <w:rFonts w:hint="cs"/>
          <w:rtl/>
        </w:rPr>
        <w:t xml:space="preserve">באותה שנה, הנה בעקבות מצב הבריאות כו', גם בשבת לא היה כ"ק אדמו"ר מתפלל עם הציבור תפלת שחרית (וגם בשבת מברכים לא נכנס לומר התהלים), אלא נכנס </w:t>
      </w:r>
      <w:r w:rsidRPr="00BB57FB">
        <w:rPr>
          <w:rFonts w:hint="cs"/>
          <w:b/>
          <w:bCs/>
          <w:rtl/>
        </w:rPr>
        <w:t>רק לקריאת התורה</w:t>
      </w:r>
      <w:r w:rsidRPr="00BB57FB">
        <w:rPr>
          <w:rFonts w:hint="cs"/>
          <w:rtl/>
        </w:rPr>
        <w:t xml:space="preserve"> (ונשאר לתפלת מוסף שלאחריה). </w:t>
      </w:r>
    </w:p>
    <w:p w14:paraId="3F8EF7E0" w14:textId="77777777" w:rsidR="0098357F" w:rsidRPr="00BB57FB" w:rsidRDefault="0098357F" w:rsidP="00F8255E">
      <w:pPr>
        <w:pStyle w:val="a2"/>
        <w:rPr>
          <w:rtl/>
        </w:rPr>
      </w:pPr>
      <w:r w:rsidRPr="00BB57FB">
        <w:rPr>
          <w:rFonts w:hint="cs"/>
          <w:rtl/>
        </w:rPr>
        <w:t xml:space="preserve">אמנם בימים טובים דחג הפסח וחג השבועות הקדים את כניסתו </w:t>
      </w:r>
      <w:r w:rsidRPr="00BB57FB">
        <w:rPr>
          <w:rFonts w:hint="cs"/>
          <w:b/>
          <w:bCs/>
          <w:rtl/>
        </w:rPr>
        <w:t>ונכנס כבר לאמירת ה'הלל'</w:t>
      </w:r>
      <w:r w:rsidRPr="00BB57FB">
        <w:rPr>
          <w:rFonts w:hint="cs"/>
          <w:rtl/>
        </w:rPr>
        <w:t xml:space="preserve"> (אף שלא היה נוכח בתפילת שחרית). </w:t>
      </w:r>
    </w:p>
    <w:p w14:paraId="6AC81F8B" w14:textId="77777777" w:rsidR="0098357F" w:rsidRPr="00EB5208" w:rsidRDefault="0098357F" w:rsidP="00F8255E">
      <w:pPr>
        <w:pStyle w:val="11"/>
        <w:bidi/>
        <w:rPr>
          <w:rFonts w:ascii="FbFrankReal" w:hAnsi="FbFrankReal" w:cs="FbFrankReal"/>
          <w:rtl/>
        </w:rPr>
      </w:pPr>
      <w:r w:rsidRPr="00EB5208">
        <w:rPr>
          <w:rFonts w:ascii="FbFrankReal" w:hAnsi="FbFrankReal" w:cs="FbFrankReal"/>
          <w:rtl/>
        </w:rPr>
        <w:t>*</w:t>
      </w:r>
    </w:p>
    <w:p w14:paraId="1A6F092A" w14:textId="77777777" w:rsidR="0098357F" w:rsidRPr="00BB57FB" w:rsidRDefault="0098357F" w:rsidP="00F8255E">
      <w:pPr>
        <w:pStyle w:val="a2"/>
        <w:rPr>
          <w:rtl/>
        </w:rPr>
      </w:pPr>
      <w:r w:rsidRPr="00BB57FB">
        <w:rPr>
          <w:rFonts w:hint="cs"/>
          <w:rtl/>
        </w:rPr>
        <w:t>ומזה באים אנו לבירור פרט נוסף:</w:t>
      </w:r>
    </w:p>
    <w:p w14:paraId="30BF58DD" w14:textId="77777777" w:rsidR="0098357F" w:rsidRPr="00BB57FB" w:rsidRDefault="0098357F" w:rsidP="00F8255E">
      <w:pPr>
        <w:pStyle w:val="a2"/>
        <w:rPr>
          <w:rtl/>
        </w:rPr>
      </w:pPr>
      <w:r w:rsidRPr="00BB57FB">
        <w:rPr>
          <w:rFonts w:hint="cs"/>
          <w:rtl/>
        </w:rPr>
        <w:t xml:space="preserve">מקובל מפי חסידים, שההדגשה על הלל בציבור היא בעיקר </w:t>
      </w:r>
      <w:r w:rsidRPr="00BB57FB">
        <w:rPr>
          <w:rFonts w:hint="cs"/>
          <w:b/>
          <w:bCs/>
          <w:rtl/>
        </w:rPr>
        <w:t>ביו"ט</w:t>
      </w:r>
      <w:r w:rsidRPr="00BB57FB">
        <w:rPr>
          <w:rFonts w:hint="cs"/>
          <w:rtl/>
        </w:rPr>
        <w:t xml:space="preserve"> (וכנראה גם </w:t>
      </w:r>
      <w:r w:rsidRPr="00BB57FB">
        <w:rPr>
          <w:rFonts w:hint="cs"/>
          <w:rtl/>
        </w:rPr>
        <w:lastRenderedPageBreak/>
        <w:t xml:space="preserve">בחול המועד), אבל בר"ח ובחנוכה לא הקפידו על כך </w:t>
      </w:r>
      <w:r w:rsidRPr="00BB57FB">
        <w:rPr>
          <w:rtl/>
        </w:rPr>
        <w:t>–</w:t>
      </w:r>
      <w:r w:rsidRPr="00BB57FB">
        <w:rPr>
          <w:rFonts w:hint="cs"/>
          <w:rtl/>
        </w:rPr>
        <w:t xml:space="preserve"> בין בחול ובין בשבת. וכן משמע מהסיפורים על רבותינו נשיאינו שהיה להם שקו"ט אם לומר ברכת ההלל בר"ח כשמתפללים ביחיד </w:t>
      </w:r>
      <w:r w:rsidRPr="00BB57FB">
        <w:rPr>
          <w:rtl/>
        </w:rPr>
        <w:t>–</w:t>
      </w:r>
      <w:r w:rsidRPr="00BB57FB">
        <w:rPr>
          <w:rFonts w:hint="cs"/>
          <w:rtl/>
        </w:rPr>
        <w:t xml:space="preserve"> וראה בהגהות כ"ק אדמו"ר מהורש"ב נ"ע לסידור ד"ה הלל: "ואני שאלתי מכ"ק אאמו"ר זצוקללה"ה (=מהר"ש) אם לברך תחלה וסוף ביחיד, וא"ל ששאל זאת מכ"ק אאזמו"ר זצוקללה"ה (=צמח צדק) והשיב לו שיכולים לעשות כמו שרוצים" - ומשמע שהיתה זו מציאות שכיחה אצל רבותינו. </w:t>
      </w:r>
    </w:p>
    <w:p w14:paraId="37C0F080" w14:textId="04077706" w:rsidR="0098357F" w:rsidRPr="00BB57FB" w:rsidRDefault="0098357F" w:rsidP="00F8255E">
      <w:pPr>
        <w:pStyle w:val="a2"/>
        <w:rPr>
          <w:rtl/>
        </w:rPr>
      </w:pPr>
      <w:r w:rsidRPr="00BB57FB">
        <w:rPr>
          <w:rFonts w:hint="cs"/>
          <w:rtl/>
        </w:rPr>
        <w:t>[אך להעיר, כנראה שהיה שכיח גם שכן מתפללים במנין הלל דר"ח, וכן משמע קצת מרשימת הרה"ח אלי' סימפסאן (הובא בקובץ 'הערות וביאורים' גליון תתקסח ע' 73): "בימים שאין גומרים בהם את ההלל, ראיתי שאדמו"ר רש"ב נ"ע זי"ע קודם אמירת ההלל, הי' מחזיר את פניו לש"ץ [בכדי לרמז שיהי' מוציא אותו עם הברכות]". ואולי תלוי היה אם ר"ח חל בשבת או בחול, ועוד.</w:t>
      </w:r>
      <w:r w:rsidR="005D7B4D">
        <w:rPr>
          <w:rFonts w:hint="cs"/>
          <w:rtl/>
        </w:rPr>
        <w:t xml:space="preserve"> </w:t>
      </w:r>
    </w:p>
    <w:p w14:paraId="7FD72CA6" w14:textId="77777777" w:rsidR="0098357F" w:rsidRPr="00BB57FB" w:rsidRDefault="0098357F" w:rsidP="00F8255E">
      <w:pPr>
        <w:pStyle w:val="a2"/>
        <w:rPr>
          <w:rtl/>
        </w:rPr>
      </w:pPr>
      <w:r w:rsidRPr="00BB57FB">
        <w:rPr>
          <w:rFonts w:hint="cs"/>
          <w:rtl/>
        </w:rPr>
        <w:t xml:space="preserve">ולגבי כ"ק אדמו"ר הצ"צ מצינו במפורש שהי' יורד בעצמו לפני התיבה בהלל דר"ח (לפעמים) </w:t>
      </w:r>
      <w:r w:rsidRPr="00BB57FB">
        <w:rPr>
          <w:rtl/>
        </w:rPr>
        <w:t>–</w:t>
      </w:r>
      <w:r w:rsidRPr="00BB57FB">
        <w:rPr>
          <w:rFonts w:hint="cs"/>
          <w:rtl/>
        </w:rPr>
        <w:t xml:space="preserve"> ראה סה"ש תש"ו ע' 11 ובהנסמן שם. אך שם הוא מצד הספק בענין הברכה, וככל הנראה שבדורות שלאח"ז לא חששו לזה כי הכריעו ברור שאפשר לברך גם ביחיד, וכמפורש ב'היום יום' ר"ח טבת]. </w:t>
      </w:r>
    </w:p>
    <w:p w14:paraId="7CD8C773" w14:textId="77777777" w:rsidR="0098357F" w:rsidRPr="00BB57FB" w:rsidRDefault="0098357F" w:rsidP="00F8255E">
      <w:pPr>
        <w:pStyle w:val="a2"/>
        <w:rPr>
          <w:rtl/>
        </w:rPr>
      </w:pPr>
      <w:r w:rsidRPr="00BB57FB">
        <w:rPr>
          <w:rFonts w:hint="cs"/>
          <w:rtl/>
        </w:rPr>
        <w:t xml:space="preserve">ובכן, הבדל זה בין הלל </w:t>
      </w:r>
      <w:r w:rsidRPr="00BB57FB">
        <w:rPr>
          <w:rFonts w:hint="cs"/>
          <w:b/>
          <w:bCs/>
          <w:rtl/>
        </w:rPr>
        <w:t>דיו"ט</w:t>
      </w:r>
      <w:r w:rsidRPr="00BB57FB">
        <w:rPr>
          <w:rFonts w:hint="cs"/>
          <w:rtl/>
        </w:rPr>
        <w:t xml:space="preserve"> לבין הלל </w:t>
      </w:r>
      <w:r w:rsidRPr="00BB57FB">
        <w:rPr>
          <w:rFonts w:hint="cs"/>
          <w:b/>
          <w:bCs/>
          <w:rtl/>
        </w:rPr>
        <w:t>דר"ח וחנוכה</w:t>
      </w:r>
      <w:r w:rsidRPr="00BB57FB">
        <w:rPr>
          <w:rFonts w:hint="cs"/>
          <w:rtl/>
        </w:rPr>
        <w:t>, לכאורה מפורש הוא בהנהגת כ"ק אדמו"ר הנ"ל בשנת תשל"ח:</w:t>
      </w:r>
      <w:r w:rsidRPr="00BB57FB">
        <w:rPr>
          <w:rFonts w:hint="cs"/>
        </w:rPr>
        <w:t xml:space="preserve"> </w:t>
      </w:r>
    </w:p>
    <w:p w14:paraId="23687D64" w14:textId="77777777" w:rsidR="0098357F" w:rsidRPr="00BB57FB" w:rsidRDefault="0098357F" w:rsidP="00F8255E">
      <w:pPr>
        <w:pStyle w:val="a2"/>
        <w:rPr>
          <w:rtl/>
        </w:rPr>
      </w:pPr>
      <w:r w:rsidRPr="00BB57FB">
        <w:rPr>
          <w:rFonts w:hint="cs"/>
          <w:b/>
          <w:bCs/>
          <w:rtl/>
        </w:rPr>
        <w:t>בימי החול</w:t>
      </w:r>
      <w:r w:rsidRPr="00BB57FB">
        <w:rPr>
          <w:rFonts w:hint="cs"/>
          <w:rtl/>
        </w:rPr>
        <w:t xml:space="preserve"> הנה </w:t>
      </w:r>
      <w:r w:rsidRPr="00BB57FB">
        <w:rPr>
          <w:rFonts w:hint="cs"/>
          <w:b/>
          <w:bCs/>
          <w:rtl/>
        </w:rPr>
        <w:t>ברוב השנים</w:t>
      </w:r>
      <w:r w:rsidRPr="00BB57FB">
        <w:rPr>
          <w:rFonts w:hint="cs"/>
          <w:rtl/>
        </w:rPr>
        <w:t xml:space="preserve"> לא היה נכנס כ"ק אדמו"ר לאמירת 'הלל', ויש לומר שהדבר שייך ל'סדר העבודה' המיוחד שהיה אצלו בימות החול, שלכן לא נכנס בכלל לתפלת שחרית (וגם לא למוסף דר"ח);</w:t>
      </w:r>
    </w:p>
    <w:p w14:paraId="7A9F2D7B" w14:textId="2522C996" w:rsidR="0098357F" w:rsidRPr="00BB57FB" w:rsidRDefault="0098357F" w:rsidP="00F8255E">
      <w:pPr>
        <w:pStyle w:val="a2"/>
        <w:rPr>
          <w:rtl/>
        </w:rPr>
      </w:pPr>
      <w:r w:rsidRPr="00BB57FB">
        <w:rPr>
          <w:rFonts w:hint="cs"/>
          <w:rtl/>
        </w:rPr>
        <w:t xml:space="preserve">אמנם גם </w:t>
      </w:r>
      <w:r w:rsidRPr="00BB57FB">
        <w:rPr>
          <w:rFonts w:hint="cs"/>
          <w:b/>
          <w:bCs/>
          <w:rtl/>
        </w:rPr>
        <w:t>בימי השבת שבהם אמרו הלל</w:t>
      </w:r>
      <w:r w:rsidRPr="00BB57FB">
        <w:rPr>
          <w:rFonts w:hint="cs"/>
          <w:rtl/>
        </w:rPr>
        <w:t xml:space="preserve"> בשנת תשל"ח - בשבת </w:t>
      </w:r>
      <w:r w:rsidRPr="00BB57FB">
        <w:rPr>
          <w:rFonts w:hint="cs"/>
          <w:b/>
          <w:bCs/>
          <w:rtl/>
        </w:rPr>
        <w:t>חנוכה</w:t>
      </w:r>
      <w:r w:rsidRPr="00BB57FB">
        <w:rPr>
          <w:rFonts w:hint="cs"/>
          <w:rtl/>
        </w:rPr>
        <w:t xml:space="preserve">, וגם בשבת </w:t>
      </w:r>
      <w:r w:rsidRPr="00BB57FB">
        <w:rPr>
          <w:rFonts w:hint="cs"/>
          <w:b/>
          <w:bCs/>
          <w:rtl/>
        </w:rPr>
        <w:t>ר"ח ניסן</w:t>
      </w:r>
      <w:r w:rsidRPr="00BB57FB">
        <w:rPr>
          <w:rFonts w:hint="cs"/>
          <w:rtl/>
        </w:rPr>
        <w:t xml:space="preserve"> ובשבת </w:t>
      </w:r>
      <w:r w:rsidRPr="00BB57FB">
        <w:rPr>
          <w:rFonts w:hint="cs"/>
          <w:b/>
          <w:bCs/>
          <w:rtl/>
        </w:rPr>
        <w:t>ר"ח אלול</w:t>
      </w:r>
      <w:r w:rsidRPr="00BB57FB">
        <w:rPr>
          <w:rFonts w:hint="cs"/>
          <w:rtl/>
        </w:rPr>
        <w:t xml:space="preserve"> </w:t>
      </w:r>
      <w:r w:rsidRPr="00BB57FB">
        <w:rPr>
          <w:rtl/>
        </w:rPr>
        <w:t>–</w:t>
      </w:r>
      <w:r w:rsidR="005D7B4D">
        <w:rPr>
          <w:rFonts w:hint="cs"/>
          <w:rtl/>
        </w:rPr>
        <w:t xml:space="preserve"> </w:t>
      </w:r>
      <w:r w:rsidRPr="00BB57FB">
        <w:rPr>
          <w:rFonts w:hint="cs"/>
          <w:rtl/>
        </w:rPr>
        <w:t xml:space="preserve">כ"ק אדמו"ר לא הקדים את כניסתו לבית הכנסת כדי לומר ההלל בציבור, אלא נכנס רק לקריאת התורה (כרגיל), ומזה משמע שאכן ההדגשה העיקרית על הלל בציבור היא </w:t>
      </w:r>
      <w:r w:rsidRPr="00BB57FB">
        <w:rPr>
          <w:rFonts w:hint="cs"/>
          <w:b/>
          <w:bCs/>
          <w:rtl/>
        </w:rPr>
        <w:t>דוקא ביו"ט</w:t>
      </w:r>
      <w:r w:rsidRPr="00BB57FB">
        <w:rPr>
          <w:rFonts w:hint="cs"/>
          <w:rtl/>
        </w:rPr>
        <w:t xml:space="preserve"> ולא בר"ח וחנוכה. </w:t>
      </w:r>
    </w:p>
    <w:p w14:paraId="47A0C4D0" w14:textId="70C27C84" w:rsidR="0098357F" w:rsidRPr="00BB57FB" w:rsidRDefault="0098357F" w:rsidP="00F8255E">
      <w:pPr>
        <w:pStyle w:val="a2"/>
        <w:rPr>
          <w:rtl/>
        </w:rPr>
      </w:pPr>
      <w:r w:rsidRPr="00BB57FB">
        <w:rPr>
          <w:rFonts w:hint="cs"/>
          <w:rtl/>
        </w:rPr>
        <w:t xml:space="preserve">ויש להבין במה נחשב ההלל דיו"ט במיוחד לענין זה. ובשלמא הלל דר"ח הנה הוא מנהג בלבד, אך הלל דחנוכה </w:t>
      </w:r>
      <w:r w:rsidRPr="00BB57FB">
        <w:rPr>
          <w:rtl/>
        </w:rPr>
        <w:t>–</w:t>
      </w:r>
      <w:r w:rsidRPr="00BB57FB">
        <w:rPr>
          <w:rFonts w:hint="cs"/>
          <w:rtl/>
        </w:rPr>
        <w:t xml:space="preserve"> לכאורה חשיבותו כמו הלל דיו"ט! וצ"ע.</w:t>
      </w:r>
      <w:r w:rsidR="005D7B4D">
        <w:rPr>
          <w:rFonts w:hint="cs"/>
          <w:rtl/>
        </w:rPr>
        <w:t xml:space="preserve"> </w:t>
      </w:r>
    </w:p>
    <w:p w14:paraId="691CDA3D" w14:textId="7DAB4696" w:rsidR="0098357F" w:rsidRPr="00C8154B" w:rsidRDefault="0098357F" w:rsidP="00F8255E">
      <w:pPr>
        <w:pStyle w:val="a2"/>
        <w:rPr>
          <w:rtl/>
        </w:rPr>
      </w:pPr>
      <w:r w:rsidRPr="00BB57FB">
        <w:rPr>
          <w:rFonts w:hint="cs"/>
          <w:rtl/>
        </w:rPr>
        <w:t xml:space="preserve">[וכמובן שלמעשה יש להשתדל לומר גם הלל דר"ח בציבור, וראה בקובץ 'הערות וביאורים' גליון תתקסט ע' 73, ששאל א' ביחידות לכ"ק אדמו"ר, מה לעשות באם באים לבית הכנסת מאוחר בר"ח, והציבור עומד בהלל </w:t>
      </w:r>
      <w:r w:rsidRPr="00BB57FB">
        <w:rPr>
          <w:rtl/>
        </w:rPr>
        <w:t>–</w:t>
      </w:r>
      <w:r w:rsidRPr="00BB57FB">
        <w:rPr>
          <w:rFonts w:hint="cs"/>
          <w:rtl/>
        </w:rPr>
        <w:t xml:space="preserve"> האם יאמר הלל עם הציבור, או שיאמרנו דוקא לפי סדר התפלה? וכ"ק אדמו"ר ענה לו שלכן צריכים </w:t>
      </w:r>
      <w:r w:rsidRPr="00BB57FB">
        <w:rPr>
          <w:rFonts w:hint="cs"/>
          <w:rtl/>
        </w:rPr>
        <w:lastRenderedPageBreak/>
        <w:t xml:space="preserve">להזדרז בר"ח ולבוא לביהכנ"ס בזמן. </w:t>
      </w:r>
      <w:r w:rsidRPr="00BB57FB">
        <w:rPr>
          <w:rtl/>
        </w:rPr>
        <w:t>–</w:t>
      </w:r>
      <w:r w:rsidRPr="00BB57FB">
        <w:rPr>
          <w:rFonts w:hint="cs"/>
          <w:rtl/>
        </w:rPr>
        <w:t xml:space="preserve"> ובכלל, הנה בשנים האחרונות התפלל כ"ק אדמו"ר </w:t>
      </w:r>
      <w:r w:rsidRPr="00BB57FB">
        <w:rPr>
          <w:rFonts w:hint="cs"/>
          <w:b/>
          <w:bCs/>
          <w:rtl/>
        </w:rPr>
        <w:t>כל התפלות עם הציבור</w:t>
      </w:r>
      <w:r w:rsidRPr="00BB57FB">
        <w:rPr>
          <w:rFonts w:hint="cs"/>
          <w:rtl/>
        </w:rPr>
        <w:t xml:space="preserve">, וק"ל. </w:t>
      </w:r>
      <w:r w:rsidRPr="00BB57FB">
        <w:rPr>
          <w:rtl/>
        </w:rPr>
        <w:t>–</w:t>
      </w:r>
      <w:r w:rsidRPr="00BB57FB">
        <w:rPr>
          <w:rFonts w:hint="cs"/>
          <w:rtl/>
        </w:rPr>
        <w:t xml:space="preserve"> ולא באה הערה זו אלא לברר הענין באופן ד'יגדיל תורה ויאדיר'].</w:t>
      </w:r>
    </w:p>
    <w:p w14:paraId="7BB10237" w14:textId="77777777" w:rsidR="0098357F" w:rsidRPr="00552D8B" w:rsidRDefault="0098357F" w:rsidP="005E6E84">
      <w:pPr>
        <w:pStyle w:val="a4"/>
        <w:sectPr w:rsidR="0098357F" w:rsidRPr="00552D8B" w:rsidSect="00E65DD5">
          <w:headerReference w:type="even" r:id="rId42"/>
          <w:headerReference w:type="default" r:id="rId43"/>
          <w:footnotePr>
            <w:numRestart w:val="eachSect"/>
          </w:footnotePr>
          <w:type w:val="continuous"/>
          <w:pgSz w:w="7920" w:h="12240"/>
          <w:pgMar w:top="-810" w:right="864" w:bottom="720" w:left="864" w:header="270" w:footer="0" w:gutter="0"/>
          <w:cols w:space="720"/>
          <w:docGrid w:linePitch="360"/>
        </w:sectPr>
      </w:pPr>
      <w:r w:rsidRPr="00552D8B">
        <w:t>g</w:t>
      </w:r>
    </w:p>
    <w:p w14:paraId="413FFD2C" w14:textId="77777777" w:rsidR="0098357F" w:rsidRPr="0098357F" w:rsidRDefault="0098357F" w:rsidP="0098357F">
      <w:pPr>
        <w:pStyle w:val="a"/>
        <w:rPr>
          <w:rFonts w:eastAsia="Calibri"/>
          <w:rtl/>
        </w:rPr>
      </w:pPr>
      <w:bookmarkStart w:id="137" w:name="_Toc3515495"/>
      <w:r w:rsidRPr="0098357F">
        <w:rPr>
          <w:rFonts w:eastAsia="Calibri" w:hint="cs"/>
          <w:rtl/>
        </w:rPr>
        <w:t>עניית 'אמן' דקדיש בפסוקי דזמרה</w:t>
      </w:r>
      <w:bookmarkEnd w:id="137"/>
    </w:p>
    <w:p w14:paraId="11D22DC4" w14:textId="35C89915" w:rsidR="0098357F" w:rsidRPr="00B34485" w:rsidRDefault="0098357F" w:rsidP="00C40187">
      <w:pPr>
        <w:pStyle w:val="a0"/>
        <w:rPr>
          <w:rtl/>
        </w:rPr>
      </w:pPr>
      <w:bookmarkStart w:id="138" w:name="_Toc3515496"/>
      <w:r>
        <w:rPr>
          <w:rFonts w:hint="cs"/>
          <w:rtl/>
        </w:rPr>
        <w:t>הנ"ל</w:t>
      </w:r>
      <w:bookmarkEnd w:id="138"/>
    </w:p>
    <w:p w14:paraId="47326828" w14:textId="77777777" w:rsidR="0098357F" w:rsidRDefault="0098357F" w:rsidP="00F8255E">
      <w:pPr>
        <w:pStyle w:val="a2"/>
        <w:rPr>
          <w:rtl/>
        </w:rPr>
      </w:pPr>
      <w:r>
        <w:rPr>
          <w:rFonts w:hint="cs"/>
          <w:rtl/>
        </w:rPr>
        <w:t xml:space="preserve">על גבי קובצי 'הערות וביאורים' דנו הרבה במשך השנים לענין מי שנמצא בפסוקי דזמרה ושומע קדיש </w:t>
      </w:r>
      <w:r>
        <w:rPr>
          <w:rtl/>
        </w:rPr>
        <w:t>–</w:t>
      </w:r>
      <w:r>
        <w:rPr>
          <w:rFonts w:hint="cs"/>
          <w:rtl/>
        </w:rPr>
        <w:t xml:space="preserve"> שהורה כ"ק אדמו"ר (אג"ק ח"ג ע' קמח)</w:t>
      </w:r>
      <w:r>
        <w:rPr>
          <w:rFonts w:hint="cs"/>
        </w:rPr>
        <w:t xml:space="preserve"> </w:t>
      </w:r>
      <w:r>
        <w:rPr>
          <w:rFonts w:hint="cs"/>
          <w:rtl/>
        </w:rPr>
        <w:t xml:space="preserve">שאין לענות על ה'אמנים' שלאחר 'תתקבל'; אמנם דנו האם מותר לענות את </w:t>
      </w:r>
      <w:r w:rsidRPr="00FC19A3">
        <w:rPr>
          <w:rFonts w:hint="cs"/>
          <w:b/>
          <w:bCs/>
          <w:rtl/>
        </w:rPr>
        <w:t>כל</w:t>
      </w:r>
      <w:r>
        <w:rPr>
          <w:rFonts w:hint="cs"/>
          <w:rtl/>
        </w:rPr>
        <w:t xml:space="preserve"> ה'אמן' שבחצי קדיש, ויש שהוכיחו כי ההיתר הוא רק לגבי 'אמן יהא שמיה רבה' וכן ה'אמן' האחרון של 'דאמירן בעלמא', ואילו </w:t>
      </w:r>
      <w:r w:rsidRPr="00FC19A3">
        <w:rPr>
          <w:rFonts w:hint="cs"/>
          <w:b/>
          <w:bCs/>
          <w:rtl/>
        </w:rPr>
        <w:t>שלושת ה'אמנים' הנותרים</w:t>
      </w:r>
      <w:r>
        <w:rPr>
          <w:rFonts w:hint="cs"/>
          <w:rtl/>
        </w:rPr>
        <w:t xml:space="preserve"> (של 'שמיה רבא', של 'ויקרב משיחיה', ושל 'בריך הוא')</w:t>
      </w:r>
      <w:r>
        <w:rPr>
          <w:rFonts w:hint="cs"/>
        </w:rPr>
        <w:t xml:space="preserve"> </w:t>
      </w:r>
      <w:r>
        <w:rPr>
          <w:rFonts w:hint="cs"/>
          <w:rtl/>
        </w:rPr>
        <w:t>אין לענות גם בפסוד"ז. אמנם יש שלמדו (כפשטות הענין)</w:t>
      </w:r>
      <w:r>
        <w:rPr>
          <w:rFonts w:hint="cs"/>
        </w:rPr>
        <w:t xml:space="preserve"> </w:t>
      </w:r>
      <w:r>
        <w:rPr>
          <w:rFonts w:hint="cs"/>
          <w:rtl/>
        </w:rPr>
        <w:t>שאין הבדל ומותר לענות את כל ה'אמן' שבחצי קדיש (עד 'דאמירן בעלמא').</w:t>
      </w:r>
    </w:p>
    <w:p w14:paraId="73D2A9F5" w14:textId="77777777" w:rsidR="0098357F" w:rsidRDefault="0098357F" w:rsidP="00F8255E">
      <w:pPr>
        <w:pStyle w:val="a2"/>
      </w:pPr>
      <w:r>
        <w:rPr>
          <w:rFonts w:hint="cs"/>
          <w:rtl/>
        </w:rPr>
        <w:t xml:space="preserve">[ראה בהנסמן בספר 'שולחן מנחם' חלק א' ע' ריג הערה ד]. </w:t>
      </w:r>
    </w:p>
    <w:p w14:paraId="73CF1DA1" w14:textId="77777777" w:rsidR="0098357F" w:rsidRDefault="0098357F" w:rsidP="00F8255E">
      <w:pPr>
        <w:pStyle w:val="a2"/>
      </w:pPr>
      <w:r w:rsidRPr="00FC19A3">
        <w:rPr>
          <w:rtl/>
        </w:rPr>
        <w:t xml:space="preserve"> </w:t>
      </w:r>
      <w:r>
        <w:rPr>
          <w:rFonts w:hint="cs"/>
          <w:rtl/>
        </w:rPr>
        <w:t xml:space="preserve">ויש להעיר בזה: </w:t>
      </w:r>
    </w:p>
    <w:p w14:paraId="6BB08C9E" w14:textId="77777777" w:rsidR="0098357F" w:rsidRDefault="0098357F" w:rsidP="00F8255E">
      <w:pPr>
        <w:pStyle w:val="a2"/>
        <w:rPr>
          <w:rtl/>
        </w:rPr>
      </w:pPr>
      <w:r>
        <w:rPr>
          <w:rFonts w:hint="cs"/>
          <w:rtl/>
        </w:rPr>
        <w:t xml:space="preserve">הזדמנו לידי שתי עדויות משני אנשים שונים (אחת על שנות הכ"ף ואחת על שנות הלמ"ד), שמתארים המעידים כיצד בתפלת ערבית לא הספיק כ"ק אדמו"ר לסיים את ברכות ק"ש עם הציבור (שהיתה זו מציאות שכיחה לפי ערך), והתחיל הש"ץ לומר קדיש כאשר כ"ק אדמו"ר היה באמצע ברכת 'השכיבנו', וראו ברור על שפתיו הק' כיצד אומר </w:t>
      </w:r>
      <w:r w:rsidRPr="00B72E02">
        <w:rPr>
          <w:rFonts w:hint="cs"/>
          <w:b/>
          <w:bCs/>
          <w:rtl/>
        </w:rPr>
        <w:t>כל</w:t>
      </w:r>
      <w:r>
        <w:rPr>
          <w:rFonts w:hint="cs"/>
          <w:rtl/>
        </w:rPr>
        <w:t xml:space="preserve"> ה'אמן' של החצי קדיש, אף שעדיין היה באמצע ברכות ק"ש. </w:t>
      </w:r>
    </w:p>
    <w:p w14:paraId="7A25C5D4" w14:textId="6F0F6F39" w:rsidR="0098357F" w:rsidRDefault="0098357F" w:rsidP="00F8255E">
      <w:pPr>
        <w:pStyle w:val="a2"/>
        <w:rPr>
          <w:sz w:val="44"/>
          <w:szCs w:val="44"/>
          <w:rtl/>
        </w:rPr>
      </w:pPr>
      <w:r>
        <w:rPr>
          <w:rFonts w:hint="cs"/>
          <w:rtl/>
        </w:rPr>
        <w:t xml:space="preserve">ואם כי יש להיזהר מלהוציא הלכה למעשה על סמך עדויות כגון אלו, כידוע, הנה לכאורה יש ללמוד מזה </w:t>
      </w:r>
      <w:r w:rsidRPr="00B72E02">
        <w:rPr>
          <w:rFonts w:hint="cs"/>
          <w:b/>
          <w:bCs/>
          <w:rtl/>
        </w:rPr>
        <w:t>עכ"פ לענין פסוקי דזמרה</w:t>
      </w:r>
      <w:r>
        <w:rPr>
          <w:rFonts w:hint="cs"/>
          <w:rtl/>
        </w:rPr>
        <w:t xml:space="preserve"> (שבוודאי קיל יותר מאשר ברכות ק"ש) שהמתיר לענות בהם על כל ה'אמן' שבחצי קדיש לא הפסיד. וק"ל.</w:t>
      </w:r>
    </w:p>
    <w:p w14:paraId="76B4ABC9" w14:textId="77777777" w:rsidR="002A3A9E" w:rsidRDefault="002A3A9E" w:rsidP="005E6E84">
      <w:pPr>
        <w:pStyle w:val="a4"/>
        <w:sectPr w:rsidR="002A3A9E" w:rsidSect="00E65DD5">
          <w:headerReference w:type="even" r:id="rId44"/>
          <w:headerReference w:type="default" r:id="rId45"/>
          <w:footnotePr>
            <w:numRestart w:val="eachSect"/>
          </w:footnotePr>
          <w:type w:val="continuous"/>
          <w:pgSz w:w="7920" w:h="12240"/>
          <w:pgMar w:top="-810" w:right="864" w:bottom="720" w:left="864" w:header="270" w:footer="0" w:gutter="0"/>
          <w:cols w:space="720"/>
          <w:docGrid w:linePitch="360"/>
        </w:sectPr>
      </w:pPr>
    </w:p>
    <w:p w14:paraId="0CB4D3F9" w14:textId="77777777" w:rsidR="002A3A9E" w:rsidRDefault="002A3A9E" w:rsidP="00097CCE">
      <w:pPr>
        <w:pStyle w:val="a"/>
        <w:rPr>
          <w:rFonts w:eastAsia="Calibri"/>
        </w:rPr>
        <w:sectPr w:rsidR="002A3A9E" w:rsidSect="00E65DD5">
          <w:headerReference w:type="even" r:id="rId46"/>
          <w:headerReference w:type="default" r:id="rId47"/>
          <w:footnotePr>
            <w:numRestart w:val="eachSect"/>
          </w:footnotePr>
          <w:type w:val="continuous"/>
          <w:pgSz w:w="7920" w:h="12240"/>
          <w:pgMar w:top="-810" w:right="864" w:bottom="720" w:left="864" w:header="270" w:footer="0" w:gutter="0"/>
          <w:cols w:space="720"/>
          <w:docGrid w:linePitch="360"/>
        </w:sectPr>
      </w:pPr>
    </w:p>
    <w:p w14:paraId="0B8140BD" w14:textId="0C2F469E" w:rsidR="00097CCE" w:rsidRPr="00097CCE" w:rsidRDefault="00097CCE" w:rsidP="00097CCE">
      <w:pPr>
        <w:pStyle w:val="a"/>
        <w:rPr>
          <w:rFonts w:eastAsia="Calibri"/>
          <w:rtl/>
        </w:rPr>
      </w:pPr>
      <w:bookmarkStart w:id="139" w:name="_Toc3515497"/>
      <w:r w:rsidRPr="00097CCE">
        <w:rPr>
          <w:rFonts w:eastAsia="Calibri" w:hint="cs"/>
          <w:rtl/>
        </w:rPr>
        <w:lastRenderedPageBreak/>
        <w:t>'מזרח' בקידוש לבנה וברכת החמה</w:t>
      </w:r>
      <w:bookmarkEnd w:id="139"/>
    </w:p>
    <w:p w14:paraId="02139E32" w14:textId="69033472" w:rsidR="00097CCE" w:rsidRDefault="00097CCE" w:rsidP="00C40187">
      <w:pPr>
        <w:pStyle w:val="a0"/>
        <w:rPr>
          <w:rtl/>
        </w:rPr>
      </w:pPr>
      <w:r w:rsidRPr="00670F63">
        <w:rPr>
          <w:rtl/>
        </w:rPr>
        <w:t xml:space="preserve"> </w:t>
      </w:r>
      <w:bookmarkStart w:id="140" w:name="_Toc3515498"/>
      <w:r>
        <w:rPr>
          <w:rFonts w:hint="cs"/>
          <w:rtl/>
        </w:rPr>
        <w:t>הנ"ל</w:t>
      </w:r>
      <w:bookmarkEnd w:id="140"/>
    </w:p>
    <w:p w14:paraId="6D477D59" w14:textId="3AD6D4DC" w:rsidR="00097CCE" w:rsidRDefault="00097CCE" w:rsidP="00F8255E">
      <w:pPr>
        <w:pStyle w:val="a2"/>
        <w:rPr>
          <w:rtl/>
        </w:rPr>
      </w:pPr>
      <w:r>
        <w:rPr>
          <w:rFonts w:hint="cs"/>
          <w:rtl/>
        </w:rPr>
        <w:t xml:space="preserve">בסידור שיצא לאור (לאחרונה) על ידי קה"ת בארץ הקודש, הוסיפו מנהגי חב"ד וכן מנהגים שנהג בהם כ"ק אדמו"ר השייכים להתפילות שבסידור. וכבר כתבו ושקו"ט בזה האם אכן ראויה הוספה זו בתוך הסידור, ולמעשה כבר נתפשטו סידורים אלו. </w:t>
      </w:r>
    </w:p>
    <w:p w14:paraId="327C4C8E" w14:textId="5EB0C666" w:rsidR="00097CCE" w:rsidRDefault="00097CCE" w:rsidP="00F8255E">
      <w:pPr>
        <w:pStyle w:val="a2"/>
        <w:rPr>
          <w:rtl/>
        </w:rPr>
      </w:pPr>
      <w:r>
        <w:rPr>
          <w:rFonts w:hint="cs"/>
          <w:rtl/>
        </w:rPr>
        <w:t xml:space="preserve">והנה ראיתי ב'קידוש לבנה' (בע' 284) שכתבו שיש לעמוד בשעת הברכה כשהפנים </w:t>
      </w:r>
      <w:r w:rsidRPr="00767D23">
        <w:rPr>
          <w:rFonts w:hint="cs"/>
          <w:b/>
          <w:bCs/>
          <w:rtl/>
        </w:rPr>
        <w:t xml:space="preserve">לכיוון ירושלים </w:t>
      </w:r>
      <w:r w:rsidRPr="00767D23">
        <w:rPr>
          <w:b/>
          <w:bCs/>
          <w:rtl/>
        </w:rPr>
        <w:t>–</w:t>
      </w:r>
      <w:r w:rsidRPr="00767D23">
        <w:rPr>
          <w:rFonts w:hint="cs"/>
          <w:b/>
          <w:bCs/>
          <w:rtl/>
        </w:rPr>
        <w:t xml:space="preserve"> 'מזרח'</w:t>
      </w:r>
      <w:r>
        <w:rPr>
          <w:rFonts w:hint="cs"/>
          <w:rtl/>
        </w:rPr>
        <w:t xml:space="preserve">, וציינו שכן נהג כ"ק אדמו"ר. </w:t>
      </w:r>
    </w:p>
    <w:p w14:paraId="202E9207" w14:textId="005D4778" w:rsidR="00097CCE" w:rsidRDefault="00097CCE" w:rsidP="00F8255E">
      <w:pPr>
        <w:pStyle w:val="a2"/>
        <w:rPr>
          <w:rtl/>
        </w:rPr>
      </w:pPr>
      <w:r>
        <w:rPr>
          <w:rFonts w:hint="cs"/>
          <w:rtl/>
        </w:rPr>
        <w:t>ובחפשי בענין זה מצאתי בכמה יומנים שציינו פעמים שבהם כ"ק אדמו"ר עמד בעת קידוש לבנה לצד 'מזרח' (כלומר, לכיוון רחוב קינגסטון), אבל לאידך גיסא שמעתי מכמה חסידים שזכור להם בבירור שהיו פעמים שעמד כ"ק אדמו"ר כשפניו לצד צפון (כלומר, לכיוון רחוב איסטרן פארקווי), וכן משמע לי בכמה תמונות, ומעתה יתכן שלא היתה בזה קפידא מיוחדת, ואולי תלוי היה במקום שממנו אפשר לראות הלבנה, ויש לברר.</w:t>
      </w:r>
      <w:r w:rsidR="005D7B4D">
        <w:rPr>
          <w:rFonts w:hint="cs"/>
          <w:rtl/>
        </w:rPr>
        <w:t xml:space="preserve"> </w:t>
      </w:r>
    </w:p>
    <w:p w14:paraId="0E0C51CF" w14:textId="72028148" w:rsidR="00097CCE" w:rsidRDefault="00097CCE" w:rsidP="00F8255E">
      <w:pPr>
        <w:pStyle w:val="a2"/>
        <w:rPr>
          <w:rtl/>
        </w:rPr>
      </w:pPr>
      <w:r>
        <w:rPr>
          <w:rFonts w:hint="cs"/>
          <w:rtl/>
        </w:rPr>
        <w:t xml:space="preserve">ואמת שיש ספרים שבהם נכתב בפירוש שיש לעמוד לצד מזרח (וגם בזה יש דיון האם הכוונה </w:t>
      </w:r>
      <w:r w:rsidRPr="00E827D4">
        <w:rPr>
          <w:rFonts w:hint="cs"/>
          <w:b/>
          <w:bCs/>
          <w:rtl/>
        </w:rPr>
        <w:t>לכיוון ירושלים</w:t>
      </w:r>
      <w:r>
        <w:rPr>
          <w:rFonts w:hint="cs"/>
          <w:rtl/>
        </w:rPr>
        <w:t xml:space="preserve"> </w:t>
      </w:r>
      <w:r>
        <w:rPr>
          <w:rtl/>
        </w:rPr>
        <w:t>–</w:t>
      </w:r>
      <w:r>
        <w:rPr>
          <w:rFonts w:hint="cs"/>
          <w:rtl/>
        </w:rPr>
        <w:t xml:space="preserve"> כמו בשמונה עשרה, או שהכוונה </w:t>
      </w:r>
      <w:r w:rsidRPr="00767D23">
        <w:rPr>
          <w:rFonts w:hint="cs"/>
          <w:b/>
          <w:bCs/>
          <w:rtl/>
        </w:rPr>
        <w:t>למזרח דוקא</w:t>
      </w:r>
      <w:r>
        <w:rPr>
          <w:rFonts w:hint="cs"/>
          <w:rtl/>
        </w:rPr>
        <w:t>, גם במקומות שירושלים אינה לצד מזרח, ולדיון זה בוודאי אי אפשר להוכיח כלום מהנהגת כ"ק אדמו"ר), אבל ברוב הפוסקים לא משמע כן, וגם בסידור אדמו"ר הזקן הרי לא הזכיר כלל דיוק בזה. וכמדומה שברוב קהילות ישראל לא מדייקים בזה, וצ"ע ובירור למעשה.</w:t>
      </w:r>
      <w:r w:rsidR="005D7B4D">
        <w:rPr>
          <w:rFonts w:hint="cs"/>
          <w:rtl/>
        </w:rPr>
        <w:t xml:space="preserve"> </w:t>
      </w:r>
    </w:p>
    <w:p w14:paraId="09382856" w14:textId="063E86D8" w:rsidR="00097CCE" w:rsidRDefault="00097CCE" w:rsidP="00F8255E">
      <w:pPr>
        <w:pStyle w:val="a2"/>
        <w:rPr>
          <w:rtl/>
        </w:rPr>
      </w:pPr>
      <w:r>
        <w:rPr>
          <w:rFonts w:hint="cs"/>
          <w:rtl/>
        </w:rPr>
        <w:t>ומענין לענין באותו ענין:</w:t>
      </w:r>
    </w:p>
    <w:p w14:paraId="4CDE0D6B" w14:textId="27C7D141" w:rsidR="00097CCE" w:rsidRDefault="00097CCE" w:rsidP="00F8255E">
      <w:pPr>
        <w:pStyle w:val="a2"/>
        <w:rPr>
          <w:rtl/>
        </w:rPr>
      </w:pPr>
      <w:r>
        <w:rPr>
          <w:rFonts w:hint="cs"/>
          <w:rtl/>
        </w:rPr>
        <w:t xml:space="preserve">לגבי 'ברכת החמה' שהיתה בניסן תשמ"א, מתועד ביומנים וניתן לראות גם בוידאו, שעמד כ"ק אדמו"ר ופניו לצד מזרח (ואיני יודע כיצד היה בתשי"ג). אמנם גם בזה יש לעיין האם יש בזה קפידא ודיוק הלכתי, או שכך נסתבבו הדברים בפועל מסיבות צדדיות. </w:t>
      </w:r>
    </w:p>
    <w:p w14:paraId="3A1812D1" w14:textId="37B37AB6" w:rsidR="00097CCE" w:rsidRDefault="00097CCE" w:rsidP="00F8255E">
      <w:pPr>
        <w:pStyle w:val="a2"/>
        <w:rPr>
          <w:rtl/>
        </w:rPr>
      </w:pPr>
      <w:r>
        <w:rPr>
          <w:rFonts w:hint="cs"/>
          <w:rtl/>
        </w:rPr>
        <w:t>ופלא הדבר, שאף שלגבי קידוש לבנה דיברו בספרים האם צריך לעמוד לצד מזרח או לא, הרי לגבי ברכת החמה לא מצאתי לע"ע במלקטים (שתח"י)</w:t>
      </w:r>
      <w:r>
        <w:rPr>
          <w:rFonts w:hint="cs"/>
        </w:rPr>
        <w:t xml:space="preserve"> </w:t>
      </w:r>
      <w:r>
        <w:rPr>
          <w:rFonts w:hint="cs"/>
          <w:rtl/>
        </w:rPr>
        <w:t xml:space="preserve">שדיברו בזה </w:t>
      </w:r>
      <w:r>
        <w:rPr>
          <w:rtl/>
        </w:rPr>
        <w:t>–</w:t>
      </w:r>
      <w:r>
        <w:rPr>
          <w:rFonts w:hint="cs"/>
          <w:rtl/>
        </w:rPr>
        <w:t xml:space="preserve"> לא בספר 'ברכת החמה' של הר"צ כהן, ולא בהליקוט שיצא לאור לגבי מנהג חב"ד בזה בשנת תשס"ט (מר"ח שי' רפפורט). ויש לעיין האם נמצא מקור קדום לדייק </w:t>
      </w:r>
      <w:r>
        <w:rPr>
          <w:rFonts w:hint="cs"/>
          <w:rtl/>
        </w:rPr>
        <w:lastRenderedPageBreak/>
        <w:t xml:space="preserve">בפרט זה. </w:t>
      </w:r>
    </w:p>
    <w:p w14:paraId="499DB10B" w14:textId="4896B504" w:rsidR="0098357F" w:rsidRDefault="00097CCE" w:rsidP="00F8255E">
      <w:pPr>
        <w:pStyle w:val="a2"/>
        <w:rPr>
          <w:sz w:val="44"/>
          <w:szCs w:val="44"/>
          <w:rtl/>
        </w:rPr>
      </w:pPr>
      <w:r>
        <w:rPr>
          <w:rFonts w:hint="cs"/>
          <w:rtl/>
        </w:rPr>
        <w:t xml:space="preserve">ולסיים מעין הפתיחה, יש להעיר לכאורה לגבי ה'סידור' הנ"ל, שאם אכן מוסיפים בו מנהגים והנהגות </w:t>
      </w:r>
      <w:r w:rsidRPr="004F2553">
        <w:rPr>
          <w:rFonts w:hint="cs"/>
          <w:b/>
          <w:bCs/>
          <w:rtl/>
        </w:rPr>
        <w:t>שלא היו</w:t>
      </w:r>
      <w:r>
        <w:rPr>
          <w:rFonts w:hint="cs"/>
          <w:rtl/>
        </w:rPr>
        <w:t xml:space="preserve"> בסידורים המקוריים, מן הראוי להוסיף ולכלול בו גם את 'סדר ברכת החמה' שתיקן כ"ק אדמו"ר בשנת תשמ"א; ואם לגבי מנהגים שנהג כ"ק אדמו"ר בעצמו יש לדון מה מתאים וכו', הרי לגבי 'סדר' זה שתיקן כ"ק אדמו"ר </w:t>
      </w:r>
      <w:r w:rsidRPr="00767D23">
        <w:rPr>
          <w:rFonts w:hint="cs"/>
          <w:b/>
          <w:bCs/>
          <w:rtl/>
        </w:rPr>
        <w:t>כ</w:t>
      </w:r>
      <w:r>
        <w:rPr>
          <w:rFonts w:hint="cs"/>
          <w:b/>
          <w:bCs/>
          <w:rtl/>
        </w:rPr>
        <w:t xml:space="preserve">סדר תפילה ברור </w:t>
      </w:r>
      <w:r w:rsidRPr="00767D23">
        <w:rPr>
          <w:rFonts w:hint="cs"/>
          <w:b/>
          <w:bCs/>
          <w:rtl/>
        </w:rPr>
        <w:t>לרבים</w:t>
      </w:r>
      <w:r>
        <w:rPr>
          <w:rFonts w:hint="cs"/>
          <w:rtl/>
        </w:rPr>
        <w:t xml:space="preserve"> בוודאי שיש מקום לכוללו ב'סידור' מסוג זה. ובוודאי לא גרע מזה שהוסיפו שם בסדר 'הקפות' לשמח"ת את הפסוק 'והיה זרעך וגו' ופרצת וגו'', וק"ל.</w:t>
      </w:r>
    </w:p>
    <w:p w14:paraId="3AB6FAEC" w14:textId="77777777" w:rsidR="005D6004" w:rsidRPr="00552D8B" w:rsidRDefault="005D6004" w:rsidP="005E6E84">
      <w:pPr>
        <w:pStyle w:val="a4"/>
        <w:sectPr w:rsidR="005D6004"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4246A58A" w14:textId="77777777" w:rsidR="005D6004" w:rsidRPr="001407C3" w:rsidRDefault="005D6004" w:rsidP="005D6004">
      <w:pPr>
        <w:pStyle w:val="a"/>
        <w:bidi w:val="0"/>
        <w:rPr>
          <w:rtl/>
        </w:rPr>
      </w:pPr>
      <w:bookmarkStart w:id="141" w:name="_Toc3515499"/>
      <w:r w:rsidRPr="001407C3">
        <w:rPr>
          <w:rFonts w:hint="cs"/>
          <w:rtl/>
        </w:rPr>
        <w:t>משלוח מנות על ידי רחפן</w:t>
      </w:r>
      <w:bookmarkEnd w:id="141"/>
    </w:p>
    <w:p w14:paraId="5C3C636B" w14:textId="1B915610" w:rsidR="005D6004" w:rsidRPr="001407C3" w:rsidRDefault="005D6004" w:rsidP="000A61F3">
      <w:pPr>
        <w:pStyle w:val="a0"/>
        <w:rPr>
          <w:rtl/>
        </w:rPr>
      </w:pPr>
      <w:bookmarkStart w:id="142" w:name="_Toc3515500"/>
      <w:r w:rsidRPr="001407C3">
        <w:rPr>
          <w:rFonts w:hint="cs"/>
          <w:rtl/>
        </w:rPr>
        <w:t>הר</w:t>
      </w:r>
      <w:r w:rsidR="009D4CF5">
        <w:rPr>
          <w:rFonts w:hint="cs"/>
          <w:rtl/>
        </w:rPr>
        <w:t>ב</w:t>
      </w:r>
      <w:r w:rsidRPr="001407C3">
        <w:rPr>
          <w:rFonts w:hint="cs"/>
          <w:rtl/>
        </w:rPr>
        <w:t xml:space="preserve"> גמליאל הכהן רבינוביץ</w:t>
      </w:r>
      <w:bookmarkEnd w:id="142"/>
    </w:p>
    <w:p w14:paraId="13BEEC5F" w14:textId="77777777" w:rsidR="005D6004" w:rsidRPr="001407C3" w:rsidRDefault="005D6004" w:rsidP="009D4CF5">
      <w:pPr>
        <w:pStyle w:val="a1"/>
        <w:spacing w:after="0"/>
        <w:rPr>
          <w:rtl/>
        </w:rPr>
      </w:pPr>
      <w:r w:rsidRPr="001407C3">
        <w:rPr>
          <w:rFonts w:hint="cs"/>
          <w:rtl/>
        </w:rPr>
        <w:t>מח"ס "גם אני אודך"</w:t>
      </w:r>
    </w:p>
    <w:p w14:paraId="2B4966C4" w14:textId="733F8936" w:rsidR="005D6004" w:rsidRPr="005D6004" w:rsidRDefault="005D6004" w:rsidP="00F8255E">
      <w:pPr>
        <w:pStyle w:val="a1"/>
        <w:rPr>
          <w:rtl/>
        </w:rPr>
      </w:pPr>
      <w:r w:rsidRPr="001407C3">
        <w:rPr>
          <w:rFonts w:hint="cs"/>
          <w:rtl/>
        </w:rPr>
        <w:t>ו"פרדס יוסף החדש" על המועדים</w:t>
      </w:r>
    </w:p>
    <w:p w14:paraId="39F8398E" w14:textId="77777777" w:rsidR="005D6004" w:rsidRPr="005D6004" w:rsidRDefault="005D6004" w:rsidP="00F8255E">
      <w:pPr>
        <w:pStyle w:val="a2"/>
        <w:rPr>
          <w:rtl/>
        </w:rPr>
      </w:pPr>
      <w:r w:rsidRPr="005D6004">
        <w:rPr>
          <w:rFonts w:hint="cs"/>
          <w:rtl/>
        </w:rPr>
        <w:t>בפרשתנו פרשת ויקהל (שמות ל"ה, כ"ז) כתוב: והנשיאים הביאו את אבני השהם וגו'.</w:t>
      </w:r>
    </w:p>
    <w:p w14:paraId="54E9FF31" w14:textId="760894E1" w:rsidR="005D6004" w:rsidRPr="005D6004" w:rsidRDefault="005D6004" w:rsidP="00F8255E">
      <w:pPr>
        <w:pStyle w:val="a2"/>
        <w:rPr>
          <w:rtl/>
        </w:rPr>
      </w:pPr>
      <w:r w:rsidRPr="005D6004">
        <w:rPr>
          <w:rFonts w:hint="cs"/>
          <w:rtl/>
        </w:rPr>
        <w:t>וכתב בתרגום יונתן בו עוזיאל: וענני שמיא אזלין לפישון ודליין מתמן ית אבני בורלות חילא וכו' ע"ש.</w:t>
      </w:r>
    </w:p>
    <w:p w14:paraId="1E646444" w14:textId="68B154A1" w:rsidR="005D6004" w:rsidRPr="005D6004" w:rsidRDefault="005D6004" w:rsidP="00F8255E">
      <w:pPr>
        <w:pStyle w:val="a2"/>
        <w:rPr>
          <w:rtl/>
        </w:rPr>
      </w:pPr>
      <w:r w:rsidRPr="005D6004">
        <w:rPr>
          <w:rtl/>
        </w:rPr>
        <w:t xml:space="preserve">הסתפקתי </w:t>
      </w:r>
      <w:r w:rsidRPr="005D6004">
        <w:rPr>
          <w:rFonts w:hint="cs"/>
          <w:rtl/>
        </w:rPr>
        <w:t xml:space="preserve">בשאלה חדשה ומעניינת, </w:t>
      </w:r>
      <w:r w:rsidRPr="005D6004">
        <w:rPr>
          <w:rtl/>
        </w:rPr>
        <w:t>האם השולח משלוח מנות לחבירו על ידי "רחפן" הפורח באויר, ומגיע למקום היעד ששולחו. האם יוצא בזה ידי חובת משלוח מנות לכתחילה. ודו"ק בשאלה הן לסוברים שלא צריך שליח למשלוח מנות, והן לסוברים שצריך שליח למשלוח מנות, והן מצד אם זה לא פגיעה שלא מביא לבד המשלוח מנות. וכן יש לדון עוד מכמה צדדים. ודו"ק היטב.</w:t>
      </w:r>
    </w:p>
    <w:p w14:paraId="6F5BC8F3" w14:textId="071FC410" w:rsidR="005D6004" w:rsidRPr="005D6004" w:rsidRDefault="005D6004" w:rsidP="00F8255E">
      <w:pPr>
        <w:pStyle w:val="a2"/>
        <w:rPr>
          <w:rtl/>
        </w:rPr>
      </w:pPr>
      <w:r w:rsidRPr="005D6004">
        <w:rPr>
          <w:rtl/>
        </w:rPr>
        <w:t>הגאון האדיר רבי אברהם יפה שלזינגר שליט"א בעל "באר שרים"</w:t>
      </w:r>
      <w:r w:rsidRPr="005D6004">
        <w:rPr>
          <w:rFonts w:hint="cs"/>
          <w:rtl/>
        </w:rPr>
        <w:t>,</w:t>
      </w:r>
      <w:r w:rsidRPr="005D6004">
        <w:rPr>
          <w:rtl/>
        </w:rPr>
        <w:t xml:space="preserve"> כתב לי:</w:t>
      </w:r>
      <w:r w:rsidRPr="005D6004">
        <w:rPr>
          <w:rFonts w:hint="cs"/>
          <w:rtl/>
        </w:rPr>
        <w:t xml:space="preserve"> </w:t>
      </w:r>
      <w:r w:rsidRPr="005D6004">
        <w:rPr>
          <w:rtl/>
        </w:rPr>
        <w:t>לפי ב' הטעמים של משלוח מנות להרבות רעות</w:t>
      </w:r>
      <w:r w:rsidRPr="005D6004">
        <w:rPr>
          <w:rFonts w:hint="cs"/>
          <w:rtl/>
        </w:rPr>
        <w:t>,</w:t>
      </w:r>
      <w:r w:rsidRPr="005D6004">
        <w:rPr>
          <w:rtl/>
        </w:rPr>
        <w:t xml:space="preserve"> או לא לבייש מי שאין לו</w:t>
      </w:r>
      <w:r w:rsidRPr="005D6004">
        <w:rPr>
          <w:rFonts w:hint="cs"/>
          <w:rtl/>
        </w:rPr>
        <w:t>,</w:t>
      </w:r>
      <w:r w:rsidRPr="005D6004">
        <w:rPr>
          <w:rtl/>
        </w:rPr>
        <w:t xml:space="preserve"> עיין שו"ת חת"ס או"ח סי' קצ"ו</w:t>
      </w:r>
      <w:r w:rsidRPr="005D6004">
        <w:rPr>
          <w:rFonts w:hint="cs"/>
          <w:rtl/>
        </w:rPr>
        <w:t>,</w:t>
      </w:r>
      <w:r w:rsidRPr="005D6004">
        <w:rPr>
          <w:rtl/>
        </w:rPr>
        <w:t xml:space="preserve"> ועיין בבאר שרים או"ח סי' רפ"ט</w:t>
      </w:r>
      <w:r w:rsidRPr="005D6004">
        <w:rPr>
          <w:rFonts w:hint="cs"/>
          <w:rtl/>
        </w:rPr>
        <w:t>,</w:t>
      </w:r>
      <w:r w:rsidRPr="005D6004">
        <w:rPr>
          <w:rtl/>
        </w:rPr>
        <w:t xml:space="preserve"> ועוד מקומות אין מספר, ופשוט שאם הגיעו המשלוח מנות יצא</w:t>
      </w:r>
      <w:r w:rsidRPr="005D6004">
        <w:rPr>
          <w:rFonts w:hint="cs"/>
          <w:rtl/>
        </w:rPr>
        <w:t>,</w:t>
      </w:r>
      <w:r w:rsidRPr="005D6004">
        <w:rPr>
          <w:rtl/>
        </w:rPr>
        <w:t xml:space="preserve"> ואין נפ"מ איך הגיעו</w:t>
      </w:r>
      <w:r w:rsidRPr="005D6004">
        <w:rPr>
          <w:rFonts w:hint="cs"/>
          <w:rtl/>
        </w:rPr>
        <w:t>,</w:t>
      </w:r>
      <w:r w:rsidRPr="005D6004">
        <w:rPr>
          <w:rtl/>
        </w:rPr>
        <w:t xml:space="preserve"> ועיין דבר אברהם ח"א סי' י"ג בשם מרן החת"ס בחידושיו גיטין כ"ב</w:t>
      </w:r>
      <w:r w:rsidRPr="005D6004">
        <w:rPr>
          <w:rFonts w:hint="cs"/>
          <w:rtl/>
        </w:rPr>
        <w:t>,</w:t>
      </w:r>
      <w:r w:rsidRPr="005D6004">
        <w:rPr>
          <w:rtl/>
        </w:rPr>
        <w:t xml:space="preserve"> ושם נתבאר שאין דין שצריך שליחות, </w:t>
      </w:r>
    </w:p>
    <w:p w14:paraId="38846D17" w14:textId="346E50D5" w:rsidR="005D6004" w:rsidRPr="005D6004" w:rsidRDefault="005D6004" w:rsidP="00F8255E">
      <w:pPr>
        <w:pStyle w:val="a2"/>
        <w:rPr>
          <w:rtl/>
        </w:rPr>
      </w:pPr>
      <w:r w:rsidRPr="005D6004">
        <w:rPr>
          <w:rFonts w:hint="cs"/>
          <w:rtl/>
        </w:rPr>
        <w:lastRenderedPageBreak/>
        <w:t xml:space="preserve">והנה </w:t>
      </w:r>
      <w:r w:rsidRPr="005D6004">
        <w:rPr>
          <w:rtl/>
        </w:rPr>
        <w:t xml:space="preserve">הר״ן במגילה כתב על </w:t>
      </w:r>
      <w:r w:rsidRPr="005D6004">
        <w:rPr>
          <w:rFonts w:hint="cs"/>
          <w:rtl/>
        </w:rPr>
        <w:t>מ</w:t>
      </w:r>
      <w:r w:rsidRPr="005D6004">
        <w:rPr>
          <w:rtl/>
        </w:rPr>
        <w:t xml:space="preserve">אמר הש״ס שם הוי מחלפי סעודתייהו </w:t>
      </w:r>
      <w:r w:rsidRPr="005D6004">
        <w:rPr>
          <w:rFonts w:hint="cs"/>
          <w:rtl/>
        </w:rPr>
        <w:t>"</w:t>
      </w:r>
      <w:r w:rsidRPr="005D6004">
        <w:rPr>
          <w:rtl/>
        </w:rPr>
        <w:t>שלחו</w:t>
      </w:r>
      <w:r w:rsidRPr="005D6004">
        <w:rPr>
          <w:rFonts w:hint="cs"/>
          <w:rtl/>
        </w:rPr>
        <w:t>"</w:t>
      </w:r>
      <w:r w:rsidRPr="005D6004">
        <w:rPr>
          <w:rtl/>
        </w:rPr>
        <w:t xml:space="preserve"> זה לזה</w:t>
      </w:r>
      <w:r w:rsidRPr="005D6004">
        <w:rPr>
          <w:rFonts w:hint="cs"/>
          <w:rtl/>
        </w:rPr>
        <w:t>,</w:t>
      </w:r>
      <w:r w:rsidRPr="005D6004">
        <w:rPr>
          <w:rtl/>
        </w:rPr>
        <w:t xml:space="preserve"> וע</w:t>
      </w:r>
      <w:r w:rsidRPr="005D6004">
        <w:rPr>
          <w:rFonts w:hint="cs"/>
          <w:rtl/>
        </w:rPr>
        <w:t>ל זה</w:t>
      </w:r>
      <w:r w:rsidRPr="005D6004">
        <w:rPr>
          <w:rtl/>
        </w:rPr>
        <w:t xml:space="preserve"> כתב בשו״ת דבר אברהם סי׳ י״ג</w:t>
      </w:r>
      <w:r w:rsidRPr="005D6004">
        <w:rPr>
          <w:rFonts w:hint="cs"/>
          <w:rtl/>
        </w:rPr>
        <w:t>,</w:t>
      </w:r>
      <w:r w:rsidRPr="005D6004">
        <w:rPr>
          <w:rtl/>
        </w:rPr>
        <w:t xml:space="preserve"> שזה דיוק קל בדברי הר״ן</w:t>
      </w:r>
      <w:r w:rsidRPr="005D6004">
        <w:rPr>
          <w:rFonts w:hint="cs"/>
          <w:rtl/>
        </w:rPr>
        <w:t>,</w:t>
      </w:r>
      <w:r w:rsidRPr="005D6004">
        <w:rPr>
          <w:rtl/>
        </w:rPr>
        <w:t xml:space="preserve"> ולא כמו שפרש״י במקום ששנה אחת אכל זה אצל זה</w:t>
      </w:r>
      <w:r w:rsidRPr="005D6004">
        <w:rPr>
          <w:rFonts w:hint="cs"/>
          <w:rtl/>
        </w:rPr>
        <w:t>,</w:t>
      </w:r>
      <w:r w:rsidRPr="005D6004">
        <w:rPr>
          <w:rtl/>
        </w:rPr>
        <w:t xml:space="preserve"> ושנה אחרת אכל זה אצל זה, ולכן כתב הדבר אברהם שאין לדייק לשון הר״ן ״שלחו״ כאילו משלוח מנות צריך דוקא על ידי שליח</w:t>
      </w:r>
      <w:r w:rsidRPr="005D6004">
        <w:rPr>
          <w:rFonts w:hint="cs"/>
          <w:rtl/>
        </w:rPr>
        <w:t>,</w:t>
      </w:r>
      <w:r w:rsidRPr="005D6004">
        <w:rPr>
          <w:rtl/>
        </w:rPr>
        <w:t xml:space="preserve"> ולא הוא יעשה בעצמו.</w:t>
      </w:r>
    </w:p>
    <w:p w14:paraId="527E238D" w14:textId="61953710" w:rsidR="005D6004" w:rsidRPr="005D6004" w:rsidRDefault="005D6004" w:rsidP="00F8255E">
      <w:pPr>
        <w:pStyle w:val="a2"/>
        <w:rPr>
          <w:rtl/>
        </w:rPr>
      </w:pPr>
      <w:r w:rsidRPr="005D6004">
        <w:rPr>
          <w:rtl/>
        </w:rPr>
        <w:t>וידוע מה שציטט בפסקי תשובה מרע״א בזה, אך להלכה לא צריך שליח, אך הח</w:t>
      </w:r>
      <w:r w:rsidRPr="005D6004">
        <w:rPr>
          <w:rFonts w:hint="cs"/>
          <w:rtl/>
        </w:rPr>
        <w:t>תם סופר</w:t>
      </w:r>
      <w:r w:rsidRPr="005D6004">
        <w:rPr>
          <w:rtl/>
        </w:rPr>
        <w:t xml:space="preserve"> כתב דאפי</w:t>
      </w:r>
      <w:r w:rsidRPr="005D6004">
        <w:rPr>
          <w:rFonts w:hint="cs"/>
          <w:rtl/>
        </w:rPr>
        <w:t>לו</w:t>
      </w:r>
      <w:r w:rsidRPr="005D6004">
        <w:rPr>
          <w:rtl/>
        </w:rPr>
        <w:t xml:space="preserve"> באם נמצא דצריך דווקא על ידי שליח</w:t>
      </w:r>
      <w:r w:rsidRPr="005D6004">
        <w:rPr>
          <w:rFonts w:hint="cs"/>
          <w:rtl/>
        </w:rPr>
        <w:t>,</w:t>
      </w:r>
      <w:r w:rsidRPr="005D6004">
        <w:rPr>
          <w:rtl/>
        </w:rPr>
        <w:t xml:space="preserve"> עכ״ז שם שליח יש גם לקטן וגם לנכרי. וגם לקוף, אלא שאין להם דין שלוחו כמותו</w:t>
      </w:r>
      <w:r w:rsidRPr="005D6004">
        <w:rPr>
          <w:rFonts w:hint="cs"/>
          <w:rtl/>
        </w:rPr>
        <w:t>.</w:t>
      </w:r>
      <w:r w:rsidRPr="005D6004">
        <w:rPr>
          <w:rtl/>
        </w:rPr>
        <w:t xml:space="preserve"> </w:t>
      </w:r>
      <w:r w:rsidRPr="005D6004">
        <w:rPr>
          <w:rFonts w:hint="cs"/>
          <w:rtl/>
        </w:rPr>
        <w:t>ולפי זה הוא הדין לרחפן שמהני, ולכן</w:t>
      </w:r>
      <w:r w:rsidRPr="005D6004">
        <w:rPr>
          <w:rtl/>
        </w:rPr>
        <w:t xml:space="preserve"> כאן </w:t>
      </w:r>
      <w:r w:rsidRPr="005D6004">
        <w:rPr>
          <w:rFonts w:hint="cs"/>
          <w:rtl/>
        </w:rPr>
        <w:t xml:space="preserve">אפילו </w:t>
      </w:r>
      <w:r w:rsidRPr="005D6004">
        <w:rPr>
          <w:rtl/>
        </w:rPr>
        <w:t>לשיטות שאולי צריך דווקא שליח</w:t>
      </w:r>
      <w:r w:rsidRPr="005D6004">
        <w:rPr>
          <w:rFonts w:hint="cs"/>
          <w:rtl/>
        </w:rPr>
        <w:t>,</w:t>
      </w:r>
      <w:r w:rsidRPr="005D6004">
        <w:rPr>
          <w:rtl/>
        </w:rPr>
        <w:t xml:space="preserve"> לא צריך ולא רוצה שיהי</w:t>
      </w:r>
      <w:r w:rsidRPr="005D6004">
        <w:rPr>
          <w:rFonts w:hint="cs"/>
          <w:rtl/>
        </w:rPr>
        <w:t>ה</w:t>
      </w:r>
      <w:r w:rsidRPr="005D6004">
        <w:rPr>
          <w:rtl/>
        </w:rPr>
        <w:t xml:space="preserve"> כמותו</w:t>
      </w:r>
      <w:r w:rsidRPr="005D6004">
        <w:rPr>
          <w:rFonts w:hint="cs"/>
          <w:rtl/>
        </w:rPr>
        <w:t>,</w:t>
      </w:r>
      <w:r w:rsidRPr="005D6004">
        <w:rPr>
          <w:rtl/>
        </w:rPr>
        <w:t xml:space="preserve"> אלא דווקא שם שליח</w:t>
      </w:r>
      <w:r w:rsidRPr="005D6004">
        <w:rPr>
          <w:rFonts w:hint="cs"/>
          <w:rtl/>
        </w:rPr>
        <w:t>,</w:t>
      </w:r>
      <w:r w:rsidRPr="005D6004">
        <w:rPr>
          <w:rtl/>
        </w:rPr>
        <w:t xml:space="preserve"> וכאמור שם שליח יש להם</w:t>
      </w:r>
      <w:r w:rsidRPr="005D6004">
        <w:rPr>
          <w:rFonts w:hint="cs"/>
          <w:rtl/>
        </w:rPr>
        <w:t>,</w:t>
      </w:r>
      <w:r w:rsidRPr="005D6004">
        <w:rPr>
          <w:rtl/>
        </w:rPr>
        <w:t xml:space="preserve"> ודו״ק היטב</w:t>
      </w:r>
      <w:r w:rsidRPr="005D6004">
        <w:rPr>
          <w:rFonts w:hint="cs"/>
          <w:rtl/>
        </w:rPr>
        <w:t>.</w:t>
      </w:r>
      <w:r w:rsidRPr="005D6004">
        <w:rPr>
          <w:rtl/>
        </w:rPr>
        <w:t xml:space="preserve"> עכ"ל.</w:t>
      </w:r>
    </w:p>
    <w:p w14:paraId="04F13153" w14:textId="7E1AB4C0" w:rsidR="005D6004" w:rsidRPr="005D6004" w:rsidRDefault="005D6004" w:rsidP="00F8255E">
      <w:pPr>
        <w:pStyle w:val="a2"/>
        <w:rPr>
          <w:rtl/>
        </w:rPr>
      </w:pPr>
      <w:r w:rsidRPr="005D6004">
        <w:rPr>
          <w:rtl/>
        </w:rPr>
        <w:t>הגאון האדיר רבי שמואל אליעזר שטרן שליט"א בעל "שביבי אש"</w:t>
      </w:r>
      <w:r w:rsidRPr="005D6004">
        <w:rPr>
          <w:rFonts w:hint="cs"/>
          <w:rtl/>
        </w:rPr>
        <w:t xml:space="preserve">, </w:t>
      </w:r>
      <w:r w:rsidRPr="005D6004">
        <w:rPr>
          <w:rtl/>
        </w:rPr>
        <w:t>כתב לי וזה לשונו: להסוברים דבעי שליחות במשלוח מנות, ודאי דלא מהני, ולדעת הסוברים דיכול לתת בעצמו, בודאי דשפיר דמי בכהאי גוונא, אבל לאידך דסוברים דבעינן על ידי משלוח, אז לא בעי גדרי שליחות, ומהני אף על ידי קוף, וכהחתם סופר בגיטין, שפיר יש מקום להאי ספיקא, ומכל מקום הדעת נוטה יותר שיש להחמיר ולהימנע מכך. עכ"ל.</w:t>
      </w:r>
    </w:p>
    <w:p w14:paraId="2D7E5F43" w14:textId="0A6FCD11" w:rsidR="005D6004" w:rsidRPr="005D6004" w:rsidRDefault="005D6004" w:rsidP="00F8255E">
      <w:pPr>
        <w:pStyle w:val="a2"/>
        <w:rPr>
          <w:rtl/>
        </w:rPr>
      </w:pPr>
      <w:r w:rsidRPr="005D6004">
        <w:rPr>
          <w:rtl/>
        </w:rPr>
        <w:t xml:space="preserve"> הגאון האדיר רבי אליהו שליזנגר שליט"א</w:t>
      </w:r>
      <w:r w:rsidRPr="005D6004">
        <w:rPr>
          <w:rFonts w:hint="cs"/>
          <w:rtl/>
        </w:rPr>
        <w:t xml:space="preserve">, </w:t>
      </w:r>
      <w:r w:rsidRPr="005D6004">
        <w:rPr>
          <w:rtl/>
        </w:rPr>
        <w:t>בעל "שואלין ודורשין"</w:t>
      </w:r>
      <w:r w:rsidRPr="005D6004">
        <w:rPr>
          <w:rFonts w:hint="cs"/>
          <w:rtl/>
        </w:rPr>
        <w:t xml:space="preserve">, </w:t>
      </w:r>
      <w:r w:rsidRPr="005D6004">
        <w:rPr>
          <w:rtl/>
        </w:rPr>
        <w:t>כתב לי וזה לשונו: רחפן לא שונה מקוף. ואם לא צריך שליחות</w:t>
      </w:r>
      <w:r w:rsidRPr="005D6004">
        <w:rPr>
          <w:rFonts w:hint="cs"/>
          <w:rtl/>
        </w:rPr>
        <w:t>,</w:t>
      </w:r>
      <w:r w:rsidRPr="005D6004">
        <w:rPr>
          <w:rtl/>
        </w:rPr>
        <w:t xml:space="preserve"> מועיל גם רחפן, כמו גם אם ישלח בדואר. וכידוע יש מחמירים לשלוח דווקא ע</w:t>
      </w:r>
      <w:r w:rsidRPr="005D6004">
        <w:rPr>
          <w:rFonts w:hint="cs"/>
          <w:rtl/>
        </w:rPr>
        <w:t>ל ידי</w:t>
      </w:r>
      <w:r w:rsidRPr="005D6004">
        <w:rPr>
          <w:rtl/>
        </w:rPr>
        <w:t xml:space="preserve"> שליח בר דעת.</w:t>
      </w:r>
    </w:p>
    <w:p w14:paraId="38C1391F" w14:textId="76F0AED3" w:rsidR="005D6004" w:rsidRPr="005D6004" w:rsidRDefault="005D6004" w:rsidP="00F8255E">
      <w:pPr>
        <w:pStyle w:val="a2"/>
        <w:rPr>
          <w:rtl/>
        </w:rPr>
      </w:pPr>
      <w:r w:rsidRPr="005D6004">
        <w:rPr>
          <w:rtl/>
        </w:rPr>
        <w:t>הגאון הגדול רבי ברוך אבערלאנדער שליט"א אב"ד בודאפעסט, כתב לי: ודאי שיצא יד</w:t>
      </w:r>
      <w:r w:rsidRPr="005D6004">
        <w:rPr>
          <w:rFonts w:hint="cs"/>
          <w:rtl/>
        </w:rPr>
        <w:t>י חובתו</w:t>
      </w:r>
      <w:r w:rsidRPr="005D6004">
        <w:rPr>
          <w:rtl/>
        </w:rPr>
        <w:t>, כי במשלוח מנות אין דין שליחות, כפי שביאר בשו"ת מהרי"א או"ח סי</w:t>
      </w:r>
      <w:r w:rsidRPr="005D6004">
        <w:rPr>
          <w:rFonts w:hint="cs"/>
          <w:rtl/>
        </w:rPr>
        <w:t>מן</w:t>
      </w:r>
      <w:r w:rsidRPr="005D6004">
        <w:rPr>
          <w:rtl/>
        </w:rPr>
        <w:t xml:space="preserve"> רז.</w:t>
      </w:r>
      <w:r w:rsidRPr="005D6004">
        <w:rPr>
          <w:rFonts w:hint="cs"/>
          <w:rtl/>
        </w:rPr>
        <w:t xml:space="preserve"> </w:t>
      </w:r>
      <w:r w:rsidRPr="005D6004">
        <w:rPr>
          <w:rtl/>
        </w:rPr>
        <w:t>ועיי</w:t>
      </w:r>
      <w:r w:rsidRPr="005D6004">
        <w:rPr>
          <w:rFonts w:hint="cs"/>
          <w:rtl/>
        </w:rPr>
        <w:t>ן שם</w:t>
      </w:r>
      <w:r w:rsidRPr="005D6004">
        <w:rPr>
          <w:rtl/>
        </w:rPr>
        <w:t xml:space="preserve"> שבאם מגיע בזמן</w:t>
      </w:r>
      <w:r w:rsidRPr="005D6004">
        <w:rPr>
          <w:rFonts w:hint="cs"/>
          <w:rtl/>
        </w:rPr>
        <w:t>,</w:t>
      </w:r>
      <w:r w:rsidRPr="005D6004">
        <w:rPr>
          <w:rtl/>
        </w:rPr>
        <w:t xml:space="preserve"> אפשר לשלוח גם ע</w:t>
      </w:r>
      <w:r w:rsidRPr="005D6004">
        <w:rPr>
          <w:rFonts w:hint="cs"/>
          <w:rtl/>
        </w:rPr>
        <w:t>ל ידי</w:t>
      </w:r>
      <w:r w:rsidRPr="005D6004">
        <w:rPr>
          <w:rtl/>
        </w:rPr>
        <w:t xml:space="preserve"> עכו"ם</w:t>
      </w:r>
      <w:r w:rsidRPr="005D6004">
        <w:rPr>
          <w:rFonts w:hint="cs"/>
          <w:rtl/>
        </w:rPr>
        <w:t>,</w:t>
      </w:r>
      <w:r w:rsidRPr="005D6004">
        <w:rPr>
          <w:rtl/>
        </w:rPr>
        <w:t xml:space="preserve"> ובי דואר. עכ"ל.</w:t>
      </w:r>
    </w:p>
    <w:p w14:paraId="48B7281B" w14:textId="4FFC8F62" w:rsidR="005D6004" w:rsidRPr="005D6004" w:rsidRDefault="005D6004" w:rsidP="00F8255E">
      <w:pPr>
        <w:pStyle w:val="a2"/>
        <w:rPr>
          <w:rtl/>
        </w:rPr>
      </w:pPr>
      <w:r w:rsidRPr="005D6004">
        <w:rPr>
          <w:rtl/>
        </w:rPr>
        <w:t xml:space="preserve"> הגאון הנפלא רבי שמואל ברוך גנוט שליט"א</w:t>
      </w:r>
      <w:r w:rsidRPr="005D6004">
        <w:rPr>
          <w:rFonts w:hint="cs"/>
          <w:rtl/>
        </w:rPr>
        <w:t xml:space="preserve">, בעל "ויאמר שמואל", </w:t>
      </w:r>
      <w:r w:rsidRPr="005D6004">
        <w:rPr>
          <w:rtl/>
        </w:rPr>
        <w:t>כתב לי וזה לשונו: הנה ידועים דברי שו"ת בנין ציון, שעיקר משלוח מנות הוא על ידי שליח דווקא, וכבר דשו ביה הפוסקים, יש שהקפידו בזה</w:t>
      </w:r>
      <w:r w:rsidRPr="005D6004">
        <w:rPr>
          <w:rFonts w:hint="cs"/>
          <w:rtl/>
        </w:rPr>
        <w:t>,</w:t>
      </w:r>
      <w:r w:rsidRPr="005D6004">
        <w:rPr>
          <w:rtl/>
        </w:rPr>
        <w:t xml:space="preserve"> ויש שלא, ואכמ"ל.</w:t>
      </w:r>
      <w:r w:rsidR="005D7B4D">
        <w:rPr>
          <w:rtl/>
        </w:rPr>
        <w:t xml:space="preserve"> </w:t>
      </w:r>
      <w:r w:rsidRPr="005D6004">
        <w:rPr>
          <w:rtl/>
        </w:rPr>
        <w:t>ובספר ליקוטי חבר הערות על שו"ת יהודה יעלה (או"ח סימן רד) כתב וז"ל: שמעתי ממו"ר החת"ס שחמיו הגרע"א נסתפק האם אפשר לשלוח מנות על ידי עכו"ם, והשיב לו החת"ס אילו היה המצוה להוביל בעצמו, ורק שהיה יכול לעשות שליח, כי שלוחו של אדם כמותו, אז בעינן שהשליח יהיה יהודי, אבל מאחר והמצוה הוא על ידי שליח, אפשר לעשות גם על ידי עכו"ם, עכ"ד.</w:t>
      </w:r>
    </w:p>
    <w:p w14:paraId="1BBF9DEB" w14:textId="0917F3CD" w:rsidR="005D6004" w:rsidRPr="005D6004" w:rsidRDefault="005D6004" w:rsidP="00F8255E">
      <w:pPr>
        <w:pStyle w:val="a2"/>
        <w:rPr>
          <w:rtl/>
        </w:rPr>
      </w:pPr>
      <w:r w:rsidRPr="005D6004">
        <w:rPr>
          <w:rtl/>
        </w:rPr>
        <w:lastRenderedPageBreak/>
        <w:t>וכעין זה כתב החת"ס בגיטין (כב ע"ב ד"ה והא לאו), שהיכא שאמרה תורה שיעשה את המצוה בעצמו, אלא שאנו אומרים שיכול גם לעשות שליח, בזה יש דין שליחות, וצריך לעשות שליח שהוא כמותו, אבל היכא שאמרה תורה שישלח שליח, כגון משלוח מנות, זה סגי אפילו ע</w:t>
      </w:r>
      <w:r w:rsidRPr="005D6004">
        <w:rPr>
          <w:rFonts w:hint="cs"/>
          <w:rtl/>
        </w:rPr>
        <w:t>ל ידי</w:t>
      </w:r>
      <w:r w:rsidRPr="005D6004">
        <w:rPr>
          <w:rtl/>
        </w:rPr>
        <w:t xml:space="preserve"> קוף וכל הפסולים.</w:t>
      </w:r>
    </w:p>
    <w:p w14:paraId="7C78B452" w14:textId="677FE3A3" w:rsidR="005D6004" w:rsidRPr="005D6004" w:rsidRDefault="005D6004" w:rsidP="00F8255E">
      <w:pPr>
        <w:pStyle w:val="a2"/>
        <w:rPr>
          <w:rtl/>
        </w:rPr>
      </w:pPr>
      <w:r w:rsidRPr="005D6004">
        <w:rPr>
          <w:rtl/>
        </w:rPr>
        <w:t>וכן מצינו בשו"ת הרשב"א (ח"א סימן שנז) על מצות שריפה שזורקין הפתילה לתוך פיו, שיכולין בית דין לצוות לגוי לזרוק פתילה לתוך פיו. שאין הגוי אלא שלוחו של בית דין</w:t>
      </w:r>
      <w:r w:rsidRPr="005D6004">
        <w:rPr>
          <w:rFonts w:hint="cs"/>
          <w:rtl/>
        </w:rPr>
        <w:t>,</w:t>
      </w:r>
      <w:r w:rsidRPr="005D6004">
        <w:rPr>
          <w:rtl/>
        </w:rPr>
        <w:t xml:space="preserve"> ואין מיתת בית דין צריך גופו של בית דין. וכמו שבי</w:t>
      </w:r>
      <w:r w:rsidRPr="005D6004">
        <w:rPr>
          <w:rFonts w:hint="cs"/>
          <w:rtl/>
        </w:rPr>
        <w:t>ת דין</w:t>
      </w:r>
      <w:r w:rsidRPr="005D6004">
        <w:rPr>
          <w:rtl/>
        </w:rPr>
        <w:t xml:space="preserve"> מכים וחובטים, וכי המומחה בעצמו היה מכה וחובט</w:t>
      </w:r>
      <w:r w:rsidRPr="005D6004">
        <w:rPr>
          <w:rFonts w:hint="cs"/>
          <w:rtl/>
        </w:rPr>
        <w:t xml:space="preserve">, </w:t>
      </w:r>
      <w:r w:rsidRPr="005D6004">
        <w:rPr>
          <w:rtl/>
        </w:rPr>
        <w:t>? אלא מומחה מצו</w:t>
      </w:r>
      <w:r w:rsidRPr="005D6004">
        <w:rPr>
          <w:rFonts w:hint="cs"/>
          <w:rtl/>
        </w:rPr>
        <w:t>ו</w:t>
      </w:r>
      <w:r w:rsidRPr="005D6004">
        <w:rPr>
          <w:rtl/>
        </w:rPr>
        <w:t>ה</w:t>
      </w:r>
      <w:r w:rsidRPr="005D6004">
        <w:rPr>
          <w:rFonts w:hint="cs"/>
          <w:rtl/>
        </w:rPr>
        <w:t>,</w:t>
      </w:r>
      <w:r w:rsidRPr="005D6004">
        <w:rPr>
          <w:rtl/>
        </w:rPr>
        <w:t xml:space="preserve"> והדיוט חובט על פיו, ולא קרינא ביה לפניהם ולא לפני הדיוטות. הכא נמי לא שנא, עי"ש.</w:t>
      </w:r>
    </w:p>
    <w:p w14:paraId="5435C53C" w14:textId="002E1763" w:rsidR="005D6004" w:rsidRPr="005D6004" w:rsidRDefault="005D6004" w:rsidP="00F8255E">
      <w:pPr>
        <w:pStyle w:val="a2"/>
        <w:rPr>
          <w:rtl/>
        </w:rPr>
      </w:pPr>
      <w:r w:rsidRPr="005D6004">
        <w:rPr>
          <w:rtl/>
        </w:rPr>
        <w:t>ובשו"ת דבר אברהם (ח"ב סימן ח ענף א) דן בשעיר המשתלח שמצוותו על ידי שליח דוקא, א</w:t>
      </w:r>
      <w:r w:rsidRPr="005D6004">
        <w:rPr>
          <w:rFonts w:hint="cs"/>
          <w:rtl/>
        </w:rPr>
        <w:t>ם כן</w:t>
      </w:r>
      <w:r w:rsidRPr="005D6004">
        <w:rPr>
          <w:rtl/>
        </w:rPr>
        <w:t xml:space="preserve"> יהיה אפשר לשולחו על ידי קטן, או על ידי עכו"ם, יעו"ש בארוכה ובחשוקי חמד (סנהדרין נ"ב ע"א).</w:t>
      </w:r>
      <w:r w:rsidRPr="005D6004">
        <w:rPr>
          <w:rFonts w:hint="cs"/>
          <w:rtl/>
        </w:rPr>
        <w:t xml:space="preserve"> </w:t>
      </w:r>
      <w:r w:rsidRPr="005D6004">
        <w:rPr>
          <w:rtl/>
        </w:rPr>
        <w:t>ולפי</w:t>
      </w:r>
      <w:r w:rsidRPr="005D6004">
        <w:rPr>
          <w:rFonts w:hint="cs"/>
          <w:rtl/>
        </w:rPr>
        <w:t xml:space="preserve"> זה</w:t>
      </w:r>
      <w:r w:rsidR="005D7B4D">
        <w:rPr>
          <w:rtl/>
        </w:rPr>
        <w:t xml:space="preserve"> </w:t>
      </w:r>
      <w:r w:rsidRPr="005D6004">
        <w:rPr>
          <w:rtl/>
        </w:rPr>
        <w:t>נמצא דה</w:t>
      </w:r>
      <w:r w:rsidRPr="005D6004">
        <w:rPr>
          <w:rFonts w:hint="cs"/>
          <w:rtl/>
        </w:rPr>
        <w:t>וא הדין</w:t>
      </w:r>
      <w:r w:rsidRPr="005D6004">
        <w:rPr>
          <w:rtl/>
        </w:rPr>
        <w:t xml:space="preserve"> בנ</w:t>
      </w:r>
      <w:r w:rsidRPr="005D6004">
        <w:rPr>
          <w:rFonts w:hint="cs"/>
          <w:rtl/>
        </w:rPr>
        <w:t>ידון דידן</w:t>
      </w:r>
      <w:r w:rsidRPr="005D6004">
        <w:rPr>
          <w:rtl/>
        </w:rPr>
        <w:t>, דאם אפשר לשלוח מנות ע</w:t>
      </w:r>
      <w:r w:rsidRPr="005D6004">
        <w:rPr>
          <w:rFonts w:hint="cs"/>
          <w:rtl/>
        </w:rPr>
        <w:t xml:space="preserve">ל </w:t>
      </w:r>
      <w:r w:rsidRPr="005D6004">
        <w:rPr>
          <w:rtl/>
        </w:rPr>
        <w:t>י</w:t>
      </w:r>
      <w:r w:rsidRPr="005D6004">
        <w:rPr>
          <w:rFonts w:hint="cs"/>
          <w:rtl/>
        </w:rPr>
        <w:t>די</w:t>
      </w:r>
      <w:r w:rsidRPr="005D6004">
        <w:rPr>
          <w:rtl/>
        </w:rPr>
        <w:t xml:space="preserve"> שליח קוף או נכרי, ה</w:t>
      </w:r>
      <w:r w:rsidRPr="005D6004">
        <w:rPr>
          <w:rFonts w:hint="cs"/>
          <w:rtl/>
        </w:rPr>
        <w:t>וא הדין</w:t>
      </w:r>
      <w:r w:rsidRPr="005D6004">
        <w:rPr>
          <w:rtl/>
        </w:rPr>
        <w:t xml:space="preserve"> שאפשר לשלוח ע</w:t>
      </w:r>
      <w:r w:rsidRPr="005D6004">
        <w:rPr>
          <w:rFonts w:hint="cs"/>
          <w:rtl/>
        </w:rPr>
        <w:t>ל ידי</w:t>
      </w:r>
      <w:r w:rsidRPr="005D6004">
        <w:rPr>
          <w:rtl/>
        </w:rPr>
        <w:t xml:space="preserve"> רחפן.</w:t>
      </w:r>
    </w:p>
    <w:p w14:paraId="7C509F41" w14:textId="0CFB5B8D" w:rsidR="005D6004" w:rsidRPr="005D6004" w:rsidRDefault="005D6004" w:rsidP="00F8255E">
      <w:pPr>
        <w:pStyle w:val="a2"/>
        <w:rPr>
          <w:rtl/>
        </w:rPr>
      </w:pPr>
      <w:r w:rsidRPr="005D6004">
        <w:rPr>
          <w:rtl/>
        </w:rPr>
        <w:t>וכשהבאתי הנידון בפני בני ישיב</w:t>
      </w:r>
      <w:r w:rsidRPr="005D6004">
        <w:rPr>
          <w:rFonts w:hint="cs"/>
          <w:rtl/>
        </w:rPr>
        <w:t>ה"ק</w:t>
      </w:r>
      <w:r w:rsidRPr="005D6004">
        <w:rPr>
          <w:rtl/>
        </w:rPr>
        <w:t xml:space="preserve"> ישיבת משאת המלך, ביום פורים קטן דהשתא, טען נכוחה הבה"ח אלירן גניני נ"י דאין צריך לזה, כיון שהפעלת רחפן אינה אלא כוחו</w:t>
      </w:r>
      <w:r w:rsidRPr="005D6004">
        <w:rPr>
          <w:rFonts w:hint="cs"/>
          <w:rtl/>
        </w:rPr>
        <w:t>,</w:t>
      </w:r>
      <w:r w:rsidRPr="005D6004">
        <w:rPr>
          <w:rtl/>
        </w:rPr>
        <w:t xml:space="preserve"> וידא אריכתא של השולח עצמו, שהרי האדם הוא זה שמשגר בלחיצת כפתור והכוונת הרחפן, ופשוט שיוצא בזה.</w:t>
      </w:r>
    </w:p>
    <w:p w14:paraId="3BFA7367" w14:textId="77777777" w:rsidR="005D6004" w:rsidRPr="005D6004" w:rsidRDefault="005D6004" w:rsidP="00F8255E">
      <w:pPr>
        <w:pStyle w:val="a2"/>
        <w:rPr>
          <w:rtl/>
        </w:rPr>
      </w:pPr>
      <w:r w:rsidRPr="005D6004">
        <w:rPr>
          <w:rtl/>
        </w:rPr>
        <w:t>והבה"ח יוסף דב גלוזמן נ"י טען שכשאדם שולח משלוח ע</w:t>
      </w:r>
      <w:r w:rsidRPr="005D6004">
        <w:rPr>
          <w:rFonts w:hint="cs"/>
          <w:rtl/>
        </w:rPr>
        <w:t>ל ידי</w:t>
      </w:r>
      <w:r w:rsidRPr="005D6004">
        <w:rPr>
          <w:rtl/>
        </w:rPr>
        <w:t xml:space="preserve"> רחפן, יש בזה מן הזלזול במי שהמשלוח נשלח אליו, וכה</w:t>
      </w:r>
      <w:r w:rsidRPr="005D6004">
        <w:rPr>
          <w:rFonts w:hint="cs"/>
          <w:rtl/>
        </w:rPr>
        <w:t>אי גוונא</w:t>
      </w:r>
      <w:r w:rsidRPr="005D6004">
        <w:rPr>
          <w:rtl/>
        </w:rPr>
        <w:t xml:space="preserve"> הפסיד עיקר טעם משלוח מנות לדעת התרומת הדשן, שהוא ריבוי אהבה בין איש לרעהו, ולא יצא כה</w:t>
      </w:r>
      <w:r w:rsidRPr="005D6004">
        <w:rPr>
          <w:rFonts w:hint="cs"/>
          <w:rtl/>
        </w:rPr>
        <w:t>אי גוונא</w:t>
      </w:r>
      <w:r w:rsidRPr="005D6004">
        <w:rPr>
          <w:rtl/>
        </w:rPr>
        <w:t>, וכפי שכ</w:t>
      </w:r>
      <w:r w:rsidRPr="005D6004">
        <w:rPr>
          <w:rFonts w:hint="cs"/>
          <w:rtl/>
        </w:rPr>
        <w:t>תבו</w:t>
      </w:r>
      <w:r w:rsidRPr="005D6004">
        <w:rPr>
          <w:rtl/>
        </w:rPr>
        <w:t xml:space="preserve"> הפוסקים שלטעם התרומ</w:t>
      </w:r>
      <w:r w:rsidRPr="005D6004">
        <w:rPr>
          <w:rFonts w:hint="cs"/>
          <w:rtl/>
        </w:rPr>
        <w:t>ת הדשן</w:t>
      </w:r>
      <w:r w:rsidRPr="005D6004">
        <w:rPr>
          <w:rtl/>
        </w:rPr>
        <w:t>, השולח משלוח מנות בצורה מזולזלת שאינה מכבדת את המקבל, לא יוצא י"ח, ועי</w:t>
      </w:r>
      <w:r w:rsidRPr="005D6004">
        <w:rPr>
          <w:rFonts w:hint="cs"/>
          <w:rtl/>
        </w:rPr>
        <w:t>ין</w:t>
      </w:r>
      <w:r w:rsidRPr="005D6004">
        <w:rPr>
          <w:rtl/>
        </w:rPr>
        <w:t xml:space="preserve"> רבנו חננאל מגילה ז' רע"ב. ואולם הבה"ח עקיבא אוסטרוב נ"י טען לעומתו שמשלוח ע</w:t>
      </w:r>
      <w:r w:rsidRPr="005D6004">
        <w:rPr>
          <w:rFonts w:hint="cs"/>
          <w:rtl/>
        </w:rPr>
        <w:t>ל ידי</w:t>
      </w:r>
      <w:r w:rsidRPr="005D6004">
        <w:rPr>
          <w:rtl/>
        </w:rPr>
        <w:t xml:space="preserve"> רחפן, אינו מהווה סיבה לזילזול במקבל, אלא אדרבה, יש בכך מן ריבוי השמחה וריבוי תשומת הלב למקבל, כששולח לו משלוח מנות בצורה מקורית שכזאת. עכ"ל.</w:t>
      </w:r>
      <w:r w:rsidRPr="005D6004">
        <w:rPr>
          <w:rFonts w:hint="cs"/>
          <w:rtl/>
        </w:rPr>
        <w:t xml:space="preserve"> </w:t>
      </w:r>
    </w:p>
    <w:p w14:paraId="2F2A0C30" w14:textId="122A1AC0" w:rsidR="005D6004" w:rsidRPr="005D6004" w:rsidRDefault="005D6004" w:rsidP="00F8255E">
      <w:pPr>
        <w:pStyle w:val="a2"/>
        <w:rPr>
          <w:rtl/>
        </w:rPr>
      </w:pPr>
      <w:r w:rsidRPr="005D6004">
        <w:rPr>
          <w:rFonts w:hint="cs"/>
          <w:rtl/>
        </w:rPr>
        <w:t>[ובספרי "גם אני אודך" על פורים, הארכתי טובא עוד בזה ב"ה, והבאתי עוד רבנים חשובים ונכבדים מאד שכתבו לי ופלפלו בזה נפלאות, ע"ש ותרווה נחת]</w:t>
      </w:r>
    </w:p>
    <w:p w14:paraId="1724F30B" w14:textId="77777777" w:rsidR="00097CCE" w:rsidRPr="00552D8B" w:rsidRDefault="00097CCE" w:rsidP="005E6E84">
      <w:pPr>
        <w:pStyle w:val="a4"/>
        <w:sectPr w:rsidR="00097CCE" w:rsidRPr="00552D8B" w:rsidSect="00E65DD5">
          <w:headerReference w:type="even" r:id="rId48"/>
          <w:headerReference w:type="default" r:id="rId49"/>
          <w:footnotePr>
            <w:numRestart w:val="eachSect"/>
          </w:footnotePr>
          <w:type w:val="continuous"/>
          <w:pgSz w:w="7920" w:h="12240"/>
          <w:pgMar w:top="-810" w:right="864" w:bottom="720" w:left="864" w:header="270" w:footer="0" w:gutter="0"/>
          <w:cols w:space="720"/>
          <w:docGrid w:linePitch="360"/>
        </w:sectPr>
      </w:pPr>
      <w:r w:rsidRPr="00552D8B">
        <w:t>g</w:t>
      </w:r>
    </w:p>
    <w:p w14:paraId="1A719FE9" w14:textId="2068A01E" w:rsidR="00097CCE" w:rsidRPr="00004C49" w:rsidRDefault="00097CCE" w:rsidP="00097CCE">
      <w:pPr>
        <w:pStyle w:val="a"/>
      </w:pPr>
      <w:bookmarkStart w:id="143" w:name="_Toc3515501"/>
      <w:r w:rsidRPr="00004C49">
        <w:rPr>
          <w:rtl/>
        </w:rPr>
        <w:lastRenderedPageBreak/>
        <w:t>נתינת שום ובצל לכלי שני בשבת</w:t>
      </w:r>
      <w:bookmarkEnd w:id="143"/>
    </w:p>
    <w:p w14:paraId="141075E1" w14:textId="77777777" w:rsidR="00097CCE" w:rsidRPr="00004C49" w:rsidRDefault="00097CCE" w:rsidP="00C40187">
      <w:pPr>
        <w:pStyle w:val="a0"/>
      </w:pPr>
      <w:bookmarkStart w:id="144" w:name="_Toc3515502"/>
      <w:r w:rsidRPr="00004C49">
        <w:rPr>
          <w:rtl/>
        </w:rPr>
        <w:t>הרב יצחק קופמן</w:t>
      </w:r>
      <w:bookmarkEnd w:id="144"/>
    </w:p>
    <w:p w14:paraId="11B644EE" w14:textId="166D1FBE" w:rsidR="00097CCE" w:rsidRPr="00097CCE" w:rsidRDefault="00097CCE" w:rsidP="00F8255E">
      <w:pPr>
        <w:pStyle w:val="a1"/>
      </w:pPr>
      <w:r w:rsidRPr="00004C49">
        <w:rPr>
          <w:rtl/>
        </w:rPr>
        <w:t>שליח בגרודנה, בלרוס</w:t>
      </w:r>
    </w:p>
    <w:p w14:paraId="187F2160" w14:textId="4B1142A7" w:rsidR="00097CCE" w:rsidRPr="00004C49" w:rsidRDefault="00097CCE" w:rsidP="00F8255E">
      <w:pPr>
        <w:pStyle w:val="a2"/>
      </w:pPr>
      <w:r w:rsidRPr="00004C49">
        <w:rPr>
          <w:rtl/>
        </w:rPr>
        <w:t>בספר שבת כהלכה ח</w:t>
      </w:r>
      <w:r>
        <w:rPr>
          <w:rFonts w:hint="cs"/>
          <w:rtl/>
        </w:rPr>
        <w:t>"</w:t>
      </w:r>
      <w:r w:rsidRPr="00004C49">
        <w:rPr>
          <w:rtl/>
        </w:rPr>
        <w:t>א פ</w:t>
      </w:r>
      <w:r>
        <w:rPr>
          <w:rFonts w:hint="cs"/>
          <w:rtl/>
        </w:rPr>
        <w:t>"</w:t>
      </w:r>
      <w:r w:rsidRPr="00004C49">
        <w:rPr>
          <w:rtl/>
        </w:rPr>
        <w:t>א סכ</w:t>
      </w:r>
      <w:r>
        <w:rPr>
          <w:rFonts w:hint="cs"/>
          <w:rtl/>
        </w:rPr>
        <w:t>"</w:t>
      </w:r>
      <w:r w:rsidRPr="00004C49">
        <w:rPr>
          <w:rtl/>
        </w:rPr>
        <w:t>ח כותב הגה</w:t>
      </w:r>
      <w:r>
        <w:rPr>
          <w:rFonts w:hint="cs"/>
          <w:rtl/>
        </w:rPr>
        <w:t>"</w:t>
      </w:r>
      <w:r w:rsidRPr="00004C49">
        <w:rPr>
          <w:rtl/>
        </w:rPr>
        <w:t>ח הר</w:t>
      </w:r>
      <w:r>
        <w:rPr>
          <w:rFonts w:hint="cs"/>
          <w:rtl/>
        </w:rPr>
        <w:t>"</w:t>
      </w:r>
      <w:r w:rsidRPr="00004C49">
        <w:rPr>
          <w:rtl/>
        </w:rPr>
        <w:t xml:space="preserve">י פרקש ששום ובצל דינם כתבלין שמותר לתת בכלי שני בשבת. ובסכ''א כותב שהגדרת התבלין הוא </w:t>
      </w:r>
      <w:r>
        <w:rPr>
          <w:rFonts w:hint="cs"/>
          <w:rtl/>
        </w:rPr>
        <w:t>"</w:t>
      </w:r>
      <w:r w:rsidRPr="00004C49">
        <w:rPr>
          <w:rtl/>
        </w:rPr>
        <w:t>כל דבר העשוי ליתן טעם בקדירה</w:t>
      </w:r>
      <w:r>
        <w:rPr>
          <w:rFonts w:hint="cs"/>
          <w:rtl/>
        </w:rPr>
        <w:t>"</w:t>
      </w:r>
      <w:r w:rsidRPr="00004C49">
        <w:t>.</w:t>
      </w:r>
    </w:p>
    <w:p w14:paraId="309107CA" w14:textId="42446743" w:rsidR="00097CCE" w:rsidRPr="00004C49" w:rsidRDefault="00097CCE" w:rsidP="00F8255E">
      <w:pPr>
        <w:pStyle w:val="a2"/>
      </w:pPr>
      <w:r w:rsidRPr="00004C49">
        <w:rPr>
          <w:rtl/>
        </w:rPr>
        <w:t>לכאורה</w:t>
      </w:r>
      <w:r w:rsidRPr="00004C49">
        <w:rPr>
          <w:rFonts w:ascii="Cambria" w:hAnsi="Cambria" w:cs="Cambria"/>
        </w:rPr>
        <w:t> </w:t>
      </w:r>
      <w:r w:rsidRPr="00004C49">
        <w:rPr>
          <w:rtl/>
        </w:rPr>
        <w:t>הדברים מפורשים בשו</w:t>
      </w:r>
      <w:r>
        <w:rPr>
          <w:rFonts w:hint="cs"/>
          <w:rtl/>
        </w:rPr>
        <w:t>"</w:t>
      </w:r>
      <w:r w:rsidRPr="00004C49">
        <w:rPr>
          <w:rtl/>
        </w:rPr>
        <w:t>ע אדה</w:t>
      </w:r>
      <w:r>
        <w:rPr>
          <w:rFonts w:hint="cs"/>
          <w:rtl/>
        </w:rPr>
        <w:t>"</w:t>
      </w:r>
      <w:r w:rsidRPr="00004C49">
        <w:rPr>
          <w:rtl/>
        </w:rPr>
        <w:t>ז בסי' שי</w:t>
      </w:r>
      <w:r>
        <w:rPr>
          <w:rFonts w:hint="cs"/>
          <w:rtl/>
        </w:rPr>
        <w:t>"</w:t>
      </w:r>
      <w:r w:rsidRPr="00004C49">
        <w:rPr>
          <w:rtl/>
        </w:rPr>
        <w:t xml:space="preserve">ח סי''א: </w:t>
      </w:r>
      <w:r>
        <w:rPr>
          <w:rFonts w:hint="cs"/>
          <w:rtl/>
        </w:rPr>
        <w:t>"</w:t>
      </w:r>
      <w:r w:rsidRPr="00004C49">
        <w:rPr>
          <w:rtl/>
        </w:rPr>
        <w:t>וכן כל דבר העשוי ליתן טעם בקדרה כגון שום ובצל הרי הם כתבלין ומותר ליתנם בכלי שני אע"פ שהיד סולדת בו ויש מי שמסתפק בבצל שמא הוא מתבשל גם בכלי שני כל זמן שהיד סולדת בו ונהגו להקל</w:t>
      </w:r>
      <w:r>
        <w:rPr>
          <w:rFonts w:hint="cs"/>
          <w:rtl/>
        </w:rPr>
        <w:t>"</w:t>
      </w:r>
      <w:r w:rsidRPr="00004C49">
        <w:t>.</w:t>
      </w:r>
    </w:p>
    <w:p w14:paraId="4BB6D1A6" w14:textId="6E8AE525" w:rsidR="00097CCE" w:rsidRPr="00004C49" w:rsidRDefault="00097CCE" w:rsidP="00F8255E">
      <w:pPr>
        <w:pStyle w:val="a2"/>
      </w:pPr>
      <w:r w:rsidRPr="00004C49">
        <w:rPr>
          <w:rtl/>
        </w:rPr>
        <w:t>אבל לכאורה נראה שצריך להבין את דברי אדה''ז בדרך שונה</w:t>
      </w:r>
      <w:r>
        <w:rPr>
          <w:rFonts w:hint="cs"/>
          <w:rtl/>
        </w:rPr>
        <w:t>:</w:t>
      </w:r>
      <w:r w:rsidRPr="00004C49">
        <w:rPr>
          <w:rtl/>
        </w:rPr>
        <w:t xml:space="preserve"> אין הגדרה אחת לתבלין ולסיבת ההיתר, אלא ישנם שני סיבות שונות להיתר, ויש להחמיר לפי שניהם. ומכך יוצא לכאורה שלמסקנא אדה''ז אינו מתיר נתינת שום לכלי שני</w:t>
      </w:r>
      <w:r>
        <w:rPr>
          <w:rFonts w:hint="cs"/>
          <w:rtl/>
        </w:rPr>
        <w:t>.</w:t>
      </w:r>
      <w:r w:rsidRPr="00004C49">
        <w:rPr>
          <w:rFonts w:ascii="Cambria" w:hAnsi="Cambria" w:cs="Cambria"/>
        </w:rPr>
        <w:t> </w:t>
      </w:r>
    </w:p>
    <w:p w14:paraId="6B316880" w14:textId="2FC453CD" w:rsidR="00097CCE" w:rsidRPr="00004C49" w:rsidRDefault="00097CCE" w:rsidP="00F8255E">
      <w:pPr>
        <w:pStyle w:val="a2"/>
      </w:pPr>
      <w:r w:rsidRPr="00004C49">
        <w:rPr>
          <w:rtl/>
        </w:rPr>
        <w:t>ביאור הדברים</w:t>
      </w:r>
      <w:r>
        <w:rPr>
          <w:rFonts w:hint="cs"/>
          <w:rtl/>
        </w:rPr>
        <w:t>:</w:t>
      </w:r>
    </w:p>
    <w:p w14:paraId="6182DC40" w14:textId="5089694B" w:rsidR="00097CCE" w:rsidRPr="00004C49" w:rsidRDefault="00097CCE" w:rsidP="00F8255E">
      <w:pPr>
        <w:pStyle w:val="a2"/>
      </w:pPr>
      <w:r w:rsidRPr="00004C49">
        <w:rPr>
          <w:rtl/>
        </w:rPr>
        <w:t>ישנם שני דעות (וסיבות) לאסור נתינה לכלי שני בשבת</w:t>
      </w:r>
      <w:r>
        <w:rPr>
          <w:rFonts w:hint="cs"/>
          <w:rtl/>
        </w:rPr>
        <w:t>:</w:t>
      </w:r>
    </w:p>
    <w:p w14:paraId="1B04E08B" w14:textId="246B33D4" w:rsidR="00097CCE" w:rsidRPr="00004C49" w:rsidRDefault="00097CCE" w:rsidP="00F8255E">
      <w:pPr>
        <w:pStyle w:val="a2"/>
      </w:pPr>
      <w:r w:rsidRPr="00004C49">
        <w:rPr>
          <w:rtl/>
        </w:rPr>
        <w:t>דעת התוס' - שיש איסור דרבנן של מחזי כמבשל, ודעת היראים - משום חשש איסור בישול דאורייתא בדברים רכים. לאידך ישנו היתר מפורש במשנה לתת תבלין בכלי שני</w:t>
      </w:r>
      <w:r w:rsidRPr="00004C49">
        <w:t>.</w:t>
      </w:r>
    </w:p>
    <w:p w14:paraId="60D78A8A" w14:textId="78503DA0" w:rsidR="00097CCE" w:rsidRPr="00004C49" w:rsidRDefault="00097CCE" w:rsidP="00F8255E">
      <w:pPr>
        <w:pStyle w:val="a2"/>
      </w:pPr>
      <w:r w:rsidRPr="00004C49">
        <w:rPr>
          <w:rtl/>
        </w:rPr>
        <w:t>אדה''ז מביא את הסיבה של מחזי כמבשל בסי</w:t>
      </w:r>
      <w:r>
        <w:rPr>
          <w:rFonts w:hint="cs"/>
          <w:rtl/>
        </w:rPr>
        <w:t>"</w:t>
      </w:r>
      <w:r w:rsidRPr="00004C49">
        <w:rPr>
          <w:rtl/>
        </w:rPr>
        <w:t>א, ואת הסיבה של דברים רכים שמתבשלים בכלי שני בסי''ב. ובהמשך לכל אחד מהסיבות מביא את ההיתר של תבלין</w:t>
      </w:r>
      <w:r w:rsidRPr="00004C49">
        <w:t>.</w:t>
      </w:r>
    </w:p>
    <w:p w14:paraId="155B8F86" w14:textId="39E7D1F9" w:rsidR="00097CCE" w:rsidRPr="00097CCE" w:rsidRDefault="00097CCE" w:rsidP="00F8255E">
      <w:pPr>
        <w:pStyle w:val="a2"/>
      </w:pPr>
      <w:r w:rsidRPr="00004C49">
        <w:rPr>
          <w:rtl/>
        </w:rPr>
        <w:t>והנה, מובן שסיבת היתר התבלין לדעה שכלי שני הוא איסור דרבנן של מחזי כמבשל, הוא שונה מסיבת היתר התבלין לדעה שכ''ש הוא חשש איסור דאורייתא</w:t>
      </w:r>
      <w:r w:rsidRPr="00004C49">
        <w:t>:</w:t>
      </w:r>
    </w:p>
    <w:p w14:paraId="60F6CCA7" w14:textId="0D6F0D69" w:rsidR="00097CCE" w:rsidRPr="00097CCE" w:rsidRDefault="00097CCE" w:rsidP="00F8255E">
      <w:pPr>
        <w:pStyle w:val="a2"/>
      </w:pPr>
      <w:r w:rsidRPr="00004C49">
        <w:rPr>
          <w:rtl/>
        </w:rPr>
        <w:t>לפי הדעה שסיבת האיסור הוא משום מחזי כמבשל, אזי מבינים שדברי חז''ל שמתירים תבלין הם בגלל שבתבלין אין מחזי כמבשל, ומכך יוצא כלל שגם כל דבר שבא ליתן טעם מותר ליתנו לכלי שני, ומכאן שגם בצל ושום מותר לתת בכלי שני היות ומטרתם לתת טעם בקדירה</w:t>
      </w:r>
      <w:r w:rsidRPr="00004C49">
        <w:t>.</w:t>
      </w:r>
    </w:p>
    <w:p w14:paraId="22764E0A" w14:textId="7862385A" w:rsidR="00097CCE" w:rsidRPr="00097CCE" w:rsidRDefault="00097CCE" w:rsidP="00F8255E">
      <w:pPr>
        <w:pStyle w:val="a2"/>
      </w:pPr>
      <w:r w:rsidRPr="00004C49">
        <w:rPr>
          <w:rtl/>
        </w:rPr>
        <w:lastRenderedPageBreak/>
        <w:t>ואילו לפי הדעה שסיבת האיסור הוא מצד חשש איסור דאורייתא של בישול בדברים רכים שמתבשלים בכלי שני, גם סיבת ההיתר של תבלין אינו מצד שבא ליתן טעם (שהרי מובן שבאם יש כאן איסור בישול דאורייתא לא יועיל שסיבת הבישול הוא רק כדי לתת טעם), אלא מצד שהיות שבפועל חז''ל התירו זאת, אזי כבר ברור לנו שהדבר מותר, וכבר יצאנו מהחשש שמא זה מהדברים הרכים המתבשלים בכלי שני</w:t>
      </w:r>
      <w:r w:rsidRPr="00004C49">
        <w:t>.</w:t>
      </w:r>
    </w:p>
    <w:p w14:paraId="2316CAEA" w14:textId="46C9FFA3" w:rsidR="00097CCE" w:rsidRPr="00097CCE" w:rsidRDefault="00097CCE" w:rsidP="00F8255E">
      <w:pPr>
        <w:pStyle w:val="a2"/>
      </w:pPr>
      <w:r w:rsidRPr="00004C49">
        <w:rPr>
          <w:rtl/>
        </w:rPr>
        <w:t>חילוק זה בין הסיבות להיתר התבלין מוכרח גם מצד הסברא (כנ</w:t>
      </w:r>
      <w:r>
        <w:rPr>
          <w:rFonts w:hint="cs"/>
          <w:rtl/>
        </w:rPr>
        <w:t>"</w:t>
      </w:r>
      <w:r w:rsidRPr="00004C49">
        <w:rPr>
          <w:rtl/>
        </w:rPr>
        <w:t>ל), וגם מצד דיוק הלשון</w:t>
      </w:r>
      <w:r w:rsidRPr="00004C49">
        <w:t>:</w:t>
      </w:r>
    </w:p>
    <w:p w14:paraId="2CA8C5E7" w14:textId="2508D3A6" w:rsidR="00097CCE" w:rsidRPr="00097CCE" w:rsidRDefault="00097CCE" w:rsidP="00F8255E">
      <w:pPr>
        <w:pStyle w:val="a2"/>
      </w:pPr>
      <w:r w:rsidRPr="00004C49">
        <w:rPr>
          <w:rtl/>
        </w:rPr>
        <w:t>בסעיף י''א אדה''</w:t>
      </w:r>
      <w:r>
        <w:rPr>
          <w:rtl/>
        </w:rPr>
        <w:t xml:space="preserve">ז כותב לפי הדעה של מחזי כמבשל </w:t>
      </w:r>
      <w:r>
        <w:rPr>
          <w:rFonts w:hint="cs"/>
          <w:rtl/>
        </w:rPr>
        <w:t>"</w:t>
      </w:r>
      <w:r w:rsidRPr="00004C49">
        <w:rPr>
          <w:rtl/>
        </w:rPr>
        <w:t>ואינו דומה לתבלין שמותר ליתנם בכלי שני כמו שיתבאר מפני שהתבלין עשויין למתק הקדרה ואינו נראה כמבשל</w:t>
      </w:r>
      <w:r>
        <w:rPr>
          <w:rFonts w:hint="cs"/>
          <w:rtl/>
        </w:rPr>
        <w:t>"</w:t>
      </w:r>
      <w:r w:rsidRPr="00004C49">
        <w:rPr>
          <w:rtl/>
        </w:rPr>
        <w:t xml:space="preserve">, אבל בסי''ב בדעה של חשש בישול דאורייתא כותב </w:t>
      </w:r>
      <w:r>
        <w:rPr>
          <w:rFonts w:hint="cs"/>
          <w:rtl/>
        </w:rPr>
        <w:t>"</w:t>
      </w:r>
      <w:r w:rsidRPr="00004C49">
        <w:rPr>
          <w:rtl/>
        </w:rPr>
        <w:t>לבד מבתבלין שהתירו חכמים בפירוש ליתנם בכלי שני''. והיינו שבנוגע לדעה של מחזי כמבשל ההיתר הוא מצד שאין מחזי כמבשל, ואילו בנוגע לדעה של רכי הבישול ההיתר הוא מצד שהתירו בפירוש</w:t>
      </w:r>
      <w:r w:rsidRPr="00004C49">
        <w:t>.</w:t>
      </w:r>
    </w:p>
    <w:p w14:paraId="2C9B456D" w14:textId="648344AB" w:rsidR="00097CCE" w:rsidRPr="00097CCE" w:rsidRDefault="00097CCE" w:rsidP="00F8255E">
      <w:pPr>
        <w:pStyle w:val="a2"/>
      </w:pPr>
      <w:r w:rsidRPr="00004C49">
        <w:rPr>
          <w:rtl/>
        </w:rPr>
        <w:t>ועוד - בסעיף י"א בדעה של מחזי כמבשל אדה"ז כותב שמותר ליתן לכלי שני תבלין וגם דברים שהם "כתבלין" (כשום ובצל שניתנים לטעם), אבל בסעיף י"ב בדעה של רכי הבישול מתיר רק את התבלין אבל לא מזכיר את מה ש"כתבלין</w:t>
      </w:r>
      <w:r>
        <w:rPr>
          <w:rFonts w:hint="cs"/>
          <w:rtl/>
        </w:rPr>
        <w:t>"</w:t>
      </w:r>
      <w:r w:rsidRPr="00004C49">
        <w:t>.</w:t>
      </w:r>
    </w:p>
    <w:p w14:paraId="691C41EE" w14:textId="78C1D1E4" w:rsidR="00097CCE" w:rsidRPr="00097CCE" w:rsidRDefault="00097CCE" w:rsidP="00F8255E">
      <w:pPr>
        <w:pStyle w:val="a2"/>
      </w:pPr>
      <w:r w:rsidRPr="00004C49">
        <w:rPr>
          <w:rtl/>
        </w:rPr>
        <w:t>מהנ</w:t>
      </w:r>
      <w:r>
        <w:rPr>
          <w:rFonts w:hint="cs"/>
          <w:rtl/>
        </w:rPr>
        <w:t>"</w:t>
      </w:r>
      <w:r w:rsidRPr="00004C49">
        <w:rPr>
          <w:rtl/>
        </w:rPr>
        <w:t>ל נראה לכאורה שדברי אדה''ז אודות היתר נתינת שום ובצל, שנכתבו דווקא בסי''א, הם דווקא לפי הדעה שכל האיסור בכ</w:t>
      </w:r>
      <w:r>
        <w:rPr>
          <w:rFonts w:hint="cs"/>
          <w:rtl/>
        </w:rPr>
        <w:t>"</w:t>
      </w:r>
      <w:r w:rsidRPr="00004C49">
        <w:rPr>
          <w:rtl/>
        </w:rPr>
        <w:t>ש הוא משום מחזי כמבשל, אבל לא למסקנת אדה</w:t>
      </w:r>
      <w:r>
        <w:rPr>
          <w:rFonts w:hint="cs"/>
          <w:rtl/>
        </w:rPr>
        <w:t>"</w:t>
      </w:r>
      <w:r w:rsidRPr="00004C49">
        <w:rPr>
          <w:rtl/>
        </w:rPr>
        <w:t>ז כמו שכתב בסי''ב שיש להחמיר בכולן</w:t>
      </w:r>
      <w:r w:rsidRPr="00004C49">
        <w:t>.</w:t>
      </w:r>
    </w:p>
    <w:p w14:paraId="6FB3F1FE" w14:textId="50634FCB" w:rsidR="00097CCE" w:rsidRDefault="00097CCE" w:rsidP="00F8255E">
      <w:pPr>
        <w:pStyle w:val="a2"/>
        <w:rPr>
          <w:sz w:val="44"/>
          <w:szCs w:val="44"/>
          <w:rtl/>
        </w:rPr>
      </w:pPr>
      <w:r w:rsidRPr="00004C49">
        <w:rPr>
          <w:rtl/>
        </w:rPr>
        <w:t>אלא שבנוגע לבצל אדה</w:t>
      </w:r>
      <w:r>
        <w:rPr>
          <w:rFonts w:hint="cs"/>
          <w:rtl/>
        </w:rPr>
        <w:t>"</w:t>
      </w:r>
      <w:r w:rsidRPr="00004C49">
        <w:rPr>
          <w:rtl/>
        </w:rPr>
        <w:t>ז כותב שנהגו להקל, ומכך משמע שההיתר בבצל נשאר גם למסקנא, אבל בנוגע לשום - נראה שלמסקנתו בסי''ב שיש להחמיר בכולן, יש להחמיר ולא לתת שום בכלי שני</w:t>
      </w:r>
      <w:r w:rsidRPr="00004C49">
        <w:t>.</w:t>
      </w:r>
    </w:p>
    <w:p w14:paraId="436C08AB" w14:textId="77777777" w:rsidR="00097CCE" w:rsidRPr="00552D8B" w:rsidRDefault="00097CCE" w:rsidP="005E6E84">
      <w:pPr>
        <w:pStyle w:val="a4"/>
        <w:sectPr w:rsidR="00097CCE" w:rsidRPr="00552D8B" w:rsidSect="00E65DD5">
          <w:headerReference w:type="even" r:id="rId50"/>
          <w:headerReference w:type="default" r:id="rId51"/>
          <w:footnotePr>
            <w:numRestart w:val="eachSect"/>
          </w:footnotePr>
          <w:type w:val="continuous"/>
          <w:pgSz w:w="7920" w:h="12240"/>
          <w:pgMar w:top="-810" w:right="864" w:bottom="720" w:left="864" w:header="270" w:footer="0" w:gutter="0"/>
          <w:cols w:space="720"/>
          <w:docGrid w:linePitch="360"/>
        </w:sectPr>
      </w:pPr>
      <w:r w:rsidRPr="00552D8B">
        <w:t>g</w:t>
      </w:r>
    </w:p>
    <w:p w14:paraId="508D1DAA" w14:textId="77777777" w:rsidR="00097CCE" w:rsidRDefault="00097CCE" w:rsidP="00097CCE">
      <w:pPr>
        <w:pStyle w:val="a"/>
      </w:pPr>
      <w:bookmarkStart w:id="145" w:name="_Toc3515503"/>
      <w:r w:rsidRPr="00E90487">
        <w:rPr>
          <w:rtl/>
        </w:rPr>
        <w:lastRenderedPageBreak/>
        <w:t>משלוח מנות ממעות מעשר</w:t>
      </w:r>
      <w:r w:rsidRPr="00E90487">
        <w:rPr>
          <w:rStyle w:val="FootnoteReference"/>
          <w:rFonts w:ascii="FbFrankReal" w:hAnsi="FbFrankReal" w:cs="FbFrankReal"/>
          <w:sz w:val="40"/>
          <w:szCs w:val="40"/>
        </w:rPr>
        <w:footnoteReference w:customMarkFollows="1" w:id="33"/>
        <w:sym w:font="Symbol" w:char="F02A"/>
      </w:r>
      <w:bookmarkEnd w:id="145"/>
    </w:p>
    <w:p w14:paraId="50B7EBF5" w14:textId="10084ADD" w:rsidR="00097CCE" w:rsidRDefault="009D4CF5" w:rsidP="00C40187">
      <w:pPr>
        <w:pStyle w:val="a0"/>
        <w:rPr>
          <w:rtl/>
        </w:rPr>
      </w:pPr>
      <w:bookmarkStart w:id="146" w:name="_Toc3515504"/>
      <w:r>
        <w:rPr>
          <w:rFonts w:hint="cs"/>
          <w:rtl/>
        </w:rPr>
        <w:t xml:space="preserve">הרב </w:t>
      </w:r>
      <w:r w:rsidR="00097CCE">
        <w:rPr>
          <w:rFonts w:hint="cs"/>
          <w:rtl/>
        </w:rPr>
        <w:t>מאיר חיים בריקמאן</w:t>
      </w:r>
      <w:bookmarkEnd w:id="146"/>
    </w:p>
    <w:p w14:paraId="3AE3F0BE" w14:textId="77777777" w:rsidR="00097CCE" w:rsidRPr="00AC635B" w:rsidRDefault="00097CCE" w:rsidP="00F8255E">
      <w:pPr>
        <w:pStyle w:val="a1"/>
        <w:rPr>
          <w:b/>
          <w:bCs/>
          <w:rtl/>
        </w:rPr>
      </w:pPr>
      <w:r w:rsidRPr="00AC635B">
        <w:rPr>
          <w:rFonts w:hint="cs"/>
          <w:rtl/>
        </w:rPr>
        <w:t>כולל אברכים שע"י ביהכנ"ס אנ"ש</w:t>
      </w:r>
    </w:p>
    <w:p w14:paraId="55978196" w14:textId="099B8054" w:rsidR="00097CCE" w:rsidRDefault="00097CCE" w:rsidP="00F8255E">
      <w:pPr>
        <w:pStyle w:val="11"/>
        <w:bidi/>
        <w:rPr>
          <w:rtl/>
        </w:rPr>
      </w:pPr>
      <w:r>
        <w:rPr>
          <w:rFonts w:hint="cs"/>
          <w:rtl/>
        </w:rPr>
        <w:t>א.</w:t>
      </w:r>
    </w:p>
    <w:p w14:paraId="30534C28" w14:textId="77777777" w:rsidR="00097CCE" w:rsidRPr="00E90487" w:rsidRDefault="00097CCE" w:rsidP="00F8255E">
      <w:pPr>
        <w:pStyle w:val="a2"/>
        <w:rPr>
          <w:rtl/>
        </w:rPr>
      </w:pPr>
      <w:r w:rsidRPr="00E90487">
        <w:rPr>
          <w:rtl/>
        </w:rPr>
        <w:t>"חייב אדם לשלוח שתי מנות של בשר או שני מיני תבשיל או שני מיני אוכלין לחבירו שנאמר</w:t>
      </w:r>
      <w:r w:rsidRPr="00E90487">
        <w:rPr>
          <w:rStyle w:val="FootnoteReference"/>
          <w:sz w:val="28"/>
          <w:szCs w:val="28"/>
          <w:rtl/>
        </w:rPr>
        <w:footnoteReference w:id="34"/>
      </w:r>
      <w:r w:rsidRPr="00E90487">
        <w:rPr>
          <w:rtl/>
        </w:rPr>
        <w:t xml:space="preserve"> ומשלוח מנות איש לרעהו ["כלומר לרעהו העשיר"</w:t>
      </w:r>
      <w:r w:rsidRPr="00E90487">
        <w:rPr>
          <w:rStyle w:val="FootnoteReference"/>
          <w:sz w:val="28"/>
          <w:szCs w:val="28"/>
          <w:rtl/>
        </w:rPr>
        <w:footnoteReference w:id="35"/>
      </w:r>
      <w:r>
        <w:rPr>
          <w:rtl/>
        </w:rPr>
        <w:t>]</w:t>
      </w:r>
      <w:r w:rsidRPr="00E90487">
        <w:rPr>
          <w:rtl/>
        </w:rPr>
        <w:t xml:space="preserve"> שתי מנות לאיש אחד, וכל המרבה לשלוח לריעים משובח</w:t>
      </w:r>
      <w:r w:rsidRPr="00E90487">
        <w:rPr>
          <w:rStyle w:val="FootnoteReference"/>
          <w:sz w:val="28"/>
          <w:szCs w:val="28"/>
          <w:rtl/>
        </w:rPr>
        <w:footnoteReference w:id="36"/>
      </w:r>
      <w:r w:rsidRPr="00E90487">
        <w:rPr>
          <w:rtl/>
        </w:rPr>
        <w:t>".</w:t>
      </w:r>
    </w:p>
    <w:p w14:paraId="069D6D42" w14:textId="77777777" w:rsidR="00097CCE" w:rsidRDefault="00097CCE" w:rsidP="00F8255E">
      <w:pPr>
        <w:pStyle w:val="a2"/>
        <w:rPr>
          <w:rtl/>
        </w:rPr>
      </w:pPr>
      <w:r w:rsidRPr="00E90487">
        <w:rPr>
          <w:rtl/>
        </w:rPr>
        <w:lastRenderedPageBreak/>
        <w:t>והנה בנ</w:t>
      </w:r>
      <w:r>
        <w:rPr>
          <w:rFonts w:hint="cs"/>
          <w:rtl/>
        </w:rPr>
        <w:t xml:space="preserve">וגע להשאלה, </w:t>
      </w:r>
      <w:r>
        <w:rPr>
          <w:rtl/>
        </w:rPr>
        <w:t>אם מותר לשלוח משלות מנ</w:t>
      </w:r>
      <w:r w:rsidRPr="00E90487">
        <w:rPr>
          <w:rtl/>
        </w:rPr>
        <w:t xml:space="preserve">ות ממעות מעשר, כתב בנט"ג הלכות פורים (פרק נ"ד הלכה י"ג) וז"ל "אין יוצאין ידי חובת משלוח מנות במעות מעשר, </w:t>
      </w:r>
      <w:r w:rsidRPr="00E90487">
        <w:rPr>
          <w:b/>
          <w:bCs/>
          <w:rtl/>
        </w:rPr>
        <w:t>אולם אם רוצה להוסיף יותר מהשיעור, יכול ליתן ממעות מעשר</w:t>
      </w:r>
      <w:r w:rsidRPr="00E90487">
        <w:rPr>
          <w:rtl/>
        </w:rPr>
        <w:t>" ומקורו הוא</w:t>
      </w:r>
      <w:r>
        <w:rPr>
          <w:rFonts w:hint="cs"/>
          <w:rtl/>
        </w:rPr>
        <w:t>,</w:t>
      </w:r>
      <w:r w:rsidRPr="00E90487">
        <w:rPr>
          <w:rtl/>
        </w:rPr>
        <w:t xml:space="preserve"> כמו שמציין שם (בהערה י"ז) וז"ל "תשובת מהרי"ל סימן נ"ו, של"ה דף ר"ס, מג"א סימן תרצ"ד סק"א, מ"ב שם סק"ג, ושולחן שלמה שם ס"א".</w:t>
      </w:r>
    </w:p>
    <w:p w14:paraId="60751E78" w14:textId="77777777" w:rsidR="00097CCE" w:rsidRPr="00E90487" w:rsidRDefault="00097CCE" w:rsidP="00F8255E">
      <w:pPr>
        <w:pStyle w:val="a2"/>
        <w:rPr>
          <w:rtl/>
        </w:rPr>
      </w:pPr>
      <w:r>
        <w:rPr>
          <w:rFonts w:hint="cs"/>
          <w:rtl/>
        </w:rPr>
        <w:t xml:space="preserve">והנה </w:t>
      </w:r>
      <w:r w:rsidRPr="00E90487">
        <w:rPr>
          <w:rtl/>
        </w:rPr>
        <w:t xml:space="preserve">נראה שיש </w:t>
      </w:r>
      <w:r>
        <w:rPr>
          <w:rtl/>
        </w:rPr>
        <w:t>צ</w:t>
      </w:r>
      <w:r>
        <w:rPr>
          <w:rFonts w:hint="cs"/>
          <w:rtl/>
        </w:rPr>
        <w:t>ו</w:t>
      </w:r>
      <w:r>
        <w:rPr>
          <w:rtl/>
        </w:rPr>
        <w:t>ר</w:t>
      </w:r>
      <w:r w:rsidRPr="00E90487">
        <w:rPr>
          <w:rtl/>
        </w:rPr>
        <w:t xml:space="preserve">ך לעיין ולהאריך על סוף דבריו, שהיתר לכל מי שרוצה להוסיף יותר משיעור המחויב דמשלוח מנות, להשתמש במעות מעשר, - וע"כ </w:t>
      </w:r>
      <w:r w:rsidRPr="00337DD0">
        <w:rPr>
          <w:rFonts w:hint="cs"/>
          <w:rtl/>
        </w:rPr>
        <w:t>מצאתי</w:t>
      </w:r>
      <w:r w:rsidRPr="00337DD0">
        <w:rPr>
          <w:rtl/>
        </w:rPr>
        <w:t xml:space="preserve"> </w:t>
      </w:r>
      <w:r w:rsidRPr="00337DD0">
        <w:rPr>
          <w:rFonts w:hint="cs"/>
          <w:rtl/>
        </w:rPr>
        <w:t>לנכון</w:t>
      </w:r>
      <w:r w:rsidRPr="00337DD0">
        <w:rPr>
          <w:rtl/>
        </w:rPr>
        <w:t xml:space="preserve"> </w:t>
      </w:r>
      <w:r w:rsidRPr="00337DD0">
        <w:rPr>
          <w:rFonts w:hint="cs"/>
          <w:rtl/>
        </w:rPr>
        <w:t>להביא</w:t>
      </w:r>
      <w:r w:rsidRPr="00337DD0">
        <w:rPr>
          <w:rtl/>
        </w:rPr>
        <w:t xml:space="preserve"> </w:t>
      </w:r>
      <w:r>
        <w:rPr>
          <w:rFonts w:hint="cs"/>
          <w:rtl/>
        </w:rPr>
        <w:t>דברי המקורות שציין</w:t>
      </w:r>
      <w:r w:rsidRPr="00337DD0">
        <w:rPr>
          <w:rtl/>
        </w:rPr>
        <w:t xml:space="preserve"> </w:t>
      </w:r>
      <w:r>
        <w:rPr>
          <w:rFonts w:hint="cs"/>
          <w:rtl/>
        </w:rPr>
        <w:t>בשלימותם</w:t>
      </w:r>
      <w:r>
        <w:rPr>
          <w:rtl/>
        </w:rPr>
        <w:t>, ו</w:t>
      </w:r>
      <w:r>
        <w:rPr>
          <w:rFonts w:hint="cs"/>
          <w:rtl/>
        </w:rPr>
        <w:t xml:space="preserve">אחרי </w:t>
      </w:r>
      <w:r w:rsidRPr="004434CD">
        <w:rPr>
          <w:rFonts w:hint="cs"/>
          <w:rtl/>
        </w:rPr>
        <w:t>העיון</w:t>
      </w:r>
      <w:r w:rsidRPr="004434CD">
        <w:rPr>
          <w:rtl/>
        </w:rPr>
        <w:t xml:space="preserve"> </w:t>
      </w:r>
      <w:r>
        <w:rPr>
          <w:rFonts w:hint="cs"/>
          <w:rtl/>
        </w:rPr>
        <w:t>יובן יותר גדר ההיתר</w:t>
      </w:r>
      <w:r w:rsidRPr="00E90487">
        <w:rPr>
          <w:rtl/>
        </w:rPr>
        <w:t>.</w:t>
      </w:r>
    </w:p>
    <w:p w14:paraId="081EC2DB" w14:textId="77777777" w:rsidR="00097CCE" w:rsidRPr="00E90487" w:rsidRDefault="00097CCE" w:rsidP="00F8255E">
      <w:pPr>
        <w:pStyle w:val="11"/>
        <w:bidi/>
        <w:rPr>
          <w:rtl/>
        </w:rPr>
      </w:pPr>
      <w:r>
        <w:rPr>
          <w:rFonts w:hint="cs"/>
          <w:rtl/>
        </w:rPr>
        <w:t xml:space="preserve">ב. </w:t>
      </w:r>
      <w:r>
        <w:rPr>
          <w:rtl/>
        </w:rPr>
        <w:t>פ</w:t>
      </w:r>
      <w:r>
        <w:rPr>
          <w:rFonts w:hint="cs"/>
          <w:rtl/>
        </w:rPr>
        <w:t>ע</w:t>
      </w:r>
      <w:r w:rsidRPr="00E90487">
        <w:rPr>
          <w:rtl/>
        </w:rPr>
        <w:t>נוח המראה מקומות, והיוצא מדבריהם</w:t>
      </w:r>
    </w:p>
    <w:p w14:paraId="1F25F632" w14:textId="77777777" w:rsidR="00097CCE" w:rsidRPr="00E90487" w:rsidRDefault="00097CCE" w:rsidP="008A457D">
      <w:pPr>
        <w:pStyle w:val="a2"/>
        <w:numPr>
          <w:ilvl w:val="0"/>
          <w:numId w:val="17"/>
        </w:numPr>
        <w:rPr>
          <w:rtl/>
        </w:rPr>
      </w:pPr>
      <w:r w:rsidRPr="00E90487">
        <w:rPr>
          <w:b/>
          <w:bCs/>
          <w:rtl/>
        </w:rPr>
        <w:t>שו"ת מהרי"ל סימן נ</w:t>
      </w:r>
      <w:r>
        <w:rPr>
          <w:rFonts w:hint="cs"/>
          <w:b/>
          <w:bCs/>
          <w:rtl/>
        </w:rPr>
        <w:t>"</w:t>
      </w:r>
      <w:r w:rsidRPr="00E90487">
        <w:rPr>
          <w:b/>
          <w:bCs/>
          <w:rtl/>
        </w:rPr>
        <w:t xml:space="preserve">ו: </w:t>
      </w:r>
      <w:r w:rsidRPr="00E90487">
        <w:rPr>
          <w:rtl/>
        </w:rPr>
        <w:t>שאלה</w:t>
      </w:r>
      <w:r w:rsidRPr="00E90487">
        <w:rPr>
          <w:color w:val="0000FF"/>
          <w:rtl/>
        </w:rPr>
        <w:t>:</w:t>
      </w:r>
      <w:r w:rsidRPr="00E90487">
        <w:rPr>
          <w:rtl/>
        </w:rPr>
        <w:t xml:space="preserve"> אם אדם יוצא מצות מתנה לאביונים במה שנותן להם מעות של מעשר. מי אמרינן כיון דהמעשר בלאו הכי שייכא להם לא יצא דהא נותן להם משלהם, או דלמא עיקר תקנה כדי לשמחן, אם כן יצא לאביונים כי אינם מקפידין אם נותן להם מעשר אם לאו, רק שהם שמחים וטובת הנאה של מעשר הוא של בעלים, וכשנותן לזה העני ולא לאחר אז הוי [ליה] שמחה. </w:t>
      </w:r>
    </w:p>
    <w:p w14:paraId="1F73696E" w14:textId="77777777" w:rsidR="008A457D" w:rsidRDefault="00097CCE" w:rsidP="008A457D">
      <w:pPr>
        <w:pStyle w:val="a2"/>
        <w:ind w:left="1152" w:firstLine="0"/>
        <w:rPr>
          <w:rtl/>
        </w:rPr>
      </w:pPr>
      <w:r w:rsidRPr="00E90487">
        <w:rPr>
          <w:rtl/>
        </w:rPr>
        <w:t>תשובה: ומתנות לאביונים, ענ"ד נוטה דלא נפיק במעות מעשר כיון דתקנתא דרבנן [היא] הוי דבר שבחובה, ונמצא זה פורע [חובו] ממעשרו ואין לו בו אלא טובת הנאה, ויש מרבותינו דפסקו דאינו ממון</w:t>
      </w:r>
      <w:r w:rsidRPr="00E90487">
        <w:rPr>
          <w:rStyle w:val="FootnoteReference"/>
          <w:color w:val="000000"/>
          <w:sz w:val="28"/>
          <w:szCs w:val="28"/>
          <w:rtl/>
        </w:rPr>
        <w:footnoteReference w:id="37"/>
      </w:r>
      <w:r w:rsidRPr="00E90487">
        <w:rPr>
          <w:rtl/>
        </w:rPr>
        <w:t xml:space="preserve"> למ"ד ממון</w:t>
      </w:r>
      <w:r w:rsidRPr="00E90487">
        <w:rPr>
          <w:rStyle w:val="FootnoteReference"/>
          <w:color w:val="000000"/>
          <w:sz w:val="28"/>
          <w:szCs w:val="28"/>
          <w:rtl/>
        </w:rPr>
        <w:footnoteReference w:id="38"/>
      </w:r>
      <w:r w:rsidRPr="00E90487">
        <w:rPr>
          <w:rtl/>
        </w:rPr>
        <w:t xml:space="preserve"> מ"מ הוי דבר שבחובה וכל דבר שבחובה אינו בא אלא מן החולין</w:t>
      </w:r>
      <w:r w:rsidR="001F4F74" w:rsidRPr="00E90487">
        <w:rPr>
          <w:rStyle w:val="FootnoteReference"/>
          <w:color w:val="000000"/>
          <w:sz w:val="28"/>
          <w:szCs w:val="28"/>
          <w:rtl/>
        </w:rPr>
        <w:footnoteReference w:id="39"/>
      </w:r>
      <w:r w:rsidR="001F4F74">
        <w:rPr>
          <w:rFonts w:hint="cs"/>
          <w:rtl/>
        </w:rPr>
        <w:t xml:space="preserve">. </w:t>
      </w:r>
    </w:p>
    <w:p w14:paraId="7835A0D7" w14:textId="29A060BA" w:rsidR="00097CCE" w:rsidRPr="008A457D" w:rsidRDefault="001F4F74" w:rsidP="008A457D">
      <w:pPr>
        <w:pStyle w:val="a2"/>
        <w:ind w:left="1152" w:firstLine="0"/>
        <w:rPr>
          <w:rtl/>
        </w:rPr>
      </w:pPr>
      <w:r>
        <w:rPr>
          <w:rFonts w:hint="cs"/>
          <w:rtl/>
        </w:rPr>
        <w:t>ו</w:t>
      </w:r>
      <w:r w:rsidR="00097CCE" w:rsidRPr="00E90487">
        <w:rPr>
          <w:rtl/>
        </w:rPr>
        <w:t>אף על גב דרבנן בתראי הר"י אופנהיים שרי להאכילו לאביו בזמן הזה כמו שכתבתי לך כבר</w:t>
      </w:r>
      <w:r w:rsidR="00097CCE" w:rsidRPr="00E90487">
        <w:rPr>
          <w:rStyle w:val="FootnoteReference"/>
          <w:color w:val="000000"/>
          <w:sz w:val="28"/>
          <w:szCs w:val="28"/>
          <w:rtl/>
        </w:rPr>
        <w:footnoteReference w:id="40"/>
      </w:r>
      <w:r w:rsidR="00097CCE" w:rsidRPr="00E90487">
        <w:rPr>
          <w:rtl/>
        </w:rPr>
        <w:t xml:space="preserve"> התם היינו טעמא דלא קפדינן אלטותא דתבא מאירה למי שמאכיל את אביו כו'</w:t>
      </w:r>
      <w:r w:rsidR="00097CCE" w:rsidRPr="00E90487">
        <w:rPr>
          <w:rStyle w:val="FootnoteReference"/>
          <w:color w:val="000000"/>
          <w:sz w:val="28"/>
          <w:szCs w:val="28"/>
          <w:rtl/>
        </w:rPr>
        <w:footnoteReference w:id="41"/>
      </w:r>
      <w:r w:rsidR="00097CCE" w:rsidRPr="00E90487">
        <w:rPr>
          <w:rtl/>
        </w:rPr>
        <w:t xml:space="preserve"> וטעמא משום (גנאי) [דגנאי] הוא </w:t>
      </w:r>
      <w:r w:rsidR="00097CCE" w:rsidRPr="00E90487">
        <w:rPr>
          <w:rtl/>
        </w:rPr>
        <w:lastRenderedPageBreak/>
        <w:t>לאביו וכה"ג דהוי דרבנן לא וליכא גנאי ואין כאן חובה אלא שיהא לאביו מזונות והרי יהי' ליה, אבל הכא דעיקר תקנה וחיובא הוי עלי' רמיא לא נפיק אלא מדידיה. והמדקדק וחס על שלו יכול ליתן משלו שתי פרוטות, או לסמוך על מעות פורים (לאפושי) [ולאפושי] להו מן המעשר</w:t>
      </w:r>
      <w:r w:rsidR="00097CCE" w:rsidRPr="00E90487">
        <w:rPr>
          <w:color w:val="000000" w:themeColor="text1"/>
          <w:rtl/>
        </w:rPr>
        <w:t xml:space="preserve">, </w:t>
      </w:r>
      <w:r w:rsidR="00097CCE" w:rsidRPr="008A457D">
        <w:rPr>
          <w:b/>
          <w:bCs/>
          <w:color w:val="000000" w:themeColor="text1"/>
          <w:rtl/>
        </w:rPr>
        <w:t>עכ"ל</w:t>
      </w:r>
      <w:r w:rsidR="00097CCE" w:rsidRPr="00774718">
        <w:rPr>
          <w:color w:val="000000" w:themeColor="text1"/>
          <w:rtl/>
        </w:rPr>
        <w:t>.</w:t>
      </w:r>
    </w:p>
    <w:p w14:paraId="3C6846DA" w14:textId="77777777" w:rsidR="00097CCE" w:rsidRPr="00E90487" w:rsidRDefault="00097CCE" w:rsidP="00F8255E">
      <w:pPr>
        <w:pStyle w:val="a2"/>
        <w:rPr>
          <w:color w:val="000000"/>
        </w:rPr>
      </w:pPr>
      <w:r w:rsidRPr="00E90487">
        <w:rPr>
          <w:rtl/>
        </w:rPr>
        <w:t>והרי שמכאן א"א להביא ראי' להא שמסיים בנט"ג שם, שכל מה שמוסיף על חיובו דמשלוח מנות, מותר להשתמש במעות מעשר, דהלא המהרי"ל אינו מדבר כאן כ"א בנוגע למתנות לאביונים, ו</w:t>
      </w:r>
      <w:r>
        <w:rPr>
          <w:rFonts w:hint="cs"/>
          <w:rtl/>
        </w:rPr>
        <w:t xml:space="preserve">לכן </w:t>
      </w:r>
      <w:r w:rsidRPr="00E90487">
        <w:rPr>
          <w:rtl/>
        </w:rPr>
        <w:t xml:space="preserve">זה </w:t>
      </w:r>
      <w:r w:rsidRPr="002D40D5">
        <w:rPr>
          <w:rtl/>
        </w:rPr>
        <w:t>שסיים</w:t>
      </w:r>
      <w:r w:rsidRPr="00E90487">
        <w:rPr>
          <w:rtl/>
        </w:rPr>
        <w:t xml:space="preserve"> שאפשר "</w:t>
      </w:r>
      <w:r w:rsidRPr="00E90487">
        <w:rPr>
          <w:color w:val="000000"/>
          <w:rtl/>
        </w:rPr>
        <w:t>לאפושי להו מן המעשר", ה"ה בהמשך למש"כ קודם לזה בנוגע למתנות לאביונים, ו</w:t>
      </w:r>
      <w:r>
        <w:rPr>
          <w:rFonts w:hint="cs"/>
          <w:color w:val="000000"/>
          <w:rtl/>
        </w:rPr>
        <w:t>ע"כ</w:t>
      </w:r>
      <w:r w:rsidRPr="00E90487">
        <w:rPr>
          <w:color w:val="000000"/>
          <w:rtl/>
        </w:rPr>
        <w:t xml:space="preserve"> אין להביא ראי' מדבריו כ"א לראשית דברי הנט"ג ש"</w:t>
      </w:r>
      <w:r w:rsidRPr="00E90487">
        <w:rPr>
          <w:rtl/>
        </w:rPr>
        <w:t>אין יוצאין ידי חובת משלוח מנות במעות מעשר</w:t>
      </w:r>
      <w:r w:rsidRPr="00E90487">
        <w:rPr>
          <w:color w:val="000000"/>
          <w:rtl/>
        </w:rPr>
        <w:t>" משום ש"כל דבר שבחובה אינו בא אלא מן החולין".</w:t>
      </w:r>
    </w:p>
    <w:p w14:paraId="0772DEA8" w14:textId="77777777" w:rsidR="00097CCE" w:rsidRPr="00E90487" w:rsidRDefault="00097CCE" w:rsidP="00F8255E">
      <w:pPr>
        <w:pStyle w:val="a2"/>
        <w:rPr>
          <w:rtl/>
        </w:rPr>
      </w:pPr>
      <w:r w:rsidRPr="00E90487">
        <w:rPr>
          <w:color w:val="000000"/>
          <w:rtl/>
        </w:rPr>
        <w:t>ועוד י"ל שבנוגע לסוף דבריו הוי שיטת מהרי"ל ראי' לסתור, דהלא מהרי"ל לשיטתו אזיל שהובא ב</w:t>
      </w:r>
      <w:r w:rsidRPr="00E90487">
        <w:rPr>
          <w:rtl/>
        </w:rPr>
        <w:t xml:space="preserve">ספר המנהגים שלו (הלכות ראש השנה אות ג') וז"ל "הנותנין מעשר שלהן לעשות נרות להדליקם בשעת התפלה שלא כדין עושין, </w:t>
      </w:r>
      <w:r w:rsidRPr="00E90487">
        <w:rPr>
          <w:b/>
          <w:bCs/>
          <w:rtl/>
        </w:rPr>
        <w:t>כי המעשר שייך לעניים</w:t>
      </w:r>
      <w:r w:rsidRPr="00E90487">
        <w:rPr>
          <w:rtl/>
        </w:rPr>
        <w:t>", עכ"ל.</w:t>
      </w:r>
    </w:p>
    <w:p w14:paraId="5CD4951E" w14:textId="77777777" w:rsidR="00097CCE" w:rsidRPr="00E90487" w:rsidRDefault="00097CCE" w:rsidP="00F8255E">
      <w:pPr>
        <w:pStyle w:val="a2"/>
        <w:rPr>
          <w:rtl/>
        </w:rPr>
      </w:pPr>
      <w:r w:rsidRPr="00E90487">
        <w:rPr>
          <w:rtl/>
        </w:rPr>
        <w:t>וכן פסק הרמ"א (יו"ד סימן רמ"ט סעיף א') וז"ל "ואין לעשות ממעשר שלו דבר מצוה, כגון נרות לבית הכנסת או שאר דבר מצוה, רק יתננו לעניים", עכ"ל.</w:t>
      </w:r>
    </w:p>
    <w:p w14:paraId="626981AE" w14:textId="77777777" w:rsidR="00097CCE" w:rsidRPr="00E90487" w:rsidRDefault="00097CCE" w:rsidP="00F8255E">
      <w:pPr>
        <w:pStyle w:val="a2"/>
        <w:rPr>
          <w:rtl/>
        </w:rPr>
      </w:pPr>
      <w:r w:rsidRPr="00E90487">
        <w:rPr>
          <w:rtl/>
        </w:rPr>
        <w:t>והיינו שלפי דעת המהרי"ל (והרמ"א) אסור להשתמש במעות מעשר לכל דבר מצוה שירצה, אפילו למצוה</w:t>
      </w:r>
      <w:r w:rsidRPr="00E90487">
        <w:rPr>
          <w:b/>
          <w:bCs/>
          <w:rtl/>
        </w:rPr>
        <w:t xml:space="preserve"> שאינו </w:t>
      </w:r>
      <w:r w:rsidRPr="00E90487">
        <w:rPr>
          <w:rtl/>
        </w:rPr>
        <w:t>חייב בה</w:t>
      </w:r>
      <w:bookmarkStart w:id="147" w:name="_Ref2765869"/>
      <w:r w:rsidRPr="002D40D5">
        <w:rPr>
          <w:rStyle w:val="FootnoteReference"/>
          <w:color w:val="000000" w:themeColor="text1"/>
          <w:sz w:val="28"/>
          <w:szCs w:val="28"/>
          <w:rtl/>
        </w:rPr>
        <w:footnoteReference w:id="42"/>
      </w:r>
      <w:bookmarkEnd w:id="147"/>
      <w:r w:rsidRPr="002D40D5">
        <w:rPr>
          <w:rtl/>
        </w:rPr>
        <w:t>,</w:t>
      </w:r>
      <w:r w:rsidRPr="00E90487">
        <w:rPr>
          <w:rtl/>
        </w:rPr>
        <w:t xml:space="preserve"> משום דמעות מעשר כספים כבר זכו </w:t>
      </w:r>
      <w:r w:rsidRPr="00E90487">
        <w:rPr>
          <w:rtl/>
        </w:rPr>
        <w:lastRenderedPageBreak/>
        <w:t>בהם עניים, ולכן "אין לשנותם למצוה אחרת דנראה כגוזל עניים</w:t>
      </w:r>
      <w:r w:rsidRPr="00E90487">
        <w:rPr>
          <w:rStyle w:val="FootnoteReference"/>
          <w:color w:val="000000" w:themeColor="text1"/>
          <w:sz w:val="28"/>
          <w:szCs w:val="28"/>
          <w:rtl/>
        </w:rPr>
        <w:footnoteReference w:id="43"/>
      </w:r>
      <w:r w:rsidRPr="00E90487">
        <w:rPr>
          <w:rtl/>
        </w:rPr>
        <w:t>", וע"כ פשוט כנ"ל שהא שסיים המהרי"ל שאפשר "</w:t>
      </w:r>
      <w:r w:rsidRPr="00E90487">
        <w:rPr>
          <w:color w:val="000000"/>
          <w:rtl/>
        </w:rPr>
        <w:t>לאפושי להו מן המעשר"</w:t>
      </w:r>
      <w:r w:rsidRPr="00E90487">
        <w:rPr>
          <w:rtl/>
        </w:rPr>
        <w:t xml:space="preserve"> אין כוונתנו אלא בנוגע למתנות לאביונים דוקא שמגיע לידי העניים, משא"כ בנוגע למשלוח מנות לעשירים, ודלא כמ"ש בנט"ג</w:t>
      </w:r>
      <w:bookmarkStart w:id="148" w:name="_Ref2702008"/>
      <w:r w:rsidRPr="00E90487">
        <w:rPr>
          <w:rStyle w:val="FootnoteReference"/>
          <w:color w:val="000000" w:themeColor="text1"/>
          <w:sz w:val="28"/>
          <w:szCs w:val="28"/>
          <w:rtl/>
        </w:rPr>
        <w:footnoteReference w:id="44"/>
      </w:r>
      <w:bookmarkEnd w:id="148"/>
      <w:r w:rsidRPr="00E90487">
        <w:rPr>
          <w:rtl/>
        </w:rPr>
        <w:t>.</w:t>
      </w:r>
    </w:p>
    <w:p w14:paraId="04A0CBA1" w14:textId="77777777" w:rsidR="00097CCE" w:rsidRPr="00E90487" w:rsidRDefault="00097CCE" w:rsidP="008A457D">
      <w:pPr>
        <w:pStyle w:val="a2"/>
        <w:numPr>
          <w:ilvl w:val="0"/>
          <w:numId w:val="17"/>
        </w:numPr>
        <w:rPr>
          <w:rtl/>
        </w:rPr>
      </w:pPr>
      <w:r w:rsidRPr="00E90487">
        <w:rPr>
          <w:b/>
          <w:bCs/>
          <w:rtl/>
        </w:rPr>
        <w:t xml:space="preserve">של"ה דף ר"ס [מסכת מגילה פרק נר מצוה (אות </w:t>
      </w:r>
      <w:r>
        <w:rPr>
          <w:rFonts w:hint="cs"/>
          <w:b/>
          <w:bCs/>
          <w:rtl/>
        </w:rPr>
        <w:t>ד'</w:t>
      </w:r>
      <w:r w:rsidRPr="00E90487">
        <w:rPr>
          <w:b/>
          <w:bCs/>
          <w:rtl/>
        </w:rPr>
        <w:t xml:space="preserve">)]: </w:t>
      </w:r>
      <w:r w:rsidRPr="00E90487">
        <w:rPr>
          <w:rtl/>
        </w:rPr>
        <w:t xml:space="preserve">כל דבר שבחובה אינה באה אלא מן החולין. כדאיתא במסכת חגיגה (ז ב) בענין עולת ראיה וחגיגה, שאינה באה מהמעשר אלא מהחולין. וכן נראה לי לענין פורים, שנוהגים במחצית השקל, ומכל שכן משלוח מנות ומתנות לאביונים, שהוצאה זו יוציא אדם משלו ולא ממעות מעשר שלו. וכן מצאתי כתוב (במטה משה סי' תתרטו), וזה לשונו: ודוקא משלו, כאשר השיב מהר"י מולין (שו"ת מהרי"ל סימן נ"ו) דבמעות מעשר לא נפיק ידי מתנות לאביונים. ומזה נראה לי, באותן המקומות שנותנים קצבה מכל נפש לחזן קודם קריאת המגילה מעות פורים, בזה לא נפקי ידי מתנות לאביונים, כי הוא בכלל השכירות, ואם לא יתן הקצבה ההוא, היה צריך להרבות שכירות החזן, ואם כן הוא הצדקה תהיה לנו ולא לעניים, אלא צריך ליתן בלאו הכי כפי נדבת מסת ידו, עד כאן. אמנם כשהפריש כפי מסת ידו, ורוצה להוסיף, נראה דמותר להוסיף ממעות מעשר שלו, </w:t>
      </w:r>
      <w:r w:rsidRPr="008A457D">
        <w:rPr>
          <w:b/>
          <w:bCs/>
          <w:rtl/>
        </w:rPr>
        <w:t>עכ"ל</w:t>
      </w:r>
      <w:r w:rsidRPr="00774718">
        <w:rPr>
          <w:rtl/>
        </w:rPr>
        <w:t>.</w:t>
      </w:r>
    </w:p>
    <w:p w14:paraId="27B083AE" w14:textId="77777777" w:rsidR="00097CCE" w:rsidRPr="00E90487" w:rsidRDefault="00097CCE" w:rsidP="00F8255E">
      <w:pPr>
        <w:pStyle w:val="a2"/>
        <w:rPr>
          <w:rtl/>
        </w:rPr>
      </w:pPr>
      <w:r w:rsidRPr="00E90487">
        <w:rPr>
          <w:rtl/>
        </w:rPr>
        <w:t xml:space="preserve">והנה מש"כ השל"ה לאפוקי שלא יוציא למשלוח מנות ממעות מעשר, היינו דוקא כשנותנו לעני, </w:t>
      </w:r>
      <w:r>
        <w:rPr>
          <w:rFonts w:hint="cs"/>
          <w:rtl/>
        </w:rPr>
        <w:t>משום</w:t>
      </w:r>
      <w:r w:rsidRPr="00E90487">
        <w:rPr>
          <w:rtl/>
        </w:rPr>
        <w:t xml:space="preserve"> בלאו הכי ס"ל להשל"ה כהמהרי"ל שמעות מעשר שייך </w:t>
      </w:r>
      <w:r w:rsidRPr="00E90487">
        <w:rPr>
          <w:rtl/>
        </w:rPr>
        <w:lastRenderedPageBreak/>
        <w:t>להעניים דוקא</w:t>
      </w:r>
      <w:r w:rsidRPr="00E90487">
        <w:rPr>
          <w:rStyle w:val="FootnoteReference"/>
          <w:sz w:val="28"/>
          <w:szCs w:val="28"/>
          <w:rtl/>
        </w:rPr>
        <w:footnoteReference w:id="45"/>
      </w:r>
      <w:r w:rsidRPr="00E90487">
        <w:rPr>
          <w:rtl/>
        </w:rPr>
        <w:t xml:space="preserve">, וכמ"ש השל"ה </w:t>
      </w:r>
      <w:r>
        <w:rPr>
          <w:rFonts w:hint="cs"/>
          <w:rtl/>
        </w:rPr>
        <w:t>בסמוך שם</w:t>
      </w:r>
      <w:r w:rsidRPr="00E90487">
        <w:rPr>
          <w:rStyle w:val="FootnoteReference"/>
          <w:sz w:val="28"/>
          <w:szCs w:val="28"/>
          <w:rtl/>
        </w:rPr>
        <w:footnoteReference w:id="46"/>
      </w:r>
      <w:r w:rsidRPr="00E90487">
        <w:rPr>
          <w:rtl/>
        </w:rPr>
        <w:t xml:space="preserve"> וז"ל "המעשר הוא של העניים וזוכים בה גבאי צדקה שהם יד העניים"</w:t>
      </w:r>
      <w:bookmarkStart w:id="149" w:name="_Ref2702040"/>
      <w:r w:rsidRPr="00E90487">
        <w:rPr>
          <w:rStyle w:val="FootnoteReference"/>
          <w:sz w:val="28"/>
          <w:szCs w:val="28"/>
          <w:rtl/>
        </w:rPr>
        <w:footnoteReference w:id="47"/>
      </w:r>
      <w:bookmarkEnd w:id="149"/>
      <w:r w:rsidRPr="00E90487">
        <w:rPr>
          <w:rtl/>
        </w:rPr>
        <w:t xml:space="preserve">, וע"כ מובן גם בנוגע להא שסיים כאן "אמנם כשהפריש כפי מסת ידו, ורוצה להוסיף, נראה דמותר להוסיף ממעות מעשר שלו" דהיינו דוקא בהמשך לדברי המטה משה בנוגע לחזן </w:t>
      </w:r>
      <w:r w:rsidRPr="00E90487">
        <w:rPr>
          <w:b/>
          <w:bCs/>
          <w:rtl/>
        </w:rPr>
        <w:t>העני</w:t>
      </w:r>
      <w:r w:rsidRPr="00267B89">
        <w:rPr>
          <w:rStyle w:val="FootnoteReference"/>
          <w:sz w:val="28"/>
          <w:szCs w:val="28"/>
          <w:rtl/>
        </w:rPr>
        <w:footnoteReference w:id="48"/>
      </w:r>
      <w:r w:rsidRPr="00E90487">
        <w:rPr>
          <w:rtl/>
        </w:rPr>
        <w:t xml:space="preserve">, אבל אם אינו עני, פשוט </w:t>
      </w:r>
      <w:r w:rsidRPr="00E90487">
        <w:rPr>
          <w:rtl/>
        </w:rPr>
        <w:lastRenderedPageBreak/>
        <w:t>שאינו בא ממעות מעשר.</w:t>
      </w:r>
    </w:p>
    <w:p w14:paraId="39B879C9" w14:textId="77777777" w:rsidR="00097CCE" w:rsidRPr="00E90487" w:rsidRDefault="00097CCE" w:rsidP="008A457D">
      <w:pPr>
        <w:pStyle w:val="a2"/>
        <w:numPr>
          <w:ilvl w:val="0"/>
          <w:numId w:val="17"/>
        </w:numPr>
        <w:rPr>
          <w:b/>
          <w:bCs/>
          <w:rtl/>
        </w:rPr>
      </w:pPr>
      <w:r w:rsidRPr="00E90487">
        <w:rPr>
          <w:b/>
          <w:bCs/>
          <w:rtl/>
        </w:rPr>
        <w:t xml:space="preserve">מג"א סימן תרצ"ד סק"א: </w:t>
      </w:r>
      <w:r w:rsidRPr="00E90487">
        <w:rPr>
          <w:rtl/>
        </w:rPr>
        <w:t xml:space="preserve">ב' מתנות. משלו ולא משל מעות מעשר [של"ה] ואם בא להוסיף מוסיף משל מעשר [מהרי"ל בתשו' סי' נ"ו], </w:t>
      </w:r>
      <w:r w:rsidRPr="008A457D">
        <w:rPr>
          <w:b/>
          <w:bCs/>
          <w:rtl/>
        </w:rPr>
        <w:t>עכ"ל</w:t>
      </w:r>
      <w:r w:rsidRPr="00774718">
        <w:rPr>
          <w:rtl/>
        </w:rPr>
        <w:t>.</w:t>
      </w:r>
    </w:p>
    <w:p w14:paraId="7524EA1C" w14:textId="77777777" w:rsidR="00097CCE" w:rsidRPr="00E90487" w:rsidRDefault="00097CCE" w:rsidP="00F8255E">
      <w:pPr>
        <w:pStyle w:val="a2"/>
        <w:rPr>
          <w:rtl/>
        </w:rPr>
      </w:pPr>
      <w:r w:rsidRPr="00E90487">
        <w:rPr>
          <w:rtl/>
        </w:rPr>
        <w:t>הרי המג"א הולך וסובב על דברי המחבר (בסעיף א' שם) ש"חייב כל אדם ליתן לפחות שתי מתנות לשני עניים" ואינו מביא כ"א דברי המהרי"ל והשל"ה, וכנ"ל דס"ל דמעות מעשר שייך לעניים דוקא, וכל כוונתם הוא בנוגע למתנות לאביונים דוקא</w:t>
      </w:r>
      <w:r w:rsidRPr="00E90487">
        <w:rPr>
          <w:rStyle w:val="FootnoteReference"/>
          <w:sz w:val="28"/>
          <w:szCs w:val="28"/>
          <w:rtl/>
        </w:rPr>
        <w:footnoteReference w:id="49"/>
      </w:r>
      <w:r w:rsidRPr="00E90487">
        <w:rPr>
          <w:rtl/>
        </w:rPr>
        <w:t>.</w:t>
      </w:r>
    </w:p>
    <w:p w14:paraId="24362910" w14:textId="77777777" w:rsidR="00097CCE" w:rsidRPr="00E90487" w:rsidRDefault="00097CCE" w:rsidP="008A457D">
      <w:pPr>
        <w:pStyle w:val="a2"/>
        <w:numPr>
          <w:ilvl w:val="0"/>
          <w:numId w:val="17"/>
        </w:numPr>
        <w:rPr>
          <w:b/>
          <w:bCs/>
          <w:rtl/>
        </w:rPr>
      </w:pPr>
      <w:r w:rsidRPr="00E90487">
        <w:rPr>
          <w:b/>
          <w:bCs/>
          <w:rtl/>
        </w:rPr>
        <w:t>משנה ברורה סימן תרצד ס"ק ג'</w:t>
      </w:r>
      <w:r w:rsidRPr="00E90487">
        <w:rPr>
          <w:b/>
          <w:bCs/>
        </w:rPr>
        <w:t xml:space="preserve"> :</w:t>
      </w:r>
      <w:r w:rsidRPr="00E90487">
        <w:rPr>
          <w:rtl/>
        </w:rPr>
        <w:t xml:space="preserve">שתי מתנות, זהו מדינא אבל באמת מוטב להרבות במתנות לאביונים מלהרבות בסעודתו ובשלוח מנות לרעיו שאין שמחה גדולה ומפוארה אלא לשמח לב עניים יתומים ואלמנות ודומה לשכינה שנאמר להחיות רוח שפלים ולהשיב לב נדכאים [רמב"ם] והנה השתי מתנות צריך ליתן משלו ולא משל מעשר וההוספה שמוסיף יוכל ליתן משל מעשר, </w:t>
      </w:r>
      <w:r w:rsidRPr="008A457D">
        <w:rPr>
          <w:b/>
          <w:bCs/>
          <w:rtl/>
        </w:rPr>
        <w:t>עכ"ל</w:t>
      </w:r>
      <w:r w:rsidRPr="00774718">
        <w:rPr>
          <w:rtl/>
        </w:rPr>
        <w:t>.</w:t>
      </w:r>
    </w:p>
    <w:p w14:paraId="4CD20C13" w14:textId="77777777" w:rsidR="00097CCE" w:rsidRPr="00E90487" w:rsidRDefault="00097CCE" w:rsidP="00F8255E">
      <w:pPr>
        <w:pStyle w:val="a2"/>
        <w:rPr>
          <w:rtl/>
        </w:rPr>
      </w:pPr>
      <w:r w:rsidRPr="00E90487">
        <w:rPr>
          <w:rtl/>
        </w:rPr>
        <w:t>הרי פשוט כמ"ש לעיל בנוגע לדברי המג"א, שהא שסיים, "וההוספה שמוסיף יוכל ליתן משל מעשר", היינו דוקא בנוגע למתנות לאביונים וכמ"ש הוא בעצמו "והנה השתי מתנות וכו'".</w:t>
      </w:r>
    </w:p>
    <w:p w14:paraId="312616C3" w14:textId="77777777" w:rsidR="00097CCE" w:rsidRPr="00E90487" w:rsidRDefault="00097CCE" w:rsidP="008A457D">
      <w:pPr>
        <w:pStyle w:val="a2"/>
        <w:numPr>
          <w:ilvl w:val="0"/>
          <w:numId w:val="17"/>
        </w:numPr>
        <w:rPr>
          <w:b/>
          <w:bCs/>
          <w:rtl/>
        </w:rPr>
      </w:pPr>
      <w:r w:rsidRPr="00E90487">
        <w:rPr>
          <w:b/>
          <w:bCs/>
          <w:rtl/>
        </w:rPr>
        <w:t>שולחן שלמה</w:t>
      </w:r>
      <w:r w:rsidRPr="00E90487">
        <w:rPr>
          <w:rStyle w:val="FootnoteReference"/>
          <w:b/>
          <w:sz w:val="28"/>
          <w:szCs w:val="28"/>
          <w:rtl/>
        </w:rPr>
        <w:footnoteReference w:id="50"/>
      </w:r>
      <w:r w:rsidRPr="00E90487">
        <w:rPr>
          <w:b/>
          <w:bCs/>
          <w:rtl/>
        </w:rPr>
        <w:t xml:space="preserve"> סימן תרצ"ד ס"א: </w:t>
      </w:r>
      <w:r w:rsidRPr="00E90487">
        <w:rPr>
          <w:rtl/>
        </w:rPr>
        <w:t>חייב כל אדם אפי' עני המתפרנס מן הצדקה ליתן לפחות ב' מתנות לב' עניים לקיים ומתנות לאביונים ליתן זאת משלו ולא ממעות מעשר לכן מי שהולך מעיר בפורים צריך ליתן קודם נסיעתו אם לא יהיה באפשרי לשלוח שם.</w:t>
      </w:r>
      <w:r w:rsidRPr="008A457D">
        <w:rPr>
          <w:b/>
          <w:bCs/>
          <w:rtl/>
        </w:rPr>
        <w:t xml:space="preserve"> עכ"ל</w:t>
      </w:r>
      <w:r w:rsidRPr="00774718">
        <w:rPr>
          <w:rtl/>
        </w:rPr>
        <w:t>.</w:t>
      </w:r>
      <w:r w:rsidRPr="00E90487">
        <w:rPr>
          <w:b/>
          <w:bCs/>
          <w:rtl/>
        </w:rPr>
        <w:t xml:space="preserve"> </w:t>
      </w:r>
    </w:p>
    <w:p w14:paraId="1D43F2DC" w14:textId="77777777" w:rsidR="00097CCE" w:rsidRPr="00E90487" w:rsidRDefault="00097CCE" w:rsidP="00F8255E">
      <w:pPr>
        <w:pStyle w:val="a2"/>
        <w:rPr>
          <w:rtl/>
        </w:rPr>
      </w:pPr>
      <w:r w:rsidRPr="00E90487">
        <w:rPr>
          <w:rtl/>
        </w:rPr>
        <w:t xml:space="preserve">והנה בדבריו אינו מזכיר הא דמותר להוסיף ממעות מעשר כלל, וע"כ פשוט שאין להביא ראי' מדבריו. </w:t>
      </w:r>
    </w:p>
    <w:p w14:paraId="52C8A85B" w14:textId="77777777" w:rsidR="00097CCE" w:rsidRPr="00E90487" w:rsidRDefault="00097CCE" w:rsidP="00F8255E">
      <w:pPr>
        <w:pStyle w:val="a2"/>
        <w:rPr>
          <w:rtl/>
        </w:rPr>
      </w:pPr>
      <w:r w:rsidRPr="00E90487">
        <w:rPr>
          <w:b/>
          <w:bCs/>
          <w:rtl/>
        </w:rPr>
        <w:t>היוצא מכל הנ"ל:</w:t>
      </w:r>
      <w:r w:rsidRPr="00E90487">
        <w:rPr>
          <w:rtl/>
        </w:rPr>
        <w:t xml:space="preserve"> מובן ופשוט</w:t>
      </w:r>
      <w:r>
        <w:rPr>
          <w:rtl/>
        </w:rPr>
        <w:t xml:space="preserve"> ש</w:t>
      </w:r>
      <w:r w:rsidRPr="00E90487">
        <w:rPr>
          <w:rtl/>
        </w:rPr>
        <w:t xml:space="preserve">כל המראה מקומות שהובא בנט"ג שם, אינם אלא ראיות לראשית דבריו ש"אין יוצאין ידי חובת משלוח מנות במעות מעשר", </w:t>
      </w:r>
      <w:r>
        <w:rPr>
          <w:rFonts w:hint="cs"/>
          <w:rtl/>
        </w:rPr>
        <w:lastRenderedPageBreak/>
        <w:t xml:space="preserve">ובנוגע לסוף דבריו אין מאף אחד מהם שום ראי', </w:t>
      </w:r>
      <w:r>
        <w:rPr>
          <w:rtl/>
        </w:rPr>
        <w:t>ויתירה מז</w:t>
      </w:r>
      <w:r>
        <w:rPr>
          <w:rFonts w:hint="cs"/>
          <w:rtl/>
        </w:rPr>
        <w:t>ו</w:t>
      </w:r>
      <w:r w:rsidRPr="00E90487">
        <w:rPr>
          <w:rtl/>
        </w:rPr>
        <w:t xml:space="preserve"> שדעת המהרי"ל והשל"ה ה'"ה ב</w:t>
      </w:r>
      <w:r>
        <w:rPr>
          <w:rFonts w:hint="cs"/>
          <w:rtl/>
        </w:rPr>
        <w:t xml:space="preserve">גדר </w:t>
      </w:r>
      <w:r w:rsidRPr="00E90487">
        <w:rPr>
          <w:rtl/>
        </w:rPr>
        <w:t>ראי' לסתור, כי כנ"ל ש</w:t>
      </w:r>
      <w:r>
        <w:rPr>
          <w:rtl/>
        </w:rPr>
        <w:t xml:space="preserve">ס"ל </w:t>
      </w:r>
      <w:r>
        <w:rPr>
          <w:rFonts w:hint="cs"/>
          <w:rtl/>
        </w:rPr>
        <w:t>ש</w:t>
      </w:r>
      <w:r w:rsidRPr="00E90487">
        <w:rPr>
          <w:rtl/>
        </w:rPr>
        <w:t xml:space="preserve">מעות מעשר שייך לעניים דוקא, </w:t>
      </w:r>
      <w:r>
        <w:rPr>
          <w:rFonts w:hint="cs"/>
          <w:rtl/>
        </w:rPr>
        <w:t>ו</w:t>
      </w:r>
      <w:r w:rsidRPr="00E90487">
        <w:rPr>
          <w:color w:val="000000" w:themeColor="text1"/>
          <w:rtl/>
        </w:rPr>
        <w:t>אין לשנותם למצוה אחרת</w:t>
      </w:r>
      <w:r w:rsidRPr="00E90487">
        <w:rPr>
          <w:rtl/>
        </w:rPr>
        <w:t>, ואם איתא הוי ליה ל</w:t>
      </w:r>
      <w:r>
        <w:rPr>
          <w:rFonts w:hint="cs"/>
          <w:rtl/>
        </w:rPr>
        <w:t>כתוב</w:t>
      </w:r>
      <w:r w:rsidRPr="00E90487">
        <w:rPr>
          <w:rtl/>
        </w:rPr>
        <w:t xml:space="preserve"> "אין יוצאין ידי חובת משלוח מנות במעות מעשר, </w:t>
      </w:r>
      <w:r w:rsidRPr="00E90487">
        <w:rPr>
          <w:b/>
          <w:bCs/>
          <w:rtl/>
        </w:rPr>
        <w:t xml:space="preserve">אפילו כשנותנו לעני, </w:t>
      </w:r>
      <w:r w:rsidRPr="00E90487">
        <w:rPr>
          <w:rtl/>
        </w:rPr>
        <w:t xml:space="preserve">אולם אם רוצה להוסיף יותר מהשיעור, יכול ליתן </w:t>
      </w:r>
      <w:r w:rsidRPr="00E90487">
        <w:rPr>
          <w:b/>
          <w:bCs/>
          <w:rtl/>
        </w:rPr>
        <w:t xml:space="preserve">להעני </w:t>
      </w:r>
      <w:r w:rsidRPr="00E90487">
        <w:rPr>
          <w:rtl/>
        </w:rPr>
        <w:t>ממעות מעשר", וק"ל.</w:t>
      </w:r>
    </w:p>
    <w:p w14:paraId="76EF7B01" w14:textId="77777777" w:rsidR="00097CCE" w:rsidRPr="00E90487" w:rsidRDefault="00097CCE" w:rsidP="00F8255E">
      <w:pPr>
        <w:pStyle w:val="11"/>
        <w:bidi/>
        <w:rPr>
          <w:rtl/>
        </w:rPr>
      </w:pPr>
      <w:r>
        <w:rPr>
          <w:rFonts w:hint="cs"/>
          <w:rtl/>
        </w:rPr>
        <w:t xml:space="preserve">ג. </w:t>
      </w:r>
      <w:r w:rsidRPr="00E90487">
        <w:rPr>
          <w:rtl/>
        </w:rPr>
        <w:t>היתר מטעם אחר</w:t>
      </w:r>
    </w:p>
    <w:p w14:paraId="5C4ECE4C" w14:textId="6023A343" w:rsidR="00097CCE" w:rsidRPr="00E90487" w:rsidRDefault="00097CCE" w:rsidP="00F8255E">
      <w:pPr>
        <w:pStyle w:val="a2"/>
        <w:rPr>
          <w:rtl/>
        </w:rPr>
      </w:pPr>
      <w:r w:rsidRPr="00E90487">
        <w:rPr>
          <w:rtl/>
        </w:rPr>
        <w:t xml:space="preserve">אולם עדיין צריך לימוד, לפי דעת הפוסקים החולקים על המהרי"ל, </w:t>
      </w:r>
      <w:r w:rsidRPr="007217B3">
        <w:rPr>
          <w:rtl/>
        </w:rPr>
        <w:t>וקיימי</w:t>
      </w:r>
      <w:r w:rsidRPr="00E90487">
        <w:rPr>
          <w:rtl/>
        </w:rPr>
        <w:t xml:space="preserve"> בהשיטה דמותר להוציא מכספי מעשר לכל סוג של דבר מצוה, דעי' ש"ך (יו"ד סימן רמ"ט ס"ק ג') וז"ל "מהרש"ל</w:t>
      </w:r>
      <w:r w:rsidRPr="00E90487">
        <w:rPr>
          <w:rStyle w:val="FootnoteReference"/>
          <w:sz w:val="28"/>
          <w:szCs w:val="28"/>
          <w:rtl/>
        </w:rPr>
        <w:footnoteReference w:id="51"/>
      </w:r>
      <w:r w:rsidRPr="00E90487">
        <w:rPr>
          <w:rtl/>
        </w:rPr>
        <w:t xml:space="preserve"> והדרישה</w:t>
      </w:r>
      <w:r w:rsidRPr="00E90487">
        <w:rPr>
          <w:rStyle w:val="FootnoteReference"/>
          <w:sz w:val="28"/>
          <w:szCs w:val="28"/>
          <w:rtl/>
        </w:rPr>
        <w:footnoteReference w:id="52"/>
      </w:r>
      <w:r w:rsidRPr="00E90487">
        <w:rPr>
          <w:rtl/>
        </w:rPr>
        <w:t xml:space="preserve"> כתבו בשם תשובת מהר"מ מעיל צדק דכל מצוה שתבא לידו כגון להיות בעל ברית או להכניס חתן וכלה לחופה וכה"ג וכן לקנות ספרים ללמוד בהם ולהשאילן לאחרים ללמוד בהם אם לא היה יכולת בידו ולא היה עושה אותה מצוה יכול לקנות מן המעשר ע"כ</w:t>
      </w:r>
      <w:r>
        <w:rPr>
          <w:rFonts w:hint="cs"/>
          <w:rtl/>
        </w:rPr>
        <w:t>"</w:t>
      </w:r>
      <w:r w:rsidRPr="00E90487">
        <w:rPr>
          <w:rtl/>
        </w:rPr>
        <w:t>, עכ"ל של הש"ך. והובא דבריו גם בהט"ז (</w:t>
      </w:r>
      <w:r>
        <w:rPr>
          <w:rFonts w:hint="cs"/>
          <w:rtl/>
        </w:rPr>
        <w:t>ס"ק א'</w:t>
      </w:r>
      <w:r w:rsidRPr="00E90487">
        <w:rPr>
          <w:rtl/>
        </w:rPr>
        <w:t>)</w:t>
      </w:r>
      <w:r w:rsidR="005D7B4D">
        <w:rPr>
          <w:rtl/>
        </w:rPr>
        <w:t xml:space="preserve"> </w:t>
      </w:r>
      <w:r w:rsidRPr="00E90487">
        <w:rPr>
          <w:rtl/>
        </w:rPr>
        <w:t>וע"ש שמוסיף "ונראה לי דכשקונה בעדו ספר צריך לכתוב עליו שזהו מן המעשר למען ידעו בניו דבר זה ולא יחזיקוהו להם", עכ"ל.</w:t>
      </w:r>
    </w:p>
    <w:p w14:paraId="564D1A0B" w14:textId="77777777" w:rsidR="00097CCE" w:rsidRPr="00E90487" w:rsidRDefault="00097CCE" w:rsidP="00F8255E">
      <w:pPr>
        <w:pStyle w:val="a2"/>
        <w:rPr>
          <w:rtl/>
        </w:rPr>
      </w:pPr>
      <w:r w:rsidRPr="00E90487">
        <w:rPr>
          <w:rtl/>
        </w:rPr>
        <w:t>היינו דמ</w:t>
      </w:r>
      <w:r>
        <w:rPr>
          <w:rFonts w:hint="cs"/>
          <w:rtl/>
        </w:rPr>
        <w:t>ה</w:t>
      </w:r>
      <w:r w:rsidRPr="00E90487">
        <w:rPr>
          <w:rtl/>
        </w:rPr>
        <w:t xml:space="preserve">ר"ם מ"ץ, חולק בזה על המהרי"ל, וס"ל דמותר לקנות במעות מעשר כל מצוה שתבוא לידו, אם לא היה עושה את המצוה לולא מעות המעשר. </w:t>
      </w:r>
    </w:p>
    <w:p w14:paraId="6A9F5F3A" w14:textId="66ECE911" w:rsidR="00097CCE" w:rsidRDefault="00097CCE" w:rsidP="00F8255E">
      <w:pPr>
        <w:pStyle w:val="a2"/>
        <w:rPr>
          <w:sz w:val="44"/>
          <w:szCs w:val="44"/>
          <w:rtl/>
        </w:rPr>
      </w:pPr>
      <w:r w:rsidRPr="00E90487">
        <w:rPr>
          <w:rtl/>
        </w:rPr>
        <w:t xml:space="preserve">ובנוגע להלכה נראה שגם דעת אדה"ז </w:t>
      </w:r>
      <w:r>
        <w:rPr>
          <w:rtl/>
        </w:rPr>
        <w:t>הוא כ</w:t>
      </w:r>
      <w:r w:rsidRPr="00E90487">
        <w:rPr>
          <w:rtl/>
        </w:rPr>
        <w:t>מ</w:t>
      </w:r>
      <w:r>
        <w:rPr>
          <w:rFonts w:hint="cs"/>
          <w:rtl/>
        </w:rPr>
        <w:t>ה</w:t>
      </w:r>
      <w:r w:rsidRPr="00E90487">
        <w:rPr>
          <w:rtl/>
        </w:rPr>
        <w:t>ר"ם מ"ץ, דעי' מש"כ אדה"ז בהלכות ת"ת (פרק א' סעיף ז') וז"ל "יכול להוציא כל הוצאות לימוד בניו הגדולים ממעות מעשר שלו או החומש אם אין ידו משגת", וע"ע מש"כ בסדר ברכת הנהנין (פרק י"ב סעיף ט'</w:t>
      </w:r>
      <w:r w:rsidRPr="00E90487">
        <w:rPr>
          <w:rStyle w:val="FootnoteReference"/>
          <w:sz w:val="28"/>
          <w:szCs w:val="28"/>
          <w:rtl/>
        </w:rPr>
        <w:footnoteReference w:id="53"/>
      </w:r>
      <w:r w:rsidRPr="00E90487">
        <w:rPr>
          <w:rtl/>
        </w:rPr>
        <w:t xml:space="preserve">), וז"ל "המוצא מציאה מברך הטוב והמטיב הטוב לו והמטיב לעניי ישראל שהרי נתחייב בצדקה שכל אדם חייב ליתן כפי השגת ידו וכופין וממשכנין על זה (כמו שכתוב בהלכות צדקה) מה שאין כן באחד שירש את אביו אין זו טובה לעניי ישראל שהרי גם אביו נתחייב ליתן צדקה מממון זה לעניים </w:t>
      </w:r>
      <w:r w:rsidRPr="00E90487">
        <w:rPr>
          <w:b/>
          <w:bCs/>
          <w:rtl/>
        </w:rPr>
        <w:t>והמעשר שיפריש הבן יכול הוא להוציא לשאר מצות</w:t>
      </w:r>
      <w:r w:rsidRPr="00E90487">
        <w:rPr>
          <w:rtl/>
        </w:rPr>
        <w:t xml:space="preserve">", עכ"ל. </w:t>
      </w:r>
      <w:r>
        <w:rPr>
          <w:rtl/>
        </w:rPr>
        <w:t>הרי מבואר להדיא שדעתו</w:t>
      </w:r>
      <w:r w:rsidRPr="00E90487">
        <w:rPr>
          <w:rtl/>
        </w:rPr>
        <w:t xml:space="preserve"> שמותר להוציא </w:t>
      </w:r>
      <w:r w:rsidRPr="00E90487">
        <w:rPr>
          <w:rtl/>
        </w:rPr>
        <w:lastRenderedPageBreak/>
        <w:t>מעות מעשר גם עבור שאר מצות</w:t>
      </w:r>
      <w:r w:rsidRPr="00E90487">
        <w:rPr>
          <w:rStyle w:val="FootnoteReference"/>
          <w:sz w:val="28"/>
          <w:szCs w:val="28"/>
          <w:rtl/>
        </w:rPr>
        <w:footnoteReference w:id="54"/>
      </w:r>
      <w:r w:rsidRPr="00E90487">
        <w:rPr>
          <w:rtl/>
        </w:rPr>
        <w:t>, (שאינו חייב בהם</w:t>
      </w:r>
      <w:bookmarkStart w:id="150" w:name="_Ref2766661"/>
      <w:r w:rsidRPr="00E90487">
        <w:rPr>
          <w:rStyle w:val="FootnoteReference"/>
          <w:sz w:val="28"/>
          <w:szCs w:val="28"/>
          <w:rtl/>
        </w:rPr>
        <w:footnoteReference w:id="55"/>
      </w:r>
      <w:bookmarkEnd w:id="150"/>
      <w:r w:rsidRPr="00E90487">
        <w:rPr>
          <w:rtl/>
        </w:rPr>
        <w:t>) אף שאינם באים לידי העניים</w:t>
      </w:r>
      <w:bookmarkStart w:id="151" w:name="_Ref3097249"/>
      <w:r w:rsidRPr="00E90487">
        <w:rPr>
          <w:rStyle w:val="FootnoteReference"/>
          <w:sz w:val="28"/>
          <w:szCs w:val="28"/>
          <w:rtl/>
        </w:rPr>
        <w:footnoteReference w:id="56"/>
      </w:r>
      <w:bookmarkEnd w:id="151"/>
      <w:r w:rsidRPr="00E90487">
        <w:rPr>
          <w:rtl/>
        </w:rPr>
        <w:t>, ואפילו אם כבר הפריש המעות למעשר</w:t>
      </w:r>
      <w:bookmarkStart w:id="152" w:name="_Ref3097411"/>
      <w:r w:rsidRPr="00E90487">
        <w:rPr>
          <w:rStyle w:val="FootnoteReference"/>
          <w:sz w:val="28"/>
          <w:szCs w:val="28"/>
          <w:rtl/>
        </w:rPr>
        <w:footnoteReference w:id="57"/>
      </w:r>
      <w:bookmarkEnd w:id="152"/>
      <w:r w:rsidRPr="00E90487">
        <w:rPr>
          <w:rtl/>
        </w:rPr>
        <w:t>, אבל פשוט שא"א להקל יותר ממה שמבואר בדברי המהר"ם, דהיינו דוקא אם לא היה ביכולת בידו ולא היה עושה אותו מצוה בלאו הכי</w:t>
      </w:r>
      <w:bookmarkStart w:id="153" w:name="_Ref2699770"/>
      <w:r w:rsidRPr="00E90487">
        <w:rPr>
          <w:rStyle w:val="FootnoteReference"/>
          <w:sz w:val="28"/>
          <w:szCs w:val="28"/>
          <w:rtl/>
        </w:rPr>
        <w:footnoteReference w:id="58"/>
      </w:r>
      <w:bookmarkEnd w:id="153"/>
      <w:r w:rsidRPr="00E90487">
        <w:rPr>
          <w:rtl/>
        </w:rPr>
        <w:t>.</w:t>
      </w:r>
    </w:p>
    <w:p w14:paraId="06C616E7" w14:textId="77777777" w:rsidR="0073252C" w:rsidRPr="00552D8B" w:rsidRDefault="0073252C" w:rsidP="005E6E84">
      <w:pPr>
        <w:pStyle w:val="a4"/>
        <w:sectPr w:rsidR="0073252C" w:rsidRPr="00552D8B" w:rsidSect="00E65DD5">
          <w:headerReference w:type="even" r:id="rId52"/>
          <w:headerReference w:type="default" r:id="rId53"/>
          <w:footnotePr>
            <w:numRestart w:val="eachSect"/>
          </w:footnotePr>
          <w:type w:val="continuous"/>
          <w:pgSz w:w="7920" w:h="12240"/>
          <w:pgMar w:top="-810" w:right="864" w:bottom="720" w:left="864" w:header="270" w:footer="0" w:gutter="0"/>
          <w:cols w:space="720"/>
          <w:docGrid w:linePitch="360"/>
        </w:sectPr>
      </w:pPr>
      <w:r w:rsidRPr="00552D8B">
        <w:t>g</w:t>
      </w:r>
    </w:p>
    <w:p w14:paraId="5C08307D" w14:textId="77777777" w:rsidR="00644C97" w:rsidRDefault="00644C97" w:rsidP="00644C97">
      <w:pPr>
        <w:pStyle w:val="a"/>
        <w:rPr>
          <w:rtl/>
        </w:rPr>
      </w:pPr>
      <w:bookmarkStart w:id="154" w:name="_Toc3515505"/>
      <w:r>
        <w:rPr>
          <w:rFonts w:hint="cs"/>
          <w:rtl/>
        </w:rPr>
        <w:lastRenderedPageBreak/>
        <w:t>ראיות נסיבתיות (המשך)</w:t>
      </w:r>
      <w:bookmarkEnd w:id="154"/>
    </w:p>
    <w:p w14:paraId="41392312" w14:textId="77777777" w:rsidR="00644C97" w:rsidRPr="00644C97" w:rsidRDefault="00644C97" w:rsidP="009D4CF5">
      <w:pPr>
        <w:pStyle w:val="11"/>
        <w:bidi/>
      </w:pPr>
      <w:r w:rsidRPr="00644C97">
        <w:t>(Circumstantial evidence)</w:t>
      </w:r>
    </w:p>
    <w:p w14:paraId="48034673" w14:textId="77777777" w:rsidR="00644C97" w:rsidRDefault="00644C97" w:rsidP="00C40187">
      <w:pPr>
        <w:pStyle w:val="a0"/>
        <w:rPr>
          <w:rtl/>
        </w:rPr>
      </w:pPr>
      <w:bookmarkStart w:id="155" w:name="_Toc3515506"/>
      <w:r>
        <w:rPr>
          <w:rFonts w:hint="cs"/>
          <w:rtl/>
        </w:rPr>
        <w:t>צבי רייזמן</w:t>
      </w:r>
      <w:bookmarkEnd w:id="155"/>
    </w:p>
    <w:p w14:paraId="4A94FB03" w14:textId="6A9F6828" w:rsidR="002651A4" w:rsidRPr="002651A4" w:rsidRDefault="002651A4" w:rsidP="00933637">
      <w:pPr>
        <w:pStyle w:val="a1"/>
        <w:rPr>
          <w:rtl/>
        </w:rPr>
      </w:pPr>
      <w:r w:rsidRPr="00E85961">
        <w:rPr>
          <w:rtl/>
        </w:rPr>
        <w:t>איש עסקים ומחבר ספרי 'רץ כצבי' (</w:t>
      </w:r>
      <w:r w:rsidR="00933637">
        <w:rPr>
          <w:rFonts w:hint="cs"/>
          <w:rtl/>
        </w:rPr>
        <w:t>ט"ו</w:t>
      </w:r>
      <w:r w:rsidRPr="00E85961">
        <w:rPr>
          <w:rtl/>
        </w:rPr>
        <w:t xml:space="preserve"> חלקים</w:t>
      </w:r>
      <w:r w:rsidRPr="00E85961">
        <w:rPr>
          <w:rFonts w:hint="cs"/>
          <w:rtl/>
        </w:rPr>
        <w:t>)</w:t>
      </w:r>
      <w:r w:rsidRPr="00E85961">
        <w:rPr>
          <w:rtl/>
        </w:rPr>
        <w:br/>
        <w:t>לוס אנג'לס</w:t>
      </w:r>
    </w:p>
    <w:p w14:paraId="40B28C9C" w14:textId="77777777" w:rsidR="00644C97" w:rsidRDefault="00644C97" w:rsidP="00F8255E">
      <w:pPr>
        <w:pStyle w:val="a2"/>
        <w:rPr>
          <w:rtl/>
        </w:rPr>
      </w:pPr>
      <w:r>
        <w:rPr>
          <w:rFonts w:hint="cs"/>
          <w:rtl/>
        </w:rPr>
        <w:t xml:space="preserve">בגליון הקודם כתבתי שמדברי הרמב"ם השו"ע והמהרי"ק מתבאר, שאין מסתמכים על אומדנא דמוכח, לא בדיני נפשות ולא בדיני ממונות </w:t>
      </w:r>
      <w:r>
        <w:rPr>
          <w:rtl/>
        </w:rPr>
        <w:t>–</w:t>
      </w:r>
      <w:r>
        <w:rPr>
          <w:rFonts w:hint="cs"/>
          <w:rtl/>
        </w:rPr>
        <w:t xml:space="preserve"> וכפי שנראה מהגמרא (ב"ב צג, א) בדין גמל האוחר לדעת רבנן.</w:t>
      </w:r>
    </w:p>
    <w:p w14:paraId="1CC9068E" w14:textId="77777777" w:rsidR="00644C97" w:rsidRDefault="00644C97" w:rsidP="00F8255E">
      <w:pPr>
        <w:pStyle w:val="a2"/>
        <w:rPr>
          <w:rtl/>
        </w:rPr>
      </w:pPr>
      <w:r>
        <w:rPr>
          <w:rFonts w:hint="cs"/>
          <w:rtl/>
        </w:rPr>
        <w:t>מאידך גיסא, מסוגיות אחרות בש"ס נראה כי מותר לפסוק על פי אומדנא דמוכח [כפי שהביא הרא"ש בכלל קז סעי' ו].</w:t>
      </w:r>
    </w:p>
    <w:p w14:paraId="670D2CCE" w14:textId="77777777" w:rsidR="00644C97" w:rsidRPr="008B4DA1" w:rsidRDefault="00644C97" w:rsidP="00F8255E">
      <w:pPr>
        <w:pStyle w:val="a2"/>
        <w:rPr>
          <w:rtl/>
        </w:rPr>
      </w:pPr>
      <w:r>
        <w:rPr>
          <w:rFonts w:hint="cs"/>
          <w:rtl/>
        </w:rPr>
        <w:t>א)</w:t>
      </w:r>
      <w:r w:rsidRPr="008B4DA1">
        <w:rPr>
          <w:rFonts w:hint="cs"/>
          <w:rtl/>
        </w:rPr>
        <w:t xml:space="preserve"> במסכת בבא בתרא (קלב, א) מובא: "הרי</w:t>
      </w:r>
      <w:r w:rsidRPr="008B4DA1">
        <w:rPr>
          <w:rtl/>
        </w:rPr>
        <w:t xml:space="preserve"> </w:t>
      </w:r>
      <w:r w:rsidRPr="008B4DA1">
        <w:rPr>
          <w:rFonts w:hint="cs"/>
          <w:rtl/>
        </w:rPr>
        <w:t>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ושמע</w:t>
      </w:r>
      <w:r w:rsidRPr="008B4DA1">
        <w:rPr>
          <w:rtl/>
        </w:rPr>
        <w:t xml:space="preserve"> </w:t>
      </w:r>
      <w:r w:rsidRPr="008B4DA1">
        <w:rPr>
          <w:rFonts w:hint="cs"/>
          <w:rtl/>
        </w:rPr>
        <w:t>שמת</w:t>
      </w:r>
      <w:r w:rsidRPr="008B4DA1">
        <w:rPr>
          <w:rtl/>
        </w:rPr>
        <w:t xml:space="preserve"> </w:t>
      </w:r>
      <w:r w:rsidRPr="008B4DA1">
        <w:rPr>
          <w:rFonts w:hint="cs"/>
          <w:rtl/>
        </w:rPr>
        <w:t>בנו</w:t>
      </w:r>
      <w:r w:rsidRPr="008B4DA1">
        <w:rPr>
          <w:rtl/>
        </w:rPr>
        <w:t xml:space="preserve"> </w:t>
      </w:r>
      <w:r w:rsidRPr="008B4DA1">
        <w:rPr>
          <w:rFonts w:hint="cs"/>
          <w:rtl/>
        </w:rPr>
        <w:t>ועמד</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w:t>
      </w:r>
      <w:r w:rsidRPr="008B4DA1">
        <w:rPr>
          <w:rtl/>
        </w:rPr>
        <w:t xml:space="preserve"> </w:t>
      </w:r>
      <w:r w:rsidRPr="008B4DA1">
        <w:rPr>
          <w:rFonts w:hint="cs"/>
          <w:rtl/>
        </w:rPr>
        <w:t>מתנתו</w:t>
      </w:r>
      <w:r w:rsidRPr="008B4DA1">
        <w:rPr>
          <w:rtl/>
        </w:rPr>
        <w:t xml:space="preserve"> </w:t>
      </w:r>
      <w:r w:rsidRPr="008B4DA1">
        <w:rPr>
          <w:rFonts w:hint="cs"/>
          <w:rtl/>
        </w:rPr>
        <w:t>מתנה [והאחרים זוכים בנכסים].</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w:t>
      </w:r>
      <w:r w:rsidRPr="008B4DA1">
        <w:rPr>
          <w:rtl/>
        </w:rPr>
        <w:t xml:space="preserve"> </w:t>
      </w:r>
      <w:r w:rsidRPr="008B4DA1">
        <w:rPr>
          <w:rFonts w:hint="cs"/>
          <w:rtl/>
        </w:rPr>
        <w:t>אומר</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מתנה</w:t>
      </w:r>
      <w:r w:rsidRPr="008B4DA1">
        <w:rPr>
          <w:rtl/>
        </w:rPr>
        <w:t xml:space="preserve">, </w:t>
      </w:r>
      <w:r w:rsidRPr="008B4DA1">
        <w:rPr>
          <w:rFonts w:hint="cs"/>
          <w:b/>
          <w:bCs/>
          <w:rtl/>
        </w:rPr>
        <w:t>שאילו</w:t>
      </w:r>
      <w:r w:rsidRPr="008B4DA1">
        <w:rPr>
          <w:b/>
          <w:bCs/>
          <w:rtl/>
        </w:rPr>
        <w:t xml:space="preserve"> </w:t>
      </w:r>
      <w:r w:rsidRPr="008B4DA1">
        <w:rPr>
          <w:rFonts w:hint="cs"/>
          <w:b/>
          <w:bCs/>
          <w:rtl/>
        </w:rPr>
        <w:t>היה</w:t>
      </w:r>
      <w:r w:rsidRPr="008B4DA1">
        <w:rPr>
          <w:b/>
          <w:bCs/>
          <w:rtl/>
        </w:rPr>
        <w:t xml:space="preserve"> </w:t>
      </w:r>
      <w:r w:rsidRPr="008B4DA1">
        <w:rPr>
          <w:rFonts w:hint="cs"/>
          <w:b/>
          <w:bCs/>
          <w:rtl/>
        </w:rPr>
        <w:t>יודע</w:t>
      </w:r>
      <w:r w:rsidRPr="008B4DA1">
        <w:rPr>
          <w:rtl/>
        </w:rPr>
        <w:t xml:space="preserve"> </w:t>
      </w:r>
      <w:r w:rsidRPr="008B4DA1">
        <w:rPr>
          <w:rFonts w:hint="cs"/>
          <w:rtl/>
        </w:rPr>
        <w:t>שבנו</w:t>
      </w:r>
      <w:r w:rsidRPr="008B4DA1">
        <w:rPr>
          <w:rtl/>
        </w:rPr>
        <w:t xml:space="preserve"> </w:t>
      </w:r>
      <w:r w:rsidRPr="008B4DA1">
        <w:rPr>
          <w:rFonts w:hint="cs"/>
          <w:rtl/>
        </w:rPr>
        <w:t>קיים</w:t>
      </w:r>
      <w:r w:rsidRPr="008B4DA1">
        <w:rPr>
          <w:rtl/>
        </w:rPr>
        <w:t xml:space="preserve"> </w:t>
      </w:r>
      <w:r w:rsidRPr="008B4DA1">
        <w:rPr>
          <w:rFonts w:hint="cs"/>
          <w:rtl/>
        </w:rPr>
        <w:t>לא</w:t>
      </w:r>
      <w:r w:rsidRPr="008B4DA1">
        <w:rPr>
          <w:rtl/>
        </w:rPr>
        <w:t xml:space="preserve"> </w:t>
      </w:r>
      <w:r w:rsidRPr="008B4DA1">
        <w:rPr>
          <w:rFonts w:hint="cs"/>
          <w:rtl/>
        </w:rPr>
        <w:t>כתבן.</w:t>
      </w:r>
      <w:r w:rsidRPr="008B4DA1">
        <w:rPr>
          <w:rtl/>
        </w:rPr>
        <w:t xml:space="preserve"> </w:t>
      </w:r>
      <w:r w:rsidRPr="008B4DA1">
        <w:rPr>
          <w:rFonts w:hint="cs"/>
          <w:rtl/>
        </w:rPr>
        <w:t>ואמר</w:t>
      </w:r>
      <w:r w:rsidRPr="008B4DA1">
        <w:rPr>
          <w:rtl/>
        </w:rPr>
        <w:t xml:space="preserve"> </w:t>
      </w:r>
      <w:r w:rsidRPr="008B4DA1">
        <w:rPr>
          <w:rFonts w:hint="cs"/>
          <w:rtl/>
        </w:rPr>
        <w:t>רב</w:t>
      </w:r>
      <w:r w:rsidRPr="008B4DA1">
        <w:rPr>
          <w:rtl/>
        </w:rPr>
        <w:t xml:space="preserve"> </w:t>
      </w:r>
      <w:r w:rsidRPr="008B4DA1">
        <w:rPr>
          <w:rFonts w:hint="cs"/>
          <w:rtl/>
        </w:rPr>
        <w:t>נחמן,</w:t>
      </w:r>
      <w:r w:rsidRPr="008B4DA1">
        <w:rPr>
          <w:rtl/>
        </w:rPr>
        <w:t xml:space="preserve"> </w:t>
      </w:r>
      <w:r w:rsidRPr="008B4DA1">
        <w:rPr>
          <w:rFonts w:hint="cs"/>
          <w:rtl/>
        </w:rPr>
        <w:t>הלכה</w:t>
      </w:r>
      <w:r w:rsidRPr="008B4DA1">
        <w:rPr>
          <w:rtl/>
        </w:rPr>
        <w:t xml:space="preserve"> </w:t>
      </w:r>
      <w:r w:rsidRPr="008B4DA1">
        <w:rPr>
          <w:rFonts w:hint="cs"/>
          <w:rtl/>
        </w:rPr>
        <w:t>כרבי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 לדעת רבי שמעון בן מנסיא, אף שלא אמר במפורש שהוא נותן את הנכסים לאחרים משום שסבור שבנו מת, מכל מקום ברור הדבר שמחמת כן עשה זאת, והרי זה כאילו אמר כן מפורשות, משום שיש "אומדן דעת" שכך רצה. וכן פסק הרמב"ם (הלכות זכיה ומתנה פ"ו ה"א) "לעולם</w:t>
      </w:r>
      <w:r w:rsidRPr="008B4DA1">
        <w:rPr>
          <w:rtl/>
        </w:rPr>
        <w:t xml:space="preserve"> </w:t>
      </w:r>
      <w:r w:rsidRPr="008B4DA1">
        <w:rPr>
          <w:rFonts w:hint="cs"/>
          <w:b/>
          <w:bCs/>
          <w:rtl/>
        </w:rPr>
        <w:t>אומדין</w:t>
      </w:r>
      <w:r w:rsidRPr="008B4DA1">
        <w:rPr>
          <w:b/>
          <w:bCs/>
          <w:rtl/>
        </w:rPr>
        <w:t xml:space="preserve"> </w:t>
      </w:r>
      <w:r w:rsidRPr="008B4DA1">
        <w:rPr>
          <w:rFonts w:hint="cs"/>
          <w:b/>
          <w:bCs/>
          <w:rtl/>
        </w:rPr>
        <w:t>דעת</w:t>
      </w:r>
      <w:r w:rsidRPr="008B4DA1">
        <w:rPr>
          <w:rtl/>
        </w:rPr>
        <w:t xml:space="preserve"> </w:t>
      </w:r>
      <w:r w:rsidRPr="008B4DA1">
        <w:rPr>
          <w:rFonts w:hint="cs"/>
          <w:rtl/>
        </w:rPr>
        <w:t>הנותן</w:t>
      </w:r>
      <w:r w:rsidRPr="008B4DA1">
        <w:rPr>
          <w:rtl/>
        </w:rPr>
        <w:t xml:space="preserve">, </w:t>
      </w:r>
      <w:r w:rsidRPr="008B4DA1">
        <w:rPr>
          <w:rFonts w:hint="cs"/>
          <w:rtl/>
        </w:rPr>
        <w:t>אם</w:t>
      </w:r>
      <w:r w:rsidRPr="008B4DA1">
        <w:rPr>
          <w:rtl/>
        </w:rPr>
        <w:t xml:space="preserve"> </w:t>
      </w:r>
      <w:r w:rsidRPr="008B4DA1">
        <w:rPr>
          <w:rFonts w:hint="cs"/>
          <w:rtl/>
        </w:rPr>
        <w:t>היו</w:t>
      </w:r>
      <w:r w:rsidRPr="008B4DA1">
        <w:rPr>
          <w:rtl/>
        </w:rPr>
        <w:t xml:space="preserve"> </w:t>
      </w:r>
      <w:r w:rsidRPr="008B4DA1">
        <w:rPr>
          <w:rFonts w:hint="cs"/>
          <w:rtl/>
        </w:rPr>
        <w:t>הדברים</w:t>
      </w:r>
      <w:r w:rsidRPr="008B4DA1">
        <w:rPr>
          <w:rtl/>
        </w:rPr>
        <w:t xml:space="preserve"> </w:t>
      </w:r>
      <w:r w:rsidRPr="008B4DA1">
        <w:rPr>
          <w:rFonts w:hint="cs"/>
          <w:rtl/>
        </w:rPr>
        <w:t>מראין</w:t>
      </w:r>
      <w:r w:rsidRPr="008B4DA1">
        <w:rPr>
          <w:rtl/>
        </w:rPr>
        <w:t xml:space="preserve"> </w:t>
      </w:r>
      <w:r w:rsidRPr="008B4DA1">
        <w:rPr>
          <w:rFonts w:hint="cs"/>
          <w:rtl/>
        </w:rPr>
        <w:t>סוף</w:t>
      </w:r>
      <w:r w:rsidRPr="008B4DA1">
        <w:rPr>
          <w:rtl/>
        </w:rPr>
        <w:t xml:space="preserve"> </w:t>
      </w:r>
      <w:r w:rsidRPr="008B4DA1">
        <w:rPr>
          <w:rFonts w:hint="cs"/>
          <w:rtl/>
        </w:rPr>
        <w:t>דעתו,</w:t>
      </w:r>
      <w:r w:rsidRPr="008B4DA1">
        <w:rPr>
          <w:rtl/>
        </w:rPr>
        <w:t xml:space="preserve"> </w:t>
      </w:r>
      <w:r w:rsidRPr="008B4DA1">
        <w:rPr>
          <w:rFonts w:hint="cs"/>
          <w:b/>
          <w:bCs/>
          <w:rtl/>
        </w:rPr>
        <w:t>עושין</w:t>
      </w:r>
      <w:r w:rsidRPr="008B4DA1">
        <w:rPr>
          <w:b/>
          <w:bCs/>
          <w:rtl/>
        </w:rPr>
        <w:t xml:space="preserve"> </w:t>
      </w:r>
      <w:r w:rsidRPr="008B4DA1">
        <w:rPr>
          <w:rFonts w:hint="cs"/>
          <w:b/>
          <w:bCs/>
          <w:rtl/>
        </w:rPr>
        <w:t>על</w:t>
      </w:r>
      <w:r w:rsidRPr="008B4DA1">
        <w:rPr>
          <w:b/>
          <w:bCs/>
          <w:rtl/>
        </w:rPr>
        <w:t xml:space="preserve"> </w:t>
      </w:r>
      <w:r w:rsidRPr="008B4DA1">
        <w:rPr>
          <w:rFonts w:hint="cs"/>
          <w:b/>
          <w:bCs/>
          <w:rtl/>
        </w:rPr>
        <w:t>פי</w:t>
      </w:r>
      <w:r w:rsidRPr="008B4DA1">
        <w:rPr>
          <w:b/>
          <w:bCs/>
          <w:rtl/>
        </w:rPr>
        <w:t xml:space="preserve"> </w:t>
      </w:r>
      <w:r w:rsidRPr="008B4DA1">
        <w:rPr>
          <w:rFonts w:hint="cs"/>
          <w:b/>
          <w:bCs/>
          <w:rtl/>
        </w:rPr>
        <w:t>האומד</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rtl/>
        </w:rPr>
        <w:t>כיצד</w:t>
      </w:r>
      <w:r w:rsidRPr="008B4DA1">
        <w:rPr>
          <w:rtl/>
        </w:rPr>
        <w:t xml:space="preserve"> </w:t>
      </w:r>
      <w:r w:rsidRPr="008B4DA1">
        <w:rPr>
          <w:rFonts w:hint="cs"/>
          <w:rtl/>
        </w:rPr>
        <w:t>מי</w:t>
      </w:r>
      <w:r w:rsidRPr="008B4DA1">
        <w:rPr>
          <w:rtl/>
        </w:rPr>
        <w:t xml:space="preserve"> </w:t>
      </w:r>
      <w:r w:rsidRPr="008B4DA1">
        <w:rPr>
          <w:rFonts w:hint="cs"/>
          <w:rtl/>
        </w:rPr>
        <w:t>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ושמע</w:t>
      </w:r>
      <w:r w:rsidRPr="008B4DA1">
        <w:rPr>
          <w:rtl/>
        </w:rPr>
        <w:t xml:space="preserve"> </w:t>
      </w:r>
      <w:r w:rsidRPr="008B4DA1">
        <w:rPr>
          <w:rFonts w:hint="cs"/>
          <w:rtl/>
        </w:rPr>
        <w:t>שמת,</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w:t>
      </w:r>
      <w:r w:rsidRPr="008B4DA1">
        <w:rPr>
          <w:rtl/>
        </w:rPr>
        <w:t xml:space="preserve"> </w:t>
      </w:r>
      <w:r w:rsidRPr="008B4DA1">
        <w:rPr>
          <w:rFonts w:hint="cs"/>
          <w:rtl/>
        </w:rPr>
        <w:t>מתנה</w:t>
      </w:r>
      <w:r w:rsidRPr="008B4DA1">
        <w:rPr>
          <w:rtl/>
        </w:rPr>
        <w:t xml:space="preserve"> </w:t>
      </w:r>
      <w:r w:rsidRPr="008B4DA1">
        <w:rPr>
          <w:rFonts w:hint="cs"/>
          <w:rtl/>
        </w:rPr>
        <w:t>גלויה</w:t>
      </w:r>
      <w:r w:rsidRPr="008B4DA1">
        <w:rPr>
          <w:rtl/>
        </w:rPr>
        <w:t xml:space="preserve"> </w:t>
      </w:r>
      <w:r w:rsidRPr="008B4DA1">
        <w:rPr>
          <w:rFonts w:hint="cs"/>
          <w:rtl/>
        </w:rPr>
        <w:t>גמורה</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 xml:space="preserve">, </w:t>
      </w:r>
      <w:r w:rsidRPr="008B4DA1">
        <w:rPr>
          <w:rFonts w:hint="cs"/>
          <w:b/>
          <w:bCs/>
          <w:rtl/>
        </w:rPr>
        <w:t>שהדברים</w:t>
      </w:r>
      <w:r w:rsidRPr="008B4DA1">
        <w:rPr>
          <w:b/>
          <w:bCs/>
          <w:rtl/>
        </w:rPr>
        <w:t xml:space="preserve"> </w:t>
      </w:r>
      <w:r w:rsidRPr="008B4DA1">
        <w:rPr>
          <w:rFonts w:hint="cs"/>
          <w:b/>
          <w:bCs/>
          <w:rtl/>
        </w:rPr>
        <w:t>מוכיחים</w:t>
      </w:r>
      <w:r w:rsidRPr="008B4DA1">
        <w:rPr>
          <w:rtl/>
        </w:rPr>
        <w:t xml:space="preserve"> </w:t>
      </w:r>
      <w:r w:rsidRPr="008B4DA1">
        <w:rPr>
          <w:rFonts w:hint="cs"/>
          <w:rtl/>
        </w:rPr>
        <w:t>שאילו</w:t>
      </w:r>
      <w:r w:rsidRPr="008B4DA1">
        <w:rPr>
          <w:rtl/>
        </w:rPr>
        <w:t xml:space="preserve"> </w:t>
      </w:r>
      <w:r w:rsidRPr="008B4DA1">
        <w:rPr>
          <w:rFonts w:hint="cs"/>
          <w:rtl/>
        </w:rPr>
        <w:t>ידע</w:t>
      </w:r>
      <w:r w:rsidRPr="008B4DA1">
        <w:rPr>
          <w:rtl/>
        </w:rPr>
        <w:t xml:space="preserve"> </w:t>
      </w:r>
      <w:r w:rsidRPr="008B4DA1">
        <w:rPr>
          <w:rFonts w:hint="cs"/>
          <w:rtl/>
        </w:rPr>
        <w:t>שבנו</w:t>
      </w:r>
      <w:r w:rsidRPr="008B4DA1">
        <w:rPr>
          <w:rtl/>
        </w:rPr>
        <w:t xml:space="preserve"> </w:t>
      </w:r>
      <w:r w:rsidRPr="008B4DA1">
        <w:rPr>
          <w:rFonts w:hint="cs"/>
          <w:rtl/>
        </w:rPr>
        <w:t>קיים</w:t>
      </w:r>
      <w:r w:rsidRPr="008B4DA1">
        <w:rPr>
          <w:rtl/>
        </w:rPr>
        <w:t xml:space="preserve"> </w:t>
      </w:r>
      <w:r w:rsidRPr="008B4DA1">
        <w:rPr>
          <w:rFonts w:hint="cs"/>
          <w:rtl/>
        </w:rPr>
        <w:t>לא</w:t>
      </w:r>
      <w:r w:rsidRPr="008B4DA1">
        <w:rPr>
          <w:rtl/>
        </w:rPr>
        <w:t xml:space="preserve"> </w:t>
      </w:r>
      <w:r w:rsidRPr="008B4DA1">
        <w:rPr>
          <w:rFonts w:hint="cs"/>
          <w:rtl/>
        </w:rPr>
        <w:t>היה</w:t>
      </w:r>
      <w:r w:rsidRPr="008B4DA1">
        <w:rPr>
          <w:rtl/>
        </w:rPr>
        <w:t xml:space="preserve"> </w:t>
      </w:r>
      <w:r w:rsidRPr="008B4DA1">
        <w:rPr>
          <w:rFonts w:hint="cs"/>
          <w:rtl/>
        </w:rPr>
        <w:t>נותן</w:t>
      </w:r>
      <w:r w:rsidRPr="008B4DA1">
        <w:rPr>
          <w:rtl/>
        </w:rPr>
        <w:t xml:space="preserve"> </w:t>
      </w:r>
      <w:r w:rsidRPr="008B4DA1">
        <w:rPr>
          <w:rFonts w:hint="cs"/>
          <w:rtl/>
        </w:rPr>
        <w:t>כל</w:t>
      </w:r>
      <w:r w:rsidRPr="008B4DA1">
        <w:rPr>
          <w:rtl/>
        </w:rPr>
        <w:t xml:space="preserve"> </w:t>
      </w:r>
      <w:r w:rsidRPr="008B4DA1">
        <w:rPr>
          <w:rFonts w:hint="cs"/>
          <w:rtl/>
        </w:rPr>
        <w:t>נכסיו", וכדבריו פסק מרן השלחן ערוך (חו"מ סי' רמו סע' א).</w:t>
      </w:r>
    </w:p>
    <w:p w14:paraId="7F7CD604" w14:textId="4581B956" w:rsidR="00644C97" w:rsidRPr="008B4DA1" w:rsidRDefault="00644C97" w:rsidP="00F8255E">
      <w:pPr>
        <w:pStyle w:val="a2"/>
        <w:rPr>
          <w:rtl/>
        </w:rPr>
      </w:pPr>
      <w:r>
        <w:rPr>
          <w:rFonts w:hint="cs"/>
          <w:rtl/>
        </w:rPr>
        <w:t>ב)</w:t>
      </w:r>
      <w:r w:rsidRPr="008B4DA1">
        <w:rPr>
          <w:rFonts w:hint="cs"/>
          <w:rtl/>
        </w:rPr>
        <w:t xml:space="preserve"> במשנה במסכת בבא בתרא (קמו, ב) מובא: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ושייר</w:t>
      </w:r>
      <w:r w:rsidRPr="008B4DA1">
        <w:rPr>
          <w:rtl/>
        </w:rPr>
        <w:t xml:space="preserve"> </w:t>
      </w:r>
      <w:r w:rsidRPr="008B4DA1">
        <w:rPr>
          <w:rFonts w:hint="cs"/>
          <w:rtl/>
        </w:rPr>
        <w:t>[מנכסיו] 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[שלא כלל אותה במתנתו]</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 xml:space="preserve"> </w:t>
      </w:r>
      <w:r w:rsidRPr="008B4DA1">
        <w:rPr>
          <w:rFonts w:hint="cs"/>
          <w:rtl/>
        </w:rPr>
        <w:t>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w:t>
      </w:r>
      <w:r w:rsidRPr="008B4DA1">
        <w:rPr>
          <w:rFonts w:hint="cs"/>
          <w:rtl/>
        </w:rPr>
        <w:t xml:space="preserve"> ובגמרא שם: "מאן</w:t>
      </w:r>
      <w:r w:rsidRPr="008B4DA1">
        <w:rPr>
          <w:rtl/>
        </w:rPr>
        <w:t xml:space="preserve"> </w:t>
      </w:r>
      <w:r w:rsidRPr="008B4DA1">
        <w:rPr>
          <w:rFonts w:hint="cs"/>
          <w:rtl/>
        </w:rPr>
        <w:t>תנא</w:t>
      </w:r>
      <w:r w:rsidRPr="008B4DA1">
        <w:rPr>
          <w:rtl/>
        </w:rPr>
        <w:t xml:space="preserve"> </w:t>
      </w:r>
      <w:r w:rsidRPr="008B4DA1">
        <w:rPr>
          <w:rFonts w:hint="cs"/>
          <w:rtl/>
        </w:rPr>
        <w:t>דאזלינן</w:t>
      </w:r>
      <w:r w:rsidRPr="008B4DA1">
        <w:rPr>
          <w:rtl/>
        </w:rPr>
        <w:t xml:space="preserve"> </w:t>
      </w:r>
      <w:r w:rsidRPr="008B4DA1">
        <w:rPr>
          <w:rFonts w:hint="cs"/>
          <w:rtl/>
        </w:rPr>
        <w:t>בתר</w:t>
      </w:r>
      <w:r w:rsidRPr="008B4DA1">
        <w:rPr>
          <w:rtl/>
        </w:rPr>
        <w:t xml:space="preserve"> </w:t>
      </w:r>
      <w:r w:rsidRPr="008B4DA1">
        <w:rPr>
          <w:rFonts w:hint="cs"/>
          <w:rtl/>
        </w:rPr>
        <w:t>אומדנא, אמר רב</w:t>
      </w:r>
      <w:r w:rsidRPr="008B4DA1">
        <w:rPr>
          <w:rtl/>
        </w:rPr>
        <w:t xml:space="preserve"> </w:t>
      </w:r>
      <w:r w:rsidRPr="008B4DA1">
        <w:rPr>
          <w:rFonts w:hint="cs"/>
          <w:rtl/>
        </w:rPr>
        <w:t>נחמן</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w:t>
      </w:r>
      <w:r w:rsidRPr="008B4DA1">
        <w:rPr>
          <w:rtl/>
        </w:rPr>
        <w:t xml:space="preserve"> </w:t>
      </w:r>
      <w:r w:rsidRPr="008B4DA1">
        <w:rPr>
          <w:rFonts w:hint="cs"/>
          <w:rtl/>
        </w:rPr>
        <w:t>היא" [המובא לעיל]. ופירש רשב"ם: "מאן</w:t>
      </w:r>
      <w:r w:rsidRPr="008B4DA1">
        <w:rPr>
          <w:rtl/>
        </w:rPr>
        <w:t xml:space="preserve"> </w:t>
      </w:r>
      <w:r w:rsidRPr="008B4DA1">
        <w:rPr>
          <w:rFonts w:hint="cs"/>
          <w:rtl/>
        </w:rPr>
        <w:t>תנא</w:t>
      </w:r>
      <w:r w:rsidR="005D7B4D">
        <w:rPr>
          <w:rtl/>
        </w:rPr>
        <w:t xml:space="preserve"> </w:t>
      </w:r>
      <w:r w:rsidRPr="008B4DA1">
        <w:rPr>
          <w:rFonts w:hint="cs"/>
          <w:rtl/>
        </w:rPr>
        <w:t>דסבירא</w:t>
      </w:r>
      <w:r w:rsidRPr="008B4DA1">
        <w:rPr>
          <w:rtl/>
        </w:rPr>
        <w:t xml:space="preserve"> </w:t>
      </w:r>
      <w:r w:rsidRPr="008B4DA1">
        <w:rPr>
          <w:rFonts w:hint="cs"/>
          <w:rtl/>
        </w:rPr>
        <w:t>ליה</w:t>
      </w:r>
      <w:r w:rsidRPr="008B4DA1">
        <w:rPr>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tl/>
        </w:rPr>
        <w:t xml:space="preserve"> </w:t>
      </w:r>
      <w:r w:rsidRPr="008B4DA1">
        <w:rPr>
          <w:rFonts w:hint="cs"/>
          <w:rtl/>
        </w:rPr>
        <w:t>דדעתא</w:t>
      </w:r>
      <w:r w:rsidRPr="008B4DA1">
        <w:rPr>
          <w:rtl/>
        </w:rPr>
        <w:t xml:space="preserve"> </w:t>
      </w:r>
      <w:r w:rsidRPr="008B4DA1">
        <w:rPr>
          <w:rFonts w:hint="cs"/>
          <w:rtl/>
        </w:rPr>
        <w:t>דנותן</w:t>
      </w:r>
      <w:r w:rsidRPr="008B4DA1">
        <w:rPr>
          <w:rtl/>
        </w:rPr>
        <w:t xml:space="preserve"> </w:t>
      </w:r>
      <w:r w:rsidRPr="008B4DA1">
        <w:rPr>
          <w:rFonts w:hint="cs"/>
          <w:rtl/>
        </w:rPr>
        <w:t>מתנה,</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rtl/>
        </w:rPr>
        <w:t>כמי</w:t>
      </w:r>
      <w:r w:rsidRPr="008B4DA1">
        <w:rPr>
          <w:rtl/>
        </w:rPr>
        <w:t xml:space="preserve"> </w:t>
      </w:r>
      <w:r w:rsidRPr="008B4DA1">
        <w:rPr>
          <w:rFonts w:hint="cs"/>
          <w:rtl/>
        </w:rPr>
        <w:t>שפירש</w:t>
      </w:r>
      <w:r w:rsidRPr="008B4DA1">
        <w:rPr>
          <w:rtl/>
        </w:rPr>
        <w:t xml:space="preserve"> </w:t>
      </w:r>
      <w:r w:rsidRPr="008B4DA1">
        <w:rPr>
          <w:rFonts w:hint="cs"/>
          <w:rtl/>
        </w:rPr>
        <w:t>דמי,</w:t>
      </w:r>
      <w:r w:rsidRPr="008B4DA1">
        <w:rPr>
          <w:rtl/>
        </w:rPr>
        <w:t xml:space="preserve"> </w:t>
      </w:r>
      <w:r w:rsidRPr="008B4DA1">
        <w:rPr>
          <w:rFonts w:hint="cs"/>
          <w:rtl/>
        </w:rPr>
        <w:t>דקתני</w:t>
      </w:r>
      <w:r w:rsidRPr="008B4DA1">
        <w:rPr>
          <w:rtl/>
        </w:rPr>
        <w:t xml:space="preserve"> </w:t>
      </w:r>
      <w:r w:rsidRPr="008B4DA1">
        <w:rPr>
          <w:rFonts w:hint="cs"/>
          <w:rtl/>
        </w:rPr>
        <w:t>היכא</w:t>
      </w:r>
      <w:r w:rsidRPr="008B4DA1">
        <w:rPr>
          <w:rtl/>
        </w:rPr>
        <w:t xml:space="preserve"> </w:t>
      </w:r>
      <w:r w:rsidRPr="008B4DA1">
        <w:rPr>
          <w:rFonts w:hint="cs"/>
          <w:rtl/>
        </w:rPr>
        <w:t>דלא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אמדינן</w:t>
      </w:r>
      <w:r w:rsidRPr="008B4DA1">
        <w:rPr>
          <w:rtl/>
        </w:rPr>
        <w:t xml:space="preserve"> </w:t>
      </w:r>
      <w:r w:rsidRPr="008B4DA1">
        <w:rPr>
          <w:rFonts w:hint="cs"/>
          <w:rtl/>
        </w:rPr>
        <w:t>דעתיה</w:t>
      </w:r>
      <w:r w:rsidRPr="008B4DA1">
        <w:rPr>
          <w:rtl/>
        </w:rPr>
        <w:t xml:space="preserve"> </w:t>
      </w:r>
      <w:r w:rsidRPr="008B4DA1">
        <w:rPr>
          <w:rFonts w:hint="cs"/>
          <w:rtl/>
        </w:rPr>
        <w:t>שנתייאש</w:t>
      </w:r>
      <w:r w:rsidRPr="008B4DA1">
        <w:rPr>
          <w:rtl/>
        </w:rPr>
        <w:t xml:space="preserve"> </w:t>
      </w:r>
      <w:r w:rsidRPr="008B4DA1">
        <w:rPr>
          <w:rFonts w:hint="cs"/>
          <w:rtl/>
        </w:rPr>
        <w:t>מן</w:t>
      </w:r>
      <w:r w:rsidRPr="008B4DA1">
        <w:rPr>
          <w:rtl/>
        </w:rPr>
        <w:t xml:space="preserve"> </w:t>
      </w:r>
      <w:r w:rsidRPr="008B4DA1">
        <w:rPr>
          <w:rFonts w:hint="cs"/>
          <w:rtl/>
        </w:rPr>
        <w:t>החיים,</w:t>
      </w:r>
      <w:r w:rsidRPr="008B4DA1">
        <w:rPr>
          <w:rtl/>
        </w:rPr>
        <w:t xml:space="preserve"> </w:t>
      </w:r>
      <w:r w:rsidRPr="008B4DA1">
        <w:rPr>
          <w:rFonts w:hint="cs"/>
          <w:rtl/>
        </w:rPr>
        <w:t>ולהכי</w:t>
      </w:r>
      <w:r w:rsidRPr="008B4DA1">
        <w:rPr>
          <w:rtl/>
        </w:rPr>
        <w:t xml:space="preserve"> </w:t>
      </w:r>
      <w:r w:rsidRPr="008B4DA1">
        <w:rPr>
          <w:rFonts w:hint="cs"/>
          <w:rtl/>
        </w:rPr>
        <w:t>לא</w:t>
      </w:r>
      <w:r w:rsidRPr="008B4DA1">
        <w:rPr>
          <w:rtl/>
        </w:rPr>
        <w:t xml:space="preserve"> </w:t>
      </w:r>
      <w:r w:rsidRPr="008B4DA1">
        <w:rPr>
          <w:rFonts w:hint="cs"/>
          <w:rtl/>
        </w:rPr>
        <w:t>שייר,</w:t>
      </w:r>
      <w:r w:rsidRPr="008B4DA1">
        <w:rPr>
          <w:rtl/>
        </w:rPr>
        <w:t xml:space="preserve"> </w:t>
      </w:r>
      <w:r w:rsidRPr="008B4DA1">
        <w:rPr>
          <w:rFonts w:hint="cs"/>
          <w:b/>
          <w:bCs/>
          <w:rtl/>
        </w:rPr>
        <w:t>ואדעתא</w:t>
      </w:r>
      <w:r w:rsidRPr="008B4DA1">
        <w:rPr>
          <w:b/>
          <w:bCs/>
          <w:rtl/>
        </w:rPr>
        <w:t xml:space="preserve"> </w:t>
      </w:r>
      <w:r w:rsidRPr="008B4DA1">
        <w:rPr>
          <w:rFonts w:hint="cs"/>
          <w:b/>
          <w:bCs/>
          <w:rtl/>
        </w:rPr>
        <w:t>דהכי</w:t>
      </w:r>
      <w:r w:rsidRPr="008B4DA1">
        <w:rPr>
          <w:b/>
          <w:bCs/>
          <w:rtl/>
        </w:rPr>
        <w:t xml:space="preserve"> </w:t>
      </w:r>
      <w:r w:rsidRPr="008B4DA1">
        <w:rPr>
          <w:rFonts w:hint="cs"/>
          <w:b/>
          <w:bCs/>
          <w:rtl/>
        </w:rPr>
        <w:t>יהב</w:t>
      </w:r>
      <w:r w:rsidRPr="008B4DA1">
        <w:rPr>
          <w:rFonts w:hint="cs"/>
          <w:rtl/>
        </w:rPr>
        <w:t>,</w:t>
      </w:r>
      <w:r w:rsidRPr="008B4DA1">
        <w:rPr>
          <w:rtl/>
        </w:rPr>
        <w:t xml:space="preserve"> </w:t>
      </w:r>
      <w:r w:rsidRPr="008B4DA1">
        <w:rPr>
          <w:rFonts w:hint="cs"/>
          <w:rtl/>
        </w:rPr>
        <w:t>שאם</w:t>
      </w:r>
      <w:r w:rsidRPr="008B4DA1">
        <w:rPr>
          <w:rtl/>
        </w:rPr>
        <w:t xml:space="preserve"> </w:t>
      </w:r>
      <w:r w:rsidRPr="008B4DA1">
        <w:rPr>
          <w:rFonts w:hint="cs"/>
          <w:rtl/>
        </w:rPr>
        <w:t>ימות</w:t>
      </w:r>
      <w:r w:rsidRPr="008B4DA1">
        <w:rPr>
          <w:rtl/>
        </w:rPr>
        <w:t xml:space="preserve"> </w:t>
      </w:r>
      <w:r w:rsidRPr="008B4DA1">
        <w:rPr>
          <w:rFonts w:hint="cs"/>
          <w:rtl/>
        </w:rPr>
        <w:t>תתקיים</w:t>
      </w:r>
      <w:r w:rsidRPr="008B4DA1">
        <w:rPr>
          <w:rtl/>
        </w:rPr>
        <w:t xml:space="preserve"> </w:t>
      </w:r>
      <w:r w:rsidRPr="008B4DA1">
        <w:rPr>
          <w:rFonts w:hint="cs"/>
          <w:rtl/>
        </w:rPr>
        <w:t>המתנה</w:t>
      </w:r>
      <w:r w:rsidRPr="008B4DA1">
        <w:rPr>
          <w:rtl/>
        </w:rPr>
        <w:t xml:space="preserve"> </w:t>
      </w:r>
      <w:r w:rsidRPr="008B4DA1">
        <w:rPr>
          <w:rFonts w:hint="cs"/>
          <w:rtl/>
        </w:rPr>
        <w:t>ואם</w:t>
      </w:r>
      <w:r w:rsidRPr="008B4DA1">
        <w:rPr>
          <w:rtl/>
        </w:rPr>
        <w:t xml:space="preserve"> </w:t>
      </w:r>
      <w:r w:rsidRPr="008B4DA1">
        <w:rPr>
          <w:rFonts w:hint="cs"/>
          <w:rtl/>
        </w:rPr>
        <w:t>יעמוד</w:t>
      </w:r>
      <w:r w:rsidRPr="008B4DA1">
        <w:rPr>
          <w:rtl/>
        </w:rPr>
        <w:t xml:space="preserve"> </w:t>
      </w:r>
      <w:r w:rsidRPr="008B4DA1">
        <w:rPr>
          <w:rFonts w:hint="cs"/>
          <w:rtl/>
        </w:rPr>
        <w:t>תחזור</w:t>
      </w:r>
      <w:r w:rsidRPr="008B4DA1">
        <w:rPr>
          <w:rtl/>
        </w:rPr>
        <w:t xml:space="preserve"> </w:t>
      </w:r>
      <w:r w:rsidRPr="008B4DA1">
        <w:rPr>
          <w:rFonts w:hint="cs"/>
          <w:rtl/>
        </w:rPr>
        <w:t>לו</w:t>
      </w:r>
      <w:r w:rsidRPr="008B4DA1">
        <w:rPr>
          <w:rtl/>
        </w:rPr>
        <w:t xml:space="preserve"> </w:t>
      </w:r>
      <w:r w:rsidRPr="008B4DA1">
        <w:rPr>
          <w:rFonts w:hint="cs"/>
          <w:rtl/>
        </w:rPr>
        <w:t>ולא</w:t>
      </w:r>
      <w:r w:rsidRPr="008B4DA1">
        <w:rPr>
          <w:rtl/>
        </w:rPr>
        <w:t xml:space="preserve"> </w:t>
      </w:r>
      <w:r w:rsidRPr="008B4DA1">
        <w:rPr>
          <w:rFonts w:hint="cs"/>
          <w:rtl/>
        </w:rPr>
        <w:t>תתקיים</w:t>
      </w:r>
      <w:r w:rsidRPr="008B4DA1">
        <w:rPr>
          <w:rtl/>
        </w:rPr>
        <w:t xml:space="preserve"> </w:t>
      </w:r>
      <w:r w:rsidRPr="008B4DA1">
        <w:rPr>
          <w:rFonts w:hint="cs"/>
          <w:rtl/>
        </w:rPr>
        <w:t>המתנה"</w:t>
      </w:r>
      <w:r w:rsidRPr="008B4DA1">
        <w:rPr>
          <w:rtl/>
        </w:rPr>
        <w:t>.</w:t>
      </w:r>
      <w:r w:rsidRPr="008B4DA1">
        <w:rPr>
          <w:rFonts w:hint="cs"/>
          <w:rtl/>
        </w:rPr>
        <w:t xml:space="preserve"> לדעת רבי שמעון בן מנסיא, ניתן לבטל מתנה שניתנה "בסתם" על פי בירור אומדן דעתו של הנותן, ואף על פי שלא פירש </w:t>
      </w:r>
      <w:r w:rsidRPr="008B4DA1">
        <w:rPr>
          <w:rFonts w:hint="cs"/>
          <w:rtl/>
        </w:rPr>
        <w:lastRenderedPageBreak/>
        <w:t>את כוונתו. ולכן דברי המשנה ששכיב מרע שנתן את כל נכסיו ולא שייר לעצמו כלום, ולאחר מכן עמד מחוליו "אין מתנתו קיימת", כי אומדים את דעתו שנתן את המתנה מחמת שהיה בטוח שימות מחוליו, ודעתו היתה שאם לא ימות מחוליו המתנה לא תתקיים.</w:t>
      </w:r>
    </w:p>
    <w:p w14:paraId="732B48F7" w14:textId="23BBEEC1" w:rsidR="00644C97" w:rsidRPr="008B4DA1" w:rsidRDefault="00644C97" w:rsidP="00F8255E">
      <w:pPr>
        <w:pStyle w:val="a2"/>
      </w:pPr>
      <w:r w:rsidRPr="008B4DA1">
        <w:rPr>
          <w:rFonts w:hint="cs"/>
          <w:rtl/>
        </w:rPr>
        <w:t>דין זה נפסק בדברי הרמב"ם (הלכות</w:t>
      </w:r>
      <w:r w:rsidR="005D7B4D">
        <w:rPr>
          <w:rFonts w:hint="cs"/>
          <w:rtl/>
        </w:rPr>
        <w:t xml:space="preserve"> </w:t>
      </w:r>
      <w:r w:rsidRPr="008B4DA1">
        <w:rPr>
          <w:rFonts w:hint="cs"/>
          <w:rtl/>
        </w:rPr>
        <w:t>זכיה ומתנה פ"ח הי"ד) שכתב: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מתנה</w:t>
      </w:r>
      <w:r w:rsidRPr="008B4DA1">
        <w:rPr>
          <w:rtl/>
        </w:rPr>
        <w:t xml:space="preserve"> </w:t>
      </w:r>
      <w:r w:rsidRPr="008B4DA1">
        <w:rPr>
          <w:rFonts w:hint="cs"/>
          <w:rtl/>
        </w:rPr>
        <w:t>סתם</w:t>
      </w:r>
      <w:r w:rsidRPr="008B4DA1">
        <w:rPr>
          <w:rtl/>
        </w:rPr>
        <w:t xml:space="preserve"> </w:t>
      </w:r>
      <w:r w:rsidRPr="008B4DA1">
        <w:rPr>
          <w:rFonts w:hint="cs"/>
          <w:rtl/>
        </w:rPr>
        <w:t>ולא</w:t>
      </w:r>
      <w:r w:rsidRPr="008B4DA1">
        <w:rPr>
          <w:rtl/>
        </w:rPr>
        <w:t xml:space="preserve"> </w:t>
      </w:r>
      <w:r w:rsidRPr="008B4DA1">
        <w:rPr>
          <w:rFonts w:hint="cs"/>
          <w:rtl/>
        </w:rPr>
        <w:t>שייר</w:t>
      </w:r>
      <w:r w:rsidRPr="008B4DA1">
        <w:rPr>
          <w:rtl/>
        </w:rPr>
        <w:t xml:space="preserve"> </w:t>
      </w:r>
      <w:r w:rsidRPr="008B4DA1">
        <w:rPr>
          <w:rFonts w:hint="cs"/>
          <w:rtl/>
        </w:rPr>
        <w:t>כלום</w:t>
      </w:r>
      <w:r w:rsidRPr="008B4DA1">
        <w:rPr>
          <w:rtl/>
        </w:rPr>
        <w:t xml:space="preserve">, </w:t>
      </w:r>
      <w:r w:rsidRPr="008B4DA1">
        <w:rPr>
          <w:rFonts w:hint="cs"/>
          <w:rtl/>
        </w:rPr>
        <w:t>אם</w:t>
      </w:r>
      <w:r w:rsidRPr="008B4DA1">
        <w:rPr>
          <w:rtl/>
        </w:rPr>
        <w:t xml:space="preserve"> </w:t>
      </w:r>
      <w:r w:rsidRPr="008B4DA1">
        <w:rPr>
          <w:rFonts w:hint="cs"/>
          <w:rtl/>
        </w:rPr>
        <w:t>עמד</w:t>
      </w:r>
      <w:r w:rsidRPr="008B4DA1">
        <w:rPr>
          <w:rtl/>
        </w:rPr>
        <w:t xml:space="preserve"> </w:t>
      </w:r>
      <w:r w:rsidRPr="008B4DA1">
        <w:rPr>
          <w:rFonts w:hint="cs"/>
          <w:rtl/>
        </w:rPr>
        <w:t>חוזר</w:t>
      </w:r>
      <w:r w:rsidRPr="008B4DA1">
        <w:rPr>
          <w:rtl/>
        </w:rPr>
        <w:t xml:space="preserve">, </w:t>
      </w:r>
      <w:r w:rsidRPr="008B4DA1">
        <w:rPr>
          <w:rFonts w:hint="cs"/>
          <w:rtl/>
        </w:rPr>
        <w:t>ואפילו</w:t>
      </w:r>
      <w:r w:rsidRPr="008B4DA1">
        <w:rPr>
          <w:rtl/>
        </w:rPr>
        <w:t xml:space="preserve"> </w:t>
      </w:r>
      <w:r w:rsidRPr="008B4DA1">
        <w:rPr>
          <w:rFonts w:hint="cs"/>
          <w:rtl/>
        </w:rPr>
        <w:t>קנו</w:t>
      </w:r>
      <w:r w:rsidRPr="008B4DA1">
        <w:rPr>
          <w:rtl/>
        </w:rPr>
        <w:t xml:space="preserve"> </w:t>
      </w:r>
      <w:r w:rsidRPr="008B4DA1">
        <w:rPr>
          <w:rFonts w:hint="cs"/>
          <w:rtl/>
        </w:rPr>
        <w:t>מידו</w:t>
      </w:r>
      <w:r w:rsidRPr="008B4DA1">
        <w:rPr>
          <w:rtl/>
        </w:rPr>
        <w:t xml:space="preserve"> </w:t>
      </w:r>
      <w:r w:rsidRPr="008B4DA1">
        <w:rPr>
          <w:rFonts w:hint="cs"/>
          <w:rtl/>
        </w:rPr>
        <w:t>כדי</w:t>
      </w:r>
      <w:r w:rsidRPr="008B4DA1">
        <w:rPr>
          <w:rtl/>
        </w:rPr>
        <w:t xml:space="preserve"> </w:t>
      </w:r>
      <w:r w:rsidRPr="008B4DA1">
        <w:rPr>
          <w:rFonts w:hint="cs"/>
          <w:rtl/>
        </w:rPr>
        <w:t>ליפות</w:t>
      </w:r>
      <w:r w:rsidRPr="008B4DA1">
        <w:rPr>
          <w:rtl/>
        </w:rPr>
        <w:t xml:space="preserve"> </w:t>
      </w:r>
      <w:r w:rsidRPr="008B4DA1">
        <w:rPr>
          <w:rFonts w:hint="cs"/>
          <w:rtl/>
        </w:rPr>
        <w:t>את</w:t>
      </w:r>
      <w:r w:rsidRPr="008B4DA1">
        <w:rPr>
          <w:rtl/>
        </w:rPr>
        <w:t xml:space="preserve"> </w:t>
      </w:r>
      <w:r w:rsidRPr="008B4DA1">
        <w:rPr>
          <w:rFonts w:hint="cs"/>
          <w:rtl/>
        </w:rPr>
        <w:t>כחו</w:t>
      </w:r>
      <w:r w:rsidRPr="008B4DA1">
        <w:rPr>
          <w:rtl/>
        </w:rPr>
        <w:t xml:space="preserve">, </w:t>
      </w:r>
      <w:r w:rsidRPr="008B4DA1">
        <w:rPr>
          <w:rFonts w:hint="cs"/>
          <w:rtl/>
        </w:rPr>
        <w:t>בין</w:t>
      </w:r>
      <w:r w:rsidRPr="008B4DA1">
        <w:rPr>
          <w:rtl/>
        </w:rPr>
        <w:t xml:space="preserve"> </w:t>
      </w:r>
      <w:r w:rsidRPr="008B4DA1">
        <w:rPr>
          <w:rFonts w:hint="cs"/>
          <w:rtl/>
        </w:rPr>
        <w:t>שהקנה</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לאחד</w:t>
      </w:r>
      <w:r w:rsidRPr="008B4DA1">
        <w:rPr>
          <w:rtl/>
        </w:rPr>
        <w:t xml:space="preserve"> </w:t>
      </w:r>
      <w:r w:rsidRPr="008B4DA1">
        <w:rPr>
          <w:rFonts w:hint="cs"/>
          <w:rtl/>
        </w:rPr>
        <w:t>בין</w:t>
      </w:r>
      <w:r w:rsidRPr="008B4DA1">
        <w:rPr>
          <w:rtl/>
        </w:rPr>
        <w:t xml:space="preserve"> </w:t>
      </w:r>
      <w:r w:rsidRPr="008B4DA1">
        <w:rPr>
          <w:rFonts w:hint="cs"/>
          <w:rtl/>
        </w:rPr>
        <w:t>שכתבם</w:t>
      </w:r>
      <w:r w:rsidRPr="008B4DA1">
        <w:rPr>
          <w:rtl/>
        </w:rPr>
        <w:t xml:space="preserve"> </w:t>
      </w:r>
      <w:r w:rsidRPr="008B4DA1">
        <w:rPr>
          <w:rFonts w:hint="cs"/>
          <w:rtl/>
        </w:rPr>
        <w:t>לשנים</w:t>
      </w:r>
      <w:r w:rsidRPr="008B4DA1">
        <w:rPr>
          <w:rtl/>
        </w:rPr>
        <w:t xml:space="preserve">, </w:t>
      </w:r>
      <w:r w:rsidRPr="008B4DA1">
        <w:rPr>
          <w:rFonts w:hint="cs"/>
          <w:b/>
          <w:bCs/>
          <w:rtl/>
        </w:rPr>
        <w:t>שאומד</w:t>
      </w:r>
      <w:r w:rsidRPr="008B4DA1">
        <w:rPr>
          <w:b/>
          <w:bCs/>
          <w:rtl/>
        </w:rPr>
        <w:t xml:space="preserve"> </w:t>
      </w:r>
      <w:r w:rsidRPr="008B4DA1">
        <w:rPr>
          <w:rFonts w:hint="cs"/>
          <w:b/>
          <w:bCs/>
          <w:rtl/>
        </w:rPr>
        <w:t>דעת</w:t>
      </w:r>
      <w:r w:rsidRPr="008B4DA1">
        <w:rPr>
          <w:b/>
          <w:bCs/>
          <w:rtl/>
        </w:rPr>
        <w:t xml:space="preserve"> </w:t>
      </w:r>
      <w:r w:rsidRPr="008B4DA1">
        <w:rPr>
          <w:rFonts w:hint="cs"/>
          <w:b/>
          <w:bCs/>
          <w:rtl/>
        </w:rPr>
        <w:t>הוא</w:t>
      </w:r>
      <w:r w:rsidRPr="008B4DA1">
        <w:rPr>
          <w:rtl/>
        </w:rPr>
        <w:t xml:space="preserve"> </w:t>
      </w:r>
      <w:r w:rsidRPr="008B4DA1">
        <w:rPr>
          <w:rFonts w:hint="cs"/>
          <w:rtl/>
        </w:rPr>
        <w:t>שלא</w:t>
      </w:r>
      <w:r w:rsidRPr="008B4DA1">
        <w:rPr>
          <w:rtl/>
        </w:rPr>
        <w:t xml:space="preserve"> </w:t>
      </w:r>
      <w:r w:rsidRPr="008B4DA1">
        <w:rPr>
          <w:rFonts w:hint="cs"/>
          <w:rtl/>
        </w:rPr>
        <w:t>נתן</w:t>
      </w:r>
      <w:r w:rsidRPr="008B4DA1">
        <w:rPr>
          <w:rtl/>
        </w:rPr>
        <w:t xml:space="preserve"> </w:t>
      </w:r>
      <w:r w:rsidRPr="008B4DA1">
        <w:rPr>
          <w:rFonts w:hint="cs"/>
          <w:rtl/>
        </w:rPr>
        <w:t>זה</w:t>
      </w:r>
      <w:r w:rsidRPr="008B4DA1">
        <w:rPr>
          <w:rtl/>
        </w:rPr>
        <w:t xml:space="preserve"> </w:t>
      </w:r>
      <w:r w:rsidRPr="008B4DA1">
        <w:rPr>
          <w:rFonts w:hint="cs"/>
          <w:rtl/>
        </w:rPr>
        <w:t>הכל</w:t>
      </w:r>
      <w:r w:rsidRPr="008B4DA1">
        <w:rPr>
          <w:rtl/>
        </w:rPr>
        <w:t xml:space="preserve"> </w:t>
      </w:r>
      <w:r w:rsidRPr="008B4DA1">
        <w:rPr>
          <w:rFonts w:hint="cs"/>
          <w:rtl/>
        </w:rPr>
        <w:t>אלא</w:t>
      </w:r>
      <w:r w:rsidRPr="008B4DA1">
        <w:rPr>
          <w:rtl/>
        </w:rPr>
        <w:t xml:space="preserve"> </w:t>
      </w:r>
      <w:r w:rsidRPr="008B4DA1">
        <w:rPr>
          <w:rFonts w:hint="cs"/>
          <w:rtl/>
        </w:rPr>
        <w:t>שנתכוון</w:t>
      </w:r>
      <w:r w:rsidRPr="008B4DA1">
        <w:rPr>
          <w:rtl/>
        </w:rPr>
        <w:t xml:space="preserve"> </w:t>
      </w:r>
      <w:r w:rsidRPr="008B4DA1">
        <w:rPr>
          <w:rFonts w:hint="cs"/>
          <w:rtl/>
        </w:rPr>
        <w:t>שלא</w:t>
      </w:r>
      <w:r w:rsidRPr="008B4DA1">
        <w:rPr>
          <w:rtl/>
        </w:rPr>
        <w:t xml:space="preserve"> </w:t>
      </w:r>
      <w:r w:rsidRPr="008B4DA1">
        <w:rPr>
          <w:rFonts w:hint="cs"/>
          <w:rtl/>
        </w:rPr>
        <w:t>יקנו</w:t>
      </w:r>
      <w:r w:rsidRPr="008B4DA1">
        <w:rPr>
          <w:rtl/>
        </w:rPr>
        <w:t xml:space="preserve"> </w:t>
      </w:r>
      <w:r w:rsidRPr="008B4DA1">
        <w:rPr>
          <w:rFonts w:hint="cs"/>
          <w:rtl/>
        </w:rPr>
        <w:t>כלום</w:t>
      </w:r>
      <w:r w:rsidRPr="008B4DA1">
        <w:rPr>
          <w:rtl/>
        </w:rPr>
        <w:t xml:space="preserve"> </w:t>
      </w:r>
      <w:r w:rsidRPr="008B4DA1">
        <w:rPr>
          <w:rFonts w:hint="cs"/>
          <w:rtl/>
        </w:rPr>
        <w:t>אלא</w:t>
      </w:r>
      <w:r w:rsidRPr="008B4DA1">
        <w:rPr>
          <w:rtl/>
        </w:rPr>
        <w:t xml:space="preserve"> </w:t>
      </w:r>
      <w:r w:rsidRPr="008B4DA1">
        <w:rPr>
          <w:rFonts w:hint="cs"/>
          <w:rtl/>
        </w:rPr>
        <w:t>לאחר</w:t>
      </w:r>
      <w:r w:rsidRPr="008B4DA1">
        <w:rPr>
          <w:rtl/>
        </w:rPr>
        <w:t xml:space="preserve"> </w:t>
      </w:r>
      <w:r w:rsidRPr="008B4DA1">
        <w:rPr>
          <w:rFonts w:hint="cs"/>
          <w:rtl/>
        </w:rPr>
        <w:t>מותו"</w:t>
      </w:r>
      <w:r w:rsidRPr="008B4DA1">
        <w:rPr>
          <w:rtl/>
        </w:rPr>
        <w:t>.</w:t>
      </w:r>
      <w:r w:rsidRPr="008B4DA1">
        <w:rPr>
          <w:rFonts w:hint="cs"/>
          <w:rtl/>
        </w:rPr>
        <w:t xml:space="preserve"> ודבריו הובאו להלכה בשו"ע (חו"מ סי' רנ סע' ד).</w:t>
      </w:r>
    </w:p>
    <w:p w14:paraId="5E9B3320" w14:textId="070BC8ED" w:rsidR="00644C97" w:rsidRPr="008B4DA1" w:rsidRDefault="00644C97" w:rsidP="00F8255E">
      <w:pPr>
        <w:pStyle w:val="a2"/>
        <w:rPr>
          <w:rtl/>
        </w:rPr>
      </w:pPr>
      <w:r>
        <w:rPr>
          <w:rFonts w:hint="cs"/>
          <w:rtl/>
        </w:rPr>
        <w:t>ג)</w:t>
      </w:r>
      <w:r w:rsidRPr="008B4DA1">
        <w:rPr>
          <w:rFonts w:hint="cs"/>
          <w:rtl/>
        </w:rPr>
        <w:t xml:space="preserve"> עוד מובא במסכת בבא בתרא (קלא,</w:t>
      </w:r>
      <w:r w:rsidRPr="008B4DA1">
        <w:rPr>
          <w:rtl/>
        </w:rPr>
        <w:t xml:space="preserve"> </w:t>
      </w:r>
      <w:r w:rsidRPr="008B4DA1">
        <w:rPr>
          <w:rFonts w:hint="cs"/>
          <w:rtl/>
        </w:rPr>
        <w:t>ב)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לא</w:t>
      </w:r>
      <w:r w:rsidRPr="008B4DA1">
        <w:rPr>
          <w:rtl/>
        </w:rPr>
        <w:t xml:space="preserve"> </w:t>
      </w:r>
      <w:r w:rsidRPr="008B4DA1">
        <w:rPr>
          <w:rFonts w:hint="cs"/>
          <w:rtl/>
        </w:rPr>
        <w:t>עשאה</w:t>
      </w:r>
      <w:r w:rsidRPr="008B4DA1">
        <w:rPr>
          <w:rtl/>
        </w:rPr>
        <w:t xml:space="preserve"> </w:t>
      </w:r>
      <w:r w:rsidRPr="008B4DA1">
        <w:rPr>
          <w:rFonts w:hint="cs"/>
          <w:rtl/>
        </w:rPr>
        <w:t>אלא</w:t>
      </w:r>
      <w:r w:rsidRPr="008B4DA1">
        <w:rPr>
          <w:rtl/>
        </w:rPr>
        <w:t xml:space="preserve"> </w:t>
      </w:r>
      <w:r w:rsidRPr="008B4DA1">
        <w:rPr>
          <w:rFonts w:hint="cs"/>
          <w:rtl/>
        </w:rPr>
        <w:t>אפוטרופא"</w:t>
      </w:r>
      <w:r w:rsidRPr="008B4DA1">
        <w:rPr>
          <w:rtl/>
        </w:rPr>
        <w:t>.</w:t>
      </w:r>
      <w:r w:rsidRPr="008B4DA1">
        <w:rPr>
          <w:rFonts w:hint="cs"/>
          <w:rtl/>
        </w:rPr>
        <w:t xml:space="preserve"> ופירש רשב</w:t>
      </w:r>
      <w:r w:rsidRPr="008B4DA1">
        <w:rPr>
          <w:rtl/>
        </w:rPr>
        <w:t>"</w:t>
      </w:r>
      <w:r w:rsidRPr="008B4DA1">
        <w:rPr>
          <w:rFonts w:hint="cs"/>
          <w:rtl/>
        </w:rPr>
        <w:t>ם:</w:t>
      </w:r>
      <w:r w:rsidRPr="008B4DA1">
        <w:rPr>
          <w:rtl/>
        </w:rPr>
        <w:t xml:space="preserve"> </w:t>
      </w:r>
      <w:r w:rsidRPr="008B4DA1">
        <w:rPr>
          <w:rFonts w:hint="cs"/>
          <w:rtl/>
        </w:rPr>
        <w:t>"</w:t>
      </w:r>
      <w:r w:rsidRPr="008B4DA1">
        <w:rPr>
          <w:rFonts w:hint="cs"/>
          <w:b/>
          <w:bCs/>
          <w:rtl/>
        </w:rPr>
        <w:t>דאומד</w:t>
      </w:r>
      <w:r w:rsidRPr="008B4DA1">
        <w:rPr>
          <w:b/>
          <w:bCs/>
          <w:rtl/>
        </w:rPr>
        <w:t xml:space="preserve"> </w:t>
      </w:r>
      <w:r w:rsidRPr="008B4DA1">
        <w:rPr>
          <w:rFonts w:hint="cs"/>
          <w:b/>
          <w:bCs/>
          <w:rtl/>
        </w:rPr>
        <w:t>הדעת</w:t>
      </w:r>
      <w:r w:rsidRPr="008B4DA1">
        <w:rPr>
          <w:b/>
          <w:bCs/>
          <w:rtl/>
        </w:rPr>
        <w:t xml:space="preserve"> </w:t>
      </w:r>
      <w:r w:rsidRPr="008B4DA1">
        <w:rPr>
          <w:rFonts w:hint="cs"/>
          <w:b/>
          <w:bCs/>
          <w:rtl/>
        </w:rPr>
        <w:t>הוא</w:t>
      </w:r>
      <w:r w:rsidRPr="008B4DA1">
        <w:rPr>
          <w:rtl/>
        </w:rPr>
        <w:t xml:space="preserve"> </w:t>
      </w:r>
      <w:r w:rsidRPr="008B4DA1">
        <w:rPr>
          <w:rFonts w:hint="cs"/>
          <w:rtl/>
        </w:rPr>
        <w:t>דאין</w:t>
      </w:r>
      <w:r w:rsidRPr="008B4DA1">
        <w:rPr>
          <w:rtl/>
        </w:rPr>
        <w:t xml:space="preserve"> </w:t>
      </w:r>
      <w:r w:rsidRPr="008B4DA1">
        <w:rPr>
          <w:rFonts w:hint="cs"/>
          <w:rtl/>
        </w:rPr>
        <w:t>אדם</w:t>
      </w:r>
      <w:r w:rsidRPr="008B4DA1">
        <w:rPr>
          <w:rtl/>
        </w:rPr>
        <w:t xml:space="preserve"> </w:t>
      </w:r>
      <w:r w:rsidRPr="008B4DA1">
        <w:rPr>
          <w:rFonts w:hint="cs"/>
          <w:rtl/>
        </w:rPr>
        <w:t>מניח</w:t>
      </w:r>
      <w:r w:rsidRPr="008B4DA1">
        <w:rPr>
          <w:rtl/>
        </w:rPr>
        <w:t xml:space="preserve"> </w:t>
      </w:r>
      <w:r w:rsidRPr="008B4DA1">
        <w:rPr>
          <w:rFonts w:hint="cs"/>
          <w:rtl/>
        </w:rPr>
        <w:t>את</w:t>
      </w:r>
      <w:r w:rsidRPr="008B4DA1">
        <w:rPr>
          <w:rtl/>
        </w:rPr>
        <w:t xml:space="preserve"> </w:t>
      </w:r>
      <w:r w:rsidRPr="008B4DA1">
        <w:rPr>
          <w:rFonts w:hint="cs"/>
          <w:rtl/>
        </w:rPr>
        <w:t>בניו</w:t>
      </w:r>
      <w:r w:rsidRPr="008B4DA1">
        <w:rPr>
          <w:rtl/>
        </w:rPr>
        <w:t xml:space="preserve"> </w:t>
      </w:r>
      <w:r w:rsidRPr="008B4DA1">
        <w:rPr>
          <w:rFonts w:hint="cs"/>
          <w:rtl/>
        </w:rPr>
        <w:t>ונותן</w:t>
      </w:r>
      <w:r w:rsidRPr="008B4DA1">
        <w:rPr>
          <w:rtl/>
        </w:rPr>
        <w:t xml:space="preserve"> </w:t>
      </w:r>
      <w:r w:rsidRPr="008B4DA1">
        <w:rPr>
          <w:rFonts w:hint="cs"/>
          <w:rtl/>
        </w:rPr>
        <w:t>את</w:t>
      </w:r>
      <w:r w:rsidRPr="008B4DA1">
        <w:rPr>
          <w:rtl/>
        </w:rPr>
        <w:t xml:space="preserve"> </w:t>
      </w:r>
      <w:r w:rsidRPr="008B4DA1">
        <w:rPr>
          <w:rFonts w:hint="cs"/>
          <w:rtl/>
        </w:rPr>
        <w:t>הכל</w:t>
      </w:r>
      <w:r w:rsidRPr="008B4DA1">
        <w:rPr>
          <w:rtl/>
        </w:rPr>
        <w:t xml:space="preserve"> </w:t>
      </w:r>
      <w:r w:rsidRPr="008B4DA1">
        <w:rPr>
          <w:rFonts w:hint="cs"/>
          <w:rtl/>
        </w:rPr>
        <w:t>לאשתו,</w:t>
      </w:r>
      <w:r w:rsidRPr="008B4DA1">
        <w:rPr>
          <w:rtl/>
        </w:rPr>
        <w:t xml:space="preserve"> </w:t>
      </w:r>
      <w:r w:rsidRPr="008B4DA1">
        <w:rPr>
          <w:rFonts w:hint="cs"/>
          <w:rtl/>
        </w:rPr>
        <w:t>ולא</w:t>
      </w:r>
      <w:r w:rsidRPr="008B4DA1">
        <w:rPr>
          <w:rtl/>
        </w:rPr>
        <w:t xml:space="preserve"> </w:t>
      </w:r>
      <w:r w:rsidRPr="008B4DA1">
        <w:rPr>
          <w:rFonts w:hint="cs"/>
          <w:rtl/>
        </w:rPr>
        <w:t>נתכוון</w:t>
      </w:r>
      <w:r w:rsidRPr="008B4DA1">
        <w:rPr>
          <w:rtl/>
        </w:rPr>
        <w:t xml:space="preserve"> </w:t>
      </w:r>
      <w:r w:rsidRPr="008B4DA1">
        <w:rPr>
          <w:rFonts w:hint="cs"/>
          <w:rtl/>
        </w:rPr>
        <w:t>אלא</w:t>
      </w:r>
      <w:r w:rsidRPr="008B4DA1">
        <w:rPr>
          <w:rtl/>
        </w:rPr>
        <w:t xml:space="preserve"> </w:t>
      </w:r>
      <w:r w:rsidRPr="008B4DA1">
        <w:rPr>
          <w:rFonts w:hint="cs"/>
          <w:rtl/>
        </w:rPr>
        <w:t>לעשותה</w:t>
      </w:r>
      <w:r w:rsidRPr="008B4DA1">
        <w:rPr>
          <w:rtl/>
        </w:rPr>
        <w:t xml:space="preserve"> </w:t>
      </w:r>
      <w:r w:rsidRPr="008B4DA1">
        <w:rPr>
          <w:rFonts w:hint="cs"/>
          <w:rtl/>
        </w:rPr>
        <w:t>אפוטרופא</w:t>
      </w:r>
      <w:r w:rsidRPr="008B4DA1">
        <w:rPr>
          <w:rtl/>
        </w:rPr>
        <w:t xml:space="preserve"> </w:t>
      </w:r>
      <w:r w:rsidRPr="008B4DA1">
        <w:rPr>
          <w:rFonts w:hint="cs"/>
          <w:rtl/>
        </w:rPr>
        <w:t>כדי</w:t>
      </w:r>
      <w:r w:rsidRPr="008B4DA1">
        <w:rPr>
          <w:rtl/>
        </w:rPr>
        <w:t xml:space="preserve"> </w:t>
      </w:r>
      <w:r w:rsidRPr="008B4DA1">
        <w:rPr>
          <w:rFonts w:hint="cs"/>
          <w:rtl/>
        </w:rPr>
        <w:t>שיחלקו</w:t>
      </w:r>
      <w:r w:rsidRPr="008B4DA1">
        <w:rPr>
          <w:rtl/>
        </w:rPr>
        <w:t xml:space="preserve"> </w:t>
      </w:r>
      <w:r w:rsidRPr="008B4DA1">
        <w:rPr>
          <w:rFonts w:hint="cs"/>
          <w:rtl/>
        </w:rPr>
        <w:t>לה</w:t>
      </w:r>
      <w:r w:rsidRPr="008B4DA1">
        <w:rPr>
          <w:rtl/>
        </w:rPr>
        <w:t xml:space="preserve"> </w:t>
      </w:r>
      <w:r w:rsidRPr="008B4DA1">
        <w:rPr>
          <w:rFonts w:hint="cs"/>
          <w:rtl/>
        </w:rPr>
        <w:t>בניו</w:t>
      </w:r>
      <w:r w:rsidRPr="008B4DA1">
        <w:rPr>
          <w:rtl/>
        </w:rPr>
        <w:t xml:space="preserve"> </w:t>
      </w:r>
      <w:r w:rsidRPr="008B4DA1">
        <w:rPr>
          <w:rFonts w:hint="cs"/>
          <w:rtl/>
        </w:rPr>
        <w:t>כבוד".</w:t>
      </w:r>
      <w:r w:rsidR="005D7B4D">
        <w:rPr>
          <w:rFonts w:hint="cs"/>
          <w:rtl/>
        </w:rPr>
        <w:t xml:space="preserve"> </w:t>
      </w:r>
      <w:r w:rsidRPr="008B4DA1">
        <w:rPr>
          <w:rFonts w:hint="cs"/>
          <w:rtl/>
        </w:rPr>
        <w:t>כאשר שכיב מרע כתב בצוואתו שהוא נותן את כל נכסיו לאשתו, אין הנכסים נקנים לה והיא רק "אופטרופוס" השומרת על הנכסים ליתנם לבניו. היות וחכמים אמדו את דעתו, שאדם אינו מניח את בניו בלא נכסים ונותן הכל לאשתו, ולפיכך מסתבר שלא נתכוין אלא למנותה כאפוטרופוסית על הנכסים, כדי שבניו יחלקו לה כבוד.</w:t>
      </w:r>
    </w:p>
    <w:p w14:paraId="03053529" w14:textId="17C1502E" w:rsidR="00644C97" w:rsidRPr="008B4DA1" w:rsidRDefault="00644C97" w:rsidP="00F8255E">
      <w:pPr>
        <w:pStyle w:val="a2"/>
        <w:rPr>
          <w:rtl/>
        </w:rPr>
      </w:pPr>
      <w:r w:rsidRPr="008B4DA1">
        <w:rPr>
          <w:rFonts w:hint="cs"/>
          <w:rtl/>
        </w:rPr>
        <w:t>וכן פסקו הרמב"ם (הלכות</w:t>
      </w:r>
      <w:r w:rsidR="005D7B4D">
        <w:rPr>
          <w:rFonts w:hint="cs"/>
          <w:rtl/>
        </w:rPr>
        <w:t xml:space="preserve"> </w:t>
      </w:r>
      <w:r w:rsidRPr="008B4DA1">
        <w:rPr>
          <w:rFonts w:hint="cs"/>
          <w:rtl/>
        </w:rPr>
        <w:t>זכיה ומתנה פ"ו ה"ד) והשלחן ערוך (חו"מ סי' רמו סע' יב)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לא</w:t>
      </w:r>
      <w:r w:rsidRPr="008B4DA1">
        <w:rPr>
          <w:rtl/>
        </w:rPr>
        <w:t xml:space="preserve"> </w:t>
      </w:r>
      <w:r w:rsidRPr="008B4DA1">
        <w:rPr>
          <w:rFonts w:hint="cs"/>
          <w:rtl/>
        </w:rPr>
        <w:t>עשאה</w:t>
      </w:r>
      <w:r w:rsidRPr="008B4DA1">
        <w:rPr>
          <w:rtl/>
        </w:rPr>
        <w:t xml:space="preserve"> </w:t>
      </w:r>
      <w:r w:rsidRPr="008B4DA1">
        <w:rPr>
          <w:rFonts w:hint="cs"/>
          <w:rtl/>
        </w:rPr>
        <w:t>אלא</w:t>
      </w:r>
      <w:r w:rsidRPr="008B4DA1">
        <w:rPr>
          <w:rtl/>
        </w:rPr>
        <w:t xml:space="preserve"> </w:t>
      </w:r>
      <w:r w:rsidRPr="008B4DA1">
        <w:rPr>
          <w:rFonts w:hint="cs"/>
          <w:rtl/>
        </w:rPr>
        <w:t>אפוטרופוס".</w:t>
      </w:r>
    </w:p>
    <w:p w14:paraId="79D513E6" w14:textId="77777777" w:rsidR="00644C97" w:rsidRPr="008B4DA1" w:rsidRDefault="00644C97" w:rsidP="00F8255E">
      <w:pPr>
        <w:pStyle w:val="a2"/>
        <w:rPr>
          <w:rtl/>
        </w:rPr>
      </w:pPr>
      <w:r>
        <w:rPr>
          <w:rFonts w:hint="cs"/>
          <w:rtl/>
        </w:rPr>
        <w:t xml:space="preserve">ד) </w:t>
      </w:r>
      <w:r w:rsidRPr="008B4DA1">
        <w:rPr>
          <w:rFonts w:hint="cs"/>
          <w:rtl/>
        </w:rPr>
        <w:t>במשנה במסכת כתובות (נד, ב) מובא: "אף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שאמרו</w:t>
      </w:r>
      <w:r w:rsidRPr="008B4DA1">
        <w:rPr>
          <w:rtl/>
        </w:rPr>
        <w:t xml:space="preserve"> </w:t>
      </w:r>
      <w:r w:rsidRPr="008B4DA1">
        <w:rPr>
          <w:rFonts w:hint="cs"/>
          <w:rtl/>
        </w:rPr>
        <w:t>בתולה</w:t>
      </w:r>
      <w:r w:rsidRPr="008B4DA1">
        <w:rPr>
          <w:rtl/>
        </w:rPr>
        <w:t xml:space="preserve"> </w:t>
      </w:r>
      <w:r w:rsidRPr="008B4DA1">
        <w:rPr>
          <w:rFonts w:hint="cs"/>
          <w:rtl/>
        </w:rPr>
        <w:t>גובה</w:t>
      </w:r>
      <w:r w:rsidRPr="008B4DA1">
        <w:rPr>
          <w:rtl/>
        </w:rPr>
        <w:t xml:space="preserve"> </w:t>
      </w:r>
      <w:r w:rsidRPr="008B4DA1">
        <w:rPr>
          <w:rFonts w:hint="cs"/>
          <w:rtl/>
        </w:rPr>
        <w:t>מאתים</w:t>
      </w:r>
      <w:r w:rsidRPr="008B4DA1">
        <w:rPr>
          <w:rtl/>
        </w:rPr>
        <w:t xml:space="preserve"> </w:t>
      </w:r>
      <w:r w:rsidRPr="008B4DA1">
        <w:rPr>
          <w:rFonts w:hint="cs"/>
          <w:rtl/>
        </w:rPr>
        <w:t>ואלמנה</w:t>
      </w:r>
      <w:r w:rsidRPr="008B4DA1">
        <w:rPr>
          <w:rtl/>
        </w:rPr>
        <w:t xml:space="preserve"> </w:t>
      </w:r>
      <w:r w:rsidRPr="008B4DA1">
        <w:rPr>
          <w:rFonts w:hint="cs"/>
          <w:rtl/>
        </w:rPr>
        <w:t>מנה [בכתובתה]</w:t>
      </w:r>
      <w:r w:rsidRPr="008B4DA1">
        <w:rPr>
          <w:rtl/>
        </w:rPr>
        <w:t xml:space="preserve">, </w:t>
      </w:r>
      <w:r w:rsidRPr="008B4DA1">
        <w:rPr>
          <w:rFonts w:hint="cs"/>
          <w:rtl/>
        </w:rPr>
        <w:t>אם</w:t>
      </w:r>
      <w:r w:rsidRPr="008B4DA1">
        <w:rPr>
          <w:rtl/>
        </w:rPr>
        <w:t xml:space="preserve"> </w:t>
      </w:r>
      <w:r w:rsidRPr="008B4DA1">
        <w:rPr>
          <w:rFonts w:hint="cs"/>
          <w:rtl/>
        </w:rPr>
        <w:t>רצה</w:t>
      </w:r>
      <w:r w:rsidRPr="008B4DA1">
        <w:rPr>
          <w:rtl/>
        </w:rPr>
        <w:t xml:space="preserve"> </w:t>
      </w:r>
      <w:r w:rsidRPr="008B4DA1">
        <w:rPr>
          <w:rFonts w:hint="cs"/>
          <w:rtl/>
        </w:rPr>
        <w:t>להוסיף</w:t>
      </w:r>
      <w:r w:rsidRPr="008B4DA1">
        <w:rPr>
          <w:rtl/>
        </w:rPr>
        <w:t xml:space="preserve"> </w:t>
      </w:r>
      <w:r w:rsidRPr="008B4DA1">
        <w:rPr>
          <w:rFonts w:hint="cs"/>
          <w:rtl/>
        </w:rPr>
        <w:t>אפילו</w:t>
      </w:r>
      <w:r w:rsidRPr="008B4DA1">
        <w:rPr>
          <w:rtl/>
        </w:rPr>
        <w:t xml:space="preserve"> </w:t>
      </w:r>
      <w:r w:rsidRPr="008B4DA1">
        <w:rPr>
          <w:rFonts w:hint="cs"/>
          <w:rtl/>
        </w:rPr>
        <w:t>מאה</w:t>
      </w:r>
      <w:r w:rsidRPr="008B4DA1">
        <w:rPr>
          <w:rtl/>
        </w:rPr>
        <w:t xml:space="preserve"> </w:t>
      </w:r>
      <w:r w:rsidRPr="008B4DA1">
        <w:rPr>
          <w:rFonts w:hint="cs"/>
          <w:rtl/>
        </w:rPr>
        <w:t>מנה,</w:t>
      </w:r>
      <w:r w:rsidRPr="008B4DA1">
        <w:rPr>
          <w:rtl/>
        </w:rPr>
        <w:t xml:space="preserve"> </w:t>
      </w:r>
      <w:r w:rsidRPr="008B4DA1">
        <w:rPr>
          <w:rFonts w:hint="cs"/>
          <w:rtl/>
        </w:rPr>
        <w:t>יוסיף</w:t>
      </w:r>
      <w:r w:rsidRPr="008B4DA1">
        <w:rPr>
          <w:rtl/>
        </w:rPr>
        <w:t xml:space="preserve">. </w:t>
      </w:r>
      <w:r w:rsidRPr="008B4DA1">
        <w:rPr>
          <w:rFonts w:hint="cs"/>
          <w:rtl/>
        </w:rPr>
        <w:t>נתארמלה</w:t>
      </w:r>
      <w:r w:rsidRPr="008B4DA1">
        <w:rPr>
          <w:rtl/>
        </w:rPr>
        <w:t xml:space="preserve"> </w:t>
      </w:r>
      <w:r w:rsidRPr="008B4DA1">
        <w:rPr>
          <w:rFonts w:hint="cs"/>
          <w:rtl/>
        </w:rPr>
        <w:t>[התאלמנה] או</w:t>
      </w:r>
      <w:r w:rsidRPr="008B4DA1">
        <w:rPr>
          <w:rtl/>
        </w:rPr>
        <w:t xml:space="preserve"> </w:t>
      </w:r>
      <w:r w:rsidRPr="008B4DA1">
        <w:rPr>
          <w:rFonts w:hint="cs"/>
          <w:rtl/>
        </w:rPr>
        <w:t>נתגרשה</w:t>
      </w:r>
      <w:r w:rsidRPr="008B4DA1">
        <w:rPr>
          <w:rtl/>
        </w:rPr>
        <w:t xml:space="preserve">, </w:t>
      </w:r>
      <w:r w:rsidRPr="008B4DA1">
        <w:rPr>
          <w:rFonts w:hint="cs"/>
          <w:rtl/>
        </w:rPr>
        <w:t>בין</w:t>
      </w:r>
      <w:r w:rsidRPr="008B4DA1">
        <w:rPr>
          <w:rtl/>
        </w:rPr>
        <w:t xml:space="preserve"> </w:t>
      </w:r>
      <w:r w:rsidRPr="008B4DA1">
        <w:rPr>
          <w:rFonts w:hint="cs"/>
          <w:rtl/>
        </w:rPr>
        <w:t>מן</w:t>
      </w:r>
      <w:r w:rsidRPr="008B4DA1">
        <w:rPr>
          <w:rtl/>
        </w:rPr>
        <w:t xml:space="preserve"> </w:t>
      </w:r>
      <w:r w:rsidRPr="008B4DA1">
        <w:rPr>
          <w:rFonts w:hint="cs"/>
          <w:rtl/>
        </w:rPr>
        <w:t>האירוסין</w:t>
      </w:r>
      <w:r w:rsidRPr="008B4DA1">
        <w:rPr>
          <w:rtl/>
        </w:rPr>
        <w:t xml:space="preserve"> </w:t>
      </w:r>
      <w:r w:rsidRPr="008B4DA1">
        <w:rPr>
          <w:rFonts w:hint="cs"/>
          <w:rtl/>
        </w:rPr>
        <w:t>בין</w:t>
      </w:r>
      <w:r w:rsidRPr="008B4DA1">
        <w:rPr>
          <w:rtl/>
        </w:rPr>
        <w:t xml:space="preserve"> </w:t>
      </w:r>
      <w:r w:rsidRPr="008B4DA1">
        <w:rPr>
          <w:rFonts w:hint="cs"/>
          <w:rtl/>
        </w:rPr>
        <w:t>מן</w:t>
      </w:r>
      <w:r w:rsidRPr="008B4DA1">
        <w:rPr>
          <w:rtl/>
        </w:rPr>
        <w:t xml:space="preserve"> </w:t>
      </w:r>
      <w:r w:rsidRPr="008B4DA1">
        <w:rPr>
          <w:rFonts w:hint="cs"/>
          <w:rtl/>
        </w:rPr>
        <w:t>הנשואין</w:t>
      </w:r>
      <w:r w:rsidRPr="008B4DA1">
        <w:rPr>
          <w:rtl/>
        </w:rPr>
        <w:t xml:space="preserve"> - </w:t>
      </w:r>
      <w:r w:rsidRPr="008B4DA1">
        <w:rPr>
          <w:rFonts w:hint="cs"/>
          <w:rtl/>
        </w:rPr>
        <w:t>גובה</w:t>
      </w:r>
      <w:r w:rsidRPr="008B4DA1">
        <w:rPr>
          <w:rtl/>
        </w:rPr>
        <w:t xml:space="preserve"> </w:t>
      </w:r>
      <w:r w:rsidRPr="008B4DA1">
        <w:rPr>
          <w:rFonts w:hint="cs"/>
          <w:rtl/>
        </w:rPr>
        <w:t>את</w:t>
      </w:r>
      <w:r w:rsidRPr="008B4DA1">
        <w:rPr>
          <w:rtl/>
        </w:rPr>
        <w:t xml:space="preserve"> </w:t>
      </w:r>
      <w:r w:rsidRPr="008B4DA1">
        <w:rPr>
          <w:rFonts w:hint="cs"/>
          <w:rtl/>
        </w:rPr>
        <w:t>הכל</w:t>
      </w:r>
      <w:r w:rsidRPr="008B4DA1">
        <w:rPr>
          <w:rtl/>
        </w:rPr>
        <w:t xml:space="preserve">; </w:t>
      </w:r>
      <w:r w:rsidRPr="008B4DA1">
        <w:rPr>
          <w:rFonts w:hint="cs"/>
          <w:rtl/>
        </w:rPr>
        <w:t>רבי</w:t>
      </w:r>
      <w:r w:rsidRPr="008B4DA1">
        <w:rPr>
          <w:rtl/>
        </w:rPr>
        <w:t xml:space="preserve"> </w:t>
      </w:r>
      <w:r w:rsidRPr="008B4DA1">
        <w:rPr>
          <w:rFonts w:hint="cs"/>
          <w:rtl/>
        </w:rPr>
        <w:t>אלעזר</w:t>
      </w:r>
      <w:r w:rsidRPr="008B4DA1">
        <w:rPr>
          <w:rtl/>
        </w:rPr>
        <w:t xml:space="preserve"> </w:t>
      </w:r>
      <w:r w:rsidRPr="008B4DA1">
        <w:rPr>
          <w:rFonts w:hint="cs"/>
          <w:rtl/>
        </w:rPr>
        <w:t>בן</w:t>
      </w:r>
      <w:r w:rsidRPr="008B4DA1">
        <w:rPr>
          <w:rtl/>
        </w:rPr>
        <w:t xml:space="preserve"> </w:t>
      </w:r>
      <w:r w:rsidRPr="008B4DA1">
        <w:rPr>
          <w:rFonts w:hint="cs"/>
          <w:rtl/>
        </w:rPr>
        <w:t>עזריה</w:t>
      </w:r>
      <w:r w:rsidRPr="008B4DA1">
        <w:rPr>
          <w:rtl/>
        </w:rPr>
        <w:t xml:space="preserve"> </w:t>
      </w:r>
      <w:r w:rsidRPr="008B4DA1">
        <w:rPr>
          <w:rFonts w:hint="cs"/>
          <w:rtl/>
        </w:rPr>
        <w:t>אומר,</w:t>
      </w:r>
      <w:r w:rsidRPr="008B4DA1">
        <w:rPr>
          <w:rtl/>
        </w:rPr>
        <w:t xml:space="preserve"> </w:t>
      </w:r>
      <w:r w:rsidRPr="008B4DA1">
        <w:rPr>
          <w:rFonts w:hint="cs"/>
          <w:rtl/>
        </w:rPr>
        <w:t>מן</w:t>
      </w:r>
      <w:r w:rsidRPr="008B4DA1">
        <w:rPr>
          <w:rtl/>
        </w:rPr>
        <w:t xml:space="preserve"> </w:t>
      </w:r>
      <w:r w:rsidRPr="008B4DA1">
        <w:rPr>
          <w:rFonts w:hint="cs"/>
          <w:rtl/>
        </w:rPr>
        <w:t>הנשואין</w:t>
      </w:r>
      <w:r w:rsidRPr="008B4DA1">
        <w:rPr>
          <w:rtl/>
        </w:rPr>
        <w:t xml:space="preserve"> </w:t>
      </w:r>
      <w:r w:rsidRPr="008B4DA1">
        <w:rPr>
          <w:rFonts w:hint="cs"/>
          <w:rtl/>
        </w:rPr>
        <w:t>גובה</w:t>
      </w:r>
      <w:r w:rsidRPr="008B4DA1">
        <w:rPr>
          <w:rtl/>
        </w:rPr>
        <w:t xml:space="preserve"> </w:t>
      </w:r>
      <w:r w:rsidRPr="008B4DA1">
        <w:rPr>
          <w:rFonts w:hint="cs"/>
          <w:rtl/>
        </w:rPr>
        <w:t>את</w:t>
      </w:r>
      <w:r w:rsidRPr="008B4DA1">
        <w:rPr>
          <w:rtl/>
        </w:rPr>
        <w:t xml:space="preserve"> </w:t>
      </w:r>
      <w:r w:rsidRPr="008B4DA1">
        <w:rPr>
          <w:rFonts w:hint="cs"/>
          <w:rtl/>
        </w:rPr>
        <w:t>הכל [דהיינו גם את ה"תוספת"]</w:t>
      </w:r>
      <w:r w:rsidRPr="008B4DA1">
        <w:rPr>
          <w:rtl/>
        </w:rPr>
        <w:t xml:space="preserve">, </w:t>
      </w:r>
      <w:r w:rsidRPr="008B4DA1">
        <w:rPr>
          <w:rFonts w:hint="cs"/>
          <w:rtl/>
        </w:rPr>
        <w:t>מן</w:t>
      </w:r>
      <w:r w:rsidRPr="008B4DA1">
        <w:rPr>
          <w:rtl/>
        </w:rPr>
        <w:t xml:space="preserve"> </w:t>
      </w:r>
      <w:r w:rsidRPr="008B4DA1">
        <w:rPr>
          <w:rFonts w:hint="cs"/>
          <w:rtl/>
        </w:rPr>
        <w:t>האירוסין</w:t>
      </w:r>
      <w:r w:rsidRPr="008B4DA1">
        <w:rPr>
          <w:rtl/>
        </w:rPr>
        <w:t xml:space="preserve"> </w:t>
      </w:r>
      <w:r w:rsidRPr="008B4DA1">
        <w:rPr>
          <w:rFonts w:hint="cs"/>
          <w:rtl/>
        </w:rPr>
        <w:t>[אבל אם התאלמנה מן האירוסין] בתולה</w:t>
      </w:r>
      <w:r w:rsidRPr="008B4DA1">
        <w:rPr>
          <w:rtl/>
        </w:rPr>
        <w:t xml:space="preserve"> </w:t>
      </w:r>
      <w:r w:rsidRPr="008B4DA1">
        <w:rPr>
          <w:rFonts w:hint="cs"/>
          <w:rtl/>
        </w:rPr>
        <w:t>גובה</w:t>
      </w:r>
      <w:r w:rsidRPr="008B4DA1">
        <w:rPr>
          <w:rtl/>
        </w:rPr>
        <w:t xml:space="preserve"> </w:t>
      </w:r>
      <w:r w:rsidRPr="008B4DA1">
        <w:rPr>
          <w:rFonts w:hint="cs"/>
          <w:rtl/>
        </w:rPr>
        <w:t>מאתים</w:t>
      </w:r>
      <w:r w:rsidRPr="008B4DA1">
        <w:rPr>
          <w:rtl/>
        </w:rPr>
        <w:t xml:space="preserve">, </w:t>
      </w:r>
      <w:r w:rsidRPr="008B4DA1">
        <w:rPr>
          <w:rFonts w:hint="cs"/>
          <w:rtl/>
        </w:rPr>
        <w:t>ואלמנה</w:t>
      </w:r>
      <w:r w:rsidRPr="008B4DA1">
        <w:rPr>
          <w:rtl/>
        </w:rPr>
        <w:t xml:space="preserve"> </w:t>
      </w:r>
      <w:r w:rsidRPr="008B4DA1">
        <w:rPr>
          <w:rFonts w:hint="cs"/>
          <w:rtl/>
        </w:rPr>
        <w:t>מנה</w:t>
      </w:r>
      <w:r w:rsidRPr="008B4DA1">
        <w:rPr>
          <w:rtl/>
        </w:rPr>
        <w:t xml:space="preserve">, </w:t>
      </w:r>
      <w:r w:rsidRPr="008B4DA1">
        <w:rPr>
          <w:rFonts w:hint="cs"/>
          <w:b/>
          <w:bCs/>
          <w:rtl/>
        </w:rPr>
        <w:t>שלא</w:t>
      </w:r>
      <w:r w:rsidRPr="008B4DA1">
        <w:rPr>
          <w:b/>
          <w:bCs/>
          <w:rtl/>
        </w:rPr>
        <w:t xml:space="preserve"> </w:t>
      </w:r>
      <w:r w:rsidRPr="008B4DA1">
        <w:rPr>
          <w:rFonts w:hint="cs"/>
          <w:b/>
          <w:bCs/>
          <w:rtl/>
        </w:rPr>
        <w:t>כתב</w:t>
      </w:r>
      <w:r w:rsidRPr="008B4DA1">
        <w:rPr>
          <w:b/>
          <w:bCs/>
          <w:rtl/>
        </w:rPr>
        <w:t xml:space="preserve"> </w:t>
      </w:r>
      <w:r w:rsidRPr="008B4DA1">
        <w:rPr>
          <w:rFonts w:hint="cs"/>
          <w:b/>
          <w:bCs/>
          <w:rtl/>
        </w:rPr>
        <w:t>לה</w:t>
      </w:r>
      <w:r w:rsidRPr="008B4DA1">
        <w:rPr>
          <w:b/>
          <w:bCs/>
          <w:rtl/>
        </w:rPr>
        <w:t xml:space="preserve"> </w:t>
      </w:r>
      <w:r w:rsidRPr="008B4DA1">
        <w:rPr>
          <w:rFonts w:hint="cs"/>
          <w:b/>
          <w:bCs/>
          <w:rtl/>
        </w:rPr>
        <w:t>אלא</w:t>
      </w:r>
      <w:r w:rsidRPr="008B4DA1">
        <w:rPr>
          <w:b/>
          <w:bCs/>
          <w:rtl/>
        </w:rPr>
        <w:t xml:space="preserve"> </w:t>
      </w:r>
      <w:r w:rsidRPr="008B4DA1">
        <w:rPr>
          <w:rFonts w:hint="cs"/>
          <w:b/>
          <w:bCs/>
          <w:rtl/>
        </w:rPr>
        <w:t>על</w:t>
      </w:r>
      <w:r w:rsidRPr="008B4DA1">
        <w:rPr>
          <w:b/>
          <w:bCs/>
          <w:rtl/>
        </w:rPr>
        <w:t xml:space="preserve"> </w:t>
      </w:r>
      <w:r w:rsidRPr="008B4DA1">
        <w:rPr>
          <w:rFonts w:hint="cs"/>
          <w:b/>
          <w:bCs/>
          <w:rtl/>
        </w:rPr>
        <w:t>מנת</w:t>
      </w:r>
      <w:r w:rsidRPr="008B4DA1">
        <w:rPr>
          <w:b/>
          <w:bCs/>
          <w:rtl/>
        </w:rPr>
        <w:t xml:space="preserve"> </w:t>
      </w:r>
      <w:r w:rsidRPr="008B4DA1">
        <w:rPr>
          <w:rFonts w:hint="cs"/>
          <w:b/>
          <w:bCs/>
          <w:rtl/>
        </w:rPr>
        <w:t>לכונסה</w:t>
      </w:r>
      <w:r w:rsidRPr="008B4DA1">
        <w:rPr>
          <w:rFonts w:hint="cs"/>
          <w:rtl/>
        </w:rPr>
        <w:t>"</w:t>
      </w:r>
      <w:r w:rsidRPr="008B4DA1">
        <w:rPr>
          <w:rtl/>
        </w:rPr>
        <w:t>.</w:t>
      </w:r>
      <w:r w:rsidRPr="008B4DA1">
        <w:rPr>
          <w:rFonts w:hint="cs"/>
          <w:rtl/>
        </w:rPr>
        <w:t xml:space="preserve"> ובסוגיית הגמרא (נה, א) מבואר מדוע אלמנה מן האירוסין לא מקבלת "תוספת" כתובה "משום דאזלינן בתר אומדנא". ופירש רש"י: "בדבר</w:t>
      </w:r>
      <w:r w:rsidRPr="008B4DA1">
        <w:rPr>
          <w:rtl/>
        </w:rPr>
        <w:t xml:space="preserve"> </w:t>
      </w:r>
      <w:r w:rsidRPr="008B4DA1">
        <w:rPr>
          <w:rFonts w:hint="cs"/>
          <w:rtl/>
        </w:rPr>
        <w:t>שאינו</w:t>
      </w:r>
      <w:r w:rsidRPr="008B4DA1">
        <w:rPr>
          <w:rtl/>
        </w:rPr>
        <w:t xml:space="preserve"> </w:t>
      </w:r>
      <w:r w:rsidRPr="008B4DA1">
        <w:rPr>
          <w:rFonts w:hint="cs"/>
          <w:rtl/>
        </w:rPr>
        <w:t>מפורש</w:t>
      </w:r>
      <w:r w:rsidRPr="008B4DA1">
        <w:rPr>
          <w:rtl/>
        </w:rPr>
        <w:t xml:space="preserve"> </w:t>
      </w:r>
      <w:r w:rsidRPr="008B4DA1">
        <w:rPr>
          <w:rFonts w:hint="cs"/>
          <w:b/>
          <w:bCs/>
          <w:rtl/>
        </w:rPr>
        <w:t>אומדין</w:t>
      </w:r>
      <w:r w:rsidRPr="008B4DA1">
        <w:rPr>
          <w:b/>
          <w:bCs/>
          <w:rtl/>
        </w:rPr>
        <w:t xml:space="preserve"> </w:t>
      </w:r>
      <w:r w:rsidRPr="008B4DA1">
        <w:rPr>
          <w:rFonts w:hint="cs"/>
          <w:b/>
          <w:bCs/>
          <w:rtl/>
        </w:rPr>
        <w:t>בית</w:t>
      </w:r>
      <w:r w:rsidRPr="008B4DA1">
        <w:rPr>
          <w:b/>
          <w:bCs/>
          <w:rtl/>
        </w:rPr>
        <w:t xml:space="preserve"> </w:t>
      </w:r>
      <w:r w:rsidRPr="008B4DA1">
        <w:rPr>
          <w:rFonts w:hint="cs"/>
          <w:b/>
          <w:bCs/>
          <w:rtl/>
        </w:rPr>
        <w:t>דין</w:t>
      </w:r>
      <w:r w:rsidRPr="008B4DA1">
        <w:rPr>
          <w:b/>
          <w:bCs/>
          <w:rtl/>
        </w:rPr>
        <w:t xml:space="preserve"> </w:t>
      </w:r>
      <w:r w:rsidRPr="008B4DA1">
        <w:rPr>
          <w:rFonts w:hint="cs"/>
          <w:b/>
          <w:bCs/>
          <w:rtl/>
        </w:rPr>
        <w:t>ואומרים</w:t>
      </w:r>
      <w:r w:rsidRPr="008B4DA1">
        <w:rPr>
          <w:rtl/>
        </w:rPr>
        <w:t xml:space="preserve"> </w:t>
      </w:r>
      <w:r w:rsidRPr="008B4DA1">
        <w:rPr>
          <w:rFonts w:hint="cs"/>
          <w:rtl/>
        </w:rPr>
        <w:t>סתם</w:t>
      </w:r>
      <w:r w:rsidRPr="008B4DA1">
        <w:rPr>
          <w:rtl/>
        </w:rPr>
        <w:t xml:space="preserve"> </w:t>
      </w:r>
      <w:r w:rsidRPr="008B4DA1">
        <w:rPr>
          <w:rFonts w:hint="cs"/>
          <w:rtl/>
        </w:rPr>
        <w:t>איניש</w:t>
      </w:r>
      <w:r w:rsidRPr="008B4DA1">
        <w:rPr>
          <w:rtl/>
        </w:rPr>
        <w:t xml:space="preserve"> </w:t>
      </w:r>
      <w:r w:rsidRPr="008B4DA1">
        <w:rPr>
          <w:rFonts w:hint="cs"/>
          <w:rtl/>
        </w:rPr>
        <w:t>להכי</w:t>
      </w:r>
      <w:r w:rsidRPr="008B4DA1">
        <w:rPr>
          <w:rtl/>
        </w:rPr>
        <w:t xml:space="preserve"> </w:t>
      </w:r>
      <w:r w:rsidRPr="008B4DA1">
        <w:rPr>
          <w:rFonts w:hint="cs"/>
          <w:rtl/>
        </w:rPr>
        <w:t>איכוון,</w:t>
      </w:r>
      <w:r w:rsidRPr="008B4DA1">
        <w:rPr>
          <w:rtl/>
        </w:rPr>
        <w:t xml:space="preserve"> </w:t>
      </w:r>
      <w:r w:rsidRPr="008B4DA1">
        <w:rPr>
          <w:rFonts w:hint="cs"/>
          <w:rtl/>
        </w:rPr>
        <w:t>דלא</w:t>
      </w:r>
      <w:r w:rsidRPr="008B4DA1">
        <w:rPr>
          <w:rtl/>
        </w:rPr>
        <w:t xml:space="preserve"> </w:t>
      </w:r>
      <w:r w:rsidRPr="008B4DA1">
        <w:rPr>
          <w:rFonts w:hint="cs"/>
          <w:rtl/>
        </w:rPr>
        <w:t>כותב</w:t>
      </w:r>
      <w:r w:rsidRPr="008B4DA1">
        <w:rPr>
          <w:rtl/>
        </w:rPr>
        <w:t xml:space="preserve"> </w:t>
      </w:r>
      <w:r w:rsidRPr="008B4DA1">
        <w:rPr>
          <w:rFonts w:hint="cs"/>
          <w:rtl/>
        </w:rPr>
        <w:t>לה</w:t>
      </w:r>
      <w:r w:rsidRPr="008B4DA1">
        <w:rPr>
          <w:rtl/>
        </w:rPr>
        <w:t xml:space="preserve"> </w:t>
      </w:r>
      <w:r w:rsidRPr="008B4DA1">
        <w:rPr>
          <w:rFonts w:hint="cs"/>
          <w:rtl/>
        </w:rPr>
        <w:t>ממונו</w:t>
      </w:r>
      <w:r w:rsidRPr="008B4DA1">
        <w:rPr>
          <w:rtl/>
        </w:rPr>
        <w:t xml:space="preserve"> </w:t>
      </w:r>
      <w:r w:rsidRPr="008B4DA1">
        <w:rPr>
          <w:rFonts w:hint="cs"/>
          <w:rtl/>
        </w:rPr>
        <w:t>חנם</w:t>
      </w:r>
      <w:r w:rsidRPr="008B4DA1">
        <w:rPr>
          <w:rtl/>
        </w:rPr>
        <w:t xml:space="preserve"> </w:t>
      </w:r>
      <w:r w:rsidRPr="008B4DA1">
        <w:rPr>
          <w:rFonts w:hint="cs"/>
          <w:rtl/>
        </w:rPr>
        <w:t>אלא</w:t>
      </w:r>
      <w:r w:rsidRPr="008B4DA1">
        <w:rPr>
          <w:rtl/>
        </w:rPr>
        <w:t xml:space="preserve"> </w:t>
      </w:r>
      <w:r w:rsidRPr="008B4DA1">
        <w:rPr>
          <w:rFonts w:hint="cs"/>
          <w:rtl/>
        </w:rPr>
        <w:t>לחיבת</w:t>
      </w:r>
      <w:r w:rsidRPr="008B4DA1">
        <w:rPr>
          <w:rtl/>
        </w:rPr>
        <w:t xml:space="preserve"> </w:t>
      </w:r>
      <w:r w:rsidRPr="008B4DA1">
        <w:rPr>
          <w:rFonts w:hint="cs"/>
          <w:rtl/>
        </w:rPr>
        <w:t>ביאה"</w:t>
      </w:r>
      <w:r w:rsidRPr="008B4DA1">
        <w:rPr>
          <w:rtl/>
        </w:rPr>
        <w:t>.</w:t>
      </w:r>
      <w:r w:rsidRPr="008B4DA1">
        <w:rPr>
          <w:rFonts w:hint="cs"/>
          <w:rtl/>
        </w:rPr>
        <w:t xml:space="preserve"> כאשר נכתבת "תוספת" בכתובה, אומדים את דעתו של הבעל שלא כתב כן אלא משום "חיבת ביאה", ולכן אם לא נשאה אלא גירשה [או התאלמנה] מן האירוסין, אינה מקבלת את "תוספת" הכתובה.</w:t>
      </w:r>
    </w:p>
    <w:p w14:paraId="7E694CA0" w14:textId="77777777" w:rsidR="00644C97" w:rsidRPr="008B4DA1" w:rsidRDefault="00644C97" w:rsidP="00F8255E">
      <w:pPr>
        <w:pStyle w:val="a2"/>
        <w:rPr>
          <w:rtl/>
        </w:rPr>
      </w:pPr>
      <w:r w:rsidRPr="008B4DA1">
        <w:rPr>
          <w:rFonts w:hint="cs"/>
          <w:rtl/>
        </w:rPr>
        <w:t>דין זה הובא להלכה בדברי הרמב"ם (הלכות אישות פ"י הי"א) "המארס</w:t>
      </w:r>
      <w:r w:rsidRPr="008B4DA1">
        <w:rPr>
          <w:rtl/>
        </w:rPr>
        <w:t xml:space="preserve"> </w:t>
      </w:r>
      <w:r w:rsidRPr="008B4DA1">
        <w:rPr>
          <w:rFonts w:hint="cs"/>
          <w:rtl/>
        </w:rPr>
        <w:t>את</w:t>
      </w:r>
      <w:r w:rsidRPr="008B4DA1">
        <w:rPr>
          <w:rtl/>
        </w:rPr>
        <w:t xml:space="preserve"> </w:t>
      </w:r>
      <w:r w:rsidRPr="008B4DA1">
        <w:rPr>
          <w:rFonts w:hint="cs"/>
          <w:rtl/>
        </w:rPr>
        <w:t>האשה</w:t>
      </w:r>
      <w:r w:rsidRPr="008B4DA1">
        <w:rPr>
          <w:rtl/>
        </w:rPr>
        <w:t xml:space="preserve"> </w:t>
      </w:r>
      <w:r w:rsidRPr="008B4DA1">
        <w:rPr>
          <w:rFonts w:hint="cs"/>
          <w:rtl/>
        </w:rPr>
        <w:t>וכתב</w:t>
      </w:r>
      <w:r w:rsidRPr="008B4DA1">
        <w:rPr>
          <w:rtl/>
        </w:rPr>
        <w:t xml:space="preserve"> </w:t>
      </w:r>
      <w:r w:rsidRPr="008B4DA1">
        <w:rPr>
          <w:rFonts w:hint="cs"/>
          <w:rtl/>
        </w:rPr>
        <w:t>לה</w:t>
      </w:r>
      <w:r w:rsidRPr="008B4DA1">
        <w:rPr>
          <w:rtl/>
        </w:rPr>
        <w:t xml:space="preserve"> </w:t>
      </w:r>
      <w:r w:rsidRPr="008B4DA1">
        <w:rPr>
          <w:rFonts w:hint="cs"/>
          <w:rtl/>
        </w:rPr>
        <w:t>כתובה</w:t>
      </w:r>
      <w:r w:rsidRPr="008B4DA1">
        <w:rPr>
          <w:rtl/>
        </w:rPr>
        <w:t xml:space="preserve"> </w:t>
      </w:r>
      <w:r w:rsidRPr="008B4DA1">
        <w:rPr>
          <w:rFonts w:hint="cs"/>
          <w:rtl/>
        </w:rPr>
        <w:t>ולא</w:t>
      </w:r>
      <w:r w:rsidRPr="008B4DA1">
        <w:rPr>
          <w:rtl/>
        </w:rPr>
        <w:t xml:space="preserve"> </w:t>
      </w:r>
      <w:r w:rsidRPr="008B4DA1">
        <w:rPr>
          <w:rFonts w:hint="cs"/>
          <w:rtl/>
        </w:rPr>
        <w:t>נכנסה</w:t>
      </w:r>
      <w:r w:rsidRPr="008B4DA1">
        <w:rPr>
          <w:rtl/>
        </w:rPr>
        <w:t xml:space="preserve"> </w:t>
      </w:r>
      <w:r w:rsidRPr="008B4DA1">
        <w:rPr>
          <w:rFonts w:hint="cs"/>
          <w:rtl/>
        </w:rPr>
        <w:t>לחופה,</w:t>
      </w:r>
      <w:r w:rsidRPr="008B4DA1">
        <w:rPr>
          <w:rtl/>
        </w:rPr>
        <w:t xml:space="preserve"> </w:t>
      </w:r>
      <w:r w:rsidRPr="008B4DA1">
        <w:rPr>
          <w:rFonts w:hint="cs"/>
          <w:rtl/>
        </w:rPr>
        <w:t>עדיין</w:t>
      </w:r>
      <w:r w:rsidRPr="008B4DA1">
        <w:rPr>
          <w:rtl/>
        </w:rPr>
        <w:t xml:space="preserve"> </w:t>
      </w:r>
      <w:r w:rsidRPr="008B4DA1">
        <w:rPr>
          <w:rFonts w:hint="cs"/>
          <w:rtl/>
        </w:rPr>
        <w:t>ארוסה</w:t>
      </w:r>
      <w:r w:rsidRPr="008B4DA1">
        <w:rPr>
          <w:rtl/>
        </w:rPr>
        <w:t xml:space="preserve"> </w:t>
      </w:r>
      <w:r w:rsidRPr="008B4DA1">
        <w:rPr>
          <w:rFonts w:hint="cs"/>
          <w:rtl/>
        </w:rPr>
        <w:t>היא</w:t>
      </w:r>
      <w:r w:rsidRPr="008B4DA1">
        <w:rPr>
          <w:rtl/>
        </w:rPr>
        <w:t xml:space="preserve"> </w:t>
      </w:r>
      <w:r w:rsidRPr="008B4DA1">
        <w:rPr>
          <w:rFonts w:hint="cs"/>
          <w:rtl/>
        </w:rPr>
        <w:t>ואינה</w:t>
      </w:r>
      <w:r w:rsidRPr="008B4DA1">
        <w:rPr>
          <w:rtl/>
        </w:rPr>
        <w:t xml:space="preserve"> </w:t>
      </w:r>
      <w:r w:rsidRPr="008B4DA1">
        <w:rPr>
          <w:rFonts w:hint="cs"/>
          <w:rtl/>
        </w:rPr>
        <w:t>נשואה,</w:t>
      </w:r>
      <w:r w:rsidRPr="008B4DA1">
        <w:rPr>
          <w:rtl/>
        </w:rPr>
        <w:t xml:space="preserve"> </w:t>
      </w:r>
      <w:r w:rsidRPr="008B4DA1">
        <w:rPr>
          <w:rFonts w:hint="cs"/>
          <w:rtl/>
        </w:rPr>
        <w:t>שאין</w:t>
      </w:r>
      <w:r w:rsidRPr="008B4DA1">
        <w:rPr>
          <w:rtl/>
        </w:rPr>
        <w:t xml:space="preserve"> </w:t>
      </w:r>
      <w:r w:rsidRPr="008B4DA1">
        <w:rPr>
          <w:rFonts w:hint="cs"/>
          <w:rtl/>
        </w:rPr>
        <w:lastRenderedPageBreak/>
        <w:t>הכתובה</w:t>
      </w:r>
      <w:r w:rsidRPr="008B4DA1">
        <w:rPr>
          <w:rtl/>
        </w:rPr>
        <w:t xml:space="preserve"> </w:t>
      </w:r>
      <w:r w:rsidRPr="008B4DA1">
        <w:rPr>
          <w:rFonts w:hint="cs"/>
          <w:rtl/>
        </w:rPr>
        <w:t>עושה</w:t>
      </w:r>
      <w:r w:rsidRPr="008B4DA1">
        <w:rPr>
          <w:rtl/>
        </w:rPr>
        <w:t xml:space="preserve"> </w:t>
      </w:r>
      <w:r w:rsidRPr="008B4DA1">
        <w:rPr>
          <w:rFonts w:hint="cs"/>
          <w:rtl/>
        </w:rPr>
        <w:t>נישואין</w:t>
      </w:r>
      <w:r w:rsidRPr="008B4DA1">
        <w:rPr>
          <w:rtl/>
        </w:rPr>
        <w:t xml:space="preserve">, </w:t>
      </w:r>
      <w:r w:rsidRPr="008B4DA1">
        <w:rPr>
          <w:rFonts w:hint="cs"/>
          <w:rtl/>
        </w:rPr>
        <w:t>ואם</w:t>
      </w:r>
      <w:r w:rsidRPr="008B4DA1">
        <w:rPr>
          <w:rtl/>
        </w:rPr>
        <w:t xml:space="preserve"> </w:t>
      </w:r>
      <w:r w:rsidRPr="008B4DA1">
        <w:rPr>
          <w:rFonts w:hint="cs"/>
          <w:rtl/>
        </w:rPr>
        <w:t>מת</w:t>
      </w:r>
      <w:r w:rsidRPr="008B4DA1">
        <w:rPr>
          <w:rtl/>
        </w:rPr>
        <w:t xml:space="preserve"> </w:t>
      </w:r>
      <w:r w:rsidRPr="008B4DA1">
        <w:rPr>
          <w:rFonts w:hint="cs"/>
          <w:rtl/>
        </w:rPr>
        <w:t>או</w:t>
      </w:r>
      <w:r w:rsidRPr="008B4DA1">
        <w:rPr>
          <w:rtl/>
        </w:rPr>
        <w:t xml:space="preserve"> </w:t>
      </w:r>
      <w:r w:rsidRPr="008B4DA1">
        <w:rPr>
          <w:rFonts w:hint="cs"/>
          <w:rtl/>
        </w:rPr>
        <w:t>גרשה</w:t>
      </w:r>
      <w:r w:rsidRPr="008B4DA1">
        <w:rPr>
          <w:rtl/>
        </w:rPr>
        <w:t xml:space="preserve"> </w:t>
      </w:r>
      <w:r w:rsidRPr="008B4DA1">
        <w:rPr>
          <w:rFonts w:hint="cs"/>
          <w:rtl/>
        </w:rPr>
        <w:t>גובה</w:t>
      </w:r>
      <w:r w:rsidRPr="008B4DA1">
        <w:rPr>
          <w:rtl/>
        </w:rPr>
        <w:t xml:space="preserve"> </w:t>
      </w:r>
      <w:r w:rsidRPr="008B4DA1">
        <w:rPr>
          <w:rFonts w:hint="cs"/>
          <w:rtl/>
        </w:rPr>
        <w:t>עיקר</w:t>
      </w:r>
      <w:r w:rsidRPr="008B4DA1">
        <w:rPr>
          <w:rtl/>
        </w:rPr>
        <w:t xml:space="preserve"> </w:t>
      </w:r>
      <w:r w:rsidRPr="008B4DA1">
        <w:rPr>
          <w:rFonts w:hint="cs"/>
          <w:rtl/>
        </w:rPr>
        <w:t>כתובתה</w:t>
      </w:r>
      <w:r w:rsidRPr="008B4DA1">
        <w:rPr>
          <w:rtl/>
        </w:rPr>
        <w:t xml:space="preserve"> </w:t>
      </w:r>
      <w:r w:rsidRPr="008B4DA1">
        <w:rPr>
          <w:rFonts w:hint="cs"/>
          <w:rtl/>
        </w:rPr>
        <w:t>מבני</w:t>
      </w:r>
      <w:r w:rsidRPr="008B4DA1">
        <w:rPr>
          <w:rtl/>
        </w:rPr>
        <w:t xml:space="preserve"> </w:t>
      </w:r>
      <w:r w:rsidRPr="008B4DA1">
        <w:rPr>
          <w:rFonts w:hint="cs"/>
          <w:rtl/>
        </w:rPr>
        <w:t>חורין</w:t>
      </w:r>
      <w:r w:rsidRPr="008B4DA1">
        <w:rPr>
          <w:rtl/>
        </w:rPr>
        <w:t xml:space="preserve"> </w:t>
      </w:r>
      <w:r w:rsidRPr="008B4DA1">
        <w:rPr>
          <w:rFonts w:hint="cs"/>
          <w:rtl/>
        </w:rPr>
        <w:t>ואינה</w:t>
      </w:r>
      <w:r w:rsidRPr="008B4DA1">
        <w:rPr>
          <w:rtl/>
        </w:rPr>
        <w:t xml:space="preserve"> </w:t>
      </w:r>
      <w:r w:rsidRPr="008B4DA1">
        <w:rPr>
          <w:rFonts w:hint="cs"/>
          <w:rtl/>
        </w:rPr>
        <w:t>גובה</w:t>
      </w:r>
      <w:r w:rsidRPr="008B4DA1">
        <w:rPr>
          <w:rtl/>
        </w:rPr>
        <w:t xml:space="preserve"> </w:t>
      </w:r>
      <w:r w:rsidRPr="008B4DA1">
        <w:rPr>
          <w:rFonts w:hint="cs"/>
          <w:rtl/>
        </w:rPr>
        <w:t>תוספת</w:t>
      </w:r>
      <w:r w:rsidRPr="008B4DA1">
        <w:rPr>
          <w:rtl/>
        </w:rPr>
        <w:t xml:space="preserve"> </w:t>
      </w:r>
      <w:r w:rsidRPr="008B4DA1">
        <w:rPr>
          <w:rFonts w:hint="cs"/>
          <w:rtl/>
        </w:rPr>
        <w:t>כלל</w:t>
      </w:r>
      <w:r w:rsidRPr="008B4DA1">
        <w:rPr>
          <w:rtl/>
        </w:rPr>
        <w:t xml:space="preserve"> </w:t>
      </w:r>
      <w:r w:rsidRPr="008B4DA1">
        <w:rPr>
          <w:rFonts w:hint="cs"/>
          <w:rtl/>
        </w:rPr>
        <w:t>הואיל</w:t>
      </w:r>
      <w:r w:rsidRPr="008B4DA1">
        <w:rPr>
          <w:rtl/>
        </w:rPr>
        <w:t xml:space="preserve"> </w:t>
      </w:r>
      <w:r w:rsidRPr="008B4DA1">
        <w:rPr>
          <w:rFonts w:hint="cs"/>
          <w:rtl/>
        </w:rPr>
        <w:t>ולא</w:t>
      </w:r>
      <w:r w:rsidRPr="008B4DA1">
        <w:rPr>
          <w:rtl/>
        </w:rPr>
        <w:t xml:space="preserve"> </w:t>
      </w:r>
      <w:r w:rsidRPr="008B4DA1">
        <w:rPr>
          <w:rFonts w:hint="cs"/>
          <w:rtl/>
        </w:rPr>
        <w:t>כנסה". וכן נפסק בשולחן ערוך (אבן העזר סי' נה סעי' ו).</w:t>
      </w:r>
    </w:p>
    <w:p w14:paraId="28AD8073" w14:textId="77777777" w:rsidR="00644C97" w:rsidRPr="008B4DA1" w:rsidRDefault="00644C97" w:rsidP="00F8255E">
      <w:pPr>
        <w:pStyle w:val="11"/>
        <w:bidi/>
        <w:rPr>
          <w:rtl/>
        </w:rPr>
      </w:pPr>
      <w:r w:rsidRPr="008B4DA1">
        <w:rPr>
          <w:rFonts w:hint="cs"/>
          <w:rtl/>
        </w:rPr>
        <w:t>הלימוד מהמעשה של רב בנאה שהסתמך על "אומדנא" בדיני ממונות</w:t>
      </w:r>
    </w:p>
    <w:p w14:paraId="23258C07" w14:textId="77777777" w:rsidR="00644C97" w:rsidRPr="008B4DA1" w:rsidRDefault="00644C97" w:rsidP="00F8255E">
      <w:pPr>
        <w:pStyle w:val="a2"/>
        <w:rPr>
          <w:rtl/>
        </w:rPr>
      </w:pPr>
      <w:r w:rsidRPr="008B4DA1">
        <w:rPr>
          <w:rFonts w:hint="cs"/>
          <w:b/>
          <w:bCs/>
          <w:rtl/>
        </w:rPr>
        <w:t>ו.</w:t>
      </w:r>
      <w:r w:rsidRPr="008B4DA1">
        <w:rPr>
          <w:rFonts w:hint="cs"/>
          <w:rtl/>
        </w:rPr>
        <w:t xml:space="preserve"> במסכת בבא</w:t>
      </w:r>
      <w:r w:rsidRPr="008B4DA1">
        <w:rPr>
          <w:rtl/>
        </w:rPr>
        <w:t xml:space="preserve"> </w:t>
      </w:r>
      <w:r w:rsidRPr="008B4DA1">
        <w:rPr>
          <w:rFonts w:hint="cs"/>
          <w:rtl/>
        </w:rPr>
        <w:t>בתרא</w:t>
      </w:r>
      <w:r w:rsidRPr="008B4DA1">
        <w:rPr>
          <w:rtl/>
        </w:rPr>
        <w:t xml:space="preserve"> </w:t>
      </w:r>
      <w:r w:rsidRPr="008B4DA1">
        <w:rPr>
          <w:rFonts w:hint="cs"/>
          <w:rtl/>
        </w:rPr>
        <w:t>(נח, א) מסופר על אשה שאמרה לבתה "הך</w:t>
      </w:r>
      <w:r w:rsidRPr="008B4DA1">
        <w:rPr>
          <w:rtl/>
        </w:rPr>
        <w:t xml:space="preserve"> </w:t>
      </w:r>
      <w:r w:rsidRPr="008B4DA1">
        <w:rPr>
          <w:rFonts w:hint="cs"/>
          <w:rtl/>
        </w:rPr>
        <w:t>איתתא עשרה</w:t>
      </w:r>
      <w:r w:rsidRPr="008B4DA1">
        <w:rPr>
          <w:rtl/>
        </w:rPr>
        <w:t xml:space="preserve"> </w:t>
      </w:r>
      <w:r w:rsidRPr="008B4DA1">
        <w:rPr>
          <w:rFonts w:hint="cs"/>
          <w:rtl/>
        </w:rPr>
        <w:t>בני</w:t>
      </w:r>
      <w:r w:rsidRPr="008B4DA1">
        <w:rPr>
          <w:rtl/>
        </w:rPr>
        <w:t xml:space="preserve"> </w:t>
      </w:r>
      <w:r w:rsidRPr="008B4DA1">
        <w:rPr>
          <w:rFonts w:hint="cs"/>
          <w:rtl/>
        </w:rPr>
        <w:t>אית</w:t>
      </w:r>
      <w:r w:rsidRPr="008B4DA1">
        <w:rPr>
          <w:rtl/>
        </w:rPr>
        <w:t xml:space="preserve"> </w:t>
      </w:r>
      <w:r w:rsidRPr="008B4DA1">
        <w:rPr>
          <w:rFonts w:hint="cs"/>
          <w:rtl/>
        </w:rPr>
        <w:t>לה</w:t>
      </w:r>
      <w:r w:rsidRPr="008B4DA1">
        <w:rPr>
          <w:rtl/>
        </w:rPr>
        <w:t xml:space="preserve">, </w:t>
      </w:r>
      <w:r w:rsidRPr="008B4DA1">
        <w:rPr>
          <w:rFonts w:hint="cs"/>
          <w:rtl/>
        </w:rPr>
        <w:t>ולית</w:t>
      </w:r>
      <w:r w:rsidRPr="008B4DA1">
        <w:rPr>
          <w:rtl/>
        </w:rPr>
        <w:t xml:space="preserve"> </w:t>
      </w:r>
      <w:r w:rsidRPr="008B4DA1">
        <w:rPr>
          <w:rFonts w:hint="cs"/>
          <w:rtl/>
        </w:rPr>
        <w:t>לי</w:t>
      </w:r>
      <w:r w:rsidRPr="008B4DA1">
        <w:rPr>
          <w:rtl/>
        </w:rPr>
        <w:t xml:space="preserve"> </w:t>
      </w:r>
      <w:r w:rsidRPr="008B4DA1">
        <w:rPr>
          <w:rFonts w:hint="cs"/>
          <w:rtl/>
        </w:rPr>
        <w:t>מאבוך</w:t>
      </w:r>
      <w:r w:rsidRPr="008B4DA1">
        <w:rPr>
          <w:rtl/>
        </w:rPr>
        <w:t xml:space="preserve"> </w:t>
      </w:r>
      <w:r w:rsidRPr="008B4DA1">
        <w:rPr>
          <w:rFonts w:hint="cs"/>
          <w:rtl/>
        </w:rPr>
        <w:t>אלא</w:t>
      </w:r>
      <w:r w:rsidRPr="008B4DA1">
        <w:rPr>
          <w:rtl/>
        </w:rPr>
        <w:t xml:space="preserve"> </w:t>
      </w:r>
      <w:r w:rsidRPr="008B4DA1">
        <w:rPr>
          <w:rFonts w:hint="cs"/>
          <w:rtl/>
        </w:rPr>
        <w:t>חד" [האשה העידה על עצמה שמכל עשרת ילדיה רק אחד מבעלה]. וכאשר שמע זאת בעלה, ציווה על בני משפחתו [בצוואת שכיב מרע] שיתנו את כל נכסיו "לחד</w:t>
      </w:r>
      <w:r w:rsidRPr="008B4DA1">
        <w:rPr>
          <w:rtl/>
        </w:rPr>
        <w:t xml:space="preserve"> </w:t>
      </w:r>
      <w:r w:rsidRPr="008B4DA1">
        <w:rPr>
          <w:rFonts w:hint="cs"/>
          <w:rtl/>
        </w:rPr>
        <w:t>ברא" [לאחד מבניו]. בני המשפחה שלא ידעו מי היורש, באו לשאול את רבי בנאה מה לעשות, שהציע להם: "זילו</w:t>
      </w:r>
      <w:r w:rsidRPr="008B4DA1">
        <w:rPr>
          <w:rtl/>
        </w:rPr>
        <w:t xml:space="preserve"> </w:t>
      </w:r>
      <w:r w:rsidRPr="008B4DA1">
        <w:rPr>
          <w:rFonts w:hint="cs"/>
          <w:rtl/>
        </w:rPr>
        <w:t>חבוטו</w:t>
      </w:r>
      <w:r w:rsidRPr="008B4DA1">
        <w:rPr>
          <w:rtl/>
        </w:rPr>
        <w:t xml:space="preserve"> </w:t>
      </w:r>
      <w:r w:rsidRPr="008B4DA1">
        <w:rPr>
          <w:rFonts w:hint="cs"/>
          <w:rtl/>
        </w:rPr>
        <w:t>קברא</w:t>
      </w:r>
      <w:r w:rsidRPr="008B4DA1">
        <w:rPr>
          <w:rtl/>
        </w:rPr>
        <w:t xml:space="preserve"> </w:t>
      </w:r>
      <w:r w:rsidRPr="008B4DA1">
        <w:rPr>
          <w:rFonts w:hint="cs"/>
          <w:rtl/>
        </w:rPr>
        <w:t>דאבוכון</w:t>
      </w:r>
      <w:r w:rsidRPr="008B4DA1">
        <w:rPr>
          <w:rtl/>
        </w:rPr>
        <w:t xml:space="preserve">, </w:t>
      </w:r>
      <w:r w:rsidRPr="008B4DA1">
        <w:rPr>
          <w:rFonts w:hint="cs"/>
          <w:rtl/>
        </w:rPr>
        <w:t>עד</w:t>
      </w:r>
      <w:r w:rsidRPr="008B4DA1">
        <w:rPr>
          <w:rtl/>
        </w:rPr>
        <w:t xml:space="preserve"> </w:t>
      </w:r>
      <w:r w:rsidRPr="008B4DA1">
        <w:rPr>
          <w:rFonts w:hint="cs"/>
          <w:rtl/>
        </w:rPr>
        <w:t>דקאי</w:t>
      </w:r>
      <w:r w:rsidRPr="008B4DA1">
        <w:rPr>
          <w:rtl/>
        </w:rPr>
        <w:t xml:space="preserve"> </w:t>
      </w:r>
      <w:r w:rsidRPr="008B4DA1">
        <w:rPr>
          <w:rFonts w:hint="cs"/>
          <w:rtl/>
        </w:rPr>
        <w:t>ומגלי</w:t>
      </w:r>
      <w:r w:rsidRPr="008B4DA1">
        <w:rPr>
          <w:rtl/>
        </w:rPr>
        <w:t xml:space="preserve"> </w:t>
      </w:r>
      <w:r w:rsidRPr="008B4DA1">
        <w:rPr>
          <w:rFonts w:hint="cs"/>
          <w:rtl/>
        </w:rPr>
        <w:t>לכו</w:t>
      </w:r>
      <w:r w:rsidRPr="008B4DA1">
        <w:rPr>
          <w:rtl/>
        </w:rPr>
        <w:t xml:space="preserve"> </w:t>
      </w:r>
      <w:r w:rsidRPr="008B4DA1">
        <w:rPr>
          <w:rFonts w:hint="cs"/>
          <w:rtl/>
        </w:rPr>
        <w:t>להי</w:t>
      </w:r>
      <w:r w:rsidRPr="008B4DA1">
        <w:rPr>
          <w:rtl/>
        </w:rPr>
        <w:t xml:space="preserve"> </w:t>
      </w:r>
      <w:r w:rsidRPr="008B4DA1">
        <w:rPr>
          <w:rFonts w:hint="cs"/>
          <w:rtl/>
        </w:rPr>
        <w:t>מינייכו</w:t>
      </w:r>
      <w:r w:rsidRPr="008B4DA1">
        <w:rPr>
          <w:rtl/>
        </w:rPr>
        <w:t xml:space="preserve"> </w:t>
      </w:r>
      <w:r w:rsidRPr="008B4DA1">
        <w:rPr>
          <w:rFonts w:hint="cs"/>
          <w:rtl/>
        </w:rPr>
        <w:t>שבקא". רבי בנאה אמר לבניו של הנפטר שילכו ויכו על קבר אביהם, עד שיקום מקברו ויגלה להם למי מהם הניח את נכסיו. ופירש הרשב"ם: "ולנסותם</w:t>
      </w:r>
      <w:r w:rsidRPr="008B4DA1">
        <w:rPr>
          <w:rtl/>
        </w:rPr>
        <w:t xml:space="preserve"> </w:t>
      </w:r>
      <w:r w:rsidRPr="008B4DA1">
        <w:rPr>
          <w:rFonts w:hint="cs"/>
          <w:rtl/>
        </w:rPr>
        <w:t>נתכוון,</w:t>
      </w:r>
      <w:r w:rsidRPr="008B4DA1">
        <w:rPr>
          <w:rtl/>
        </w:rPr>
        <w:t xml:space="preserve"> </w:t>
      </w:r>
      <w:r w:rsidRPr="008B4DA1">
        <w:rPr>
          <w:rFonts w:hint="cs"/>
          <w:rtl/>
        </w:rPr>
        <w:t>שאותם</w:t>
      </w:r>
      <w:r w:rsidRPr="008B4DA1">
        <w:rPr>
          <w:rtl/>
        </w:rPr>
        <w:t xml:space="preserve"> </w:t>
      </w:r>
      <w:r w:rsidRPr="008B4DA1">
        <w:rPr>
          <w:rFonts w:hint="cs"/>
          <w:rtl/>
        </w:rPr>
        <w:t>שהם</w:t>
      </w:r>
      <w:r w:rsidRPr="008B4DA1">
        <w:rPr>
          <w:rtl/>
        </w:rPr>
        <w:t xml:space="preserve"> </w:t>
      </w:r>
      <w:r w:rsidRPr="008B4DA1">
        <w:rPr>
          <w:rFonts w:hint="cs"/>
          <w:rtl/>
        </w:rPr>
        <w:t>ממזרים</w:t>
      </w:r>
      <w:r w:rsidRPr="008B4DA1">
        <w:rPr>
          <w:rtl/>
        </w:rPr>
        <w:t xml:space="preserve"> </w:t>
      </w:r>
      <w:r w:rsidRPr="008B4DA1">
        <w:rPr>
          <w:rFonts w:hint="cs"/>
          <w:rtl/>
        </w:rPr>
        <w:t>הן</w:t>
      </w:r>
      <w:r w:rsidRPr="008B4DA1">
        <w:rPr>
          <w:rtl/>
        </w:rPr>
        <w:t xml:space="preserve"> </w:t>
      </w:r>
      <w:r w:rsidRPr="008B4DA1">
        <w:rPr>
          <w:rFonts w:hint="cs"/>
          <w:rtl/>
        </w:rPr>
        <w:t>עזי</w:t>
      </w:r>
      <w:r w:rsidRPr="008B4DA1">
        <w:rPr>
          <w:rtl/>
        </w:rPr>
        <w:t xml:space="preserve"> </w:t>
      </w:r>
      <w:r w:rsidRPr="008B4DA1">
        <w:rPr>
          <w:rFonts w:hint="cs"/>
          <w:rtl/>
        </w:rPr>
        <w:t>פנים</w:t>
      </w:r>
      <w:r w:rsidRPr="008B4DA1">
        <w:rPr>
          <w:rtl/>
        </w:rPr>
        <w:t xml:space="preserve"> </w:t>
      </w:r>
      <w:r w:rsidRPr="008B4DA1">
        <w:rPr>
          <w:rFonts w:hint="cs"/>
          <w:rtl/>
        </w:rPr>
        <w:t>וילכו</w:t>
      </w:r>
      <w:r w:rsidRPr="008B4DA1">
        <w:rPr>
          <w:rtl/>
        </w:rPr>
        <w:t xml:space="preserve"> </w:t>
      </w:r>
      <w:r w:rsidRPr="008B4DA1">
        <w:rPr>
          <w:rFonts w:hint="cs"/>
          <w:rtl/>
        </w:rPr>
        <w:t>לחבוט". ומסופר שם שכל הבנים הלכו וחבטו על קבר אביהם, למעט בן אחד שלא הלך. וכאשר ראה זאת רבי בנאה, פסק להם: "כולהו</w:t>
      </w:r>
      <w:r w:rsidRPr="008B4DA1">
        <w:rPr>
          <w:rtl/>
        </w:rPr>
        <w:t xml:space="preserve"> </w:t>
      </w:r>
      <w:r w:rsidRPr="008B4DA1">
        <w:rPr>
          <w:rFonts w:hint="cs"/>
          <w:rtl/>
        </w:rPr>
        <w:t>נכסי</w:t>
      </w:r>
      <w:r w:rsidRPr="008B4DA1">
        <w:rPr>
          <w:rtl/>
        </w:rPr>
        <w:t xml:space="preserve"> </w:t>
      </w:r>
      <w:r w:rsidRPr="008B4DA1">
        <w:rPr>
          <w:rFonts w:hint="cs"/>
          <w:rtl/>
        </w:rPr>
        <w:t xml:space="preserve">דהאי". כלומר, רבי בנאה הכריע על פי </w:t>
      </w:r>
      <w:r w:rsidRPr="008B4DA1">
        <w:rPr>
          <w:rFonts w:hint="cs"/>
          <w:b/>
          <w:bCs/>
          <w:rtl/>
        </w:rPr>
        <w:t>אומדן דעתו</w:t>
      </w:r>
      <w:r w:rsidRPr="008B4DA1">
        <w:rPr>
          <w:rFonts w:hint="cs"/>
          <w:rtl/>
        </w:rPr>
        <w:t>, שכל הנכסים שייכים לבן שלא הלך לחבוט</w:t>
      </w:r>
      <w:r w:rsidRPr="008B4DA1">
        <w:rPr>
          <w:rtl/>
        </w:rPr>
        <w:t xml:space="preserve"> </w:t>
      </w:r>
      <w:r w:rsidRPr="008B4DA1">
        <w:rPr>
          <w:rFonts w:hint="cs"/>
          <w:rtl/>
        </w:rPr>
        <w:t>על</w:t>
      </w:r>
      <w:r w:rsidRPr="008B4DA1">
        <w:rPr>
          <w:rtl/>
        </w:rPr>
        <w:t xml:space="preserve"> </w:t>
      </w:r>
      <w:r w:rsidRPr="008B4DA1">
        <w:rPr>
          <w:rFonts w:hint="cs"/>
          <w:rtl/>
        </w:rPr>
        <w:t>קברו</w:t>
      </w:r>
      <w:r w:rsidRPr="008B4DA1">
        <w:rPr>
          <w:rtl/>
        </w:rPr>
        <w:t xml:space="preserve"> </w:t>
      </w:r>
      <w:r w:rsidRPr="008B4DA1">
        <w:rPr>
          <w:rFonts w:hint="cs"/>
          <w:rtl/>
        </w:rPr>
        <w:t>של</w:t>
      </w:r>
      <w:r w:rsidRPr="008B4DA1">
        <w:rPr>
          <w:rtl/>
        </w:rPr>
        <w:t xml:space="preserve"> </w:t>
      </w:r>
      <w:r w:rsidRPr="008B4DA1">
        <w:rPr>
          <w:rFonts w:hint="cs"/>
          <w:rtl/>
        </w:rPr>
        <w:t xml:space="preserve">אביו - כי בן אמיתי בוודאי לא יעלה על דעתו להכות את קבר אביו. ממעשה זה למד הרא"ש </w:t>
      </w:r>
      <w:r w:rsidRPr="008B4DA1">
        <w:rPr>
          <w:rFonts w:hint="cs"/>
          <w:noProof/>
          <w:rtl/>
        </w:rPr>
        <w:t>(כלל קז סי' ו) כי "ב</w:t>
      </w:r>
      <w:r w:rsidRPr="008B4DA1">
        <w:rPr>
          <w:rFonts w:hint="cs"/>
          <w:rtl/>
        </w:rPr>
        <w:t>כל</w:t>
      </w:r>
      <w:r w:rsidRPr="008B4DA1">
        <w:rPr>
          <w:rtl/>
        </w:rPr>
        <w:t xml:space="preserve"> </w:t>
      </w:r>
      <w:r w:rsidRPr="008B4DA1">
        <w:rPr>
          <w:rFonts w:hint="cs"/>
          <w:rtl/>
        </w:rPr>
        <w:t>דינא</w:t>
      </w:r>
      <w:r w:rsidRPr="008B4DA1">
        <w:rPr>
          <w:rtl/>
        </w:rPr>
        <w:t xml:space="preserve"> </w:t>
      </w:r>
      <w:r w:rsidRPr="008B4DA1">
        <w:rPr>
          <w:rFonts w:hint="cs"/>
          <w:rtl/>
        </w:rPr>
        <w:t>דלא</w:t>
      </w:r>
      <w:r w:rsidRPr="008B4DA1">
        <w:rPr>
          <w:rtl/>
        </w:rPr>
        <w:t xml:space="preserve"> </w:t>
      </w:r>
      <w:r w:rsidRPr="008B4DA1">
        <w:rPr>
          <w:rFonts w:hint="cs"/>
          <w:rtl/>
        </w:rPr>
        <w:t>אפשר</w:t>
      </w:r>
      <w:r w:rsidRPr="008B4DA1">
        <w:rPr>
          <w:rtl/>
        </w:rPr>
        <w:t xml:space="preserve"> </w:t>
      </w:r>
      <w:r w:rsidRPr="008B4DA1">
        <w:rPr>
          <w:rFonts w:hint="cs"/>
          <w:rtl/>
        </w:rPr>
        <w:t>לברורי</w:t>
      </w:r>
      <w:r w:rsidRPr="008B4DA1">
        <w:rPr>
          <w:rtl/>
        </w:rPr>
        <w:t xml:space="preserve">, </w:t>
      </w:r>
      <w:r w:rsidRPr="008B4DA1">
        <w:rPr>
          <w:rFonts w:hint="cs"/>
          <w:rtl/>
        </w:rPr>
        <w:t>לא</w:t>
      </w:r>
      <w:r w:rsidRPr="008B4DA1">
        <w:rPr>
          <w:rtl/>
        </w:rPr>
        <w:t xml:space="preserve"> </w:t>
      </w:r>
      <w:r w:rsidRPr="008B4DA1">
        <w:rPr>
          <w:rFonts w:hint="cs"/>
          <w:rtl/>
        </w:rPr>
        <w:t>אמרינן</w:t>
      </w:r>
      <w:r w:rsidRPr="008B4DA1">
        <w:rPr>
          <w:rtl/>
        </w:rPr>
        <w:t xml:space="preserve"> </w:t>
      </w:r>
      <w:r w:rsidRPr="008B4DA1">
        <w:rPr>
          <w:rFonts w:hint="cs"/>
          <w:rtl/>
        </w:rPr>
        <w:t>יהא</w:t>
      </w:r>
      <w:r w:rsidRPr="008B4DA1">
        <w:rPr>
          <w:rtl/>
        </w:rPr>
        <w:t xml:space="preserve"> </w:t>
      </w:r>
      <w:r w:rsidRPr="008B4DA1">
        <w:rPr>
          <w:rFonts w:hint="cs"/>
          <w:rtl/>
        </w:rPr>
        <w:t>מונח</w:t>
      </w:r>
      <w:r w:rsidRPr="008B4DA1">
        <w:rPr>
          <w:rtl/>
        </w:rPr>
        <w:t xml:space="preserve"> </w:t>
      </w:r>
      <w:r w:rsidRPr="008B4DA1">
        <w:rPr>
          <w:rFonts w:hint="cs"/>
          <w:rtl/>
        </w:rPr>
        <w:t>עד</w:t>
      </w:r>
      <w:r w:rsidRPr="008B4DA1">
        <w:rPr>
          <w:rtl/>
        </w:rPr>
        <w:t xml:space="preserve"> </w:t>
      </w:r>
      <w:r w:rsidRPr="008B4DA1">
        <w:rPr>
          <w:rFonts w:hint="cs"/>
          <w:rtl/>
        </w:rPr>
        <w:t>שיבא</w:t>
      </w:r>
      <w:r w:rsidRPr="008B4DA1">
        <w:rPr>
          <w:rtl/>
        </w:rPr>
        <w:t xml:space="preserve"> </w:t>
      </w:r>
      <w:r w:rsidRPr="008B4DA1">
        <w:rPr>
          <w:rFonts w:hint="cs"/>
          <w:rtl/>
        </w:rPr>
        <w:t>אליהו</w:t>
      </w:r>
      <w:r w:rsidRPr="008B4DA1">
        <w:rPr>
          <w:rtl/>
        </w:rPr>
        <w:t xml:space="preserve">, </w:t>
      </w:r>
      <w:r w:rsidRPr="008B4DA1">
        <w:rPr>
          <w:rFonts w:hint="cs"/>
          <w:rtl/>
        </w:rPr>
        <w:t>אלא</w:t>
      </w:r>
      <w:r w:rsidRPr="008B4DA1">
        <w:rPr>
          <w:rtl/>
        </w:rPr>
        <w:t xml:space="preserve"> </w:t>
      </w:r>
      <w:r w:rsidRPr="008B4DA1">
        <w:rPr>
          <w:rFonts w:hint="cs"/>
          <w:b/>
          <w:bCs/>
          <w:rtl/>
        </w:rPr>
        <w:t>ידון</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לפי</w:t>
      </w:r>
      <w:r w:rsidRPr="008B4DA1">
        <w:rPr>
          <w:b/>
          <w:bCs/>
          <w:rtl/>
        </w:rPr>
        <w:t xml:space="preserve"> </w:t>
      </w:r>
      <w:r w:rsidRPr="008B4DA1">
        <w:rPr>
          <w:rFonts w:hint="cs"/>
          <w:b/>
          <w:bCs/>
          <w:rtl/>
        </w:rPr>
        <w:t>מה</w:t>
      </w:r>
      <w:r w:rsidRPr="008B4DA1">
        <w:rPr>
          <w:b/>
          <w:bCs/>
          <w:rtl/>
        </w:rPr>
        <w:t xml:space="preserve"> </w:t>
      </w:r>
      <w:r w:rsidRPr="008B4DA1">
        <w:rPr>
          <w:rFonts w:hint="cs"/>
          <w:b/>
          <w:bCs/>
          <w:rtl/>
        </w:rPr>
        <w:t>שעיניו</w:t>
      </w:r>
      <w:r w:rsidRPr="008B4DA1">
        <w:rPr>
          <w:b/>
          <w:bCs/>
          <w:rtl/>
        </w:rPr>
        <w:t xml:space="preserve"> </w:t>
      </w:r>
      <w:r w:rsidRPr="008B4DA1">
        <w:rPr>
          <w:rFonts w:hint="cs"/>
          <w:b/>
          <w:bCs/>
          <w:rtl/>
        </w:rPr>
        <w:t>רואות</w:t>
      </w:r>
      <w:r w:rsidRPr="008B4DA1">
        <w:rPr>
          <w:b/>
          <w:bCs/>
          <w:rtl/>
        </w:rPr>
        <w:t xml:space="preserve">, </w:t>
      </w:r>
      <w:r w:rsidRPr="008B4DA1">
        <w:rPr>
          <w:rFonts w:hint="cs"/>
          <w:b/>
          <w:bCs/>
          <w:rtl/>
        </w:rPr>
        <w:t>אומד</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בסברא</w:t>
      </w:r>
      <w:r w:rsidRPr="008B4DA1">
        <w:rPr>
          <w:b/>
          <w:bCs/>
          <w:rtl/>
        </w:rPr>
        <w:t xml:space="preserve"> </w:t>
      </w:r>
      <w:r w:rsidRPr="008B4DA1">
        <w:rPr>
          <w:rFonts w:hint="cs"/>
          <w:b/>
          <w:bCs/>
          <w:rtl/>
        </w:rPr>
        <w:t>מועטת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שאותו</w:t>
      </w:r>
      <w:r w:rsidRPr="008B4DA1">
        <w:rPr>
          <w:rtl/>
        </w:rPr>
        <w:t xml:space="preserve"> </w:t>
      </w:r>
      <w:r w:rsidRPr="008B4DA1">
        <w:rPr>
          <w:rFonts w:hint="cs"/>
          <w:rtl/>
        </w:rPr>
        <w:t>שהיה</w:t>
      </w:r>
      <w:r w:rsidRPr="008B4DA1">
        <w:rPr>
          <w:rtl/>
        </w:rPr>
        <w:t xml:space="preserve"> </w:t>
      </w:r>
      <w:r w:rsidRPr="008B4DA1">
        <w:rPr>
          <w:rFonts w:hint="cs"/>
          <w:rtl/>
        </w:rPr>
        <w:t>בנו</w:t>
      </w:r>
      <w:r w:rsidRPr="008B4DA1">
        <w:rPr>
          <w:rtl/>
        </w:rPr>
        <w:t xml:space="preserve"> </w:t>
      </w:r>
      <w:r w:rsidRPr="008B4DA1">
        <w:rPr>
          <w:rFonts w:hint="cs"/>
          <w:rtl/>
        </w:rPr>
        <w:t>היתה</w:t>
      </w:r>
      <w:r w:rsidRPr="008B4DA1">
        <w:rPr>
          <w:rtl/>
        </w:rPr>
        <w:t xml:space="preserve"> </w:t>
      </w:r>
      <w:r w:rsidRPr="008B4DA1">
        <w:rPr>
          <w:rFonts w:hint="cs"/>
          <w:rtl/>
        </w:rPr>
        <w:t>יראתו</w:t>
      </w:r>
      <w:r w:rsidRPr="008B4DA1">
        <w:rPr>
          <w:rtl/>
        </w:rPr>
        <w:t xml:space="preserve"> </w:t>
      </w:r>
      <w:r w:rsidRPr="008B4DA1">
        <w:rPr>
          <w:rFonts w:hint="cs"/>
          <w:rtl/>
        </w:rPr>
        <w:t>תקועה</w:t>
      </w:r>
      <w:r w:rsidRPr="008B4DA1">
        <w:rPr>
          <w:rtl/>
        </w:rPr>
        <w:t xml:space="preserve"> </w:t>
      </w:r>
      <w:r w:rsidRPr="008B4DA1">
        <w:rPr>
          <w:rFonts w:hint="cs"/>
          <w:rtl/>
        </w:rPr>
        <w:t>בלבו</w:t>
      </w:r>
      <w:r w:rsidRPr="008B4DA1">
        <w:rPr>
          <w:rtl/>
        </w:rPr>
        <w:t xml:space="preserve"> </w:t>
      </w:r>
      <w:r w:rsidRPr="008B4DA1">
        <w:rPr>
          <w:rFonts w:hint="cs"/>
          <w:rtl/>
        </w:rPr>
        <w:t>וחלק</w:t>
      </w:r>
      <w:r w:rsidRPr="008B4DA1">
        <w:rPr>
          <w:rtl/>
        </w:rPr>
        <w:t xml:space="preserve"> </w:t>
      </w:r>
      <w:r w:rsidRPr="008B4DA1">
        <w:rPr>
          <w:rFonts w:hint="cs"/>
          <w:rtl/>
        </w:rPr>
        <w:t>כבוד</w:t>
      </w:r>
      <w:r w:rsidRPr="008B4DA1">
        <w:rPr>
          <w:rtl/>
        </w:rPr>
        <w:t xml:space="preserve"> </w:t>
      </w:r>
      <w:r w:rsidRPr="008B4DA1">
        <w:rPr>
          <w:rFonts w:hint="cs"/>
          <w:rtl/>
        </w:rPr>
        <w:t>לאביו</w:t>
      </w:r>
      <w:r w:rsidRPr="008B4DA1">
        <w:rPr>
          <w:rtl/>
        </w:rPr>
        <w:t xml:space="preserve">, </w:t>
      </w:r>
      <w:r w:rsidRPr="008B4DA1">
        <w:rPr>
          <w:rFonts w:hint="cs"/>
          <w:rtl/>
        </w:rPr>
        <w:t>ונתן</w:t>
      </w:r>
      <w:r w:rsidRPr="008B4DA1">
        <w:rPr>
          <w:rtl/>
        </w:rPr>
        <w:t xml:space="preserve"> </w:t>
      </w:r>
      <w:r w:rsidRPr="008B4DA1">
        <w:rPr>
          <w:rFonts w:hint="cs"/>
          <w:rtl/>
        </w:rPr>
        <w:t>לו</w:t>
      </w:r>
      <w:r w:rsidRPr="008B4DA1">
        <w:rPr>
          <w:rtl/>
        </w:rPr>
        <w:t xml:space="preserve"> </w:t>
      </w:r>
      <w:r w:rsidRPr="008B4DA1">
        <w:rPr>
          <w:rFonts w:hint="cs"/>
          <w:rtl/>
        </w:rPr>
        <w:t>כל</w:t>
      </w:r>
      <w:r w:rsidRPr="008B4DA1">
        <w:rPr>
          <w:rtl/>
        </w:rPr>
        <w:t xml:space="preserve"> </w:t>
      </w:r>
      <w:r w:rsidRPr="008B4DA1">
        <w:rPr>
          <w:rFonts w:hint="cs"/>
          <w:rtl/>
        </w:rPr>
        <w:t xml:space="preserve">הנכסים". </w:t>
      </w:r>
    </w:p>
    <w:p w14:paraId="7279B09F" w14:textId="77777777" w:rsidR="00644C97" w:rsidRPr="008B4DA1" w:rsidRDefault="00644C97" w:rsidP="00F8255E">
      <w:pPr>
        <w:pStyle w:val="a2"/>
        <w:rPr>
          <w:rtl/>
        </w:rPr>
      </w:pPr>
      <w:r w:rsidRPr="008B4DA1">
        <w:rPr>
          <w:rFonts w:hint="cs"/>
          <w:rtl/>
        </w:rPr>
        <w:t>על פי זה כתב הרא"ש במעשה שהיה באחד מבעלי דינים שסירב להשיב על שאלות הדיינים "יעשה</w:t>
      </w:r>
      <w:r w:rsidRPr="008B4DA1">
        <w:rPr>
          <w:rtl/>
        </w:rPr>
        <w:t xml:space="preserve"> </w:t>
      </w:r>
      <w:r w:rsidRPr="008B4DA1">
        <w:rPr>
          <w:rFonts w:hint="cs"/>
          <w:rtl/>
        </w:rPr>
        <w:t>הדיין</w:t>
      </w:r>
      <w:r w:rsidRPr="008B4DA1">
        <w:rPr>
          <w:rtl/>
        </w:rPr>
        <w:t xml:space="preserve"> </w:t>
      </w:r>
      <w:r w:rsidRPr="008B4DA1">
        <w:rPr>
          <w:rFonts w:hint="cs"/>
          <w:rtl/>
        </w:rPr>
        <w:t>כאילו</w:t>
      </w:r>
      <w:r w:rsidRPr="008B4DA1">
        <w:rPr>
          <w:rtl/>
        </w:rPr>
        <w:t xml:space="preserve"> </w:t>
      </w:r>
      <w:r w:rsidRPr="008B4DA1">
        <w:rPr>
          <w:rFonts w:hint="cs"/>
          <w:rtl/>
        </w:rPr>
        <w:t>השיב</w:t>
      </w:r>
      <w:r w:rsidRPr="008B4DA1">
        <w:rPr>
          <w:rtl/>
        </w:rPr>
        <w:t xml:space="preserve"> </w:t>
      </w:r>
      <w:r w:rsidRPr="008B4DA1">
        <w:rPr>
          <w:rFonts w:hint="cs"/>
          <w:rtl/>
        </w:rPr>
        <w:t>ונתברר</w:t>
      </w:r>
      <w:r w:rsidRPr="008B4DA1">
        <w:rPr>
          <w:rtl/>
        </w:rPr>
        <w:t xml:space="preserve"> </w:t>
      </w:r>
      <w:r w:rsidRPr="008B4DA1">
        <w:rPr>
          <w:rFonts w:hint="cs"/>
          <w:rtl/>
        </w:rPr>
        <w:t>שקרו</w:t>
      </w:r>
      <w:r w:rsidRPr="008B4DA1">
        <w:rPr>
          <w:rtl/>
        </w:rPr>
        <w:t xml:space="preserve">, </w:t>
      </w:r>
      <w:r w:rsidRPr="008B4DA1">
        <w:rPr>
          <w:rFonts w:hint="cs"/>
          <w:rtl/>
        </w:rPr>
        <w:t>ויחייבנו</w:t>
      </w:r>
      <w:r w:rsidRPr="008B4DA1">
        <w:rPr>
          <w:rtl/>
        </w:rPr>
        <w:t xml:space="preserve"> </w:t>
      </w:r>
      <w:r w:rsidRPr="008B4DA1">
        <w:rPr>
          <w:rFonts w:hint="cs"/>
          <w:rtl/>
        </w:rPr>
        <w:t>מאומד</w:t>
      </w:r>
      <w:r w:rsidRPr="008B4DA1">
        <w:rPr>
          <w:rtl/>
        </w:rPr>
        <w:t xml:space="preserve"> </w:t>
      </w:r>
      <w:r w:rsidRPr="008B4DA1">
        <w:rPr>
          <w:rFonts w:hint="cs"/>
          <w:rtl/>
        </w:rPr>
        <w:t>הדעת</w:t>
      </w:r>
      <w:r w:rsidRPr="008B4DA1">
        <w:rPr>
          <w:rtl/>
        </w:rPr>
        <w:t xml:space="preserve">, </w:t>
      </w:r>
      <w:r w:rsidRPr="008B4DA1">
        <w:rPr>
          <w:rFonts w:hint="cs"/>
          <w:rtl/>
        </w:rPr>
        <w:t>אעפ</w:t>
      </w:r>
      <w:r w:rsidRPr="008B4DA1">
        <w:rPr>
          <w:rtl/>
        </w:rPr>
        <w:t>"</w:t>
      </w:r>
      <w:r w:rsidRPr="008B4DA1">
        <w:rPr>
          <w:rFonts w:hint="cs"/>
          <w:rtl/>
        </w:rPr>
        <w:t>י</w:t>
      </w:r>
      <w:r w:rsidRPr="008B4DA1">
        <w:rPr>
          <w:rtl/>
        </w:rPr>
        <w:t xml:space="preserve"> </w:t>
      </w:r>
      <w:r w:rsidRPr="008B4DA1">
        <w:rPr>
          <w:rFonts w:hint="cs"/>
          <w:rtl/>
        </w:rPr>
        <w:t>שאינו</w:t>
      </w:r>
      <w:r w:rsidRPr="008B4DA1">
        <w:rPr>
          <w:rtl/>
        </w:rPr>
        <w:t xml:space="preserve"> </w:t>
      </w:r>
      <w:r w:rsidRPr="008B4DA1">
        <w:rPr>
          <w:rFonts w:hint="cs"/>
          <w:rtl/>
        </w:rPr>
        <w:t>יכול</w:t>
      </w:r>
      <w:r w:rsidRPr="008B4DA1">
        <w:rPr>
          <w:rtl/>
        </w:rPr>
        <w:t xml:space="preserve"> </w:t>
      </w:r>
      <w:r w:rsidRPr="008B4DA1">
        <w:rPr>
          <w:rFonts w:hint="cs"/>
          <w:rtl/>
        </w:rPr>
        <w:t>לברר</w:t>
      </w:r>
      <w:r w:rsidRPr="008B4DA1">
        <w:rPr>
          <w:rtl/>
        </w:rPr>
        <w:t xml:space="preserve"> </w:t>
      </w:r>
      <w:r w:rsidRPr="008B4DA1">
        <w:rPr>
          <w:rFonts w:hint="cs"/>
          <w:rtl/>
        </w:rPr>
        <w:t>שקרו</w:t>
      </w:r>
      <w:r w:rsidRPr="008B4DA1">
        <w:rPr>
          <w:rtl/>
        </w:rPr>
        <w:t xml:space="preserve"> </w:t>
      </w:r>
      <w:r w:rsidRPr="008B4DA1">
        <w:rPr>
          <w:rFonts w:hint="cs"/>
          <w:rtl/>
        </w:rPr>
        <w:t>בביאור</w:t>
      </w:r>
      <w:r w:rsidRPr="008B4DA1">
        <w:rPr>
          <w:rtl/>
        </w:rPr>
        <w:t xml:space="preserve"> </w:t>
      </w:r>
      <w:r w:rsidRPr="008B4DA1">
        <w:rPr>
          <w:rFonts w:hint="cs"/>
          <w:rtl/>
        </w:rPr>
        <w:t>ובפירוש</w:t>
      </w:r>
      <w:r w:rsidRPr="008B4DA1">
        <w:rPr>
          <w:rtl/>
        </w:rPr>
        <w:t xml:space="preserve">. </w:t>
      </w:r>
      <w:r w:rsidRPr="008B4DA1">
        <w:rPr>
          <w:rFonts w:hint="cs"/>
          <w:rtl/>
        </w:rPr>
        <w:t>מאחר</w:t>
      </w:r>
      <w:r w:rsidRPr="008B4DA1">
        <w:rPr>
          <w:rtl/>
        </w:rPr>
        <w:t xml:space="preserve"> </w:t>
      </w:r>
      <w:r w:rsidRPr="008B4DA1">
        <w:rPr>
          <w:rFonts w:hint="cs"/>
          <w:rtl/>
        </w:rPr>
        <w:t>שהעדר</w:t>
      </w:r>
      <w:r w:rsidRPr="008B4DA1">
        <w:rPr>
          <w:rtl/>
        </w:rPr>
        <w:t xml:space="preserve"> </w:t>
      </w:r>
      <w:r w:rsidRPr="008B4DA1">
        <w:rPr>
          <w:rFonts w:hint="cs"/>
          <w:rtl/>
        </w:rPr>
        <w:t>הביאור</w:t>
      </w:r>
      <w:r w:rsidRPr="008B4DA1">
        <w:rPr>
          <w:rtl/>
        </w:rPr>
        <w:t xml:space="preserve"> </w:t>
      </w:r>
      <w:r w:rsidRPr="008B4DA1">
        <w:rPr>
          <w:rFonts w:hint="cs"/>
          <w:rtl/>
        </w:rPr>
        <w:t>בא</w:t>
      </w:r>
      <w:r w:rsidRPr="008B4DA1">
        <w:rPr>
          <w:rtl/>
        </w:rPr>
        <w:t xml:space="preserve"> </w:t>
      </w:r>
      <w:r w:rsidRPr="008B4DA1">
        <w:rPr>
          <w:rFonts w:hint="cs"/>
          <w:rtl/>
        </w:rPr>
        <w:t>מחמת</w:t>
      </w:r>
      <w:r w:rsidRPr="008B4DA1">
        <w:rPr>
          <w:rtl/>
        </w:rPr>
        <w:t xml:space="preserve"> </w:t>
      </w:r>
      <w:r w:rsidRPr="008B4DA1">
        <w:rPr>
          <w:rFonts w:hint="cs"/>
          <w:rtl/>
        </w:rPr>
        <w:t>רמאותו</w:t>
      </w:r>
      <w:r w:rsidRPr="008B4DA1">
        <w:rPr>
          <w:rtl/>
        </w:rPr>
        <w:t xml:space="preserve">, </w:t>
      </w:r>
      <w:r w:rsidRPr="008B4DA1">
        <w:rPr>
          <w:rFonts w:hint="cs"/>
          <w:rtl/>
        </w:rPr>
        <w:t>שאינו</w:t>
      </w:r>
      <w:r w:rsidRPr="008B4DA1">
        <w:rPr>
          <w:rtl/>
        </w:rPr>
        <w:t xml:space="preserve"> </w:t>
      </w:r>
      <w:r w:rsidRPr="008B4DA1">
        <w:rPr>
          <w:rFonts w:hint="cs"/>
          <w:rtl/>
        </w:rPr>
        <w:t>רוצה</w:t>
      </w:r>
      <w:r w:rsidRPr="008B4DA1">
        <w:rPr>
          <w:rtl/>
        </w:rPr>
        <w:t xml:space="preserve"> </w:t>
      </w:r>
      <w:r w:rsidRPr="008B4DA1">
        <w:rPr>
          <w:rFonts w:hint="cs"/>
          <w:rtl/>
        </w:rPr>
        <w:t>להשיב</w:t>
      </w:r>
      <w:r w:rsidRPr="008B4DA1">
        <w:rPr>
          <w:rtl/>
        </w:rPr>
        <w:t xml:space="preserve"> </w:t>
      </w:r>
      <w:r w:rsidRPr="008B4DA1">
        <w:rPr>
          <w:rFonts w:hint="cs"/>
          <w:rtl/>
        </w:rPr>
        <w:t>על</w:t>
      </w:r>
      <w:r w:rsidRPr="008B4DA1">
        <w:rPr>
          <w:rtl/>
        </w:rPr>
        <w:t xml:space="preserve"> </w:t>
      </w:r>
      <w:r w:rsidRPr="008B4DA1">
        <w:rPr>
          <w:rFonts w:hint="cs"/>
          <w:rtl/>
        </w:rPr>
        <w:t>חקירות</w:t>
      </w:r>
      <w:r w:rsidRPr="008B4DA1">
        <w:rPr>
          <w:rtl/>
        </w:rPr>
        <w:t xml:space="preserve"> </w:t>
      </w:r>
      <w:r w:rsidRPr="008B4DA1">
        <w:rPr>
          <w:rFonts w:hint="cs"/>
          <w:rtl/>
        </w:rPr>
        <w:t>ודרישות</w:t>
      </w:r>
      <w:r w:rsidRPr="008B4DA1">
        <w:rPr>
          <w:rtl/>
        </w:rPr>
        <w:t xml:space="preserve"> </w:t>
      </w:r>
      <w:r w:rsidRPr="008B4DA1">
        <w:rPr>
          <w:rFonts w:hint="cs"/>
          <w:rtl/>
        </w:rPr>
        <w:t>כדי</w:t>
      </w:r>
      <w:r w:rsidRPr="008B4DA1">
        <w:rPr>
          <w:rtl/>
        </w:rPr>
        <w:t xml:space="preserve"> </w:t>
      </w:r>
      <w:r w:rsidRPr="008B4DA1">
        <w:rPr>
          <w:rFonts w:hint="cs"/>
          <w:rtl/>
        </w:rPr>
        <w:t>שיתברר</w:t>
      </w:r>
      <w:r w:rsidRPr="008B4DA1">
        <w:rPr>
          <w:rtl/>
        </w:rPr>
        <w:t xml:space="preserve"> </w:t>
      </w:r>
      <w:r w:rsidRPr="008B4DA1">
        <w:rPr>
          <w:rFonts w:hint="cs"/>
          <w:rtl/>
        </w:rPr>
        <w:t>שקרו</w:t>
      </w:r>
      <w:r w:rsidRPr="008B4DA1">
        <w:rPr>
          <w:rtl/>
        </w:rPr>
        <w:t xml:space="preserve">, </w:t>
      </w:r>
      <w:r w:rsidRPr="008B4DA1">
        <w:rPr>
          <w:rFonts w:hint="cs"/>
          <w:b/>
          <w:bCs/>
          <w:rtl/>
        </w:rPr>
        <w:t>אומדנא</w:t>
      </w:r>
      <w:r w:rsidRPr="008B4DA1">
        <w:rPr>
          <w:b/>
          <w:bCs/>
          <w:rtl/>
        </w:rPr>
        <w:t xml:space="preserve"> </w:t>
      </w:r>
      <w:r w:rsidRPr="008B4DA1">
        <w:rPr>
          <w:rFonts w:hint="cs"/>
          <w:b/>
          <w:bCs/>
          <w:rtl/>
        </w:rPr>
        <w:t>דמוכח</w:t>
      </w:r>
      <w:r w:rsidRPr="008B4DA1">
        <w:rPr>
          <w:b/>
          <w:bCs/>
          <w:rtl/>
        </w:rPr>
        <w:t xml:space="preserve"> </w:t>
      </w:r>
      <w:r w:rsidRPr="008B4DA1">
        <w:rPr>
          <w:rFonts w:hint="cs"/>
          <w:b/>
          <w:bCs/>
          <w:rtl/>
        </w:rPr>
        <w:t>הוא</w:t>
      </w:r>
      <w:r w:rsidRPr="008B4DA1">
        <w:rPr>
          <w:b/>
          <w:bCs/>
          <w:rtl/>
        </w:rPr>
        <w:t xml:space="preserve">, </w:t>
      </w:r>
      <w:r w:rsidRPr="008B4DA1">
        <w:rPr>
          <w:rFonts w:hint="cs"/>
          <w:b/>
          <w:bCs/>
          <w:rtl/>
        </w:rPr>
        <w:t>ורשאי</w:t>
      </w:r>
      <w:r w:rsidRPr="008B4DA1">
        <w:rPr>
          <w:b/>
          <w:bCs/>
          <w:rtl/>
        </w:rPr>
        <w:t xml:space="preserve"> </w:t>
      </w:r>
      <w:r w:rsidRPr="008B4DA1">
        <w:rPr>
          <w:rFonts w:hint="cs"/>
          <w:b/>
          <w:bCs/>
          <w:rtl/>
        </w:rPr>
        <w:t>דיין</w:t>
      </w:r>
      <w:r w:rsidRPr="008B4DA1">
        <w:rPr>
          <w:b/>
          <w:bCs/>
          <w:rtl/>
        </w:rPr>
        <w:t xml:space="preserve"> </w:t>
      </w:r>
      <w:r w:rsidRPr="008B4DA1">
        <w:rPr>
          <w:rFonts w:hint="cs"/>
          <w:b/>
          <w:bCs/>
          <w:rtl/>
        </w:rPr>
        <w:t>מומחה</w:t>
      </w:r>
      <w:r w:rsidRPr="008B4DA1">
        <w:rPr>
          <w:b/>
          <w:bCs/>
          <w:rtl/>
        </w:rPr>
        <w:t xml:space="preserve"> </w:t>
      </w:r>
      <w:r w:rsidRPr="008B4DA1">
        <w:rPr>
          <w:rFonts w:hint="cs"/>
          <w:b/>
          <w:bCs/>
          <w:rtl/>
        </w:rPr>
        <w:t>לדון</w:t>
      </w:r>
      <w:r w:rsidRPr="008B4DA1">
        <w:rPr>
          <w:b/>
          <w:bCs/>
          <w:rtl/>
        </w:rPr>
        <w:t xml:space="preserve"> </w:t>
      </w:r>
      <w:r w:rsidRPr="008B4DA1">
        <w:rPr>
          <w:rFonts w:hint="cs"/>
          <w:b/>
          <w:bCs/>
          <w:rtl/>
        </w:rPr>
        <w:t>באומדנא</w:t>
      </w:r>
      <w:r w:rsidRPr="008B4DA1">
        <w:rPr>
          <w:b/>
          <w:bCs/>
          <w:rtl/>
        </w:rPr>
        <w:t xml:space="preserve"> </w:t>
      </w:r>
      <w:r w:rsidRPr="008B4DA1">
        <w:rPr>
          <w:rFonts w:hint="cs"/>
          <w:b/>
          <w:bCs/>
          <w:rtl/>
        </w:rPr>
        <w:t>דמוכח</w:t>
      </w:r>
      <w:r w:rsidRPr="008B4DA1">
        <w:rPr>
          <w:b/>
          <w:bCs/>
          <w:rtl/>
        </w:rPr>
        <w:t xml:space="preserve"> </w:t>
      </w:r>
      <w:r w:rsidRPr="008B4DA1">
        <w:rPr>
          <w:rFonts w:hint="cs"/>
          <w:b/>
          <w:bCs/>
          <w:rtl/>
        </w:rPr>
        <w:t>כזה</w:t>
      </w:r>
      <w:r w:rsidRPr="008B4DA1">
        <w:rPr>
          <w:rFonts w:hint="cs"/>
          <w:rtl/>
        </w:rPr>
        <w:t>. ואין</w:t>
      </w:r>
      <w:r w:rsidRPr="008B4DA1">
        <w:rPr>
          <w:rtl/>
        </w:rPr>
        <w:t xml:space="preserve"> </w:t>
      </w:r>
      <w:r w:rsidRPr="008B4DA1">
        <w:rPr>
          <w:rFonts w:hint="cs"/>
          <w:rtl/>
        </w:rPr>
        <w:t>זה</w:t>
      </w:r>
      <w:r w:rsidRPr="008B4DA1">
        <w:rPr>
          <w:rtl/>
        </w:rPr>
        <w:t xml:space="preserve"> </w:t>
      </w:r>
      <w:r w:rsidRPr="008B4DA1">
        <w:rPr>
          <w:rFonts w:hint="cs"/>
          <w:rtl/>
        </w:rPr>
        <w:t>נקרא</w:t>
      </w:r>
      <w:r w:rsidRPr="008B4DA1">
        <w:rPr>
          <w:rtl/>
        </w:rPr>
        <w:t xml:space="preserve"> </w:t>
      </w:r>
      <w:r w:rsidRPr="008B4DA1">
        <w:rPr>
          <w:rFonts w:hint="cs"/>
          <w:rtl/>
        </w:rPr>
        <w:t>דברים</w:t>
      </w:r>
      <w:r w:rsidRPr="008B4DA1">
        <w:rPr>
          <w:rtl/>
        </w:rPr>
        <w:t xml:space="preserve"> </w:t>
      </w:r>
      <w:r w:rsidRPr="008B4DA1">
        <w:rPr>
          <w:rFonts w:hint="cs"/>
          <w:rtl/>
        </w:rPr>
        <w:t>שבלב</w:t>
      </w:r>
      <w:r w:rsidRPr="008B4DA1">
        <w:rPr>
          <w:rtl/>
        </w:rPr>
        <w:t xml:space="preserve">, </w:t>
      </w:r>
      <w:r w:rsidRPr="008B4DA1">
        <w:rPr>
          <w:rFonts w:hint="cs"/>
          <w:rtl/>
        </w:rPr>
        <w:t>מאחר</w:t>
      </w:r>
      <w:r w:rsidRPr="008B4DA1">
        <w:rPr>
          <w:rtl/>
        </w:rPr>
        <w:t xml:space="preserve"> </w:t>
      </w:r>
      <w:r w:rsidRPr="008B4DA1">
        <w:rPr>
          <w:rFonts w:hint="cs"/>
          <w:rtl/>
        </w:rPr>
        <w:t>שהיא</w:t>
      </w:r>
      <w:r w:rsidRPr="008B4DA1">
        <w:rPr>
          <w:rtl/>
        </w:rPr>
        <w:t xml:space="preserve"> </w:t>
      </w:r>
      <w:r w:rsidRPr="008B4DA1">
        <w:rPr>
          <w:rFonts w:hint="cs"/>
          <w:rtl/>
        </w:rPr>
        <w:t>סברא</w:t>
      </w:r>
      <w:r w:rsidRPr="008B4DA1">
        <w:rPr>
          <w:rtl/>
        </w:rPr>
        <w:t xml:space="preserve"> </w:t>
      </w:r>
      <w:r w:rsidRPr="008B4DA1">
        <w:rPr>
          <w:rFonts w:hint="cs"/>
          <w:rtl/>
        </w:rPr>
        <w:t>מוכחת,</w:t>
      </w:r>
      <w:r w:rsidRPr="008B4DA1">
        <w:rPr>
          <w:rtl/>
        </w:rPr>
        <w:t xml:space="preserve"> </w:t>
      </w:r>
      <w:r w:rsidRPr="008B4DA1">
        <w:rPr>
          <w:rFonts w:hint="cs"/>
          <w:b/>
          <w:bCs/>
          <w:rtl/>
        </w:rPr>
        <w:t>כההיא</w:t>
      </w:r>
      <w:r w:rsidRPr="008B4DA1">
        <w:rPr>
          <w:b/>
          <w:bCs/>
          <w:rtl/>
        </w:rPr>
        <w:t xml:space="preserve"> </w:t>
      </w:r>
      <w:r w:rsidRPr="008B4DA1">
        <w:rPr>
          <w:rFonts w:hint="cs"/>
          <w:b/>
          <w:bCs/>
          <w:rtl/>
        </w:rPr>
        <w:t>דרב בנאה</w:t>
      </w:r>
      <w:r w:rsidRPr="008B4DA1">
        <w:rPr>
          <w:rFonts w:hint="cs"/>
          <w:rtl/>
        </w:rPr>
        <w:t>". ומוסיף: "דבר</w:t>
      </w:r>
      <w:r w:rsidRPr="008B4DA1">
        <w:rPr>
          <w:rtl/>
        </w:rPr>
        <w:t xml:space="preserve"> </w:t>
      </w:r>
      <w:r w:rsidRPr="008B4DA1">
        <w:rPr>
          <w:rFonts w:hint="cs"/>
          <w:rtl/>
        </w:rPr>
        <w:t>שאין</w:t>
      </w:r>
      <w:r w:rsidRPr="008B4DA1">
        <w:rPr>
          <w:rtl/>
        </w:rPr>
        <w:t xml:space="preserve"> </w:t>
      </w:r>
      <w:r w:rsidRPr="008B4DA1">
        <w:rPr>
          <w:rFonts w:hint="cs"/>
          <w:rtl/>
        </w:rPr>
        <w:t>יכול</w:t>
      </w:r>
      <w:r w:rsidRPr="008B4DA1">
        <w:rPr>
          <w:rtl/>
        </w:rPr>
        <w:t xml:space="preserve"> </w:t>
      </w:r>
      <w:r w:rsidRPr="008B4DA1">
        <w:rPr>
          <w:rFonts w:hint="cs"/>
          <w:rtl/>
        </w:rPr>
        <w:t>להתברר</w:t>
      </w:r>
      <w:r w:rsidRPr="008B4DA1">
        <w:rPr>
          <w:rtl/>
        </w:rPr>
        <w:t xml:space="preserve"> </w:t>
      </w:r>
      <w:r w:rsidRPr="008B4DA1">
        <w:rPr>
          <w:rFonts w:hint="cs"/>
          <w:rtl/>
        </w:rPr>
        <w:t>כלל</w:t>
      </w:r>
      <w:r w:rsidRPr="008B4DA1">
        <w:rPr>
          <w:rtl/>
        </w:rPr>
        <w:t xml:space="preserve"> </w:t>
      </w:r>
      <w:r w:rsidRPr="008B4DA1">
        <w:rPr>
          <w:rFonts w:hint="cs"/>
          <w:rtl/>
        </w:rPr>
        <w:t>דן</w:t>
      </w:r>
      <w:r w:rsidRPr="008B4DA1">
        <w:rPr>
          <w:rtl/>
        </w:rPr>
        <w:t xml:space="preserve"> </w:t>
      </w:r>
      <w:r w:rsidRPr="008B4DA1">
        <w:rPr>
          <w:rFonts w:hint="cs"/>
          <w:rtl/>
        </w:rPr>
        <w:t>אותו</w:t>
      </w:r>
      <w:r w:rsidRPr="008B4DA1">
        <w:rPr>
          <w:rtl/>
        </w:rPr>
        <w:t xml:space="preserve"> </w:t>
      </w:r>
      <w:r w:rsidRPr="008B4DA1">
        <w:rPr>
          <w:rFonts w:hint="cs"/>
          <w:rtl/>
        </w:rPr>
        <w:t>רבי</w:t>
      </w:r>
      <w:r w:rsidRPr="008B4DA1">
        <w:rPr>
          <w:rtl/>
        </w:rPr>
        <w:t xml:space="preserve"> </w:t>
      </w:r>
      <w:r w:rsidRPr="008B4DA1">
        <w:rPr>
          <w:rFonts w:hint="cs"/>
          <w:rtl/>
        </w:rPr>
        <w:t>בנאה</w:t>
      </w:r>
      <w:r w:rsidRPr="008B4DA1">
        <w:rPr>
          <w:rtl/>
        </w:rPr>
        <w:t xml:space="preserve"> </w:t>
      </w:r>
      <w:r w:rsidRPr="008B4DA1">
        <w:rPr>
          <w:rFonts w:hint="cs"/>
          <w:rtl/>
        </w:rPr>
        <w:t>באומדנא</w:t>
      </w:r>
      <w:r w:rsidRPr="008B4DA1">
        <w:rPr>
          <w:rtl/>
        </w:rPr>
        <w:t xml:space="preserve"> </w:t>
      </w:r>
      <w:r w:rsidRPr="008B4DA1">
        <w:rPr>
          <w:rFonts w:hint="cs"/>
          <w:rtl/>
        </w:rPr>
        <w:t>דמוכח</w:t>
      </w:r>
      <w:r w:rsidRPr="008B4DA1">
        <w:rPr>
          <w:rtl/>
        </w:rPr>
        <w:t xml:space="preserve">, </w:t>
      </w:r>
      <w:r w:rsidRPr="008B4DA1">
        <w:rPr>
          <w:rFonts w:hint="cs"/>
          <w:rtl/>
        </w:rPr>
        <w:t>כל</w:t>
      </w:r>
      <w:r w:rsidRPr="008B4DA1">
        <w:rPr>
          <w:rtl/>
        </w:rPr>
        <w:t xml:space="preserve"> </w:t>
      </w:r>
      <w:r w:rsidRPr="008B4DA1">
        <w:rPr>
          <w:rFonts w:hint="cs"/>
          <w:rtl/>
        </w:rPr>
        <w:t>שכן</w:t>
      </w:r>
      <w:r w:rsidRPr="008B4DA1">
        <w:rPr>
          <w:rtl/>
        </w:rPr>
        <w:t xml:space="preserve"> </w:t>
      </w:r>
      <w:r w:rsidRPr="008B4DA1">
        <w:rPr>
          <w:rFonts w:hint="cs"/>
          <w:rtl/>
        </w:rPr>
        <w:t>בנדון</w:t>
      </w:r>
      <w:r w:rsidRPr="008B4DA1">
        <w:rPr>
          <w:rtl/>
        </w:rPr>
        <w:t xml:space="preserve"> </w:t>
      </w:r>
      <w:r w:rsidRPr="008B4DA1">
        <w:rPr>
          <w:rFonts w:hint="cs"/>
          <w:rtl/>
        </w:rPr>
        <w:t>זה</w:t>
      </w:r>
      <w:r w:rsidRPr="008B4DA1">
        <w:rPr>
          <w:rtl/>
        </w:rPr>
        <w:t xml:space="preserve">, </w:t>
      </w:r>
      <w:r w:rsidRPr="008B4DA1">
        <w:rPr>
          <w:rFonts w:hint="cs"/>
          <w:rtl/>
        </w:rPr>
        <w:t>שהרמאי</w:t>
      </w:r>
      <w:r w:rsidRPr="008B4DA1">
        <w:rPr>
          <w:rtl/>
        </w:rPr>
        <w:t xml:space="preserve"> </w:t>
      </w:r>
      <w:r w:rsidRPr="008B4DA1">
        <w:rPr>
          <w:rFonts w:hint="cs"/>
          <w:rtl/>
        </w:rPr>
        <w:t>מונע</w:t>
      </w:r>
      <w:r w:rsidRPr="008B4DA1">
        <w:rPr>
          <w:rtl/>
        </w:rPr>
        <w:t xml:space="preserve"> </w:t>
      </w:r>
      <w:r w:rsidRPr="008B4DA1">
        <w:rPr>
          <w:rFonts w:hint="cs"/>
          <w:rtl/>
        </w:rPr>
        <w:t>ההתבררות</w:t>
      </w:r>
      <w:r w:rsidRPr="008B4DA1">
        <w:rPr>
          <w:rtl/>
        </w:rPr>
        <w:t xml:space="preserve"> </w:t>
      </w:r>
      <w:r w:rsidRPr="008B4DA1">
        <w:rPr>
          <w:rFonts w:hint="cs"/>
          <w:rtl/>
        </w:rPr>
        <w:t>והעדרת</w:t>
      </w:r>
      <w:r w:rsidRPr="008B4DA1">
        <w:rPr>
          <w:rtl/>
        </w:rPr>
        <w:t xml:space="preserve"> </w:t>
      </w:r>
      <w:r w:rsidRPr="008B4DA1">
        <w:rPr>
          <w:rFonts w:hint="cs"/>
          <w:rtl/>
        </w:rPr>
        <w:t>האמת</w:t>
      </w:r>
      <w:r w:rsidRPr="008B4DA1">
        <w:rPr>
          <w:rtl/>
        </w:rPr>
        <w:t xml:space="preserve">, </w:t>
      </w:r>
      <w:r w:rsidRPr="008B4DA1">
        <w:rPr>
          <w:rFonts w:hint="cs"/>
          <w:b/>
          <w:bCs/>
          <w:rtl/>
        </w:rPr>
        <w:t>שראוי</w:t>
      </w:r>
      <w:r w:rsidRPr="008B4DA1">
        <w:rPr>
          <w:b/>
          <w:bCs/>
          <w:rtl/>
        </w:rPr>
        <w:t xml:space="preserve"> </w:t>
      </w:r>
      <w:r w:rsidRPr="008B4DA1">
        <w:rPr>
          <w:rFonts w:hint="cs"/>
          <w:b/>
          <w:bCs/>
          <w:rtl/>
        </w:rPr>
        <w:t>לדונו</w:t>
      </w:r>
      <w:r w:rsidRPr="008B4DA1">
        <w:rPr>
          <w:b/>
          <w:bCs/>
          <w:rtl/>
        </w:rPr>
        <w:t xml:space="preserve"> </w:t>
      </w:r>
      <w:r w:rsidRPr="008B4DA1">
        <w:rPr>
          <w:rFonts w:hint="cs"/>
          <w:b/>
          <w:bCs/>
          <w:rtl/>
        </w:rPr>
        <w:t>לפי</w:t>
      </w:r>
      <w:r w:rsidRPr="008B4DA1">
        <w:rPr>
          <w:b/>
          <w:bCs/>
          <w:rtl/>
        </w:rPr>
        <w:t xml:space="preserve"> </w:t>
      </w:r>
      <w:r w:rsidRPr="008B4DA1">
        <w:rPr>
          <w:rFonts w:hint="cs"/>
          <w:b/>
          <w:bCs/>
          <w:rtl/>
        </w:rPr>
        <w:t>אומד</w:t>
      </w:r>
      <w:r w:rsidRPr="008B4DA1">
        <w:rPr>
          <w:b/>
          <w:bCs/>
          <w:rtl/>
        </w:rPr>
        <w:t xml:space="preserve"> </w:t>
      </w:r>
      <w:r w:rsidRPr="008B4DA1">
        <w:rPr>
          <w:rFonts w:hint="cs"/>
          <w:b/>
          <w:bCs/>
          <w:rtl/>
        </w:rPr>
        <w:t>דעתו</w:t>
      </w:r>
      <w:r w:rsidRPr="008B4DA1">
        <w:rPr>
          <w:rtl/>
        </w:rPr>
        <w:t xml:space="preserve">. </w:t>
      </w:r>
      <w:r w:rsidRPr="008B4DA1">
        <w:rPr>
          <w:rFonts w:hint="cs"/>
          <w:rtl/>
        </w:rPr>
        <w:t>והחכם</w:t>
      </w:r>
      <w:r w:rsidRPr="008B4DA1">
        <w:rPr>
          <w:rtl/>
        </w:rPr>
        <w:t xml:space="preserve"> </w:t>
      </w:r>
      <w:r w:rsidRPr="008B4DA1">
        <w:rPr>
          <w:rFonts w:hint="cs"/>
          <w:b/>
          <w:bCs/>
          <w:rtl/>
        </w:rPr>
        <w:t>רבי</w:t>
      </w:r>
      <w:r w:rsidRPr="008B4DA1">
        <w:rPr>
          <w:b/>
          <w:bCs/>
          <w:rtl/>
        </w:rPr>
        <w:t xml:space="preserve"> </w:t>
      </w:r>
      <w:r w:rsidRPr="008B4DA1">
        <w:rPr>
          <w:rFonts w:hint="cs"/>
          <w:b/>
          <w:bCs/>
          <w:rtl/>
        </w:rPr>
        <w:t>בנאה</w:t>
      </w:r>
      <w:r w:rsidRPr="008B4DA1">
        <w:rPr>
          <w:b/>
          <w:bCs/>
          <w:rtl/>
        </w:rPr>
        <w:t xml:space="preserve"> </w:t>
      </w:r>
      <w:r w:rsidRPr="008B4DA1">
        <w:rPr>
          <w:rFonts w:hint="cs"/>
          <w:b/>
          <w:bCs/>
          <w:rtl/>
        </w:rPr>
        <w:t>למד</w:t>
      </w:r>
      <w:r w:rsidRPr="008B4DA1">
        <w:rPr>
          <w:b/>
          <w:bCs/>
          <w:rtl/>
        </w:rPr>
        <w:t xml:space="preserve"> </w:t>
      </w:r>
      <w:r w:rsidRPr="008B4DA1">
        <w:rPr>
          <w:rFonts w:hint="cs"/>
          <w:b/>
          <w:bCs/>
          <w:rtl/>
        </w:rPr>
        <w:t>דין</w:t>
      </w:r>
      <w:r w:rsidRPr="008B4DA1">
        <w:rPr>
          <w:b/>
          <w:bCs/>
          <w:rtl/>
        </w:rPr>
        <w:t xml:space="preserve"> </w:t>
      </w:r>
      <w:r w:rsidRPr="008B4DA1">
        <w:rPr>
          <w:rFonts w:hint="cs"/>
          <w:b/>
          <w:bCs/>
          <w:rtl/>
        </w:rPr>
        <w:t>זה</w:t>
      </w:r>
      <w:r w:rsidRPr="008B4DA1">
        <w:rPr>
          <w:b/>
          <w:bCs/>
          <w:rtl/>
        </w:rPr>
        <w:t xml:space="preserve"> </w:t>
      </w:r>
      <w:r w:rsidRPr="008B4DA1">
        <w:rPr>
          <w:rFonts w:hint="cs"/>
          <w:b/>
          <w:bCs/>
          <w:rtl/>
        </w:rPr>
        <w:t>מאב</w:t>
      </w:r>
      <w:r w:rsidRPr="008B4DA1">
        <w:rPr>
          <w:b/>
          <w:bCs/>
          <w:rtl/>
        </w:rPr>
        <w:t xml:space="preserve"> </w:t>
      </w:r>
      <w:r w:rsidRPr="008B4DA1">
        <w:rPr>
          <w:rFonts w:hint="cs"/>
          <w:b/>
          <w:bCs/>
          <w:rtl/>
        </w:rPr>
        <w:t>החכמים</w:t>
      </w:r>
      <w:r w:rsidRPr="008B4DA1">
        <w:rPr>
          <w:rtl/>
        </w:rPr>
        <w:t xml:space="preserve">, </w:t>
      </w:r>
      <w:r w:rsidRPr="008B4DA1">
        <w:rPr>
          <w:rFonts w:hint="cs"/>
          <w:rtl/>
        </w:rPr>
        <w:t>במעשה</w:t>
      </w:r>
      <w:r w:rsidRPr="008B4DA1">
        <w:rPr>
          <w:rtl/>
        </w:rPr>
        <w:t xml:space="preserve"> </w:t>
      </w:r>
      <w:r w:rsidRPr="008B4DA1">
        <w:rPr>
          <w:rFonts w:hint="cs"/>
          <w:rtl/>
        </w:rPr>
        <w:t>שבא</w:t>
      </w:r>
      <w:r w:rsidRPr="008B4DA1">
        <w:rPr>
          <w:rtl/>
        </w:rPr>
        <w:t xml:space="preserve"> </w:t>
      </w:r>
      <w:r w:rsidRPr="008B4DA1">
        <w:rPr>
          <w:rFonts w:hint="cs"/>
          <w:rtl/>
        </w:rPr>
        <w:t>לפניו</w:t>
      </w:r>
      <w:r w:rsidRPr="008B4DA1">
        <w:rPr>
          <w:rtl/>
        </w:rPr>
        <w:t xml:space="preserve"> </w:t>
      </w:r>
      <w:r w:rsidRPr="008B4DA1">
        <w:rPr>
          <w:rFonts w:hint="cs"/>
          <w:rtl/>
        </w:rPr>
        <w:t>על</w:t>
      </w:r>
      <w:r w:rsidRPr="008B4DA1">
        <w:rPr>
          <w:rtl/>
        </w:rPr>
        <w:t xml:space="preserve"> </w:t>
      </w:r>
      <w:r w:rsidRPr="008B4DA1">
        <w:rPr>
          <w:rFonts w:hint="cs"/>
          <w:rtl/>
        </w:rPr>
        <w:t>שתים</w:t>
      </w:r>
      <w:r w:rsidRPr="008B4DA1">
        <w:rPr>
          <w:rtl/>
        </w:rPr>
        <w:t xml:space="preserve"> </w:t>
      </w:r>
      <w:r w:rsidRPr="008B4DA1">
        <w:rPr>
          <w:rFonts w:hint="cs"/>
          <w:rtl/>
        </w:rPr>
        <w:t>נשים</w:t>
      </w:r>
      <w:r w:rsidRPr="008B4DA1">
        <w:rPr>
          <w:rtl/>
        </w:rPr>
        <w:t xml:space="preserve"> </w:t>
      </w:r>
      <w:r w:rsidRPr="008B4DA1">
        <w:rPr>
          <w:rFonts w:hint="cs"/>
          <w:rtl/>
        </w:rPr>
        <w:t>זונות</w:t>
      </w:r>
      <w:r w:rsidRPr="008B4DA1">
        <w:rPr>
          <w:rtl/>
        </w:rPr>
        <w:t xml:space="preserve">, </w:t>
      </w:r>
      <w:r w:rsidRPr="008B4DA1">
        <w:rPr>
          <w:rFonts w:hint="cs"/>
          <w:rtl/>
        </w:rPr>
        <w:t>שדן</w:t>
      </w:r>
      <w:r w:rsidRPr="008B4DA1">
        <w:rPr>
          <w:rtl/>
        </w:rPr>
        <w:t xml:space="preserve"> </w:t>
      </w:r>
      <w:r w:rsidRPr="008B4DA1">
        <w:rPr>
          <w:rFonts w:hint="cs"/>
          <w:rtl/>
        </w:rPr>
        <w:t>אותן</w:t>
      </w:r>
      <w:r w:rsidRPr="008B4DA1">
        <w:rPr>
          <w:rtl/>
        </w:rPr>
        <w:t xml:space="preserve"> </w:t>
      </w:r>
      <w:r w:rsidRPr="008B4DA1">
        <w:rPr>
          <w:rFonts w:hint="cs"/>
          <w:rtl/>
        </w:rPr>
        <w:t>באומד</w:t>
      </w:r>
      <w:r w:rsidRPr="008B4DA1">
        <w:rPr>
          <w:rtl/>
        </w:rPr>
        <w:t xml:space="preserve"> </w:t>
      </w:r>
      <w:r w:rsidRPr="008B4DA1">
        <w:rPr>
          <w:rFonts w:hint="cs"/>
          <w:rtl/>
        </w:rPr>
        <w:t>הדעת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שרחמי</w:t>
      </w:r>
      <w:r w:rsidRPr="008B4DA1">
        <w:rPr>
          <w:rtl/>
        </w:rPr>
        <w:t xml:space="preserve"> </w:t>
      </w:r>
      <w:r w:rsidRPr="008B4DA1">
        <w:rPr>
          <w:rFonts w:hint="cs"/>
          <w:rtl/>
        </w:rPr>
        <w:t>האם</w:t>
      </w:r>
      <w:r w:rsidRPr="008B4DA1">
        <w:rPr>
          <w:rtl/>
        </w:rPr>
        <w:t xml:space="preserve"> </w:t>
      </w:r>
      <w:r w:rsidRPr="008B4DA1">
        <w:rPr>
          <w:rFonts w:hint="cs"/>
          <w:rtl/>
        </w:rPr>
        <w:t>נכמרו</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ונתן</w:t>
      </w:r>
      <w:r w:rsidRPr="008B4DA1">
        <w:rPr>
          <w:rtl/>
        </w:rPr>
        <w:t xml:space="preserve"> </w:t>
      </w:r>
      <w:r w:rsidRPr="008B4DA1">
        <w:rPr>
          <w:rFonts w:hint="cs"/>
          <w:rtl/>
        </w:rPr>
        <w:t>לה</w:t>
      </w:r>
      <w:r w:rsidRPr="008B4DA1">
        <w:rPr>
          <w:rtl/>
        </w:rPr>
        <w:t xml:space="preserve"> </w:t>
      </w:r>
      <w:r w:rsidRPr="008B4DA1">
        <w:rPr>
          <w:rFonts w:hint="cs"/>
          <w:rtl/>
        </w:rPr>
        <w:t>הילד</w:t>
      </w:r>
      <w:r w:rsidRPr="008B4DA1">
        <w:rPr>
          <w:rtl/>
        </w:rPr>
        <w:t xml:space="preserve"> </w:t>
      </w:r>
      <w:r w:rsidRPr="008B4DA1">
        <w:rPr>
          <w:rFonts w:hint="cs"/>
          <w:rtl/>
        </w:rPr>
        <w:t>החי, והופיעה</w:t>
      </w:r>
      <w:r w:rsidRPr="008B4DA1">
        <w:rPr>
          <w:rtl/>
        </w:rPr>
        <w:t xml:space="preserve"> </w:t>
      </w:r>
      <w:r w:rsidRPr="008B4DA1">
        <w:rPr>
          <w:rFonts w:hint="cs"/>
          <w:rtl/>
        </w:rPr>
        <w:t>רוח</w:t>
      </w:r>
      <w:r w:rsidRPr="008B4DA1">
        <w:rPr>
          <w:rtl/>
        </w:rPr>
        <w:t xml:space="preserve"> </w:t>
      </w:r>
      <w:r w:rsidRPr="008B4DA1">
        <w:rPr>
          <w:rFonts w:hint="cs"/>
          <w:rtl/>
        </w:rPr>
        <w:t>הקדש</w:t>
      </w:r>
      <w:r w:rsidRPr="008B4DA1">
        <w:rPr>
          <w:rtl/>
        </w:rPr>
        <w:t xml:space="preserve"> </w:t>
      </w:r>
      <w:r w:rsidRPr="008B4DA1">
        <w:rPr>
          <w:rFonts w:hint="cs"/>
          <w:rtl/>
        </w:rPr>
        <w:t>בבית</w:t>
      </w:r>
      <w:r w:rsidRPr="008B4DA1">
        <w:rPr>
          <w:rtl/>
        </w:rPr>
        <w:t xml:space="preserve"> </w:t>
      </w:r>
      <w:r w:rsidRPr="008B4DA1">
        <w:rPr>
          <w:rFonts w:hint="cs"/>
          <w:rtl/>
        </w:rPr>
        <w:t>דינו</w:t>
      </w:r>
      <w:r w:rsidRPr="008B4DA1">
        <w:rPr>
          <w:rtl/>
        </w:rPr>
        <w:t xml:space="preserve"> </w:t>
      </w:r>
      <w:r w:rsidRPr="008B4DA1">
        <w:rPr>
          <w:rFonts w:hint="cs"/>
          <w:rtl/>
        </w:rPr>
        <w:t>של</w:t>
      </w:r>
      <w:r w:rsidRPr="008B4DA1">
        <w:rPr>
          <w:rtl/>
        </w:rPr>
        <w:t xml:space="preserve"> </w:t>
      </w:r>
      <w:r w:rsidRPr="008B4DA1">
        <w:rPr>
          <w:rFonts w:hint="cs"/>
          <w:rtl/>
        </w:rPr>
        <w:t>שלמה</w:t>
      </w:r>
      <w:r w:rsidRPr="008B4DA1">
        <w:rPr>
          <w:rtl/>
        </w:rPr>
        <w:t xml:space="preserve"> </w:t>
      </w:r>
      <w:r w:rsidRPr="008B4DA1">
        <w:rPr>
          <w:rFonts w:hint="cs"/>
          <w:rtl/>
        </w:rPr>
        <w:t>ע"ה ואמרה</w:t>
      </w:r>
      <w:r w:rsidRPr="008B4DA1">
        <w:rPr>
          <w:rtl/>
        </w:rPr>
        <w:t xml:space="preserve"> </w:t>
      </w:r>
      <w:r w:rsidRPr="008B4DA1">
        <w:rPr>
          <w:rFonts w:hint="cs"/>
          <w:rtl/>
        </w:rPr>
        <w:t>כי</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 xml:space="preserve">. </w:t>
      </w:r>
      <w:r w:rsidRPr="008B4DA1">
        <w:rPr>
          <w:rFonts w:hint="cs"/>
          <w:rtl/>
        </w:rPr>
        <w:t>וכן</w:t>
      </w:r>
      <w:r w:rsidRPr="008B4DA1">
        <w:rPr>
          <w:rtl/>
        </w:rPr>
        <w:t xml:space="preserve"> </w:t>
      </w:r>
      <w:r w:rsidRPr="008B4DA1">
        <w:rPr>
          <w:rFonts w:hint="cs"/>
          <w:rtl/>
        </w:rPr>
        <w:t>חכמי</w:t>
      </w:r>
      <w:r w:rsidRPr="008B4DA1">
        <w:rPr>
          <w:rtl/>
        </w:rPr>
        <w:t xml:space="preserve"> </w:t>
      </w:r>
      <w:r w:rsidRPr="008B4DA1">
        <w:rPr>
          <w:rFonts w:hint="cs"/>
          <w:rtl/>
        </w:rPr>
        <w:t>הגמרא</w:t>
      </w:r>
      <w:r w:rsidRPr="008B4DA1">
        <w:rPr>
          <w:rtl/>
        </w:rPr>
        <w:t xml:space="preserve"> </w:t>
      </w:r>
      <w:r w:rsidRPr="008B4DA1">
        <w:rPr>
          <w:rFonts w:hint="cs"/>
          <w:rtl/>
        </w:rPr>
        <w:t>בכמה</w:t>
      </w:r>
      <w:r w:rsidRPr="008B4DA1">
        <w:rPr>
          <w:rtl/>
        </w:rPr>
        <w:t xml:space="preserve"> </w:t>
      </w:r>
      <w:r w:rsidRPr="008B4DA1">
        <w:rPr>
          <w:rFonts w:hint="cs"/>
          <w:rtl/>
        </w:rPr>
        <w:t>מקומות</w:t>
      </w:r>
      <w:r w:rsidRPr="008B4DA1">
        <w:rPr>
          <w:rtl/>
        </w:rPr>
        <w:t xml:space="preserve"> </w:t>
      </w:r>
      <w:r w:rsidRPr="008B4DA1">
        <w:rPr>
          <w:rFonts w:hint="cs"/>
          <w:b/>
          <w:bCs/>
          <w:rtl/>
        </w:rPr>
        <w:t>פסקו</w:t>
      </w:r>
      <w:r w:rsidRPr="008B4DA1">
        <w:rPr>
          <w:b/>
          <w:bCs/>
          <w:rtl/>
        </w:rPr>
        <w:t xml:space="preserve"> </w:t>
      </w:r>
      <w:r w:rsidRPr="008B4DA1">
        <w:rPr>
          <w:rFonts w:hint="cs"/>
          <w:b/>
          <w:bCs/>
          <w:rtl/>
        </w:rPr>
        <w:t>דבריהם</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דעתם</w:t>
      </w:r>
      <w:r w:rsidRPr="008B4DA1">
        <w:rPr>
          <w:rFonts w:hint="cs"/>
          <w:rtl/>
        </w:rPr>
        <w:t xml:space="preserve">" [ומציין את סוגיות הגמרא שהובאו לעיל]. </w:t>
      </w:r>
    </w:p>
    <w:p w14:paraId="4179B9ED" w14:textId="77777777" w:rsidR="00644C97" w:rsidRPr="008B4DA1" w:rsidRDefault="00644C97" w:rsidP="00F8255E">
      <w:pPr>
        <w:pStyle w:val="a2"/>
        <w:rPr>
          <w:rtl/>
        </w:rPr>
      </w:pPr>
      <w:r w:rsidRPr="008B4DA1">
        <w:rPr>
          <w:rFonts w:hint="cs"/>
          <w:rtl/>
        </w:rPr>
        <w:t>דברי הרא"ש הובאו להלכה בבית יוסף ובשו"ע בהלכות דיינים (חו"מ סי' טו סע' ד-ה) "כשהנתבע</w:t>
      </w:r>
      <w:r w:rsidRPr="008B4DA1">
        <w:rPr>
          <w:rtl/>
        </w:rPr>
        <w:t xml:space="preserve"> </w:t>
      </w:r>
      <w:r w:rsidRPr="008B4DA1">
        <w:rPr>
          <w:rFonts w:hint="cs"/>
          <w:rtl/>
        </w:rPr>
        <w:t>רמאי</w:t>
      </w:r>
      <w:r w:rsidRPr="008B4DA1">
        <w:rPr>
          <w:rtl/>
        </w:rPr>
        <w:t xml:space="preserve"> </w:t>
      </w:r>
      <w:r w:rsidRPr="008B4DA1">
        <w:rPr>
          <w:rFonts w:hint="cs"/>
          <w:rtl/>
        </w:rPr>
        <w:t>אין</w:t>
      </w:r>
      <w:r w:rsidRPr="008B4DA1">
        <w:rPr>
          <w:rtl/>
        </w:rPr>
        <w:t xml:space="preserve"> </w:t>
      </w:r>
      <w:r w:rsidRPr="008B4DA1">
        <w:rPr>
          <w:rFonts w:hint="cs"/>
          <w:rtl/>
        </w:rPr>
        <w:t>הדיין</w:t>
      </w:r>
      <w:r w:rsidRPr="008B4DA1">
        <w:rPr>
          <w:rtl/>
        </w:rPr>
        <w:t xml:space="preserve"> </w:t>
      </w:r>
      <w:r w:rsidRPr="008B4DA1">
        <w:rPr>
          <w:rFonts w:hint="cs"/>
          <w:rtl/>
        </w:rPr>
        <w:t>יכול</w:t>
      </w:r>
      <w:r w:rsidRPr="008B4DA1">
        <w:rPr>
          <w:rtl/>
        </w:rPr>
        <w:t xml:space="preserve"> </w:t>
      </w:r>
      <w:r w:rsidRPr="008B4DA1">
        <w:rPr>
          <w:rFonts w:hint="cs"/>
          <w:rtl/>
        </w:rPr>
        <w:t>להסתלק</w:t>
      </w:r>
      <w:r w:rsidRPr="008B4DA1">
        <w:rPr>
          <w:rtl/>
        </w:rPr>
        <w:t xml:space="preserve"> </w:t>
      </w:r>
      <w:r w:rsidRPr="008B4DA1">
        <w:rPr>
          <w:rFonts w:hint="cs"/>
          <w:rtl/>
        </w:rPr>
        <w:t>שלא</w:t>
      </w:r>
      <w:r w:rsidRPr="008B4DA1">
        <w:rPr>
          <w:rtl/>
        </w:rPr>
        <w:t xml:space="preserve"> </w:t>
      </w:r>
      <w:r w:rsidRPr="008B4DA1">
        <w:rPr>
          <w:rFonts w:hint="cs"/>
          <w:rtl/>
        </w:rPr>
        <w:t>ישתכר</w:t>
      </w:r>
      <w:r w:rsidRPr="008B4DA1">
        <w:rPr>
          <w:rtl/>
        </w:rPr>
        <w:t xml:space="preserve"> </w:t>
      </w:r>
      <w:r w:rsidRPr="008B4DA1">
        <w:rPr>
          <w:rFonts w:hint="cs"/>
          <w:rtl/>
        </w:rPr>
        <w:t>הרמאי</w:t>
      </w:r>
      <w:r w:rsidRPr="008B4DA1">
        <w:rPr>
          <w:rtl/>
        </w:rPr>
        <w:t xml:space="preserve"> </w:t>
      </w:r>
      <w:r w:rsidRPr="008B4DA1">
        <w:rPr>
          <w:rFonts w:hint="cs"/>
          <w:rtl/>
        </w:rPr>
        <w:t>ברמאותו</w:t>
      </w:r>
      <w:r w:rsidRPr="008B4DA1">
        <w:rPr>
          <w:rtl/>
        </w:rPr>
        <w:t xml:space="preserve"> </w:t>
      </w:r>
      <w:r w:rsidRPr="008B4DA1">
        <w:rPr>
          <w:rFonts w:hint="cs"/>
          <w:rtl/>
        </w:rPr>
        <w:t>אלא</w:t>
      </w:r>
      <w:r w:rsidRPr="008B4DA1">
        <w:rPr>
          <w:rtl/>
        </w:rPr>
        <w:t xml:space="preserve"> </w:t>
      </w:r>
      <w:r w:rsidRPr="008B4DA1">
        <w:rPr>
          <w:rFonts w:hint="cs"/>
          <w:rtl/>
        </w:rPr>
        <w:lastRenderedPageBreak/>
        <w:t>ידרוש</w:t>
      </w:r>
      <w:r w:rsidRPr="008B4DA1">
        <w:rPr>
          <w:rtl/>
        </w:rPr>
        <w:t xml:space="preserve"> </w:t>
      </w:r>
      <w:r w:rsidRPr="008B4DA1">
        <w:rPr>
          <w:rFonts w:hint="cs"/>
          <w:rtl/>
        </w:rPr>
        <w:t>ויחקור</w:t>
      </w:r>
      <w:r w:rsidRPr="008B4DA1">
        <w:rPr>
          <w:rtl/>
        </w:rPr>
        <w:t xml:space="preserve"> </w:t>
      </w:r>
      <w:r w:rsidRPr="008B4DA1">
        <w:rPr>
          <w:rFonts w:hint="cs"/>
          <w:rtl/>
        </w:rPr>
        <w:t>יפה</w:t>
      </w:r>
      <w:r w:rsidRPr="008B4DA1">
        <w:rPr>
          <w:rtl/>
        </w:rPr>
        <w:t xml:space="preserve"> </w:t>
      </w:r>
      <w:r w:rsidRPr="008B4DA1">
        <w:rPr>
          <w:rFonts w:hint="cs"/>
          <w:rtl/>
        </w:rPr>
        <w:t>לבטל</w:t>
      </w:r>
      <w:r w:rsidRPr="008B4DA1">
        <w:rPr>
          <w:rtl/>
        </w:rPr>
        <w:t xml:space="preserve"> </w:t>
      </w:r>
      <w:r w:rsidRPr="008B4DA1">
        <w:rPr>
          <w:rFonts w:hint="cs"/>
          <w:rtl/>
        </w:rPr>
        <w:t>רמאותו</w:t>
      </w:r>
      <w:r w:rsidRPr="008B4DA1">
        <w:rPr>
          <w:rtl/>
        </w:rPr>
        <w:t xml:space="preserve"> </w:t>
      </w:r>
      <w:r w:rsidRPr="008B4DA1">
        <w:rPr>
          <w:rFonts w:hint="cs"/>
          <w:rtl/>
        </w:rPr>
        <w:t>ואם</w:t>
      </w:r>
      <w:r w:rsidRPr="008B4DA1">
        <w:rPr>
          <w:rtl/>
        </w:rPr>
        <w:t xml:space="preserve"> </w:t>
      </w:r>
      <w:r w:rsidRPr="008B4DA1">
        <w:rPr>
          <w:rFonts w:hint="cs"/>
          <w:rtl/>
        </w:rPr>
        <w:t>נראה</w:t>
      </w:r>
      <w:r w:rsidRPr="008B4DA1">
        <w:rPr>
          <w:rtl/>
        </w:rPr>
        <w:t xml:space="preserve"> </w:t>
      </w:r>
      <w:r w:rsidRPr="008B4DA1">
        <w:rPr>
          <w:rFonts w:hint="cs"/>
          <w:rtl/>
        </w:rPr>
        <w:t>לו</w:t>
      </w:r>
      <w:r w:rsidRPr="008B4DA1">
        <w:rPr>
          <w:rtl/>
        </w:rPr>
        <w:t xml:space="preserve"> </w:t>
      </w:r>
      <w:r w:rsidRPr="008B4DA1">
        <w:rPr>
          <w:rFonts w:hint="cs"/>
          <w:rtl/>
        </w:rPr>
        <w:t>באומדנא</w:t>
      </w:r>
      <w:r w:rsidRPr="008B4DA1">
        <w:rPr>
          <w:rtl/>
        </w:rPr>
        <w:t xml:space="preserve"> </w:t>
      </w:r>
      <w:r w:rsidRPr="008B4DA1">
        <w:rPr>
          <w:rFonts w:hint="cs"/>
          <w:rtl/>
        </w:rPr>
        <w:t>דמוכח</w:t>
      </w:r>
      <w:r w:rsidRPr="008B4DA1">
        <w:rPr>
          <w:rtl/>
        </w:rPr>
        <w:t xml:space="preserve"> </w:t>
      </w:r>
      <w:r w:rsidRPr="008B4DA1">
        <w:rPr>
          <w:rFonts w:hint="cs"/>
          <w:rtl/>
        </w:rPr>
        <w:t>שהוא</w:t>
      </w:r>
      <w:r w:rsidRPr="008B4DA1">
        <w:rPr>
          <w:rtl/>
        </w:rPr>
        <w:t xml:space="preserve"> </w:t>
      </w:r>
      <w:r w:rsidRPr="008B4DA1">
        <w:rPr>
          <w:rFonts w:hint="cs"/>
          <w:rtl/>
        </w:rPr>
        <w:t>חייב</w:t>
      </w:r>
      <w:r w:rsidRPr="008B4DA1">
        <w:rPr>
          <w:rtl/>
        </w:rPr>
        <w:t xml:space="preserve"> </w:t>
      </w:r>
      <w:r w:rsidRPr="008B4DA1">
        <w:rPr>
          <w:rFonts w:hint="cs"/>
          <w:rtl/>
        </w:rPr>
        <w:t>יחייבנו,</w:t>
      </w:r>
      <w:r w:rsidRPr="008B4DA1">
        <w:rPr>
          <w:rtl/>
        </w:rPr>
        <w:t xml:space="preserve"> </w:t>
      </w:r>
      <w:r w:rsidRPr="008B4DA1">
        <w:rPr>
          <w:rFonts w:hint="cs"/>
          <w:rtl/>
        </w:rPr>
        <w:t>אם</w:t>
      </w:r>
      <w:r w:rsidRPr="008B4DA1">
        <w:rPr>
          <w:rtl/>
        </w:rPr>
        <w:t xml:space="preserve"> </w:t>
      </w:r>
      <w:r w:rsidRPr="008B4DA1">
        <w:rPr>
          <w:rFonts w:hint="cs"/>
          <w:rtl/>
        </w:rPr>
        <w:t>הוא</w:t>
      </w:r>
      <w:r w:rsidRPr="008B4DA1">
        <w:rPr>
          <w:rtl/>
        </w:rPr>
        <w:t xml:space="preserve"> </w:t>
      </w:r>
      <w:r w:rsidRPr="008B4DA1">
        <w:rPr>
          <w:rFonts w:hint="cs"/>
          <w:rtl/>
        </w:rPr>
        <w:t>דיין</w:t>
      </w:r>
      <w:r w:rsidRPr="008B4DA1">
        <w:rPr>
          <w:rtl/>
        </w:rPr>
        <w:t xml:space="preserve"> </w:t>
      </w:r>
      <w:r w:rsidRPr="008B4DA1">
        <w:rPr>
          <w:rFonts w:hint="cs"/>
          <w:rtl/>
        </w:rPr>
        <w:t>מומחה</w:t>
      </w:r>
      <w:r w:rsidRPr="008B4DA1">
        <w:rPr>
          <w:rtl/>
        </w:rPr>
        <w:t xml:space="preserve"> </w:t>
      </w:r>
      <w:r w:rsidRPr="008B4DA1">
        <w:rPr>
          <w:rFonts w:hint="cs"/>
          <w:rtl/>
        </w:rPr>
        <w:t>ויחיד</w:t>
      </w:r>
      <w:r w:rsidRPr="008B4DA1">
        <w:rPr>
          <w:rtl/>
        </w:rPr>
        <w:t xml:space="preserve"> </w:t>
      </w:r>
      <w:r w:rsidRPr="008B4DA1">
        <w:rPr>
          <w:rFonts w:hint="cs"/>
          <w:rtl/>
        </w:rPr>
        <w:t>בדורו"</w:t>
      </w:r>
      <w:r w:rsidRPr="008B4DA1">
        <w:rPr>
          <w:rtl/>
        </w:rPr>
        <w:t>.</w:t>
      </w:r>
      <w:r w:rsidRPr="008B4DA1">
        <w:rPr>
          <w:rFonts w:hint="cs"/>
          <w:rtl/>
        </w:rPr>
        <w:t xml:space="preserve"> וכתב הסמ"ע (ס"ק יג) "כן</w:t>
      </w:r>
      <w:r w:rsidRPr="008B4DA1">
        <w:rPr>
          <w:rtl/>
        </w:rPr>
        <w:t xml:space="preserve"> </w:t>
      </w:r>
      <w:r w:rsidRPr="008B4DA1">
        <w:rPr>
          <w:rFonts w:hint="cs"/>
          <w:rtl/>
        </w:rPr>
        <w:t>אם</w:t>
      </w:r>
      <w:r w:rsidRPr="008B4DA1">
        <w:rPr>
          <w:rtl/>
        </w:rPr>
        <w:t xml:space="preserve"> </w:t>
      </w:r>
      <w:r w:rsidRPr="008B4DA1">
        <w:rPr>
          <w:rFonts w:hint="cs"/>
          <w:rtl/>
        </w:rPr>
        <w:t>הנתבע</w:t>
      </w:r>
      <w:r w:rsidRPr="008B4DA1">
        <w:rPr>
          <w:rtl/>
        </w:rPr>
        <w:t xml:space="preserve"> </w:t>
      </w:r>
      <w:r w:rsidRPr="008B4DA1">
        <w:rPr>
          <w:rFonts w:hint="cs"/>
          <w:rtl/>
        </w:rPr>
        <w:t>אינו</w:t>
      </w:r>
      <w:r w:rsidRPr="008B4DA1">
        <w:rPr>
          <w:rtl/>
        </w:rPr>
        <w:t xml:space="preserve"> </w:t>
      </w:r>
      <w:r w:rsidRPr="008B4DA1">
        <w:rPr>
          <w:rFonts w:hint="cs"/>
          <w:rtl/>
        </w:rPr>
        <w:t>רוצה</w:t>
      </w:r>
      <w:r w:rsidRPr="008B4DA1">
        <w:rPr>
          <w:rtl/>
        </w:rPr>
        <w:t xml:space="preserve"> </w:t>
      </w:r>
      <w:r w:rsidRPr="008B4DA1">
        <w:rPr>
          <w:rFonts w:hint="cs"/>
          <w:rtl/>
        </w:rPr>
        <w:t>להשיב</w:t>
      </w:r>
      <w:r w:rsidRPr="008B4DA1">
        <w:rPr>
          <w:rtl/>
        </w:rPr>
        <w:t xml:space="preserve"> </w:t>
      </w:r>
      <w:r w:rsidRPr="008B4DA1">
        <w:rPr>
          <w:rFonts w:hint="cs"/>
          <w:rtl/>
        </w:rPr>
        <w:t>על</w:t>
      </w:r>
      <w:r w:rsidRPr="008B4DA1">
        <w:rPr>
          <w:rtl/>
        </w:rPr>
        <w:t xml:space="preserve"> </w:t>
      </w:r>
      <w:r w:rsidRPr="008B4DA1">
        <w:rPr>
          <w:rFonts w:hint="cs"/>
          <w:rtl/>
        </w:rPr>
        <w:t>כל</w:t>
      </w:r>
      <w:r w:rsidRPr="008B4DA1">
        <w:rPr>
          <w:rtl/>
        </w:rPr>
        <w:t xml:space="preserve"> </w:t>
      </w:r>
      <w:r w:rsidRPr="008B4DA1">
        <w:rPr>
          <w:rFonts w:hint="cs"/>
          <w:rtl/>
        </w:rPr>
        <w:t>דבר</w:t>
      </w:r>
      <w:r w:rsidRPr="008B4DA1">
        <w:rPr>
          <w:rtl/>
        </w:rPr>
        <w:t xml:space="preserve"> </w:t>
      </w:r>
      <w:r w:rsidRPr="008B4DA1">
        <w:rPr>
          <w:rFonts w:hint="cs"/>
          <w:rtl/>
        </w:rPr>
        <w:t>שחוקר</w:t>
      </w:r>
      <w:r w:rsidRPr="008B4DA1">
        <w:rPr>
          <w:rtl/>
        </w:rPr>
        <w:t xml:space="preserve"> </w:t>
      </w:r>
      <w:r w:rsidRPr="008B4DA1">
        <w:rPr>
          <w:rFonts w:hint="cs"/>
          <w:rtl/>
        </w:rPr>
        <w:t>אותו</w:t>
      </w:r>
      <w:r w:rsidRPr="008B4DA1">
        <w:rPr>
          <w:rtl/>
        </w:rPr>
        <w:t xml:space="preserve">, </w:t>
      </w:r>
      <w:r w:rsidRPr="008B4DA1">
        <w:rPr>
          <w:rFonts w:hint="cs"/>
          <w:rtl/>
        </w:rPr>
        <w:t>ודאי</w:t>
      </w:r>
      <w:r w:rsidRPr="008B4DA1">
        <w:rPr>
          <w:rtl/>
        </w:rPr>
        <w:t xml:space="preserve"> </w:t>
      </w:r>
      <w:r w:rsidRPr="008B4DA1">
        <w:rPr>
          <w:rFonts w:hint="cs"/>
          <w:rtl/>
        </w:rPr>
        <w:t>רמאי</w:t>
      </w:r>
      <w:r w:rsidRPr="008B4DA1">
        <w:rPr>
          <w:rtl/>
        </w:rPr>
        <w:t xml:space="preserve"> </w:t>
      </w:r>
      <w:r w:rsidRPr="008B4DA1">
        <w:rPr>
          <w:rFonts w:hint="cs"/>
          <w:rtl/>
        </w:rPr>
        <w:t>הוא</w:t>
      </w:r>
      <w:r w:rsidRPr="008B4DA1">
        <w:rPr>
          <w:rtl/>
        </w:rPr>
        <w:t xml:space="preserve"> </w:t>
      </w:r>
      <w:r w:rsidRPr="008B4DA1">
        <w:rPr>
          <w:rFonts w:hint="cs"/>
          <w:rtl/>
        </w:rPr>
        <w:t>ויכול</w:t>
      </w:r>
      <w:r w:rsidRPr="008B4DA1">
        <w:rPr>
          <w:rtl/>
        </w:rPr>
        <w:t xml:space="preserve"> </w:t>
      </w:r>
      <w:r w:rsidRPr="008B4DA1">
        <w:rPr>
          <w:rFonts w:hint="cs"/>
          <w:rtl/>
        </w:rPr>
        <w:t>לפסוק</w:t>
      </w:r>
      <w:r w:rsidRPr="008B4DA1">
        <w:rPr>
          <w:rtl/>
        </w:rPr>
        <w:t xml:space="preserve"> </w:t>
      </w:r>
      <w:r w:rsidRPr="008B4DA1">
        <w:rPr>
          <w:rFonts w:hint="cs"/>
          <w:rtl/>
        </w:rPr>
        <w:t>לו</w:t>
      </w:r>
      <w:r w:rsidRPr="008B4DA1">
        <w:rPr>
          <w:rtl/>
        </w:rPr>
        <w:t xml:space="preserve"> </w:t>
      </w:r>
      <w:r w:rsidRPr="008B4DA1">
        <w:rPr>
          <w:rFonts w:hint="cs"/>
          <w:rtl/>
        </w:rPr>
        <w:t>כאילו</w:t>
      </w:r>
      <w:r w:rsidRPr="008B4DA1">
        <w:rPr>
          <w:rtl/>
        </w:rPr>
        <w:t xml:space="preserve"> </w:t>
      </w:r>
      <w:r w:rsidRPr="008B4DA1">
        <w:rPr>
          <w:rFonts w:hint="cs"/>
          <w:rtl/>
        </w:rPr>
        <w:t>השיב</w:t>
      </w:r>
      <w:r w:rsidRPr="008B4DA1">
        <w:rPr>
          <w:rtl/>
        </w:rPr>
        <w:t xml:space="preserve"> </w:t>
      </w:r>
      <w:r w:rsidRPr="008B4DA1">
        <w:rPr>
          <w:rFonts w:hint="cs"/>
          <w:rtl/>
        </w:rPr>
        <w:t>לו</w:t>
      </w:r>
      <w:r w:rsidRPr="008B4DA1">
        <w:rPr>
          <w:rtl/>
        </w:rPr>
        <w:t xml:space="preserve"> </w:t>
      </w:r>
      <w:r w:rsidRPr="008B4DA1">
        <w:rPr>
          <w:rFonts w:hint="cs"/>
          <w:rtl/>
        </w:rPr>
        <w:t>ונתברר</w:t>
      </w:r>
      <w:r w:rsidRPr="008B4DA1">
        <w:rPr>
          <w:rtl/>
        </w:rPr>
        <w:t xml:space="preserve"> </w:t>
      </w:r>
      <w:r w:rsidRPr="008B4DA1">
        <w:rPr>
          <w:rFonts w:hint="cs"/>
          <w:rtl/>
        </w:rPr>
        <w:t>השקר</w:t>
      </w:r>
      <w:r w:rsidRPr="008B4DA1">
        <w:rPr>
          <w:rtl/>
        </w:rPr>
        <w:t>"</w:t>
      </w:r>
      <w:r w:rsidRPr="008B4DA1">
        <w:rPr>
          <w:rFonts w:hint="cs"/>
          <w:rtl/>
        </w:rPr>
        <w:t>.</w:t>
      </w:r>
    </w:p>
    <w:p w14:paraId="75DE7DCE" w14:textId="77777777" w:rsidR="00644C97" w:rsidRPr="008B4DA1" w:rsidRDefault="00644C97" w:rsidP="00F8255E">
      <w:pPr>
        <w:pStyle w:val="a2"/>
        <w:rPr>
          <w:rtl/>
        </w:rPr>
      </w:pPr>
      <w:r w:rsidRPr="008B4DA1">
        <w:rPr>
          <w:rFonts w:hint="cs"/>
          <w:rtl/>
        </w:rPr>
        <w:t xml:space="preserve">ומבואר איפוא בדברי השו"ע, כי </w:t>
      </w:r>
      <w:r w:rsidRPr="008B4DA1">
        <w:rPr>
          <w:rFonts w:hint="cs"/>
          <w:b/>
          <w:bCs/>
          <w:rtl/>
        </w:rPr>
        <w:t>ניתן להסתמך</w:t>
      </w:r>
      <w:r w:rsidRPr="008B4DA1">
        <w:rPr>
          <w:rFonts w:hint="cs"/>
          <w:rtl/>
        </w:rPr>
        <w:t xml:space="preserve"> </w:t>
      </w:r>
      <w:r w:rsidRPr="008B4DA1">
        <w:rPr>
          <w:rFonts w:hint="cs"/>
          <w:b/>
          <w:bCs/>
          <w:rtl/>
        </w:rPr>
        <w:t>על אומדנא דמוכח</w:t>
      </w:r>
      <w:r w:rsidRPr="008B4DA1">
        <w:rPr>
          <w:rFonts w:hint="cs"/>
          <w:rtl/>
        </w:rPr>
        <w:t xml:space="preserve"> בדיני ממונות - כמבואר בסוגיות הגמרא הנ"ל.</w:t>
      </w:r>
    </w:p>
    <w:p w14:paraId="738D3754" w14:textId="77777777" w:rsidR="00644C97" w:rsidRPr="008B4DA1" w:rsidRDefault="00644C97" w:rsidP="00F8255E">
      <w:pPr>
        <w:pStyle w:val="11"/>
        <w:bidi/>
        <w:rPr>
          <w:rtl/>
        </w:rPr>
      </w:pPr>
      <w:r w:rsidRPr="008B4DA1">
        <w:rPr>
          <w:rFonts w:hint="cs"/>
          <w:rtl/>
        </w:rPr>
        <w:t xml:space="preserve">אומדנא באישות ובדיני נפשות </w:t>
      </w:r>
    </w:p>
    <w:p w14:paraId="0B907626" w14:textId="77777777" w:rsidR="00644C97" w:rsidRPr="008B4DA1" w:rsidRDefault="00644C97" w:rsidP="00F8255E">
      <w:pPr>
        <w:pStyle w:val="a2"/>
        <w:rPr>
          <w:rtl/>
        </w:rPr>
      </w:pPr>
      <w:r w:rsidRPr="008B4DA1">
        <w:rPr>
          <w:rFonts w:hint="cs"/>
          <w:b/>
          <w:bCs/>
          <w:rtl/>
        </w:rPr>
        <w:t xml:space="preserve">ז. </w:t>
      </w:r>
      <w:r w:rsidRPr="008B4DA1">
        <w:rPr>
          <w:rFonts w:hint="cs"/>
          <w:rtl/>
        </w:rPr>
        <w:t xml:space="preserve">והנה מדברי הרא"ש שהביא את משפט שלמה כראיה לפסיקת הלכה על פי אומדנא, יש ללמוד כי לדעתו ניתן להסתמך על "אומדנא" </w:t>
      </w:r>
      <w:r w:rsidRPr="008B4DA1">
        <w:rPr>
          <w:rFonts w:hint="cs"/>
          <w:b/>
          <w:bCs/>
          <w:rtl/>
        </w:rPr>
        <w:t>בדיני נפשות</w:t>
      </w:r>
      <w:r w:rsidRPr="008B4DA1">
        <w:rPr>
          <w:rFonts w:hint="cs"/>
          <w:rtl/>
        </w:rPr>
        <w:t xml:space="preserve"> - שהרי מהכרעתו של שלמה מי אמו של התינוק נגזר דינו בענייני ירושה, יחוס, שקובעים אם יתחייב מיתה בביאה על אחת מקרובות אמו.</w:t>
      </w:r>
    </w:p>
    <w:p w14:paraId="4011412F" w14:textId="77777777" w:rsidR="00644C97" w:rsidRPr="008B4DA1" w:rsidRDefault="00644C97" w:rsidP="00F8255E">
      <w:pPr>
        <w:pStyle w:val="a2"/>
        <w:rPr>
          <w:rtl/>
        </w:rPr>
      </w:pPr>
      <w:r w:rsidRPr="008B4DA1">
        <w:rPr>
          <w:rFonts w:hint="cs"/>
          <w:rtl/>
        </w:rPr>
        <w:t>וכן מבואר בדברי המהרי"ק (שורש קכט) שכתב בתוך דבריו: "גבי</w:t>
      </w:r>
      <w:r w:rsidRPr="008B4DA1">
        <w:rPr>
          <w:rtl/>
        </w:rPr>
        <w:t xml:space="preserve"> </w:t>
      </w:r>
      <w:r w:rsidRPr="008B4DA1">
        <w:rPr>
          <w:rFonts w:hint="cs"/>
          <w:rtl/>
        </w:rPr>
        <w:t>מסוכן</w:t>
      </w:r>
      <w:r w:rsidRPr="008B4DA1">
        <w:rPr>
          <w:rtl/>
        </w:rPr>
        <w:t xml:space="preserve"> </w:t>
      </w:r>
      <w:r w:rsidRPr="008B4DA1">
        <w:rPr>
          <w:rFonts w:hint="cs"/>
          <w:rtl/>
        </w:rPr>
        <w:t>(בבא בתרא קמו, ב) סמכינן</w:t>
      </w:r>
      <w:r w:rsidRPr="008B4DA1">
        <w:rPr>
          <w:rtl/>
        </w:rPr>
        <w:t xml:space="preserve"> </w:t>
      </w:r>
      <w:r w:rsidRPr="008B4DA1">
        <w:rPr>
          <w:rFonts w:hint="cs"/>
          <w:rtl/>
        </w:rPr>
        <w:t>אאומדנא</w:t>
      </w:r>
      <w:r w:rsidRPr="008B4DA1">
        <w:rPr>
          <w:rtl/>
        </w:rPr>
        <w:t xml:space="preserve"> </w:t>
      </w:r>
      <w:r w:rsidRPr="008B4DA1">
        <w:rPr>
          <w:rFonts w:hint="cs"/>
          <w:b/>
          <w:bCs/>
          <w:rtl/>
        </w:rPr>
        <w:t>אפילו</w:t>
      </w:r>
      <w:r w:rsidRPr="008B4DA1">
        <w:rPr>
          <w:b/>
          <w:bCs/>
          <w:rtl/>
        </w:rPr>
        <w:t xml:space="preserve"> </w:t>
      </w:r>
      <w:r w:rsidRPr="008B4DA1">
        <w:rPr>
          <w:rFonts w:hint="cs"/>
          <w:b/>
          <w:bCs/>
          <w:rtl/>
        </w:rPr>
        <w:t>לענין</w:t>
      </w:r>
      <w:r w:rsidRPr="008B4DA1">
        <w:rPr>
          <w:b/>
          <w:bCs/>
          <w:rtl/>
        </w:rPr>
        <w:t xml:space="preserve"> </w:t>
      </w:r>
      <w:r w:rsidRPr="008B4DA1">
        <w:rPr>
          <w:rFonts w:hint="cs"/>
          <w:b/>
          <w:bCs/>
          <w:rtl/>
        </w:rPr>
        <w:t>אסור</w:t>
      </w:r>
      <w:r w:rsidRPr="008B4DA1">
        <w:rPr>
          <w:b/>
          <w:bCs/>
          <w:rtl/>
        </w:rPr>
        <w:t xml:space="preserve"> </w:t>
      </w:r>
      <w:r w:rsidRPr="008B4DA1">
        <w:rPr>
          <w:rFonts w:hint="cs"/>
          <w:b/>
          <w:bCs/>
          <w:rtl/>
        </w:rPr>
        <w:t>ערוה</w:t>
      </w:r>
      <w:r w:rsidRPr="008B4DA1">
        <w:rPr>
          <w:rFonts w:hint="cs"/>
          <w:rtl/>
        </w:rPr>
        <w:t>,</w:t>
      </w:r>
      <w:r w:rsidRPr="008B4DA1">
        <w:rPr>
          <w:rtl/>
        </w:rPr>
        <w:t xml:space="preserve"> </w:t>
      </w:r>
      <w:r w:rsidRPr="008B4DA1">
        <w:rPr>
          <w:rFonts w:hint="cs"/>
          <w:rtl/>
        </w:rPr>
        <w:t>ולא</w:t>
      </w:r>
      <w:r w:rsidRPr="008B4DA1">
        <w:rPr>
          <w:rtl/>
        </w:rPr>
        <w:t xml:space="preserve"> </w:t>
      </w:r>
      <w:r w:rsidRPr="008B4DA1">
        <w:rPr>
          <w:rFonts w:hint="cs"/>
          <w:rtl/>
        </w:rPr>
        <w:t>אמרינן</w:t>
      </w:r>
      <w:r w:rsidRPr="008B4DA1">
        <w:rPr>
          <w:rtl/>
        </w:rPr>
        <w:t xml:space="preserve"> </w:t>
      </w:r>
      <w:r w:rsidRPr="008B4DA1">
        <w:rPr>
          <w:rFonts w:hint="cs"/>
          <w:rtl/>
        </w:rPr>
        <w:t>העמידנה</w:t>
      </w:r>
      <w:r w:rsidRPr="008B4DA1">
        <w:rPr>
          <w:rtl/>
        </w:rPr>
        <w:t xml:space="preserve"> </w:t>
      </w:r>
      <w:r w:rsidRPr="008B4DA1">
        <w:rPr>
          <w:rFonts w:hint="cs"/>
          <w:rtl/>
        </w:rPr>
        <w:t>בחזקת</w:t>
      </w:r>
      <w:r w:rsidRPr="008B4DA1">
        <w:rPr>
          <w:rtl/>
        </w:rPr>
        <w:t xml:space="preserve"> </w:t>
      </w:r>
      <w:r w:rsidRPr="008B4DA1">
        <w:rPr>
          <w:rFonts w:hint="cs"/>
          <w:rtl/>
        </w:rPr>
        <w:t>אשת</w:t>
      </w:r>
      <w:r w:rsidRPr="008B4DA1">
        <w:rPr>
          <w:rtl/>
        </w:rPr>
        <w:t xml:space="preserve"> </w:t>
      </w:r>
      <w:r w:rsidRPr="008B4DA1">
        <w:rPr>
          <w:rFonts w:hint="cs"/>
          <w:rtl/>
        </w:rPr>
        <w:t>איש". וכוונתו לדברי הגמרא "מאן תנא דאזלינן בתר אומדנא - רב ששת אמר, רבי שמעון שזורי היא, דתניא בראשונה</w:t>
      </w:r>
      <w:r w:rsidRPr="008B4DA1">
        <w:rPr>
          <w:rtl/>
        </w:rPr>
        <w:t xml:space="preserve"> </w:t>
      </w:r>
      <w:r w:rsidRPr="008B4DA1">
        <w:rPr>
          <w:rFonts w:hint="cs"/>
          <w:rtl/>
        </w:rPr>
        <w:t>היו</w:t>
      </w:r>
      <w:r w:rsidRPr="008B4DA1">
        <w:rPr>
          <w:rtl/>
        </w:rPr>
        <w:t xml:space="preserve"> </w:t>
      </w:r>
      <w:r w:rsidRPr="008B4DA1">
        <w:rPr>
          <w:rFonts w:hint="cs"/>
          <w:rtl/>
        </w:rPr>
        <w:t>אומרים</w:t>
      </w:r>
      <w:r w:rsidRPr="008B4DA1">
        <w:rPr>
          <w:rtl/>
        </w:rPr>
        <w:t xml:space="preserve"> </w:t>
      </w:r>
      <w:r w:rsidRPr="008B4DA1">
        <w:rPr>
          <w:rFonts w:hint="cs"/>
          <w:rtl/>
        </w:rPr>
        <w:t>היוצא</w:t>
      </w:r>
      <w:r w:rsidRPr="008B4DA1">
        <w:rPr>
          <w:rtl/>
        </w:rPr>
        <w:t xml:space="preserve"> </w:t>
      </w:r>
      <w:r w:rsidRPr="008B4DA1">
        <w:rPr>
          <w:rFonts w:hint="cs"/>
          <w:rtl/>
        </w:rPr>
        <w:t>בקולר</w:t>
      </w:r>
      <w:r w:rsidRPr="008B4DA1">
        <w:rPr>
          <w:rtl/>
        </w:rPr>
        <w:t xml:space="preserve"> </w:t>
      </w:r>
      <w:r w:rsidRPr="008B4DA1">
        <w:rPr>
          <w:rFonts w:hint="cs"/>
          <w:rtl/>
        </w:rPr>
        <w:t>[אסור בשלשלת כדי ליהרג על ידי המלכות] ואמר</w:t>
      </w:r>
      <w:r w:rsidRPr="008B4DA1">
        <w:rPr>
          <w:rtl/>
        </w:rPr>
        <w:t xml:space="preserve"> </w:t>
      </w:r>
      <w:r w:rsidRPr="008B4DA1">
        <w:rPr>
          <w:rFonts w:hint="cs"/>
          <w:rtl/>
        </w:rPr>
        <w:t>כתבו</w:t>
      </w:r>
      <w:r w:rsidRPr="008B4DA1">
        <w:rPr>
          <w:rtl/>
        </w:rPr>
        <w:t xml:space="preserve"> </w:t>
      </w:r>
      <w:r w:rsidRPr="008B4DA1">
        <w:rPr>
          <w:rFonts w:hint="cs"/>
          <w:rtl/>
        </w:rPr>
        <w:t>גט</w:t>
      </w:r>
      <w:r w:rsidRPr="008B4DA1">
        <w:rPr>
          <w:rtl/>
        </w:rPr>
        <w:t xml:space="preserve"> </w:t>
      </w:r>
      <w:r w:rsidRPr="008B4DA1">
        <w:rPr>
          <w:rFonts w:hint="cs"/>
          <w:rtl/>
        </w:rPr>
        <w:t>לאשתי,</w:t>
      </w:r>
      <w:r w:rsidRPr="008B4DA1">
        <w:rPr>
          <w:rtl/>
        </w:rPr>
        <w:t xml:space="preserve"> </w:t>
      </w:r>
      <w:r w:rsidRPr="008B4DA1">
        <w:rPr>
          <w:rFonts w:hint="cs"/>
          <w:rtl/>
        </w:rPr>
        <w:t>הרי</w:t>
      </w:r>
      <w:r w:rsidRPr="008B4DA1">
        <w:rPr>
          <w:rtl/>
        </w:rPr>
        <w:t xml:space="preserve"> </w:t>
      </w:r>
      <w:r w:rsidRPr="008B4DA1">
        <w:rPr>
          <w:rFonts w:hint="cs"/>
          <w:rtl/>
        </w:rPr>
        <w:t>אלו</w:t>
      </w:r>
      <w:r w:rsidRPr="008B4DA1">
        <w:rPr>
          <w:rtl/>
        </w:rPr>
        <w:t xml:space="preserve"> </w:t>
      </w:r>
      <w:r w:rsidRPr="008B4DA1">
        <w:rPr>
          <w:rFonts w:hint="cs"/>
          <w:rtl/>
        </w:rPr>
        <w:t>יכתבו</w:t>
      </w:r>
      <w:r w:rsidRPr="008B4DA1">
        <w:rPr>
          <w:rtl/>
        </w:rPr>
        <w:t xml:space="preserve"> </w:t>
      </w:r>
      <w:r w:rsidRPr="008B4DA1">
        <w:rPr>
          <w:rFonts w:hint="cs"/>
          <w:rtl/>
        </w:rPr>
        <w:t>ויתנו.</w:t>
      </w:r>
      <w:r w:rsidRPr="008B4DA1">
        <w:rPr>
          <w:rtl/>
        </w:rPr>
        <w:t xml:space="preserve"> </w:t>
      </w:r>
      <w:r w:rsidRPr="008B4DA1">
        <w:rPr>
          <w:rFonts w:hint="cs"/>
          <w:rtl/>
        </w:rPr>
        <w:t>חזרו</w:t>
      </w:r>
      <w:r w:rsidRPr="008B4DA1">
        <w:rPr>
          <w:rtl/>
        </w:rPr>
        <w:t xml:space="preserve"> </w:t>
      </w:r>
      <w:r w:rsidRPr="008B4DA1">
        <w:rPr>
          <w:rFonts w:hint="cs"/>
          <w:rtl/>
        </w:rPr>
        <w:t>לומר</w:t>
      </w:r>
      <w:r w:rsidRPr="008B4DA1">
        <w:rPr>
          <w:rtl/>
        </w:rPr>
        <w:t xml:space="preserve"> </w:t>
      </w:r>
      <w:r w:rsidRPr="008B4DA1">
        <w:rPr>
          <w:rFonts w:hint="cs"/>
          <w:rtl/>
        </w:rPr>
        <w:t>אף</w:t>
      </w:r>
      <w:r w:rsidRPr="008B4DA1">
        <w:rPr>
          <w:rtl/>
        </w:rPr>
        <w:t xml:space="preserve"> </w:t>
      </w:r>
      <w:r w:rsidRPr="008B4DA1">
        <w:rPr>
          <w:rFonts w:hint="cs"/>
          <w:rtl/>
        </w:rPr>
        <w:t>המפרש</w:t>
      </w:r>
      <w:r w:rsidRPr="008B4DA1">
        <w:rPr>
          <w:rtl/>
        </w:rPr>
        <w:t xml:space="preserve"> </w:t>
      </w:r>
      <w:r w:rsidRPr="008B4DA1">
        <w:rPr>
          <w:rFonts w:hint="cs"/>
          <w:rtl/>
        </w:rPr>
        <w:t>והיוצא</w:t>
      </w:r>
      <w:r w:rsidRPr="008B4DA1">
        <w:rPr>
          <w:rtl/>
        </w:rPr>
        <w:t xml:space="preserve"> </w:t>
      </w:r>
      <w:r w:rsidRPr="008B4DA1">
        <w:rPr>
          <w:rFonts w:hint="cs"/>
          <w:rtl/>
        </w:rPr>
        <w:t>בשיירא [המפליג בים והיוצא בשיירה במדבר].</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שזורי</w:t>
      </w:r>
      <w:r w:rsidRPr="008B4DA1">
        <w:rPr>
          <w:rtl/>
        </w:rPr>
        <w:t xml:space="preserve"> </w:t>
      </w:r>
      <w:r w:rsidRPr="008B4DA1">
        <w:rPr>
          <w:rFonts w:hint="cs"/>
          <w:rtl/>
        </w:rPr>
        <w:t>אומר</w:t>
      </w:r>
      <w:r w:rsidRPr="008B4DA1">
        <w:rPr>
          <w:rtl/>
        </w:rPr>
        <w:t xml:space="preserve"> </w:t>
      </w:r>
      <w:r w:rsidRPr="008B4DA1">
        <w:rPr>
          <w:rFonts w:hint="cs"/>
          <w:rtl/>
        </w:rPr>
        <w:t>אף</w:t>
      </w:r>
      <w:r w:rsidRPr="008B4DA1">
        <w:rPr>
          <w:rtl/>
        </w:rPr>
        <w:t xml:space="preserve"> </w:t>
      </w:r>
      <w:r w:rsidRPr="008B4DA1">
        <w:rPr>
          <w:rFonts w:hint="cs"/>
          <w:rtl/>
        </w:rPr>
        <w:t>המסוכן"</w:t>
      </w:r>
      <w:r w:rsidRPr="008B4DA1">
        <w:rPr>
          <w:rtl/>
        </w:rPr>
        <w:t>.</w:t>
      </w:r>
      <w:r w:rsidRPr="008B4DA1">
        <w:rPr>
          <w:rFonts w:hint="cs"/>
          <w:rtl/>
        </w:rPr>
        <w:t xml:space="preserve"> ופירש רשב"ם: "אף</w:t>
      </w:r>
      <w:r w:rsidRPr="008B4DA1">
        <w:rPr>
          <w:rtl/>
        </w:rPr>
        <w:t xml:space="preserve"> </w:t>
      </w:r>
      <w:r w:rsidRPr="008B4DA1">
        <w:rPr>
          <w:rFonts w:hint="cs"/>
          <w:rtl/>
        </w:rPr>
        <w:t>המסוכן</w:t>
      </w:r>
      <w:r w:rsidRPr="008B4DA1">
        <w:rPr>
          <w:rtl/>
        </w:rPr>
        <w:t xml:space="preserve"> </w:t>
      </w:r>
      <w:r w:rsidRPr="008B4DA1">
        <w:rPr>
          <w:rFonts w:hint="cs"/>
          <w:rtl/>
        </w:rPr>
        <w:t>הקרוב</w:t>
      </w:r>
      <w:r w:rsidRPr="008B4DA1">
        <w:rPr>
          <w:rtl/>
        </w:rPr>
        <w:t xml:space="preserve"> </w:t>
      </w:r>
      <w:r w:rsidRPr="008B4DA1">
        <w:rPr>
          <w:rFonts w:hint="cs"/>
          <w:rtl/>
        </w:rPr>
        <w:t>למיתה,</w:t>
      </w:r>
      <w:r w:rsidRPr="008B4DA1">
        <w:rPr>
          <w:rtl/>
        </w:rPr>
        <w:t xml:space="preserve"> </w:t>
      </w:r>
      <w:r w:rsidRPr="008B4DA1">
        <w:rPr>
          <w:rFonts w:hint="cs"/>
          <w:b/>
          <w:bCs/>
          <w:rtl/>
        </w:rPr>
        <w:t>שדעתו</w:t>
      </w:r>
      <w:r w:rsidRPr="008B4DA1">
        <w:rPr>
          <w:rtl/>
        </w:rPr>
        <w:t xml:space="preserve"> </w:t>
      </w:r>
      <w:r w:rsidRPr="008B4DA1">
        <w:rPr>
          <w:rFonts w:hint="cs"/>
          <w:rtl/>
        </w:rPr>
        <w:t>שיכתבו</w:t>
      </w:r>
      <w:r w:rsidRPr="008B4DA1">
        <w:rPr>
          <w:rtl/>
        </w:rPr>
        <w:t xml:space="preserve"> </w:t>
      </w:r>
      <w:r w:rsidRPr="008B4DA1">
        <w:rPr>
          <w:rFonts w:hint="cs"/>
          <w:rtl/>
        </w:rPr>
        <w:t>ויתנו</w:t>
      </w:r>
      <w:r w:rsidRPr="008B4DA1">
        <w:rPr>
          <w:rtl/>
        </w:rPr>
        <w:t xml:space="preserve"> </w:t>
      </w:r>
      <w:r w:rsidRPr="008B4DA1">
        <w:rPr>
          <w:rFonts w:hint="cs"/>
          <w:rtl/>
        </w:rPr>
        <w:t>דלפטור</w:t>
      </w:r>
      <w:r w:rsidRPr="008B4DA1">
        <w:rPr>
          <w:rtl/>
        </w:rPr>
        <w:t xml:space="preserve"> </w:t>
      </w:r>
      <w:r w:rsidRPr="008B4DA1">
        <w:rPr>
          <w:rFonts w:hint="cs"/>
          <w:rtl/>
        </w:rPr>
        <w:t>את</w:t>
      </w:r>
      <w:r w:rsidRPr="008B4DA1">
        <w:rPr>
          <w:rtl/>
        </w:rPr>
        <w:t xml:space="preserve"> </w:t>
      </w:r>
      <w:r w:rsidRPr="008B4DA1">
        <w:rPr>
          <w:rFonts w:hint="cs"/>
          <w:rtl/>
        </w:rPr>
        <w:t>אשתו</w:t>
      </w:r>
      <w:r w:rsidRPr="008B4DA1">
        <w:rPr>
          <w:rtl/>
        </w:rPr>
        <w:t xml:space="preserve"> </w:t>
      </w:r>
      <w:r w:rsidRPr="008B4DA1">
        <w:rPr>
          <w:rFonts w:hint="cs"/>
          <w:rtl/>
        </w:rPr>
        <w:t>מן</w:t>
      </w:r>
      <w:r w:rsidRPr="008B4DA1">
        <w:rPr>
          <w:rtl/>
        </w:rPr>
        <w:t xml:space="preserve"> </w:t>
      </w:r>
      <w:r w:rsidRPr="008B4DA1">
        <w:rPr>
          <w:rFonts w:hint="cs"/>
          <w:rtl/>
        </w:rPr>
        <w:t>הייבום</w:t>
      </w:r>
      <w:r w:rsidRPr="008B4DA1">
        <w:rPr>
          <w:rtl/>
        </w:rPr>
        <w:t xml:space="preserve"> </w:t>
      </w:r>
      <w:r w:rsidRPr="008B4DA1">
        <w:rPr>
          <w:rFonts w:hint="cs"/>
          <w:rtl/>
        </w:rPr>
        <w:t>נתכוון"</w:t>
      </w:r>
      <w:r w:rsidRPr="008B4DA1">
        <w:rPr>
          <w:rtl/>
        </w:rPr>
        <w:t>.</w:t>
      </w:r>
      <w:r w:rsidRPr="008B4DA1">
        <w:rPr>
          <w:rFonts w:hint="cs"/>
          <w:rtl/>
        </w:rPr>
        <w:t xml:space="preserve"> לדעת רבי שמעון שזורי </w:t>
      </w:r>
      <w:r w:rsidRPr="008B4DA1">
        <w:rPr>
          <w:rFonts w:hint="cs"/>
          <w:b/>
          <w:bCs/>
          <w:rtl/>
        </w:rPr>
        <w:t>אומדים את דעתו</w:t>
      </w:r>
      <w:r w:rsidRPr="008B4DA1">
        <w:rPr>
          <w:rFonts w:hint="cs"/>
          <w:rtl/>
        </w:rPr>
        <w:t xml:space="preserve"> של החולה המסוכן הנוטה למות שהיתה בכוונתו לגרש את אשתו, אף על פי שלא אמר זאת במילים ברורות. </w:t>
      </w:r>
    </w:p>
    <w:p w14:paraId="70FE7672" w14:textId="77777777" w:rsidR="00644C97" w:rsidRPr="008B4DA1" w:rsidRDefault="00644C97" w:rsidP="00F8255E">
      <w:pPr>
        <w:pStyle w:val="a2"/>
        <w:rPr>
          <w:rtl/>
        </w:rPr>
      </w:pPr>
      <w:r w:rsidRPr="008B4DA1">
        <w:rPr>
          <w:rFonts w:hint="cs"/>
          <w:rtl/>
        </w:rPr>
        <w:t xml:space="preserve">ומבואר בדבריו כי על ידי ה"אומדנא" מתירים את אשת המסוכן להינשא, ומסתמכים על "אומדנא" לענין קביעת "אישות", ויש לכך השלכות "לענין איסור ערוה" ודיני נפשות. וזה סותר לכאורה את המבואר בדברי המהרי"ק [לעיל </w:t>
      </w:r>
      <w:r w:rsidRPr="008B4DA1">
        <w:rPr>
          <w:rFonts w:hint="cs"/>
          <w:b/>
          <w:bCs/>
          <w:rtl/>
        </w:rPr>
        <w:t>אות ד</w:t>
      </w:r>
      <w:r w:rsidRPr="008B4DA1">
        <w:rPr>
          <w:rFonts w:hint="cs"/>
          <w:rtl/>
        </w:rPr>
        <w:t xml:space="preserve">] </w:t>
      </w:r>
      <w:r w:rsidRPr="008B4DA1">
        <w:rPr>
          <w:rFonts w:hint="cs"/>
          <w:b/>
          <w:bCs/>
          <w:rtl/>
        </w:rPr>
        <w:t>שאין מסתמכים על אומדנא דמוכח</w:t>
      </w:r>
      <w:r w:rsidRPr="008B4DA1">
        <w:rPr>
          <w:rFonts w:hint="cs"/>
          <w:rtl/>
        </w:rPr>
        <w:t>, לא בדיני נפשות ולא בדיני ממונות, וצ"ע.</w:t>
      </w:r>
    </w:p>
    <w:p w14:paraId="0B130668" w14:textId="7B976F89" w:rsidR="00644C97" w:rsidRDefault="00644C97" w:rsidP="00F8255E">
      <w:pPr>
        <w:pStyle w:val="a2"/>
        <w:rPr>
          <w:rtl/>
        </w:rPr>
      </w:pPr>
      <w:r w:rsidRPr="008B4DA1">
        <w:rPr>
          <w:rFonts w:hint="cs"/>
          <w:rtl/>
        </w:rPr>
        <w:t xml:space="preserve">ואולי היה מקום לחלק ולומר כי הסיבה שמתירים את אשת המסוכן להינשא על סמך אומדנא, נובעת מהכלל הידוע "משום עיגונא אקילו בה רבנן", כלומר חז"ל הקלו בכמה הלכות כדי שהאשה לא תשאר בכבלי עגינותה ותוכל להינשא, כגון: שליח המביא גט ממדינת הים רשאי להעיד על כשרותו, ואין צורך בעדות של שני עדים. וכן האשה שהלך בעלה למדינת הים, רשאית להינשא על סמך עדותו של עד אחד שאמר </w:t>
      </w:r>
      <w:r w:rsidRPr="008B4DA1">
        <w:rPr>
          <w:rFonts w:hint="cs"/>
          <w:rtl/>
        </w:rPr>
        <w:lastRenderedPageBreak/>
        <w:t>שבעלה נפטר. ויתכן כי זו איפוא הסיבה להתיר את אשת המסוכן להינשא על סמך אומדנא, כדי שלא תישאר עגונה, וצ"ע.</w:t>
      </w:r>
    </w:p>
    <w:p w14:paraId="73E98617" w14:textId="77777777" w:rsidR="00644C97" w:rsidRPr="008B4DA1" w:rsidRDefault="00644C97" w:rsidP="00F8255E">
      <w:pPr>
        <w:pStyle w:val="a2"/>
        <w:rPr>
          <w:rtl/>
        </w:rPr>
      </w:pPr>
      <w:r w:rsidRPr="008B4DA1">
        <w:rPr>
          <w:rFonts w:hint="cs"/>
          <w:rtl/>
        </w:rPr>
        <w:t>ומעתה יש ליישב את הסתירה בין סוגיית הגמרא הנ"ל ופסק השו"ע כהמעשה ברבי בנאה, שנלמד מהם כי ניתן להסתמך על אומדנא דמוכח בדיני ממונות ואף באישות ודיני נפשות, לסוגיית הגמרא ופסק השו"ע בנדון "גמל האוחר" שאין מסתמכים על אומדנא דמוכח.</w:t>
      </w:r>
    </w:p>
    <w:p w14:paraId="60CA170A" w14:textId="77777777" w:rsidR="00644C97" w:rsidRPr="008B4DA1" w:rsidRDefault="00644C97" w:rsidP="00F8255E">
      <w:pPr>
        <w:pStyle w:val="a2"/>
        <w:rPr>
          <w:rtl/>
        </w:rPr>
      </w:pPr>
      <w:r w:rsidRPr="008B4DA1">
        <w:rPr>
          <w:rFonts w:hint="cs"/>
          <w:rtl/>
        </w:rPr>
        <w:t>ומצאנו בדברי הפוסקים הסברים שונים ביישוב הסתירה, ומהם נלמד אימתי מסתמכים על 'אומדנא' כהוכחה חותכת להכריע ספקות.</w:t>
      </w:r>
    </w:p>
    <w:p w14:paraId="43E2D00C" w14:textId="77777777" w:rsidR="00644C97" w:rsidRPr="00930EC7" w:rsidRDefault="00644C97" w:rsidP="00F8255E">
      <w:pPr>
        <w:pStyle w:val="11"/>
        <w:bidi/>
        <w:rPr>
          <w:rFonts w:ascii="FbFrankReal" w:hAnsi="FbFrankReal" w:cs="FbFrankReal"/>
          <w:rtl/>
        </w:rPr>
      </w:pPr>
      <w:r w:rsidRPr="00930EC7">
        <w:rPr>
          <w:rFonts w:ascii="FbFrankReal" w:hAnsi="FbFrankReal" w:cs="FbFrankReal"/>
          <w:rtl/>
        </w:rPr>
        <w:t>***</w:t>
      </w:r>
    </w:p>
    <w:p w14:paraId="6F542809" w14:textId="77777777" w:rsidR="00644C97" w:rsidRPr="008B4DA1" w:rsidRDefault="00644C97" w:rsidP="00F8255E">
      <w:pPr>
        <w:pStyle w:val="11"/>
        <w:bidi/>
        <w:rPr>
          <w:rtl/>
        </w:rPr>
      </w:pPr>
      <w:r w:rsidRPr="008B4DA1">
        <w:rPr>
          <w:rFonts w:hint="cs"/>
          <w:rtl/>
        </w:rPr>
        <w:t>אומדנא "להוציא" או "להחזיק" ממון</w:t>
      </w:r>
    </w:p>
    <w:p w14:paraId="0A90CCA5" w14:textId="77777777" w:rsidR="00644C97" w:rsidRPr="008B4DA1" w:rsidRDefault="00644C97" w:rsidP="00F8255E">
      <w:pPr>
        <w:pStyle w:val="a2"/>
        <w:rPr>
          <w:rtl/>
        </w:rPr>
      </w:pPr>
      <w:r w:rsidRPr="008B4DA1">
        <w:rPr>
          <w:rFonts w:hint="cs"/>
          <w:b/>
          <w:bCs/>
          <w:rtl/>
        </w:rPr>
        <w:t xml:space="preserve">ח. </w:t>
      </w:r>
      <w:r w:rsidRPr="008B4DA1">
        <w:rPr>
          <w:rFonts w:hint="cs"/>
          <w:rtl/>
        </w:rPr>
        <w:t>הרדב</w:t>
      </w:r>
      <w:r w:rsidRPr="008B4DA1">
        <w:rPr>
          <w:rtl/>
        </w:rPr>
        <w:t>"</w:t>
      </w:r>
      <w:r w:rsidRPr="008B4DA1">
        <w:rPr>
          <w:rFonts w:hint="cs"/>
          <w:rtl/>
        </w:rPr>
        <w:t>ז</w:t>
      </w:r>
      <w:r w:rsidRPr="008B4DA1">
        <w:rPr>
          <w:rtl/>
        </w:rPr>
        <w:t xml:space="preserve"> </w:t>
      </w:r>
      <w:r w:rsidRPr="008B4DA1">
        <w:rPr>
          <w:rFonts w:hint="cs"/>
          <w:rtl/>
        </w:rPr>
        <w:t>(ח"א</w:t>
      </w:r>
      <w:r w:rsidRPr="008B4DA1">
        <w:rPr>
          <w:rtl/>
        </w:rPr>
        <w:t xml:space="preserve"> </w:t>
      </w:r>
      <w:r w:rsidRPr="008B4DA1">
        <w:rPr>
          <w:rFonts w:hint="cs"/>
          <w:rtl/>
        </w:rPr>
        <w:t>סימן</w:t>
      </w:r>
      <w:r w:rsidRPr="008B4DA1">
        <w:rPr>
          <w:rtl/>
        </w:rPr>
        <w:t xml:space="preserve"> </w:t>
      </w:r>
      <w:r w:rsidRPr="008B4DA1">
        <w:rPr>
          <w:rFonts w:hint="cs"/>
          <w:rtl/>
        </w:rPr>
        <w:t>רפז) כתב כי "אפילו</w:t>
      </w:r>
      <w:r w:rsidRPr="008B4DA1">
        <w:rPr>
          <w:rtl/>
        </w:rPr>
        <w:t xml:space="preserve"> </w:t>
      </w:r>
      <w:r w:rsidRPr="008B4DA1">
        <w:rPr>
          <w:rFonts w:hint="cs"/>
          <w:rtl/>
        </w:rPr>
        <w:t>לדעת</w:t>
      </w:r>
      <w:r w:rsidRPr="008B4DA1">
        <w:rPr>
          <w:rtl/>
        </w:rPr>
        <w:t xml:space="preserve"> </w:t>
      </w:r>
      <w:r w:rsidRPr="008B4DA1">
        <w:rPr>
          <w:rFonts w:hint="cs"/>
          <w:rtl/>
        </w:rPr>
        <w:t>הרמב</w:t>
      </w:r>
      <w:r w:rsidRPr="008B4DA1">
        <w:rPr>
          <w:rtl/>
        </w:rPr>
        <w:t>"</w:t>
      </w:r>
      <w:r w:rsidRPr="008B4DA1">
        <w:rPr>
          <w:rFonts w:hint="cs"/>
          <w:rtl/>
        </w:rPr>
        <w:t>ם</w:t>
      </w:r>
      <w:r w:rsidRPr="008B4DA1">
        <w:rPr>
          <w:rtl/>
        </w:rPr>
        <w:t xml:space="preserve"> </w:t>
      </w:r>
      <w:r w:rsidRPr="008B4DA1">
        <w:rPr>
          <w:rFonts w:hint="cs"/>
          <w:rtl/>
        </w:rPr>
        <w:t>ז</w:t>
      </w:r>
      <w:r w:rsidRPr="008B4DA1">
        <w:rPr>
          <w:rtl/>
        </w:rPr>
        <w:t>"</w:t>
      </w:r>
      <w:r w:rsidRPr="008B4DA1">
        <w:rPr>
          <w:rFonts w:hint="cs"/>
          <w:rtl/>
        </w:rPr>
        <w:t>ל</w:t>
      </w:r>
      <w:r w:rsidRPr="008B4DA1">
        <w:rPr>
          <w:rtl/>
        </w:rPr>
        <w:t xml:space="preserve"> </w:t>
      </w:r>
      <w:r w:rsidRPr="008B4DA1">
        <w:rPr>
          <w:rFonts w:hint="cs"/>
          <w:rtl/>
        </w:rPr>
        <w:t>דפסק</w:t>
      </w:r>
      <w:r w:rsidRPr="008B4DA1">
        <w:rPr>
          <w:rtl/>
        </w:rPr>
        <w:t xml:space="preserve"> </w:t>
      </w:r>
      <w:r w:rsidRPr="008B4DA1">
        <w:rPr>
          <w:rFonts w:hint="cs"/>
          <w:rtl/>
        </w:rPr>
        <w:t>כרבנן</w:t>
      </w:r>
      <w:r w:rsidRPr="008B4DA1">
        <w:rPr>
          <w:rtl/>
        </w:rPr>
        <w:t xml:space="preserve"> </w:t>
      </w:r>
      <w:r w:rsidRPr="008B4DA1">
        <w:rPr>
          <w:rFonts w:hint="cs"/>
          <w:rtl/>
        </w:rPr>
        <w:t>דלא</w:t>
      </w:r>
      <w:r w:rsidRPr="008B4DA1">
        <w:rPr>
          <w:rtl/>
        </w:rPr>
        <w:t xml:space="preserve"> </w:t>
      </w:r>
      <w:r w:rsidRPr="008B4DA1">
        <w:rPr>
          <w:rFonts w:hint="cs"/>
          <w:rtl/>
        </w:rPr>
        <w:t>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 xml:space="preserve">הני מילי </w:t>
      </w:r>
      <w:r w:rsidRPr="008B4DA1">
        <w:rPr>
          <w:rFonts w:hint="cs"/>
          <w:b/>
          <w:bCs/>
          <w:rtl/>
        </w:rPr>
        <w:t>לאפוקי</w:t>
      </w:r>
      <w:r w:rsidRPr="008B4DA1">
        <w:rPr>
          <w:b/>
          <w:bCs/>
          <w:rtl/>
        </w:rPr>
        <w:t xml:space="preserve"> </w:t>
      </w:r>
      <w:r w:rsidRPr="008B4DA1">
        <w:rPr>
          <w:rFonts w:hint="cs"/>
          <w:b/>
          <w:bCs/>
          <w:rtl/>
        </w:rPr>
        <w:t>ממונא</w:t>
      </w:r>
      <w:r w:rsidRPr="008B4DA1">
        <w:rPr>
          <w:rFonts w:hint="cs"/>
          <w:rtl/>
        </w:rPr>
        <w:t>,</w:t>
      </w:r>
      <w:r w:rsidRPr="008B4DA1">
        <w:rPr>
          <w:rtl/>
        </w:rPr>
        <w:t xml:space="preserve"> </w:t>
      </w:r>
      <w:r w:rsidRPr="008B4DA1">
        <w:rPr>
          <w:rFonts w:hint="cs"/>
          <w:rtl/>
        </w:rPr>
        <w:t>אבל</w:t>
      </w:r>
      <w:r w:rsidRPr="008B4DA1">
        <w:rPr>
          <w:rtl/>
        </w:rPr>
        <w:t xml:space="preserve"> </w:t>
      </w:r>
      <w:r w:rsidRPr="008B4DA1">
        <w:rPr>
          <w:rFonts w:hint="cs"/>
          <w:b/>
          <w:bCs/>
          <w:rtl/>
        </w:rPr>
        <w:t>לאוקמי</w:t>
      </w:r>
      <w:r w:rsidRPr="008B4DA1">
        <w:rPr>
          <w:b/>
          <w:bCs/>
          <w:rtl/>
        </w:rPr>
        <w:t xml:space="preserve"> </w:t>
      </w:r>
      <w:r w:rsidRPr="008B4DA1">
        <w:rPr>
          <w:rFonts w:hint="cs"/>
          <w:b/>
          <w:bCs/>
          <w:rtl/>
        </w:rPr>
        <w:t>ממונא</w:t>
      </w:r>
      <w:r w:rsidRPr="008B4DA1">
        <w:rPr>
          <w:b/>
          <w:bCs/>
          <w:rtl/>
        </w:rPr>
        <w:t xml:space="preserve"> </w:t>
      </w:r>
      <w:r w:rsidRPr="008B4DA1">
        <w:rPr>
          <w:rFonts w:hint="cs"/>
          <w:b/>
          <w:bCs/>
          <w:rtl/>
        </w:rPr>
        <w:t>הדבר</w:t>
      </w:r>
      <w:r w:rsidRPr="008B4DA1">
        <w:rPr>
          <w:b/>
          <w:bCs/>
          <w:rtl/>
        </w:rPr>
        <w:t xml:space="preserve"> </w:t>
      </w:r>
      <w:r w:rsidRPr="008B4DA1">
        <w:rPr>
          <w:rFonts w:hint="cs"/>
          <w:b/>
          <w:bCs/>
          <w:rtl/>
        </w:rPr>
        <w:t>ברור</w:t>
      </w:r>
      <w:r w:rsidRPr="008B4DA1">
        <w:rPr>
          <w:b/>
          <w:bCs/>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 ומבואר בדבריו בביאור שיטת הרמב"ם שיש לחלק בין "אומדנא" אשר מכוחה "מחזיקים" ממון אצל ה"מוחזק" - שמסתמכים עליה, ל"אומדנא" שמכוחה "מוציאים" ממון, שאין מסתמכים עליה.</w:t>
      </w:r>
    </w:p>
    <w:p w14:paraId="700794A7" w14:textId="77777777" w:rsidR="00644C97" w:rsidRPr="008B4DA1" w:rsidRDefault="00644C97" w:rsidP="00F8255E">
      <w:pPr>
        <w:pStyle w:val="a2"/>
        <w:rPr>
          <w:rtl/>
        </w:rPr>
      </w:pPr>
      <w:r w:rsidRPr="008B4DA1">
        <w:rPr>
          <w:rFonts w:hint="cs"/>
          <w:rtl/>
        </w:rPr>
        <w:t>אולם המהרי"ק (שורש קכט) דחה את החילוק, והוכיח כי מסתמכים על אומדנא גם "להוציא" ממון מהמוחזק: "ולא</w:t>
      </w:r>
      <w:r w:rsidRPr="008B4DA1">
        <w:rPr>
          <w:rtl/>
        </w:rPr>
        <w:t xml:space="preserve"> </w:t>
      </w:r>
      <w:r w:rsidRPr="008B4DA1">
        <w:rPr>
          <w:rFonts w:hint="cs"/>
          <w:rtl/>
        </w:rPr>
        <w:t>תימא</w:t>
      </w:r>
      <w:r w:rsidRPr="008B4DA1">
        <w:rPr>
          <w:rtl/>
        </w:rPr>
        <w:t xml:space="preserve"> </w:t>
      </w:r>
      <w:r w:rsidRPr="008B4DA1">
        <w:rPr>
          <w:rFonts w:hint="cs"/>
          <w:rtl/>
        </w:rPr>
        <w:t>דהיינו</w:t>
      </w:r>
      <w:r w:rsidRPr="008B4DA1">
        <w:rPr>
          <w:rtl/>
        </w:rPr>
        <w:t xml:space="preserve"> </w:t>
      </w:r>
      <w:r w:rsidRPr="008B4DA1">
        <w:rPr>
          <w:rFonts w:hint="cs"/>
          <w:rtl/>
        </w:rPr>
        <w:t>דוקא</w:t>
      </w:r>
      <w:r w:rsidRPr="008B4DA1">
        <w:rPr>
          <w:rtl/>
        </w:rPr>
        <w:t xml:space="preserve"> </w:t>
      </w:r>
      <w:r w:rsidRPr="008B4DA1">
        <w:rPr>
          <w:rFonts w:hint="cs"/>
          <w:rtl/>
        </w:rPr>
        <w:t>להחזיק</w:t>
      </w:r>
      <w:r w:rsidRPr="008B4DA1">
        <w:rPr>
          <w:rtl/>
        </w:rPr>
        <w:t xml:space="preserve"> </w:t>
      </w:r>
      <w:r w:rsidRPr="008B4DA1">
        <w:rPr>
          <w:rFonts w:hint="cs"/>
          <w:rtl/>
        </w:rPr>
        <w:t>ממון,</w:t>
      </w:r>
      <w:r w:rsidRPr="008B4DA1">
        <w:rPr>
          <w:rtl/>
        </w:rPr>
        <w:t xml:space="preserve"> </w:t>
      </w:r>
      <w:r w:rsidRPr="008B4DA1">
        <w:rPr>
          <w:rFonts w:hint="cs"/>
          <w:rtl/>
        </w:rPr>
        <w:t>אבל</w:t>
      </w:r>
      <w:r w:rsidRPr="008B4DA1">
        <w:rPr>
          <w:rtl/>
        </w:rPr>
        <w:t xml:space="preserve"> </w:t>
      </w:r>
      <w:r w:rsidRPr="008B4DA1">
        <w:rPr>
          <w:rFonts w:hint="cs"/>
          <w:rtl/>
        </w:rPr>
        <w:t>לא</w:t>
      </w:r>
      <w:r w:rsidRPr="008B4DA1">
        <w:rPr>
          <w:rtl/>
        </w:rPr>
        <w:t xml:space="preserve"> </w:t>
      </w:r>
      <w:r w:rsidRPr="008B4DA1">
        <w:rPr>
          <w:rFonts w:hint="cs"/>
          <w:rtl/>
        </w:rPr>
        <w:t>להוציא</w:t>
      </w:r>
      <w:r w:rsidRPr="008B4DA1">
        <w:rPr>
          <w:rtl/>
        </w:rPr>
        <w:t xml:space="preserve"> </w:t>
      </w:r>
      <w:r w:rsidRPr="008B4DA1">
        <w:rPr>
          <w:rFonts w:hint="cs"/>
          <w:rtl/>
        </w:rPr>
        <w:t>ממון</w:t>
      </w:r>
      <w:r w:rsidRPr="008B4DA1">
        <w:rPr>
          <w:rtl/>
        </w:rPr>
        <w:t xml:space="preserve"> </w:t>
      </w:r>
      <w:r w:rsidRPr="008B4DA1">
        <w:rPr>
          <w:rFonts w:hint="cs"/>
          <w:rtl/>
        </w:rPr>
        <w:t>מחזקתיה,</w:t>
      </w:r>
      <w:r w:rsidRPr="008B4DA1">
        <w:rPr>
          <w:rtl/>
        </w:rPr>
        <w:t xml:space="preserve"> </w:t>
      </w:r>
      <w:r w:rsidRPr="008B4DA1">
        <w:rPr>
          <w:rFonts w:hint="cs"/>
          <w:rtl/>
        </w:rPr>
        <w:t>דהא</w:t>
      </w:r>
      <w:r w:rsidRPr="008B4DA1">
        <w:rPr>
          <w:rtl/>
        </w:rPr>
        <w:t xml:space="preserve"> </w:t>
      </w:r>
      <w:r w:rsidRPr="008B4DA1">
        <w:rPr>
          <w:rFonts w:hint="cs"/>
          <w:rtl/>
        </w:rPr>
        <w:t>בריש</w:t>
      </w:r>
      <w:r w:rsidRPr="008B4DA1">
        <w:rPr>
          <w:rtl/>
        </w:rPr>
        <w:t xml:space="preserve"> </w:t>
      </w:r>
      <w:r w:rsidRPr="008B4DA1">
        <w:rPr>
          <w:rFonts w:hint="cs"/>
          <w:rtl/>
        </w:rPr>
        <w:t>פרק</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כתובות נה, ב</w:t>
      </w:r>
      <w:r w:rsidRPr="008B4DA1">
        <w:rPr>
          <w:rtl/>
        </w:rPr>
        <w:t xml:space="preserve">) </w:t>
      </w:r>
      <w:r w:rsidRPr="008B4DA1">
        <w:rPr>
          <w:rFonts w:hint="cs"/>
          <w:rtl/>
        </w:rPr>
        <w:t>מייתי</w:t>
      </w:r>
      <w:r w:rsidRPr="008B4DA1">
        <w:rPr>
          <w:rtl/>
        </w:rPr>
        <w:t xml:space="preserve"> </w:t>
      </w:r>
      <w:r w:rsidRPr="008B4DA1">
        <w:rPr>
          <w:rFonts w:hint="cs"/>
          <w:rtl/>
        </w:rPr>
        <w:t>ההיא</w:t>
      </w:r>
      <w:r w:rsidRPr="008B4DA1">
        <w:rPr>
          <w:rtl/>
        </w:rPr>
        <w:t xml:space="preserve"> </w:t>
      </w:r>
      <w:r w:rsidRPr="008B4DA1">
        <w:rPr>
          <w:rFonts w:hint="cs"/>
          <w:rtl/>
        </w:rPr>
        <w:t>דאומר</w:t>
      </w:r>
      <w:r w:rsidRPr="008B4DA1">
        <w:rPr>
          <w:rtl/>
        </w:rPr>
        <w:t xml:space="preserve"> </w:t>
      </w:r>
      <w:r w:rsidRPr="008B4DA1">
        <w:rPr>
          <w:rFonts w:hint="cs"/>
          <w:rtl/>
        </w:rPr>
        <w:t>רב</w:t>
      </w:r>
      <w:r w:rsidRPr="008B4DA1">
        <w:rPr>
          <w:rtl/>
        </w:rPr>
        <w:t xml:space="preserve"> </w:t>
      </w:r>
      <w:r w:rsidRPr="008B4DA1">
        <w:rPr>
          <w:rFonts w:hint="cs"/>
          <w:rtl/>
        </w:rPr>
        <w:t>גבי</w:t>
      </w:r>
      <w:r w:rsidRPr="008B4DA1">
        <w:rPr>
          <w:rtl/>
        </w:rPr>
        <w:t xml:space="preserve"> </w:t>
      </w:r>
      <w:r w:rsidRPr="008B4DA1">
        <w:rPr>
          <w:rFonts w:hint="cs"/>
          <w:rtl/>
        </w:rPr>
        <w:t>מתנת</w:t>
      </w:r>
      <w:r w:rsidRPr="008B4DA1">
        <w:rPr>
          <w:rtl/>
        </w:rPr>
        <w:t xml:space="preserve"> </w:t>
      </w:r>
      <w:r w:rsidRPr="008B4DA1">
        <w:rPr>
          <w:rFonts w:hint="cs"/>
          <w:rtl/>
        </w:rPr>
        <w:t>שכיב מרע</w:t>
      </w:r>
      <w:r w:rsidRPr="008B4DA1">
        <w:rPr>
          <w:rtl/>
        </w:rPr>
        <w:t xml:space="preserve"> </w:t>
      </w:r>
      <w:r w:rsidRPr="008B4DA1">
        <w:rPr>
          <w:rFonts w:hint="cs"/>
          <w:rtl/>
        </w:rPr>
        <w:t>שכתוב</w:t>
      </w:r>
      <w:r w:rsidRPr="008B4DA1">
        <w:rPr>
          <w:rtl/>
        </w:rPr>
        <w:t xml:space="preserve"> </w:t>
      </w:r>
      <w:r w:rsidRPr="008B4DA1">
        <w:rPr>
          <w:rFonts w:hint="cs"/>
          <w:rtl/>
        </w:rPr>
        <w:t>בו</w:t>
      </w:r>
      <w:r w:rsidRPr="008B4DA1">
        <w:rPr>
          <w:rtl/>
        </w:rPr>
        <w:t xml:space="preserve"> </w:t>
      </w:r>
      <w:r w:rsidRPr="008B4DA1">
        <w:rPr>
          <w:rFonts w:hint="cs"/>
          <w:rtl/>
        </w:rPr>
        <w:t>קנין</w:t>
      </w:r>
      <w:r w:rsidRPr="008B4DA1">
        <w:rPr>
          <w:rtl/>
        </w:rPr>
        <w:t xml:space="preserve"> </w:t>
      </w:r>
      <w:r w:rsidRPr="008B4DA1">
        <w:rPr>
          <w:rFonts w:hint="cs"/>
          <w:rtl/>
        </w:rPr>
        <w:t>דארכביה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וקאמר</w:t>
      </w:r>
      <w:r w:rsidRPr="008B4DA1">
        <w:rPr>
          <w:rtl/>
        </w:rPr>
        <w:t xml:space="preserve"> </w:t>
      </w:r>
      <w:r w:rsidRPr="008B4DA1">
        <w:rPr>
          <w:rFonts w:hint="cs"/>
          <w:rtl/>
        </w:rPr>
        <w:t>דהיינו</w:t>
      </w:r>
      <w:r w:rsidRPr="008B4DA1">
        <w:rPr>
          <w:rtl/>
        </w:rPr>
        <w:t xml:space="preserve"> </w:t>
      </w:r>
      <w:r w:rsidRPr="008B4DA1">
        <w:rPr>
          <w:rFonts w:hint="cs"/>
          <w:rtl/>
        </w:rPr>
        <w:t>מטעם</w:t>
      </w:r>
      <w:r w:rsidRPr="008B4DA1">
        <w:rPr>
          <w:rtl/>
        </w:rPr>
        <w:t xml:space="preserve"> </w:t>
      </w:r>
      <w:r w:rsidRPr="008B4DA1">
        <w:rPr>
          <w:rFonts w:hint="cs"/>
          <w:rtl/>
        </w:rPr>
        <w:t>אומדנא,</w:t>
      </w:r>
      <w:r w:rsidRPr="008B4DA1">
        <w:rPr>
          <w:rtl/>
        </w:rPr>
        <w:t xml:space="preserve"> </w:t>
      </w:r>
      <w:r w:rsidRPr="008B4DA1">
        <w:rPr>
          <w:rFonts w:hint="cs"/>
          <w:rtl/>
        </w:rPr>
        <w:t>ומדמה</w:t>
      </w:r>
      <w:r w:rsidRPr="008B4DA1">
        <w:rPr>
          <w:rtl/>
        </w:rPr>
        <w:t xml:space="preserve"> </w:t>
      </w:r>
      <w:r w:rsidRPr="008B4DA1">
        <w:rPr>
          <w:rFonts w:hint="cs"/>
          <w:rtl/>
        </w:rPr>
        <w:t>לה</w:t>
      </w:r>
      <w:r w:rsidRPr="008B4DA1">
        <w:rPr>
          <w:rtl/>
        </w:rPr>
        <w:t xml:space="preserve"> </w:t>
      </w:r>
      <w:r w:rsidRPr="008B4DA1">
        <w:rPr>
          <w:rFonts w:hint="cs"/>
          <w:rtl/>
        </w:rPr>
        <w:t>לההיא</w:t>
      </w:r>
      <w:r w:rsidRPr="008B4DA1">
        <w:rPr>
          <w:rtl/>
        </w:rPr>
        <w:t xml:space="preserve"> </w:t>
      </w:r>
      <w:r w:rsidRPr="008B4DA1">
        <w:rPr>
          <w:rFonts w:hint="cs"/>
          <w:rtl/>
        </w:rPr>
        <w:t>דרבי</w:t>
      </w:r>
      <w:r w:rsidRPr="008B4DA1">
        <w:rPr>
          <w:rtl/>
        </w:rPr>
        <w:t xml:space="preserve"> </w:t>
      </w:r>
      <w:r w:rsidRPr="008B4DA1">
        <w:rPr>
          <w:rFonts w:hint="cs"/>
          <w:rtl/>
        </w:rPr>
        <w:t>אלעזר</w:t>
      </w:r>
      <w:r w:rsidRPr="008B4DA1">
        <w:rPr>
          <w:rtl/>
        </w:rPr>
        <w:t xml:space="preserve"> </w:t>
      </w:r>
      <w:r w:rsidRPr="008B4DA1">
        <w:rPr>
          <w:rFonts w:hint="cs"/>
          <w:rtl/>
        </w:rPr>
        <w:t>בן</w:t>
      </w:r>
      <w:r w:rsidRPr="008B4DA1">
        <w:rPr>
          <w:rtl/>
        </w:rPr>
        <w:t xml:space="preserve"> </w:t>
      </w:r>
      <w:r w:rsidRPr="008B4DA1">
        <w:rPr>
          <w:rFonts w:hint="cs"/>
          <w:rtl/>
        </w:rPr>
        <w:t xml:space="preserve">עזריה (בנדון תוספת כתובתה לארוסה, הובא לעיל </w:t>
      </w:r>
      <w:r w:rsidRPr="008B4DA1">
        <w:rPr>
          <w:rFonts w:hint="cs"/>
          <w:b/>
          <w:bCs/>
          <w:rtl/>
        </w:rPr>
        <w:t>אות ה</w:t>
      </w:r>
      <w:r w:rsidRPr="008B4DA1">
        <w:rPr>
          <w:rFonts w:hint="cs"/>
          <w:rtl/>
        </w:rPr>
        <w:t>),</w:t>
      </w:r>
      <w:r w:rsidRPr="008B4DA1">
        <w:rPr>
          <w:rtl/>
        </w:rPr>
        <w:t xml:space="preserve"> </w:t>
      </w:r>
      <w:r w:rsidRPr="008B4DA1">
        <w:rPr>
          <w:rFonts w:hint="cs"/>
          <w:rtl/>
        </w:rPr>
        <w:t>דלא</w:t>
      </w:r>
      <w:r w:rsidRPr="008B4DA1">
        <w:rPr>
          <w:rtl/>
        </w:rPr>
        <w:t xml:space="preserve"> </w:t>
      </w:r>
      <w:r w:rsidRPr="008B4DA1">
        <w:rPr>
          <w:rFonts w:hint="cs"/>
          <w:rtl/>
        </w:rPr>
        <w:t>כתב</w:t>
      </w:r>
      <w:r w:rsidRPr="008B4DA1">
        <w:rPr>
          <w:rtl/>
        </w:rPr>
        <w:t xml:space="preserve"> </w:t>
      </w:r>
      <w:r w:rsidRPr="008B4DA1">
        <w:rPr>
          <w:rFonts w:hint="cs"/>
          <w:rtl/>
        </w:rPr>
        <w:t>לה</w:t>
      </w:r>
      <w:r w:rsidRPr="008B4DA1">
        <w:rPr>
          <w:rtl/>
        </w:rPr>
        <w:t xml:space="preserve"> </w:t>
      </w:r>
      <w:r w:rsidRPr="008B4DA1">
        <w:rPr>
          <w:rFonts w:hint="cs"/>
          <w:rtl/>
        </w:rPr>
        <w:t>אלא</w:t>
      </w:r>
      <w:r w:rsidRPr="008B4DA1">
        <w:rPr>
          <w:rtl/>
        </w:rPr>
        <w:t xml:space="preserve"> </w:t>
      </w:r>
      <w:r w:rsidRPr="008B4DA1">
        <w:rPr>
          <w:rFonts w:hint="cs"/>
          <w:rtl/>
        </w:rPr>
        <w:t>על</w:t>
      </w:r>
      <w:r w:rsidRPr="008B4DA1">
        <w:rPr>
          <w:rtl/>
        </w:rPr>
        <w:t xml:space="preserve"> </w:t>
      </w:r>
      <w:r w:rsidRPr="008B4DA1">
        <w:rPr>
          <w:rFonts w:hint="cs"/>
          <w:rtl/>
        </w:rPr>
        <w:t>מנת</w:t>
      </w:r>
      <w:r w:rsidRPr="008B4DA1">
        <w:rPr>
          <w:rtl/>
        </w:rPr>
        <w:t xml:space="preserve"> </w:t>
      </w:r>
      <w:r w:rsidRPr="008B4DA1">
        <w:rPr>
          <w:rFonts w:hint="cs"/>
          <w:rtl/>
        </w:rPr>
        <w:t>לכונסה".</w:t>
      </w:r>
      <w:r w:rsidRPr="008B4DA1">
        <w:rPr>
          <w:rtl/>
        </w:rPr>
        <w:t xml:space="preserve"> </w:t>
      </w:r>
      <w:r w:rsidRPr="008B4DA1">
        <w:rPr>
          <w:rFonts w:hint="cs"/>
          <w:rtl/>
        </w:rPr>
        <w:t>וכן</w:t>
      </w:r>
      <w:r w:rsidRPr="008B4DA1">
        <w:rPr>
          <w:rtl/>
        </w:rPr>
        <w:t xml:space="preserve"> </w:t>
      </w:r>
      <w:r w:rsidRPr="008B4DA1">
        <w:rPr>
          <w:rFonts w:hint="cs"/>
          <w:rtl/>
        </w:rPr>
        <w:t>גבי</w:t>
      </w:r>
      <w:r w:rsidRPr="008B4DA1">
        <w:rPr>
          <w:rtl/>
        </w:rPr>
        <w:t xml:space="preserve"> </w:t>
      </w:r>
      <w:r w:rsidRPr="008B4DA1">
        <w:rPr>
          <w:rFonts w:hint="cs"/>
          <w:rtl/>
        </w:rPr>
        <w:t>מסוכן</w:t>
      </w:r>
      <w:r w:rsidRPr="008B4DA1">
        <w:rPr>
          <w:rtl/>
        </w:rPr>
        <w:t xml:space="preserve"> </w:t>
      </w:r>
      <w:r w:rsidRPr="008B4DA1">
        <w:rPr>
          <w:rFonts w:hint="cs"/>
          <w:rtl/>
        </w:rPr>
        <w:t xml:space="preserve">(בבא בתרא קמו, ב; הובא לעיל </w:t>
      </w:r>
      <w:r w:rsidRPr="008B4DA1">
        <w:rPr>
          <w:rFonts w:hint="cs"/>
          <w:b/>
          <w:bCs/>
          <w:rtl/>
        </w:rPr>
        <w:t>אות ז</w:t>
      </w:r>
      <w:r w:rsidRPr="008B4DA1">
        <w:rPr>
          <w:rFonts w:hint="cs"/>
          <w:rtl/>
        </w:rPr>
        <w:t>) סמכינן</w:t>
      </w:r>
      <w:r w:rsidRPr="008B4DA1">
        <w:rPr>
          <w:rtl/>
        </w:rPr>
        <w:t xml:space="preserve"> </w:t>
      </w:r>
      <w:r w:rsidRPr="008B4DA1">
        <w:rPr>
          <w:rFonts w:hint="cs"/>
          <w:rtl/>
        </w:rPr>
        <w:t>אאומדנא</w:t>
      </w:r>
      <w:r w:rsidRPr="008B4DA1">
        <w:rPr>
          <w:rtl/>
        </w:rPr>
        <w:t xml:space="preserve"> </w:t>
      </w:r>
      <w:r w:rsidRPr="008B4DA1">
        <w:rPr>
          <w:rFonts w:hint="cs"/>
          <w:rtl/>
        </w:rPr>
        <w:t>אפילו</w:t>
      </w:r>
      <w:r w:rsidRPr="008B4DA1">
        <w:rPr>
          <w:rtl/>
        </w:rPr>
        <w:t xml:space="preserve"> </w:t>
      </w:r>
      <w:r w:rsidRPr="008B4DA1">
        <w:rPr>
          <w:rFonts w:hint="cs"/>
          <w:rtl/>
        </w:rPr>
        <w:t>לענין</w:t>
      </w:r>
      <w:r w:rsidRPr="008B4DA1">
        <w:rPr>
          <w:rtl/>
        </w:rPr>
        <w:t xml:space="preserve"> </w:t>
      </w:r>
      <w:r w:rsidRPr="008B4DA1">
        <w:rPr>
          <w:rFonts w:hint="cs"/>
          <w:rtl/>
        </w:rPr>
        <w:t>אסור</w:t>
      </w:r>
      <w:r w:rsidRPr="008B4DA1">
        <w:rPr>
          <w:rtl/>
        </w:rPr>
        <w:t xml:space="preserve"> </w:t>
      </w:r>
      <w:r w:rsidRPr="008B4DA1">
        <w:rPr>
          <w:rFonts w:hint="cs"/>
          <w:rtl/>
        </w:rPr>
        <w:t>ערוה,</w:t>
      </w:r>
      <w:r w:rsidRPr="008B4DA1">
        <w:rPr>
          <w:rtl/>
        </w:rPr>
        <w:t xml:space="preserve"> </w:t>
      </w:r>
      <w:r w:rsidRPr="008B4DA1">
        <w:rPr>
          <w:rFonts w:hint="cs"/>
          <w:rtl/>
        </w:rPr>
        <w:t>ולא</w:t>
      </w:r>
      <w:r w:rsidRPr="008B4DA1">
        <w:rPr>
          <w:rtl/>
        </w:rPr>
        <w:t xml:space="preserve"> </w:t>
      </w:r>
      <w:r w:rsidRPr="008B4DA1">
        <w:rPr>
          <w:rFonts w:hint="cs"/>
          <w:rtl/>
        </w:rPr>
        <w:t>אמרינן</w:t>
      </w:r>
      <w:r w:rsidRPr="008B4DA1">
        <w:rPr>
          <w:rtl/>
        </w:rPr>
        <w:t xml:space="preserve"> </w:t>
      </w:r>
      <w:r w:rsidRPr="008B4DA1">
        <w:rPr>
          <w:rFonts w:hint="cs"/>
          <w:rtl/>
        </w:rPr>
        <w:t>העמידנה</w:t>
      </w:r>
      <w:r w:rsidRPr="008B4DA1">
        <w:rPr>
          <w:rtl/>
        </w:rPr>
        <w:t xml:space="preserve"> </w:t>
      </w:r>
      <w:r w:rsidRPr="008B4DA1">
        <w:rPr>
          <w:rFonts w:hint="cs"/>
          <w:rtl/>
        </w:rPr>
        <w:t>בחזקת</w:t>
      </w:r>
      <w:r w:rsidRPr="008B4DA1">
        <w:rPr>
          <w:rtl/>
        </w:rPr>
        <w:t xml:space="preserve"> </w:t>
      </w:r>
      <w:r w:rsidRPr="008B4DA1">
        <w:rPr>
          <w:rFonts w:hint="cs"/>
          <w:rtl/>
        </w:rPr>
        <w:t>אשת</w:t>
      </w:r>
      <w:r w:rsidRPr="008B4DA1">
        <w:rPr>
          <w:rtl/>
        </w:rPr>
        <w:t xml:space="preserve"> </w:t>
      </w:r>
      <w:r w:rsidRPr="008B4DA1">
        <w:rPr>
          <w:rFonts w:hint="cs"/>
          <w:rtl/>
        </w:rPr>
        <w:t xml:space="preserve">איש". </w:t>
      </w:r>
    </w:p>
    <w:p w14:paraId="6DDECC24" w14:textId="69354420" w:rsidR="00644C97" w:rsidRPr="008B4DA1" w:rsidRDefault="00644C97" w:rsidP="00F8255E">
      <w:pPr>
        <w:pStyle w:val="a2"/>
        <w:rPr>
          <w:rtl/>
        </w:rPr>
      </w:pPr>
      <w:r w:rsidRPr="008B4DA1">
        <w:rPr>
          <w:rFonts w:hint="cs"/>
          <w:rtl/>
        </w:rPr>
        <w:t>וכוונתו לדברי הגמרא במסכת כתובות (נה, ב) "מתנת</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שכתוב</w:t>
      </w:r>
      <w:r w:rsidRPr="008B4DA1">
        <w:rPr>
          <w:rtl/>
        </w:rPr>
        <w:t xml:space="preserve"> </w:t>
      </w:r>
      <w:r w:rsidRPr="008B4DA1">
        <w:rPr>
          <w:rFonts w:hint="cs"/>
          <w:rtl/>
        </w:rPr>
        <w:t>בה</w:t>
      </w:r>
      <w:r w:rsidRPr="008B4DA1">
        <w:rPr>
          <w:rtl/>
        </w:rPr>
        <w:t xml:space="preserve"> </w:t>
      </w:r>
      <w:r w:rsidRPr="008B4DA1">
        <w:rPr>
          <w:rFonts w:hint="cs"/>
          <w:rtl/>
        </w:rPr>
        <w:t>קנין</w:t>
      </w:r>
      <w:r w:rsidRPr="008B4DA1">
        <w:rPr>
          <w:rtl/>
        </w:rPr>
        <w:t xml:space="preserve">, </w:t>
      </w:r>
      <w:r w:rsidRPr="008B4DA1">
        <w:rPr>
          <w:rFonts w:hint="cs"/>
          <w:rtl/>
        </w:rPr>
        <w:t>בבי</w:t>
      </w:r>
      <w:r w:rsidRPr="008B4DA1">
        <w:rPr>
          <w:rtl/>
        </w:rPr>
        <w:t xml:space="preserve"> </w:t>
      </w:r>
      <w:r w:rsidRPr="008B4DA1">
        <w:rPr>
          <w:rFonts w:hint="cs"/>
          <w:rtl/>
        </w:rPr>
        <w:t>רב</w:t>
      </w:r>
      <w:r w:rsidRPr="008B4DA1">
        <w:rPr>
          <w:rtl/>
        </w:rPr>
        <w:t xml:space="preserve"> </w:t>
      </w:r>
      <w:r w:rsidRPr="008B4DA1">
        <w:rPr>
          <w:rFonts w:hint="cs"/>
          <w:rtl/>
        </w:rPr>
        <w:t>משמיה</w:t>
      </w:r>
      <w:r w:rsidRPr="008B4DA1">
        <w:rPr>
          <w:rtl/>
        </w:rPr>
        <w:t xml:space="preserve"> </w:t>
      </w:r>
      <w:r w:rsidRPr="008B4DA1">
        <w:rPr>
          <w:rFonts w:hint="cs"/>
          <w:b/>
          <w:bCs/>
          <w:rtl/>
        </w:rPr>
        <w:t>דרב</w:t>
      </w:r>
      <w:r w:rsidRPr="008B4DA1">
        <w:rPr>
          <w:rtl/>
        </w:rPr>
        <w:t xml:space="preserve"> </w:t>
      </w:r>
      <w:r w:rsidRPr="008B4DA1">
        <w:rPr>
          <w:rFonts w:hint="cs"/>
          <w:rtl/>
        </w:rPr>
        <w:t>אמרי</w:t>
      </w:r>
      <w:r w:rsidRPr="008B4DA1">
        <w:rPr>
          <w:rtl/>
        </w:rPr>
        <w:t xml:space="preserve"> </w:t>
      </w:r>
      <w:r w:rsidRPr="008B4DA1">
        <w:rPr>
          <w:rFonts w:hint="cs"/>
          <w:rtl/>
        </w:rPr>
        <w:t>ארכביה</w:t>
      </w:r>
      <w:r w:rsidRPr="008B4DA1">
        <w:rPr>
          <w:rtl/>
        </w:rPr>
        <w:t xml:space="preserve"> </w:t>
      </w:r>
      <w:r w:rsidRPr="008B4DA1">
        <w:rPr>
          <w:rFonts w:hint="cs"/>
          <w:rtl/>
        </w:rPr>
        <w:t>אתרי</w:t>
      </w:r>
      <w:r w:rsidRPr="008B4DA1">
        <w:rPr>
          <w:rtl/>
        </w:rPr>
        <w:t xml:space="preserve"> </w:t>
      </w:r>
      <w:r w:rsidRPr="008B4DA1">
        <w:rPr>
          <w:rFonts w:hint="cs"/>
          <w:rtl/>
        </w:rPr>
        <w:t>רכשי, הרי</w:t>
      </w:r>
      <w:r w:rsidRPr="008B4DA1">
        <w:rPr>
          <w:rtl/>
        </w:rPr>
        <w:t xml:space="preserve"> </w:t>
      </w:r>
      <w:r w:rsidRPr="008B4DA1">
        <w:rPr>
          <w:rFonts w:hint="cs"/>
          <w:rtl/>
        </w:rPr>
        <w:t>היא</w:t>
      </w:r>
      <w:r w:rsidRPr="008B4DA1">
        <w:rPr>
          <w:rtl/>
        </w:rPr>
        <w:t xml:space="preserve"> </w:t>
      </w:r>
      <w:r w:rsidRPr="008B4DA1">
        <w:rPr>
          <w:rFonts w:hint="cs"/>
          <w:rtl/>
        </w:rPr>
        <w:t>כמתנת</w:t>
      </w:r>
      <w:r w:rsidRPr="008B4DA1">
        <w:rPr>
          <w:rtl/>
        </w:rPr>
        <w:t xml:space="preserve"> </w:t>
      </w:r>
      <w:r w:rsidRPr="008B4DA1">
        <w:rPr>
          <w:rFonts w:hint="cs"/>
          <w:rtl/>
        </w:rPr>
        <w:t>בריא</w:t>
      </w:r>
      <w:r w:rsidRPr="008B4DA1">
        <w:rPr>
          <w:rtl/>
        </w:rPr>
        <w:t xml:space="preserve"> </w:t>
      </w:r>
      <w:r w:rsidRPr="008B4DA1">
        <w:rPr>
          <w:rFonts w:hint="cs"/>
          <w:rtl/>
        </w:rPr>
        <w:t>והרי</w:t>
      </w:r>
      <w:r w:rsidRPr="008B4DA1">
        <w:rPr>
          <w:rtl/>
        </w:rPr>
        <w:t xml:space="preserve"> </w:t>
      </w:r>
      <w:r w:rsidRPr="008B4DA1">
        <w:rPr>
          <w:rFonts w:hint="cs"/>
          <w:rtl/>
        </w:rPr>
        <w:t>היא</w:t>
      </w:r>
      <w:r w:rsidRPr="008B4DA1">
        <w:rPr>
          <w:rtl/>
        </w:rPr>
        <w:t xml:space="preserve"> </w:t>
      </w:r>
      <w:r w:rsidRPr="008B4DA1">
        <w:rPr>
          <w:rFonts w:hint="cs"/>
          <w:rtl/>
        </w:rPr>
        <w:t>כמתנת</w:t>
      </w:r>
      <w:r w:rsidRPr="008B4DA1">
        <w:rPr>
          <w:rtl/>
        </w:rPr>
        <w:t xml:space="preserve"> </w:t>
      </w:r>
      <w:r w:rsidRPr="008B4DA1">
        <w:rPr>
          <w:rFonts w:hint="cs"/>
          <w:rtl/>
        </w:rPr>
        <w:t>שכיב</w:t>
      </w:r>
      <w:r w:rsidRPr="008B4DA1">
        <w:rPr>
          <w:rtl/>
        </w:rPr>
        <w:t xml:space="preserve"> </w:t>
      </w:r>
      <w:r w:rsidRPr="008B4DA1">
        <w:rPr>
          <w:rFonts w:hint="cs"/>
          <w:rtl/>
        </w:rPr>
        <w:t>מרע". ופירש רש"י: "מתנת</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אינה</w:t>
      </w:r>
      <w:r w:rsidRPr="008B4DA1">
        <w:rPr>
          <w:rtl/>
        </w:rPr>
        <w:t xml:space="preserve"> </w:t>
      </w:r>
      <w:r w:rsidRPr="008B4DA1">
        <w:rPr>
          <w:rFonts w:hint="cs"/>
          <w:rtl/>
        </w:rPr>
        <w:t>צריכה</w:t>
      </w:r>
      <w:r w:rsidRPr="008B4DA1">
        <w:rPr>
          <w:rtl/>
        </w:rPr>
        <w:t xml:space="preserve"> </w:t>
      </w:r>
      <w:r w:rsidRPr="008B4DA1">
        <w:rPr>
          <w:rFonts w:hint="cs"/>
          <w:rtl/>
        </w:rPr>
        <w:t>קנין,</w:t>
      </w:r>
      <w:r w:rsidRPr="008B4DA1">
        <w:rPr>
          <w:rtl/>
        </w:rPr>
        <w:t xml:space="preserve"> </w:t>
      </w:r>
      <w:r w:rsidRPr="008B4DA1">
        <w:rPr>
          <w:rFonts w:hint="cs"/>
          <w:rtl/>
        </w:rPr>
        <w:t>שתיקנו</w:t>
      </w:r>
      <w:r w:rsidRPr="008B4DA1">
        <w:rPr>
          <w:rtl/>
        </w:rPr>
        <w:t xml:space="preserve"> </w:t>
      </w:r>
      <w:r w:rsidRPr="008B4DA1">
        <w:rPr>
          <w:rFonts w:hint="cs"/>
          <w:rtl/>
        </w:rPr>
        <w:t>חכמים</w:t>
      </w:r>
      <w:r w:rsidRPr="008B4DA1">
        <w:rPr>
          <w:rtl/>
        </w:rPr>
        <w:t xml:space="preserve"> </w:t>
      </w:r>
      <w:r w:rsidRPr="008B4DA1">
        <w:rPr>
          <w:rFonts w:hint="cs"/>
          <w:rtl/>
        </w:rPr>
        <w:t>שדבריו</w:t>
      </w:r>
      <w:r w:rsidRPr="008B4DA1">
        <w:rPr>
          <w:rtl/>
        </w:rPr>
        <w:t xml:space="preserve"> </w:t>
      </w:r>
      <w:r w:rsidRPr="008B4DA1">
        <w:rPr>
          <w:rFonts w:hint="cs"/>
          <w:rtl/>
        </w:rPr>
        <w:t>ככתובים</w:t>
      </w:r>
      <w:r w:rsidRPr="008B4DA1">
        <w:rPr>
          <w:rtl/>
        </w:rPr>
        <w:t xml:space="preserve"> </w:t>
      </w:r>
      <w:r w:rsidRPr="008B4DA1">
        <w:rPr>
          <w:rFonts w:hint="cs"/>
          <w:rtl/>
        </w:rPr>
        <w:t>וכמסורים</w:t>
      </w:r>
      <w:r w:rsidRPr="008B4DA1">
        <w:rPr>
          <w:rtl/>
        </w:rPr>
        <w:t xml:space="preserve"> </w:t>
      </w:r>
      <w:r w:rsidRPr="008B4DA1">
        <w:rPr>
          <w:rFonts w:hint="cs"/>
          <w:rtl/>
        </w:rPr>
        <w:t>שלא</w:t>
      </w:r>
      <w:r w:rsidRPr="008B4DA1">
        <w:rPr>
          <w:rtl/>
        </w:rPr>
        <w:t xml:space="preserve"> </w:t>
      </w:r>
      <w:r w:rsidRPr="008B4DA1">
        <w:rPr>
          <w:rFonts w:hint="cs"/>
          <w:rtl/>
        </w:rPr>
        <w:t>תיטרף</w:t>
      </w:r>
      <w:r w:rsidRPr="008B4DA1">
        <w:rPr>
          <w:rtl/>
        </w:rPr>
        <w:t xml:space="preserve"> </w:t>
      </w:r>
      <w:r w:rsidRPr="008B4DA1">
        <w:rPr>
          <w:rFonts w:hint="cs"/>
          <w:rtl/>
        </w:rPr>
        <w:t>דעתו</w:t>
      </w:r>
      <w:r w:rsidRPr="008B4DA1">
        <w:rPr>
          <w:rtl/>
        </w:rPr>
        <w:t xml:space="preserve"> </w:t>
      </w:r>
      <w:r w:rsidRPr="008B4DA1">
        <w:rPr>
          <w:rFonts w:hint="cs"/>
          <w:rtl/>
        </w:rPr>
        <w:t>עליו.</w:t>
      </w:r>
      <w:r w:rsidRPr="008B4DA1">
        <w:rPr>
          <w:rtl/>
        </w:rPr>
        <w:t xml:space="preserve"> </w:t>
      </w:r>
      <w:r w:rsidRPr="008B4DA1">
        <w:rPr>
          <w:rFonts w:hint="cs"/>
          <w:rtl/>
        </w:rPr>
        <w:t>ואם</w:t>
      </w:r>
      <w:r w:rsidRPr="008B4DA1">
        <w:rPr>
          <w:rtl/>
        </w:rPr>
        <w:t xml:space="preserve"> </w:t>
      </w:r>
      <w:r w:rsidRPr="008B4DA1">
        <w:rPr>
          <w:rFonts w:hint="cs"/>
          <w:rtl/>
        </w:rPr>
        <w:t>כתוב</w:t>
      </w:r>
      <w:r w:rsidRPr="008B4DA1">
        <w:rPr>
          <w:rtl/>
        </w:rPr>
        <w:t xml:space="preserve"> </w:t>
      </w:r>
      <w:r w:rsidRPr="008B4DA1">
        <w:rPr>
          <w:rFonts w:hint="cs"/>
          <w:rtl/>
        </w:rPr>
        <w:t>בה</w:t>
      </w:r>
      <w:r w:rsidRPr="008B4DA1">
        <w:rPr>
          <w:rtl/>
        </w:rPr>
        <w:t xml:space="preserve"> </w:t>
      </w:r>
      <w:r w:rsidRPr="008B4DA1">
        <w:rPr>
          <w:rFonts w:hint="cs"/>
          <w:rtl/>
        </w:rPr>
        <w:t>קנין,</w:t>
      </w:r>
      <w:r w:rsidRPr="008B4DA1">
        <w:rPr>
          <w:rtl/>
        </w:rPr>
        <w:t xml:space="preserve"> </w:t>
      </w:r>
      <w:r w:rsidRPr="008B4DA1">
        <w:rPr>
          <w:rFonts w:hint="cs"/>
          <w:rtl/>
        </w:rPr>
        <w:t>אמר</w:t>
      </w:r>
      <w:r w:rsidRPr="008B4DA1">
        <w:rPr>
          <w:rtl/>
        </w:rPr>
        <w:t xml:space="preserve"> </w:t>
      </w:r>
      <w:r w:rsidRPr="008B4DA1">
        <w:rPr>
          <w:rFonts w:hint="cs"/>
          <w:rtl/>
        </w:rPr>
        <w:t>רב</w:t>
      </w:r>
      <w:r w:rsidRPr="008B4DA1">
        <w:rPr>
          <w:rtl/>
        </w:rPr>
        <w:t xml:space="preserve"> </w:t>
      </w:r>
      <w:r w:rsidRPr="008B4DA1">
        <w:rPr>
          <w:rFonts w:hint="cs"/>
          <w:rtl/>
        </w:rPr>
        <w:t>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כמו</w:t>
      </w:r>
      <w:r w:rsidRPr="008B4DA1">
        <w:rPr>
          <w:rtl/>
        </w:rPr>
        <w:t xml:space="preserve"> </w:t>
      </w:r>
      <w:r w:rsidRPr="008B4DA1">
        <w:rPr>
          <w:rFonts w:hint="cs"/>
          <w:rtl/>
        </w:rPr>
        <w:t>רֹכְבֵי</w:t>
      </w:r>
      <w:r w:rsidRPr="008B4DA1">
        <w:rPr>
          <w:rtl/>
        </w:rPr>
        <w:t xml:space="preserve"> </w:t>
      </w:r>
      <w:r w:rsidRPr="008B4DA1">
        <w:rPr>
          <w:rFonts w:hint="cs"/>
          <w:rtl/>
        </w:rPr>
        <w:t xml:space="preserve">הָרֶכֶשׁ </w:t>
      </w:r>
      <w:r w:rsidRPr="008B4DA1">
        <w:rPr>
          <w:rtl/>
        </w:rPr>
        <w:t>(</w:t>
      </w:r>
      <w:r w:rsidRPr="008B4DA1">
        <w:rPr>
          <w:rFonts w:hint="cs"/>
          <w:rtl/>
        </w:rPr>
        <w:t>אסתר</w:t>
      </w:r>
      <w:r w:rsidRPr="008B4DA1">
        <w:rPr>
          <w:rtl/>
        </w:rPr>
        <w:t xml:space="preserve"> </w:t>
      </w:r>
      <w:r w:rsidRPr="008B4DA1">
        <w:rPr>
          <w:rFonts w:hint="cs"/>
          <w:rtl/>
        </w:rPr>
        <w:t>ח, י</w:t>
      </w:r>
      <w:r w:rsidRPr="008B4DA1">
        <w:rPr>
          <w:rtl/>
        </w:rPr>
        <w:t>)</w:t>
      </w:r>
      <w:r w:rsidRPr="008B4DA1">
        <w:rPr>
          <w:rFonts w:hint="cs"/>
          <w:rtl/>
        </w:rPr>
        <w:t>,</w:t>
      </w:r>
      <w:r w:rsidRPr="008B4DA1">
        <w:rPr>
          <w:rtl/>
        </w:rPr>
        <w:t xml:space="preserve"> </w:t>
      </w:r>
      <w:r w:rsidRPr="008B4DA1">
        <w:rPr>
          <w:rFonts w:hint="cs"/>
          <w:rtl/>
        </w:rPr>
        <w:t>כלומר</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שתי</w:t>
      </w:r>
      <w:r w:rsidRPr="008B4DA1">
        <w:rPr>
          <w:rtl/>
        </w:rPr>
        <w:t xml:space="preserve"> </w:t>
      </w:r>
      <w:r w:rsidRPr="008B4DA1">
        <w:rPr>
          <w:rFonts w:hint="cs"/>
          <w:rtl/>
        </w:rPr>
        <w:t>כוחות -</w:t>
      </w:r>
      <w:r w:rsidRPr="008B4DA1">
        <w:rPr>
          <w:rtl/>
        </w:rPr>
        <w:t xml:space="preserve"> </w:t>
      </w:r>
      <w:r w:rsidRPr="008B4DA1">
        <w:rPr>
          <w:rFonts w:hint="cs"/>
          <w:rtl/>
        </w:rPr>
        <w:t>על</w:t>
      </w:r>
      <w:r w:rsidRPr="008B4DA1">
        <w:rPr>
          <w:rtl/>
        </w:rPr>
        <w:t xml:space="preserve"> </w:t>
      </w:r>
      <w:r w:rsidRPr="008B4DA1">
        <w:rPr>
          <w:rFonts w:hint="cs"/>
          <w:rtl/>
        </w:rPr>
        <w:t>ידי</w:t>
      </w:r>
      <w:r w:rsidRPr="008B4DA1">
        <w:rPr>
          <w:rtl/>
        </w:rPr>
        <w:t xml:space="preserve"> </w:t>
      </w:r>
      <w:r w:rsidRPr="008B4DA1">
        <w:rPr>
          <w:rFonts w:hint="cs"/>
          <w:rtl/>
        </w:rPr>
        <w:t>שכתוב</w:t>
      </w:r>
      <w:r w:rsidRPr="008B4DA1">
        <w:rPr>
          <w:rtl/>
        </w:rPr>
        <w:t xml:space="preserve"> </w:t>
      </w:r>
      <w:r w:rsidRPr="008B4DA1">
        <w:rPr>
          <w:rFonts w:hint="cs"/>
          <w:rtl/>
        </w:rPr>
        <w:t>בה</w:t>
      </w:r>
      <w:r w:rsidRPr="008B4DA1">
        <w:rPr>
          <w:rtl/>
        </w:rPr>
        <w:t xml:space="preserve"> </w:t>
      </w:r>
      <w:r w:rsidRPr="008B4DA1">
        <w:rPr>
          <w:rFonts w:hint="cs"/>
          <w:rtl/>
        </w:rPr>
        <w:t>[הנוסח של מתנת שכיב מרע] "כדקציר</w:t>
      </w:r>
      <w:r w:rsidRPr="008B4DA1">
        <w:rPr>
          <w:rtl/>
        </w:rPr>
        <w:t xml:space="preserve"> </w:t>
      </w:r>
      <w:r w:rsidRPr="008B4DA1">
        <w:rPr>
          <w:rFonts w:hint="cs"/>
          <w:rtl/>
        </w:rPr>
        <w:t>ורמי</w:t>
      </w:r>
      <w:r w:rsidRPr="008B4DA1">
        <w:rPr>
          <w:rtl/>
        </w:rPr>
        <w:t xml:space="preserve"> </w:t>
      </w:r>
      <w:r w:rsidRPr="008B4DA1">
        <w:rPr>
          <w:rFonts w:hint="cs"/>
          <w:rtl/>
        </w:rPr>
        <w:t>בערסיה" [כאשר היה חולה ושוכב במיטתו],</w:t>
      </w:r>
      <w:r w:rsidRPr="008B4DA1">
        <w:rPr>
          <w:rtl/>
        </w:rPr>
        <w:t xml:space="preserve"> </w:t>
      </w:r>
      <w:r w:rsidRPr="008B4DA1">
        <w:rPr>
          <w:rFonts w:hint="cs"/>
          <w:rtl/>
        </w:rPr>
        <w:t>וכל</w:t>
      </w:r>
      <w:r w:rsidRPr="008B4DA1">
        <w:rPr>
          <w:rtl/>
        </w:rPr>
        <w:t xml:space="preserve"> </w:t>
      </w:r>
      <w:r w:rsidRPr="008B4DA1">
        <w:rPr>
          <w:rFonts w:hint="cs"/>
          <w:rtl/>
        </w:rPr>
        <w:t>לשון</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כח</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ועל</w:t>
      </w:r>
      <w:r w:rsidRPr="008B4DA1">
        <w:rPr>
          <w:rtl/>
        </w:rPr>
        <w:t xml:space="preserve"> </w:t>
      </w:r>
      <w:r w:rsidRPr="008B4DA1">
        <w:rPr>
          <w:rFonts w:hint="cs"/>
          <w:rtl/>
        </w:rPr>
        <w:t>ידי</w:t>
      </w:r>
      <w:r w:rsidRPr="008B4DA1">
        <w:rPr>
          <w:rtl/>
        </w:rPr>
        <w:t xml:space="preserve"> </w:t>
      </w:r>
      <w:r w:rsidRPr="008B4DA1">
        <w:rPr>
          <w:rFonts w:hint="cs"/>
          <w:rtl/>
        </w:rPr>
        <w:t>קנין</w:t>
      </w:r>
      <w:r w:rsidRPr="008B4DA1">
        <w:rPr>
          <w:rtl/>
        </w:rPr>
        <w:t xml:space="preserve"> </w:t>
      </w:r>
      <w:r w:rsidRPr="008B4DA1">
        <w:rPr>
          <w:rFonts w:hint="cs"/>
          <w:rtl/>
        </w:rPr>
        <w:t>שכתוב</w:t>
      </w:r>
      <w:r w:rsidRPr="008B4DA1">
        <w:rPr>
          <w:rtl/>
        </w:rPr>
        <w:t xml:space="preserve"> </w:t>
      </w:r>
      <w:r w:rsidRPr="008B4DA1">
        <w:rPr>
          <w:rFonts w:hint="cs"/>
          <w:rtl/>
        </w:rPr>
        <w:lastRenderedPageBreak/>
        <w:t>בה</w:t>
      </w:r>
      <w:r w:rsidRPr="008B4DA1">
        <w:rPr>
          <w:rtl/>
        </w:rPr>
        <w:t xml:space="preserve"> </w:t>
      </w:r>
      <w:r w:rsidRPr="008B4DA1">
        <w:rPr>
          <w:rFonts w:hint="cs"/>
          <w:rtl/>
        </w:rPr>
        <w:t>שאינו</w:t>
      </w:r>
      <w:r w:rsidRPr="008B4DA1">
        <w:rPr>
          <w:rtl/>
        </w:rPr>
        <w:t xml:space="preserve"> </w:t>
      </w:r>
      <w:r w:rsidRPr="008B4DA1">
        <w:rPr>
          <w:rFonts w:hint="cs"/>
          <w:rtl/>
        </w:rPr>
        <w:t>נוהג</w:t>
      </w:r>
      <w:r w:rsidRPr="008B4DA1">
        <w:rPr>
          <w:rtl/>
        </w:rPr>
        <w:t xml:space="preserve"> </w:t>
      </w:r>
      <w:r w:rsidRPr="008B4DA1">
        <w:rPr>
          <w:rFonts w:hint="cs"/>
          <w:rtl/>
        </w:rPr>
        <w:t>אלא</w:t>
      </w:r>
      <w:r w:rsidRPr="008B4DA1">
        <w:rPr>
          <w:rtl/>
        </w:rPr>
        <w:t xml:space="preserve"> </w:t>
      </w:r>
      <w:r w:rsidRPr="008B4DA1">
        <w:rPr>
          <w:rFonts w:hint="cs"/>
          <w:rtl/>
        </w:rPr>
        <w:t>בבריא,</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כח</w:t>
      </w:r>
      <w:r w:rsidRPr="008B4DA1">
        <w:rPr>
          <w:rtl/>
        </w:rPr>
        <w:t xml:space="preserve"> </w:t>
      </w:r>
      <w:r w:rsidRPr="008B4DA1">
        <w:rPr>
          <w:rFonts w:hint="cs"/>
          <w:rtl/>
        </w:rPr>
        <w:t>בריא". כאשר שכיב מרע כותב צוואה בלשון "צוואת שכיב מרע", ועוד מוסיף ועושה קנין [למרות שאינו חייב בכך, כי "דברי שכיב מרע ככתובים וכמסורים" גם ללא קנין], הרי הוא נותן למתנה את שתי הכוחות כח של מתנת שכיב מרע - להקנות בה גם הלוואות [אע"פ שבדרך כלל אי אפשר להקנות הלוואות שלא בקנין]. וכח של מתנת בריא שאם הבריא אינו יכול לחזור בו</w:t>
      </w:r>
      <w:r w:rsidR="005D7B4D">
        <w:rPr>
          <w:rFonts w:hint="cs"/>
          <w:rtl/>
        </w:rPr>
        <w:t xml:space="preserve"> </w:t>
      </w:r>
      <w:r w:rsidRPr="008B4DA1">
        <w:rPr>
          <w:rFonts w:hint="cs"/>
          <w:rtl/>
        </w:rPr>
        <w:t>[למרות שבמתנת שכיב מרע אם הִבְרִיא יכול לחזור בו]. והטעם לכך "דהיינו מטעם אומדנא", ומסביר רש"י (שם ד"ה שמא) "ושמעינן</w:t>
      </w:r>
      <w:r w:rsidRPr="008B4DA1">
        <w:rPr>
          <w:rtl/>
        </w:rPr>
        <w:t xml:space="preserve"> </w:t>
      </w:r>
      <w:r w:rsidRPr="008B4DA1">
        <w:rPr>
          <w:rFonts w:hint="cs"/>
          <w:rtl/>
        </w:rPr>
        <w:t>מיהת</w:t>
      </w:r>
      <w:r w:rsidRPr="008B4DA1">
        <w:rPr>
          <w:rtl/>
        </w:rPr>
        <w:t xml:space="preserve"> </w:t>
      </w:r>
      <w:r w:rsidRPr="008B4DA1">
        <w:rPr>
          <w:rFonts w:hint="cs"/>
          <w:rtl/>
        </w:rPr>
        <w:t>דרב</w:t>
      </w:r>
      <w:r w:rsidRPr="008B4DA1">
        <w:rPr>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b/>
          <w:bCs/>
          <w:rtl/>
        </w:rPr>
        <w:t xml:space="preserve"> </w:t>
      </w:r>
      <w:r w:rsidRPr="008B4DA1">
        <w:rPr>
          <w:rFonts w:hint="cs"/>
          <w:b/>
          <w:bCs/>
          <w:rtl/>
        </w:rPr>
        <w:t>אזיל</w:t>
      </w:r>
      <w:r w:rsidRPr="008B4DA1">
        <w:rPr>
          <w:rFonts w:hint="cs"/>
          <w:rtl/>
        </w:rPr>
        <w:t>,</w:t>
      </w:r>
      <w:r w:rsidRPr="008B4DA1">
        <w:rPr>
          <w:b/>
          <w:bCs/>
          <w:rtl/>
        </w:rPr>
        <w:t xml:space="preserve"> </w:t>
      </w:r>
      <w:r w:rsidRPr="008B4DA1">
        <w:rPr>
          <w:rFonts w:hint="cs"/>
          <w:b/>
          <w:bCs/>
          <w:rtl/>
        </w:rPr>
        <w:t>שאומד</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של</w:t>
      </w:r>
      <w:r w:rsidRPr="008B4DA1">
        <w:rPr>
          <w:b/>
          <w:bCs/>
          <w:rtl/>
        </w:rPr>
        <w:t xml:space="preserve"> </w:t>
      </w:r>
      <w:r w:rsidRPr="008B4DA1">
        <w:rPr>
          <w:rFonts w:hint="cs"/>
          <w:b/>
          <w:bCs/>
          <w:rtl/>
        </w:rPr>
        <w:t>זה</w:t>
      </w:r>
      <w:r w:rsidRPr="008B4DA1">
        <w:rPr>
          <w:rtl/>
        </w:rPr>
        <w:t xml:space="preserve"> </w:t>
      </w:r>
      <w:r w:rsidRPr="008B4DA1">
        <w:rPr>
          <w:rFonts w:hint="cs"/>
          <w:rtl/>
        </w:rPr>
        <w:t>דלארכביה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עבד,</w:t>
      </w:r>
      <w:r w:rsidRPr="008B4DA1">
        <w:rPr>
          <w:rtl/>
        </w:rPr>
        <w:t xml:space="preserve"> </w:t>
      </w:r>
      <w:r w:rsidRPr="008B4DA1">
        <w:rPr>
          <w:rFonts w:hint="cs"/>
          <w:rtl/>
        </w:rPr>
        <w:t>ואף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b/>
          <w:bCs/>
          <w:rtl/>
        </w:rPr>
        <w:t>מפיק</w:t>
      </w:r>
      <w:r w:rsidRPr="008B4DA1">
        <w:rPr>
          <w:b/>
          <w:bCs/>
          <w:rtl/>
        </w:rPr>
        <w:t xml:space="preserve"> </w:t>
      </w:r>
      <w:r w:rsidRPr="008B4DA1">
        <w:rPr>
          <w:rFonts w:hint="cs"/>
          <w:b/>
          <w:bCs/>
          <w:rtl/>
        </w:rPr>
        <w:t>רב</w:t>
      </w:r>
      <w:r w:rsidRPr="008B4DA1">
        <w:rPr>
          <w:b/>
          <w:bCs/>
          <w:rtl/>
        </w:rPr>
        <w:t xml:space="preserve"> </w:t>
      </w:r>
      <w:r w:rsidRPr="008B4DA1">
        <w:rPr>
          <w:rFonts w:hint="cs"/>
          <w:b/>
          <w:bCs/>
          <w:rtl/>
        </w:rPr>
        <w:t>ממונא</w:t>
      </w:r>
      <w:r w:rsidRPr="008B4DA1">
        <w:rPr>
          <w:b/>
          <w:bCs/>
          <w:rtl/>
        </w:rPr>
        <w:t xml:space="preserve"> </w:t>
      </w:r>
      <w:r w:rsidRPr="008B4DA1">
        <w:rPr>
          <w:rFonts w:hint="cs"/>
          <w:b/>
          <w:bCs/>
          <w:rtl/>
        </w:rPr>
        <w:t>בהכי</w:t>
      </w:r>
      <w:r w:rsidRPr="008B4DA1">
        <w:rPr>
          <w:rFonts w:hint="cs"/>
          <w:rtl/>
        </w:rPr>
        <w:t>"</w:t>
      </w:r>
      <w:r w:rsidRPr="008B4DA1">
        <w:rPr>
          <w:rtl/>
        </w:rPr>
        <w:t>.</w:t>
      </w:r>
      <w:r w:rsidRPr="008B4DA1">
        <w:rPr>
          <w:rFonts w:hint="cs"/>
          <w:rtl/>
        </w:rPr>
        <w:t xml:space="preserve"> </w:t>
      </w:r>
    </w:p>
    <w:p w14:paraId="174A7C7D" w14:textId="77777777" w:rsidR="00644C97" w:rsidRPr="008B4DA1" w:rsidRDefault="00644C97" w:rsidP="00F8255E">
      <w:pPr>
        <w:pStyle w:val="a2"/>
        <w:rPr>
          <w:rtl/>
        </w:rPr>
      </w:pPr>
      <w:r w:rsidRPr="008B4DA1">
        <w:rPr>
          <w:rFonts w:hint="cs"/>
          <w:rtl/>
        </w:rPr>
        <w:t>ומבואר איפוא, כי על ידי ה"אומדנא" השכיב מרע נתן כח מיוחד למתנתו ו</w:t>
      </w:r>
      <w:r w:rsidRPr="008B4DA1">
        <w:rPr>
          <w:rFonts w:hint="cs"/>
          <w:b/>
          <w:bCs/>
          <w:rtl/>
        </w:rPr>
        <w:t>"מוציאים" ממון</w:t>
      </w:r>
      <w:r w:rsidRPr="008B4DA1">
        <w:rPr>
          <w:rFonts w:hint="cs"/>
          <w:rtl/>
        </w:rPr>
        <w:t xml:space="preserve"> - בניגוד לדברי הרדב"ז שנקט שאין להסתמך על "אומדנא" </w:t>
      </w:r>
      <w:r w:rsidRPr="008B4DA1">
        <w:rPr>
          <w:rFonts w:hint="cs"/>
          <w:b/>
          <w:bCs/>
          <w:rtl/>
        </w:rPr>
        <w:t>להוציא</w:t>
      </w:r>
      <w:r w:rsidRPr="008B4DA1">
        <w:rPr>
          <w:rFonts w:hint="cs"/>
          <w:rtl/>
        </w:rPr>
        <w:t xml:space="preserve"> ממון.</w:t>
      </w:r>
    </w:p>
    <w:p w14:paraId="1F96812F" w14:textId="77777777" w:rsidR="00644C97" w:rsidRPr="008B4DA1" w:rsidRDefault="00644C97" w:rsidP="00F8255E">
      <w:pPr>
        <w:pStyle w:val="11"/>
        <w:bidi/>
        <w:rPr>
          <w:rtl/>
        </w:rPr>
      </w:pPr>
      <w:r w:rsidRPr="008B4DA1">
        <w:rPr>
          <w:rFonts w:hint="cs"/>
          <w:rtl/>
        </w:rPr>
        <w:t>אומדנא כשהמעשה מבורר</w:t>
      </w:r>
    </w:p>
    <w:p w14:paraId="6BE69D45" w14:textId="77777777" w:rsidR="00644C97" w:rsidRPr="008B4DA1" w:rsidRDefault="00644C97" w:rsidP="00F8255E">
      <w:pPr>
        <w:pStyle w:val="a2"/>
        <w:rPr>
          <w:rtl/>
        </w:rPr>
      </w:pPr>
      <w:r w:rsidRPr="008B4DA1">
        <w:rPr>
          <w:rFonts w:hint="cs"/>
          <w:b/>
          <w:bCs/>
          <w:rtl/>
        </w:rPr>
        <w:t xml:space="preserve">ט. </w:t>
      </w:r>
      <w:r w:rsidRPr="008B4DA1">
        <w:rPr>
          <w:rFonts w:hint="cs"/>
          <w:rtl/>
        </w:rPr>
        <w:t>ולכן כתב מהרי"ק ליישב את סתירת הסוגיות: "דודאי</w:t>
      </w:r>
      <w:r w:rsidRPr="008B4DA1">
        <w:rPr>
          <w:rtl/>
        </w:rPr>
        <w:t xml:space="preserve"> </w:t>
      </w:r>
      <w:r w:rsidRPr="008B4DA1">
        <w:rPr>
          <w:rFonts w:hint="cs"/>
          <w:rtl/>
        </w:rPr>
        <w:t>דכל</w:t>
      </w:r>
      <w:r w:rsidRPr="008B4DA1">
        <w:rPr>
          <w:rtl/>
        </w:rPr>
        <w:t xml:space="preserve"> </w:t>
      </w:r>
      <w:r w:rsidRPr="008B4DA1">
        <w:rPr>
          <w:rFonts w:hint="cs"/>
          <w:rtl/>
        </w:rPr>
        <w:t>היכא</w:t>
      </w:r>
      <w:r w:rsidRPr="008B4DA1">
        <w:rPr>
          <w:b/>
          <w:bCs/>
          <w:rtl/>
        </w:rPr>
        <w:t xml:space="preserve"> </w:t>
      </w:r>
      <w:r w:rsidRPr="008B4DA1">
        <w:rPr>
          <w:rFonts w:hint="cs"/>
          <w:b/>
          <w:bCs/>
          <w:rtl/>
        </w:rPr>
        <w:t>שהמעשה</w:t>
      </w:r>
      <w:r w:rsidRPr="008B4DA1">
        <w:rPr>
          <w:b/>
          <w:bCs/>
          <w:rtl/>
        </w:rPr>
        <w:t xml:space="preserve"> </w:t>
      </w:r>
      <w:r w:rsidRPr="008B4DA1">
        <w:rPr>
          <w:rFonts w:hint="cs"/>
          <w:b/>
          <w:bCs/>
          <w:rtl/>
        </w:rPr>
        <w:t>מבורר</w:t>
      </w:r>
      <w:r w:rsidRPr="008B4DA1">
        <w:rPr>
          <w:b/>
          <w:bCs/>
          <w:rtl/>
        </w:rPr>
        <w:t xml:space="preserve"> </w:t>
      </w:r>
      <w:r w:rsidRPr="008B4DA1">
        <w:rPr>
          <w:rFonts w:hint="cs"/>
          <w:b/>
          <w:bCs/>
          <w:rtl/>
        </w:rPr>
        <w:t>אצל</w:t>
      </w:r>
      <w:r w:rsidRPr="008B4DA1">
        <w:rPr>
          <w:b/>
          <w:bCs/>
          <w:rtl/>
        </w:rPr>
        <w:t xml:space="preserve"> </w:t>
      </w:r>
      <w:r w:rsidRPr="008B4DA1">
        <w:rPr>
          <w:rFonts w:hint="cs"/>
          <w:b/>
          <w:bCs/>
          <w:rtl/>
        </w:rPr>
        <w:t>הדיינים</w:t>
      </w:r>
      <w:r w:rsidRPr="008B4DA1">
        <w:rPr>
          <w:b/>
          <w:bCs/>
          <w:rtl/>
        </w:rPr>
        <w:t xml:space="preserve"> </w:t>
      </w:r>
      <w:r w:rsidRPr="008B4DA1">
        <w:rPr>
          <w:rFonts w:hint="cs"/>
          <w:rtl/>
        </w:rPr>
        <w:t>אלא</w:t>
      </w:r>
      <w:r w:rsidRPr="008B4DA1">
        <w:rPr>
          <w:rtl/>
        </w:rPr>
        <w:t xml:space="preserve"> </w:t>
      </w:r>
      <w:r w:rsidRPr="008B4DA1">
        <w:rPr>
          <w:rFonts w:hint="cs"/>
          <w:rtl/>
        </w:rPr>
        <w:t>שאנו</w:t>
      </w:r>
      <w:r w:rsidRPr="008B4DA1">
        <w:rPr>
          <w:rtl/>
        </w:rPr>
        <w:t xml:space="preserve"> </w:t>
      </w:r>
      <w:r w:rsidRPr="008B4DA1">
        <w:rPr>
          <w:rFonts w:hint="cs"/>
          <w:rtl/>
        </w:rPr>
        <w:t>מסופקים</w:t>
      </w:r>
      <w:r w:rsidRPr="008B4DA1">
        <w:rPr>
          <w:rtl/>
        </w:rPr>
        <w:t xml:space="preserve"> </w:t>
      </w:r>
      <w:r w:rsidRPr="008B4DA1">
        <w:rPr>
          <w:rFonts w:hint="cs"/>
          <w:rtl/>
        </w:rPr>
        <w:t>באומדן</w:t>
      </w:r>
      <w:r w:rsidRPr="008B4DA1">
        <w:rPr>
          <w:rtl/>
        </w:rPr>
        <w:t xml:space="preserve"> </w:t>
      </w:r>
      <w:r w:rsidRPr="008B4DA1">
        <w:rPr>
          <w:rFonts w:hint="cs"/>
          <w:rtl/>
        </w:rPr>
        <w:t>דעת</w:t>
      </w:r>
      <w:r w:rsidRPr="008B4DA1">
        <w:rPr>
          <w:rtl/>
        </w:rPr>
        <w:t xml:space="preserve"> </w:t>
      </w:r>
      <w:r w:rsidRPr="008B4DA1">
        <w:rPr>
          <w:rFonts w:hint="cs"/>
          <w:rtl/>
        </w:rPr>
        <w:t>הנותן</w:t>
      </w:r>
      <w:r w:rsidRPr="008B4DA1">
        <w:rPr>
          <w:rtl/>
        </w:rPr>
        <w:t xml:space="preserve"> </w:t>
      </w:r>
      <w:r w:rsidRPr="008B4DA1">
        <w:rPr>
          <w:rFonts w:hint="cs"/>
          <w:rtl/>
        </w:rPr>
        <w:t>או</w:t>
      </w:r>
      <w:r w:rsidRPr="008B4DA1">
        <w:rPr>
          <w:rtl/>
        </w:rPr>
        <w:t xml:space="preserve"> </w:t>
      </w:r>
      <w:r w:rsidRPr="008B4DA1">
        <w:rPr>
          <w:rFonts w:hint="cs"/>
          <w:rtl/>
        </w:rPr>
        <w:t>המוכר</w:t>
      </w:r>
      <w:r w:rsidRPr="008B4DA1">
        <w:rPr>
          <w:rtl/>
        </w:rPr>
        <w:t xml:space="preserve"> </w:t>
      </w:r>
      <w:r w:rsidRPr="008B4DA1">
        <w:rPr>
          <w:rFonts w:hint="cs"/>
          <w:rtl/>
        </w:rPr>
        <w:t>או</w:t>
      </w:r>
      <w:r w:rsidRPr="008B4DA1">
        <w:rPr>
          <w:rtl/>
        </w:rPr>
        <w:t xml:space="preserve"> </w:t>
      </w:r>
      <w:r w:rsidRPr="008B4DA1">
        <w:rPr>
          <w:rFonts w:hint="cs"/>
          <w:rtl/>
        </w:rPr>
        <w:t>המגרש,</w:t>
      </w:r>
      <w:r w:rsidRPr="008B4DA1">
        <w:rPr>
          <w:rtl/>
        </w:rPr>
        <w:t xml:space="preserve"> </w:t>
      </w:r>
      <w:r w:rsidRPr="008B4DA1">
        <w:rPr>
          <w:rFonts w:hint="cs"/>
          <w:b/>
          <w:bCs/>
          <w:rtl/>
        </w:rPr>
        <w:t>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w:t>
      </w:r>
      <w:r w:rsidRPr="008B4DA1">
        <w:rPr>
          <w:rtl/>
        </w:rPr>
        <w:t xml:space="preserve"> </w:t>
      </w:r>
      <w:r w:rsidRPr="008B4DA1">
        <w:rPr>
          <w:rFonts w:hint="cs"/>
          <w:rtl/>
        </w:rPr>
        <w:t>אבל</w:t>
      </w:r>
      <w:r w:rsidRPr="008B4DA1">
        <w:rPr>
          <w:rtl/>
        </w:rPr>
        <w:t xml:space="preserve"> </w:t>
      </w:r>
      <w:r w:rsidRPr="008B4DA1">
        <w:rPr>
          <w:rFonts w:hint="cs"/>
          <w:rtl/>
        </w:rPr>
        <w:t>היכא</w:t>
      </w:r>
      <w:r w:rsidRPr="008B4DA1">
        <w:rPr>
          <w:rtl/>
        </w:rPr>
        <w:t xml:space="preserve"> </w:t>
      </w:r>
      <w:r w:rsidRPr="008B4DA1">
        <w:rPr>
          <w:rFonts w:hint="cs"/>
          <w:b/>
          <w:bCs/>
          <w:rtl/>
        </w:rPr>
        <w:t>דלא</w:t>
      </w:r>
      <w:r w:rsidRPr="008B4DA1">
        <w:rPr>
          <w:b/>
          <w:bCs/>
          <w:rtl/>
        </w:rPr>
        <w:t xml:space="preserve"> </w:t>
      </w:r>
      <w:r w:rsidRPr="008B4DA1">
        <w:rPr>
          <w:rFonts w:hint="cs"/>
          <w:b/>
          <w:bCs/>
          <w:rtl/>
        </w:rPr>
        <w:t>נתברר</w:t>
      </w:r>
      <w:r w:rsidRPr="008B4DA1">
        <w:rPr>
          <w:b/>
          <w:bCs/>
          <w:rtl/>
        </w:rPr>
        <w:t xml:space="preserve"> </w:t>
      </w:r>
      <w:r w:rsidRPr="008B4DA1">
        <w:rPr>
          <w:rFonts w:hint="cs"/>
          <w:b/>
          <w:bCs/>
          <w:rtl/>
        </w:rPr>
        <w:t>גוף</w:t>
      </w:r>
      <w:r w:rsidRPr="008B4DA1">
        <w:rPr>
          <w:b/>
          <w:bCs/>
          <w:rtl/>
        </w:rPr>
        <w:t xml:space="preserve"> </w:t>
      </w:r>
      <w:r w:rsidRPr="008B4DA1">
        <w:rPr>
          <w:rFonts w:hint="cs"/>
          <w:b/>
          <w:bCs/>
          <w:rtl/>
        </w:rPr>
        <w:t>המעשה</w:t>
      </w:r>
      <w:r w:rsidRPr="008B4DA1">
        <w:rPr>
          <w:b/>
          <w:bCs/>
          <w:rtl/>
        </w:rPr>
        <w:t xml:space="preserve"> </w:t>
      </w:r>
      <w:r w:rsidRPr="008B4DA1">
        <w:rPr>
          <w:rFonts w:hint="cs"/>
          <w:b/>
          <w:bCs/>
          <w:rtl/>
        </w:rPr>
        <w:t>אצל</w:t>
      </w:r>
      <w:r w:rsidRPr="008B4DA1">
        <w:rPr>
          <w:b/>
          <w:bCs/>
          <w:rtl/>
        </w:rPr>
        <w:t xml:space="preserve"> </w:t>
      </w:r>
      <w:r w:rsidRPr="008B4DA1">
        <w:rPr>
          <w:rFonts w:hint="cs"/>
          <w:b/>
          <w:bCs/>
          <w:rtl/>
        </w:rPr>
        <w:t>הדיינים</w:t>
      </w:r>
      <w:r w:rsidRPr="008B4DA1">
        <w:rPr>
          <w:rtl/>
        </w:rPr>
        <w:t xml:space="preserve"> </w:t>
      </w:r>
      <w:r w:rsidRPr="008B4DA1">
        <w:rPr>
          <w:rFonts w:hint="cs"/>
          <w:rtl/>
        </w:rPr>
        <w:t>כי</w:t>
      </w:r>
      <w:r w:rsidRPr="008B4DA1">
        <w:rPr>
          <w:rtl/>
        </w:rPr>
        <w:t xml:space="preserve"> </w:t>
      </w:r>
      <w:r w:rsidRPr="008B4DA1">
        <w:rPr>
          <w:rFonts w:hint="cs"/>
          <w:rtl/>
        </w:rPr>
        <w:t>ההיא</w:t>
      </w:r>
      <w:r w:rsidRPr="008B4DA1">
        <w:rPr>
          <w:rtl/>
        </w:rPr>
        <w:t xml:space="preserve"> </w:t>
      </w:r>
      <w:r w:rsidRPr="008B4DA1">
        <w:rPr>
          <w:rFonts w:hint="cs"/>
          <w:rtl/>
        </w:rPr>
        <w:t>דגמל</w:t>
      </w:r>
      <w:r w:rsidRPr="008B4DA1">
        <w:rPr>
          <w:rtl/>
        </w:rPr>
        <w:t xml:space="preserve"> </w:t>
      </w:r>
      <w:r w:rsidRPr="008B4DA1">
        <w:rPr>
          <w:rFonts w:hint="cs"/>
          <w:rtl/>
        </w:rPr>
        <w:t>אוחר,</w:t>
      </w:r>
      <w:r w:rsidRPr="008B4DA1">
        <w:rPr>
          <w:rtl/>
        </w:rPr>
        <w:t xml:space="preserve"> </w:t>
      </w:r>
      <w:r w:rsidRPr="008B4DA1">
        <w:rPr>
          <w:rFonts w:hint="cs"/>
          <w:rtl/>
        </w:rPr>
        <w:t>דאין</w:t>
      </w:r>
      <w:r w:rsidRPr="008B4DA1">
        <w:rPr>
          <w:rtl/>
        </w:rPr>
        <w:t xml:space="preserve"> </w:t>
      </w:r>
      <w:r w:rsidRPr="008B4DA1">
        <w:rPr>
          <w:rFonts w:hint="cs"/>
          <w:rtl/>
        </w:rPr>
        <w:t>ידוע</w:t>
      </w:r>
      <w:r w:rsidRPr="008B4DA1">
        <w:rPr>
          <w:rtl/>
        </w:rPr>
        <w:t xml:space="preserve"> </w:t>
      </w:r>
      <w:r w:rsidRPr="008B4DA1">
        <w:rPr>
          <w:rFonts w:hint="cs"/>
          <w:rtl/>
        </w:rPr>
        <w:t>לנו</w:t>
      </w:r>
      <w:r w:rsidRPr="008B4DA1">
        <w:rPr>
          <w:rtl/>
        </w:rPr>
        <w:t xml:space="preserve"> </w:t>
      </w:r>
      <w:r w:rsidRPr="008B4DA1">
        <w:rPr>
          <w:rFonts w:hint="cs"/>
          <w:rtl/>
        </w:rPr>
        <w:t>אם</w:t>
      </w:r>
      <w:r w:rsidRPr="008B4DA1">
        <w:rPr>
          <w:rtl/>
        </w:rPr>
        <w:t xml:space="preserve"> </w:t>
      </w:r>
      <w:r w:rsidRPr="008B4DA1">
        <w:rPr>
          <w:rFonts w:hint="cs"/>
          <w:rtl/>
        </w:rPr>
        <w:t>נגחו</w:t>
      </w:r>
      <w:r w:rsidRPr="008B4DA1">
        <w:rPr>
          <w:rtl/>
        </w:rPr>
        <w:t xml:space="preserve"> </w:t>
      </w:r>
      <w:r w:rsidRPr="008B4DA1">
        <w:rPr>
          <w:rFonts w:hint="cs"/>
          <w:rtl/>
        </w:rPr>
        <w:t>ואם</w:t>
      </w:r>
      <w:r w:rsidRPr="008B4DA1">
        <w:rPr>
          <w:rtl/>
        </w:rPr>
        <w:t xml:space="preserve"> </w:t>
      </w:r>
      <w:r w:rsidRPr="008B4DA1">
        <w:rPr>
          <w:rFonts w:hint="cs"/>
          <w:rtl/>
        </w:rPr>
        <w:t>לאו</w:t>
      </w:r>
      <w:r w:rsidRPr="008B4DA1">
        <w:rPr>
          <w:rtl/>
        </w:rPr>
        <w:t xml:space="preserve"> </w:t>
      </w:r>
      <w:r w:rsidRPr="008B4DA1">
        <w:rPr>
          <w:rFonts w:hint="cs"/>
          <w:rtl/>
        </w:rPr>
        <w:t>אלא</w:t>
      </w:r>
      <w:r w:rsidRPr="008B4DA1">
        <w:rPr>
          <w:rtl/>
        </w:rPr>
        <w:t xml:space="preserve"> </w:t>
      </w:r>
      <w:r w:rsidRPr="008B4DA1">
        <w:rPr>
          <w:rFonts w:hint="cs"/>
          <w:rtl/>
        </w:rPr>
        <w:t>מתוך</w:t>
      </w:r>
      <w:r w:rsidRPr="008B4DA1">
        <w:rPr>
          <w:rtl/>
        </w:rPr>
        <w:t xml:space="preserve"> </w:t>
      </w:r>
      <w:r w:rsidRPr="008B4DA1">
        <w:rPr>
          <w:rFonts w:hint="cs"/>
          <w:rtl/>
        </w:rPr>
        <w:t>אומד,</w:t>
      </w:r>
      <w:r w:rsidRPr="008B4DA1">
        <w:rPr>
          <w:rtl/>
        </w:rPr>
        <w:t xml:space="preserve"> </w:t>
      </w:r>
      <w:r w:rsidRPr="008B4DA1">
        <w:rPr>
          <w:rFonts w:hint="cs"/>
          <w:rtl/>
        </w:rPr>
        <w:t>בהא</w:t>
      </w:r>
      <w:r w:rsidRPr="008B4DA1">
        <w:rPr>
          <w:rtl/>
        </w:rPr>
        <w:t xml:space="preserve"> </w:t>
      </w:r>
      <w:r w:rsidRPr="008B4DA1">
        <w:rPr>
          <w:rFonts w:hint="cs"/>
          <w:rtl/>
        </w:rPr>
        <w:t>ודאי</w:t>
      </w:r>
      <w:r w:rsidRPr="008B4DA1">
        <w:rPr>
          <w:rtl/>
        </w:rPr>
        <w:t xml:space="preserve"> </w:t>
      </w:r>
      <w:r w:rsidRPr="008B4DA1">
        <w:rPr>
          <w:rFonts w:hint="cs"/>
          <w:rtl/>
        </w:rPr>
        <w:t>פליגו</w:t>
      </w:r>
      <w:r w:rsidRPr="008B4DA1">
        <w:rPr>
          <w:rtl/>
        </w:rPr>
        <w:t xml:space="preserve"> </w:t>
      </w:r>
      <w:r w:rsidRPr="008B4DA1">
        <w:rPr>
          <w:rFonts w:hint="cs"/>
          <w:rtl/>
        </w:rPr>
        <w:t>רבנן</w:t>
      </w:r>
      <w:r w:rsidRPr="008B4DA1">
        <w:rPr>
          <w:rtl/>
        </w:rPr>
        <w:t xml:space="preserve"> </w:t>
      </w:r>
      <w:r w:rsidRPr="008B4DA1">
        <w:rPr>
          <w:rFonts w:hint="cs"/>
          <w:rtl/>
        </w:rPr>
        <w:t>עליה</w:t>
      </w:r>
      <w:r w:rsidRPr="008B4DA1">
        <w:rPr>
          <w:rtl/>
        </w:rPr>
        <w:t xml:space="preserve"> </w:t>
      </w:r>
      <w:r w:rsidRPr="008B4DA1">
        <w:rPr>
          <w:rFonts w:hint="cs"/>
          <w:rtl/>
        </w:rPr>
        <w:t>דרבי</w:t>
      </w:r>
      <w:r w:rsidRPr="008B4DA1">
        <w:rPr>
          <w:rtl/>
        </w:rPr>
        <w:t xml:space="preserve"> </w:t>
      </w:r>
      <w:r w:rsidRPr="008B4DA1">
        <w:rPr>
          <w:rFonts w:hint="cs"/>
          <w:rtl/>
        </w:rPr>
        <w:t>אחא</w:t>
      </w:r>
      <w:r w:rsidRPr="008B4DA1">
        <w:rPr>
          <w:rtl/>
        </w:rPr>
        <w:t xml:space="preserve"> </w:t>
      </w:r>
      <w:r w:rsidRPr="008B4DA1">
        <w:rPr>
          <w:rFonts w:hint="cs"/>
          <w:rtl/>
        </w:rPr>
        <w:t>וקיימא</w:t>
      </w:r>
      <w:r w:rsidRPr="008B4DA1">
        <w:rPr>
          <w:rtl/>
        </w:rPr>
        <w:t xml:space="preserve"> </w:t>
      </w:r>
      <w:r w:rsidRPr="008B4DA1">
        <w:rPr>
          <w:rFonts w:hint="cs"/>
          <w:rtl/>
        </w:rPr>
        <w:t>לן</w:t>
      </w:r>
      <w:r w:rsidRPr="008B4DA1">
        <w:rPr>
          <w:rtl/>
        </w:rPr>
        <w:t xml:space="preserve"> </w:t>
      </w:r>
      <w:r w:rsidRPr="008B4DA1">
        <w:rPr>
          <w:rFonts w:hint="cs"/>
          <w:rtl/>
        </w:rPr>
        <w:t>כוותייהו</w:t>
      </w:r>
      <w:r w:rsidRPr="008B4DA1">
        <w:rPr>
          <w:rtl/>
        </w:rPr>
        <w:t xml:space="preserve"> </w:t>
      </w:r>
      <w:r w:rsidRPr="008B4DA1">
        <w:rPr>
          <w:rFonts w:hint="cs"/>
          <w:rtl/>
        </w:rPr>
        <w:t>לדעת</w:t>
      </w:r>
      <w:r w:rsidRPr="008B4DA1">
        <w:rPr>
          <w:rtl/>
        </w:rPr>
        <w:t xml:space="preserve"> </w:t>
      </w:r>
      <w:r w:rsidRPr="008B4DA1">
        <w:rPr>
          <w:rFonts w:hint="cs"/>
          <w:rtl/>
        </w:rPr>
        <w:t>הפוסקים</w:t>
      </w:r>
      <w:r w:rsidRPr="008B4DA1">
        <w:rPr>
          <w:rtl/>
        </w:rPr>
        <w:t xml:space="preserve"> </w:t>
      </w:r>
      <w:r w:rsidRPr="008B4DA1">
        <w:rPr>
          <w:rFonts w:hint="cs"/>
          <w:rtl/>
        </w:rPr>
        <w:t>הנזכר</w:t>
      </w:r>
      <w:r w:rsidRPr="008B4DA1">
        <w:rPr>
          <w:rtl/>
        </w:rPr>
        <w:t xml:space="preserve"> </w:t>
      </w:r>
      <w:r w:rsidRPr="008B4DA1">
        <w:rPr>
          <w:rFonts w:hint="cs"/>
          <w:rtl/>
        </w:rPr>
        <w:t>למעלה".</w:t>
      </w:r>
    </w:p>
    <w:p w14:paraId="092C5EEC" w14:textId="77777777" w:rsidR="00644C97" w:rsidRPr="008B4DA1" w:rsidRDefault="00644C97" w:rsidP="00F8255E">
      <w:pPr>
        <w:pStyle w:val="a2"/>
        <w:rPr>
          <w:rtl/>
        </w:rPr>
      </w:pPr>
      <w:r w:rsidRPr="008B4DA1">
        <w:rPr>
          <w:rFonts w:hint="cs"/>
          <w:rtl/>
        </w:rPr>
        <w:t xml:space="preserve">המהרי"ק קובע כי </w:t>
      </w:r>
      <w:r w:rsidRPr="008B4DA1">
        <w:rPr>
          <w:rFonts w:hint="cs"/>
          <w:b/>
          <w:bCs/>
          <w:rtl/>
        </w:rPr>
        <w:t>ניתן להסתמך על אומדנא</w:t>
      </w:r>
      <w:r w:rsidRPr="008B4DA1">
        <w:rPr>
          <w:rFonts w:hint="cs"/>
          <w:rtl/>
        </w:rPr>
        <w:t xml:space="preserve"> כאשר </w:t>
      </w:r>
      <w:r w:rsidRPr="008B4DA1">
        <w:rPr>
          <w:rFonts w:hint="cs"/>
          <w:b/>
          <w:bCs/>
          <w:rtl/>
        </w:rPr>
        <w:t>המעשה עצמו מבורר לדיינים</w:t>
      </w:r>
      <w:r w:rsidRPr="008B4DA1">
        <w:rPr>
          <w:rFonts w:hint="cs"/>
          <w:rtl/>
        </w:rPr>
        <w:t xml:space="preserve">, ויש ספק מה היתה </w:t>
      </w:r>
      <w:r w:rsidRPr="008B4DA1">
        <w:rPr>
          <w:rFonts w:hint="cs"/>
          <w:b/>
          <w:bCs/>
          <w:rtl/>
        </w:rPr>
        <w:t>דעתו</w:t>
      </w:r>
      <w:r w:rsidRPr="008B4DA1">
        <w:rPr>
          <w:rFonts w:hint="cs"/>
          <w:rtl/>
        </w:rPr>
        <w:t xml:space="preserve"> של המוכר או הנותן או המגרש, וכך מדובר בכל סוגיות הגמרא שהובאו לעיל [</w:t>
      </w:r>
      <w:r w:rsidRPr="008B4DA1">
        <w:rPr>
          <w:rFonts w:hint="cs"/>
          <w:b/>
          <w:bCs/>
          <w:rtl/>
        </w:rPr>
        <w:t>אות ה</w:t>
      </w:r>
      <w:r w:rsidRPr="008B4DA1">
        <w:rPr>
          <w:rFonts w:hint="cs"/>
          <w:rtl/>
        </w:rPr>
        <w:t>] - מי 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בדין תוספת כתובה לגרושה או לאלמנה מהאירוסין, ובמעשה עם רבי בנאה.</w:t>
      </w:r>
    </w:p>
    <w:p w14:paraId="06424B25" w14:textId="77777777" w:rsidR="00644C97" w:rsidRPr="00C86C49" w:rsidRDefault="00644C97" w:rsidP="00F8255E">
      <w:pPr>
        <w:pStyle w:val="a2"/>
        <w:rPr>
          <w:rtl/>
        </w:rPr>
      </w:pPr>
      <w:r w:rsidRPr="008B4DA1">
        <w:rPr>
          <w:rFonts w:hint="cs"/>
          <w:rtl/>
        </w:rPr>
        <w:t xml:space="preserve">אבל </w:t>
      </w:r>
      <w:r w:rsidRPr="008B4DA1">
        <w:rPr>
          <w:rFonts w:hint="cs"/>
          <w:b/>
          <w:bCs/>
          <w:rtl/>
        </w:rPr>
        <w:t>לא מסתמכים על אומדנא</w:t>
      </w:r>
      <w:r w:rsidRPr="008B4DA1">
        <w:rPr>
          <w:rFonts w:hint="cs"/>
          <w:rtl/>
        </w:rPr>
        <w:t xml:space="preserve"> כאשר </w:t>
      </w:r>
      <w:r w:rsidRPr="008B4DA1">
        <w:rPr>
          <w:rFonts w:hint="cs"/>
          <w:b/>
          <w:bCs/>
          <w:rtl/>
        </w:rPr>
        <w:t>המעשה עצמו אינו מבורר</w:t>
      </w:r>
      <w:r w:rsidRPr="008B4DA1">
        <w:rPr>
          <w:rFonts w:hint="cs"/>
          <w:rtl/>
        </w:rPr>
        <w:t xml:space="preserve">, והאומדנא נצרכת </w:t>
      </w:r>
      <w:r w:rsidRPr="008B4DA1">
        <w:rPr>
          <w:rFonts w:hint="cs"/>
          <w:b/>
          <w:bCs/>
          <w:rtl/>
        </w:rPr>
        <w:t>לברר מה היה המעשה</w:t>
      </w:r>
      <w:r w:rsidRPr="008B4DA1">
        <w:rPr>
          <w:rFonts w:hint="cs"/>
          <w:rtl/>
        </w:rPr>
        <w:t xml:space="preserve"> - כבנדון שור</w:t>
      </w:r>
      <w:r w:rsidRPr="008B4DA1">
        <w:rPr>
          <w:rtl/>
        </w:rPr>
        <w:t xml:space="preserve"> </w:t>
      </w:r>
      <w:r w:rsidRPr="008B4DA1">
        <w:rPr>
          <w:rFonts w:hint="cs"/>
          <w:rtl/>
        </w:rPr>
        <w:t>שהיה</w:t>
      </w:r>
      <w:r w:rsidRPr="008B4DA1">
        <w:rPr>
          <w:rtl/>
        </w:rPr>
        <w:t xml:space="preserve"> </w:t>
      </w:r>
      <w:r w:rsidRPr="008B4DA1">
        <w:rPr>
          <w:rFonts w:hint="cs"/>
          <w:rtl/>
        </w:rPr>
        <w:t>רועה</w:t>
      </w:r>
      <w:r w:rsidRPr="008B4DA1">
        <w:rPr>
          <w:rtl/>
        </w:rPr>
        <w:t xml:space="preserve"> </w:t>
      </w:r>
      <w:r w:rsidRPr="008B4DA1">
        <w:rPr>
          <w:rFonts w:hint="cs"/>
          <w:rtl/>
        </w:rPr>
        <w:t>ונמצא</w:t>
      </w:r>
      <w:r w:rsidRPr="008B4DA1">
        <w:rPr>
          <w:rtl/>
        </w:rPr>
        <w:t xml:space="preserve"> </w:t>
      </w:r>
      <w:r w:rsidRPr="008B4DA1">
        <w:rPr>
          <w:rFonts w:hint="cs"/>
          <w:rtl/>
        </w:rPr>
        <w:t>שור</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w:t>
      </w:r>
      <w:r w:rsidRPr="008B4DA1">
        <w:rPr>
          <w:rFonts w:hint="cs"/>
          <w:rtl/>
        </w:rPr>
        <w:t>ואחד השוורים היה מועד, וגמל</w:t>
      </w:r>
      <w:r w:rsidRPr="008B4DA1">
        <w:rPr>
          <w:rtl/>
        </w:rPr>
        <w:t xml:space="preserve"> </w:t>
      </w:r>
      <w:r w:rsidRPr="008B4DA1">
        <w:rPr>
          <w:rFonts w:hint="cs"/>
          <w:rtl/>
        </w:rPr>
        <w:t>האוחר</w:t>
      </w:r>
      <w:r w:rsidRPr="008B4DA1">
        <w:rPr>
          <w:rtl/>
        </w:rPr>
        <w:t xml:space="preserve"> </w:t>
      </w:r>
      <w:r w:rsidRPr="008B4DA1">
        <w:rPr>
          <w:rFonts w:hint="cs"/>
          <w:rtl/>
        </w:rPr>
        <w:t>בין</w:t>
      </w:r>
      <w:r w:rsidRPr="008B4DA1">
        <w:rPr>
          <w:rtl/>
        </w:rPr>
        <w:t xml:space="preserve"> </w:t>
      </w:r>
      <w:r w:rsidRPr="008B4DA1">
        <w:rPr>
          <w:rFonts w:hint="cs"/>
          <w:rtl/>
        </w:rPr>
        <w:t>הגמלים ונמצא</w:t>
      </w:r>
      <w:r w:rsidRPr="008B4DA1">
        <w:rPr>
          <w:rtl/>
        </w:rPr>
        <w:t xml:space="preserve"> </w:t>
      </w:r>
      <w:r w:rsidRPr="008B4DA1">
        <w:rPr>
          <w:rFonts w:hint="cs"/>
          <w:rtl/>
        </w:rPr>
        <w:t>גמל</w:t>
      </w:r>
      <w:r w:rsidRPr="008B4DA1">
        <w:rPr>
          <w:rtl/>
        </w:rPr>
        <w:t xml:space="preserve"> </w:t>
      </w:r>
      <w:r w:rsidRPr="008B4DA1">
        <w:rPr>
          <w:rFonts w:hint="cs"/>
          <w:rtl/>
        </w:rPr>
        <w:t>הרוג</w:t>
      </w:r>
      <w:r w:rsidRPr="008B4DA1">
        <w:rPr>
          <w:rtl/>
        </w:rPr>
        <w:t xml:space="preserve"> </w:t>
      </w:r>
      <w:r w:rsidRPr="008B4DA1">
        <w:rPr>
          <w:rFonts w:hint="cs"/>
          <w:rtl/>
        </w:rPr>
        <w:t>בצדו, שהאומדנא מבררת את המעשה, מי היה המזיק.</w:t>
      </w:r>
    </w:p>
    <w:p w14:paraId="384981E4" w14:textId="77777777" w:rsidR="00644C97" w:rsidRPr="008B4DA1" w:rsidRDefault="00644C97" w:rsidP="00F8255E">
      <w:pPr>
        <w:pStyle w:val="11"/>
        <w:bidi/>
        <w:rPr>
          <w:rtl/>
        </w:rPr>
      </w:pPr>
      <w:r w:rsidRPr="008B4DA1">
        <w:rPr>
          <w:rFonts w:hint="cs"/>
          <w:rtl/>
        </w:rPr>
        <w:t>אומדנא דמוכחא טובא</w:t>
      </w:r>
    </w:p>
    <w:p w14:paraId="7708CB30" w14:textId="3A1FEF7D" w:rsidR="00644C97" w:rsidRPr="008B4DA1" w:rsidRDefault="00644C97" w:rsidP="00F8255E">
      <w:pPr>
        <w:pStyle w:val="a2"/>
        <w:rPr>
          <w:rtl/>
        </w:rPr>
      </w:pPr>
      <w:r w:rsidRPr="008B4DA1">
        <w:rPr>
          <w:rFonts w:hint="cs"/>
          <w:b/>
          <w:bCs/>
          <w:rtl/>
        </w:rPr>
        <w:t>י.</w:t>
      </w:r>
      <w:r w:rsidRPr="008B4DA1">
        <w:rPr>
          <w:rFonts w:hint="cs"/>
          <w:rtl/>
        </w:rPr>
        <w:t xml:space="preserve"> תירוץ נוסף על הסתירה בסוגיות הש"ס ודברי הפוסקים האם מסתמכים על אומדנא, או לא, כתב הב"ח (חו"מ סי' תח ס"ב) כאשר ה"אומדנא" היא "אומדנא </w:t>
      </w:r>
      <w:r w:rsidRPr="008B4DA1">
        <w:rPr>
          <w:rFonts w:hint="cs"/>
          <w:rtl/>
        </w:rPr>
        <w:lastRenderedPageBreak/>
        <w:t>דמוכחא טובא" - הוכחה חזקה וחותכת, ניתן להסתמך עליה "מה</w:t>
      </w:r>
      <w:r w:rsidRPr="008B4DA1">
        <w:rPr>
          <w:rtl/>
        </w:rPr>
        <w:t xml:space="preserve"> </w:t>
      </w:r>
      <w:r w:rsidRPr="008B4DA1">
        <w:rPr>
          <w:rFonts w:hint="cs"/>
          <w:rtl/>
        </w:rPr>
        <w:t>שכתב</w:t>
      </w:r>
      <w:r w:rsidRPr="008B4DA1">
        <w:rPr>
          <w:rtl/>
        </w:rPr>
        <w:t xml:space="preserve"> </w:t>
      </w:r>
      <w:r w:rsidRPr="008B4DA1">
        <w:rPr>
          <w:rFonts w:hint="cs"/>
          <w:rtl/>
        </w:rPr>
        <w:t>רבינו [הטור]</w:t>
      </w:r>
      <w:r w:rsidRPr="008B4DA1">
        <w:rPr>
          <w:rtl/>
        </w:rPr>
        <w:t xml:space="preserve"> </w:t>
      </w:r>
      <w:r w:rsidRPr="008B4DA1">
        <w:rPr>
          <w:rFonts w:hint="cs"/>
          <w:rtl/>
        </w:rPr>
        <w:t>בסימן</w:t>
      </w:r>
      <w:r w:rsidRPr="008B4DA1">
        <w:rPr>
          <w:rtl/>
        </w:rPr>
        <w:t xml:space="preserve"> </w:t>
      </w:r>
      <w:r w:rsidRPr="008B4DA1">
        <w:rPr>
          <w:rFonts w:hint="cs"/>
          <w:rtl/>
        </w:rPr>
        <w:t>ס"ה</w:t>
      </w:r>
      <w:r w:rsidRPr="008B4DA1">
        <w:rPr>
          <w:rtl/>
        </w:rPr>
        <w:t xml:space="preserve"> </w:t>
      </w:r>
      <w:r w:rsidRPr="008B4DA1">
        <w:rPr>
          <w:rFonts w:hint="cs"/>
          <w:rtl/>
        </w:rPr>
        <w:t>סעיף</w:t>
      </w:r>
      <w:r w:rsidRPr="008B4DA1">
        <w:rPr>
          <w:rtl/>
        </w:rPr>
        <w:t xml:space="preserve"> </w:t>
      </w:r>
      <w:r w:rsidRPr="008B4DA1">
        <w:rPr>
          <w:rFonts w:hint="cs"/>
          <w:rtl/>
        </w:rPr>
        <w:t>כ"א</w:t>
      </w:r>
      <w:r w:rsidRPr="008B4DA1">
        <w:rPr>
          <w:rtl/>
        </w:rPr>
        <w:t xml:space="preserve"> </w:t>
      </w:r>
      <w:r w:rsidRPr="008B4DA1">
        <w:rPr>
          <w:rFonts w:hint="cs"/>
          <w:rtl/>
        </w:rPr>
        <w:t>דהרא</w:t>
      </w:r>
      <w:r w:rsidRPr="008B4DA1">
        <w:rPr>
          <w:rtl/>
        </w:rPr>
        <w:t>"</w:t>
      </w:r>
      <w:r w:rsidRPr="008B4DA1">
        <w:rPr>
          <w:rFonts w:hint="cs"/>
          <w:rtl/>
        </w:rPr>
        <w:t>ש</w:t>
      </w:r>
      <w:r w:rsidRPr="008B4DA1">
        <w:rPr>
          <w:rtl/>
        </w:rPr>
        <w:t xml:space="preserve"> </w:t>
      </w:r>
      <w:r w:rsidRPr="008B4DA1">
        <w:rPr>
          <w:rFonts w:hint="cs"/>
          <w:rtl/>
        </w:rPr>
        <w:t>בתשובה</w:t>
      </w:r>
      <w:r w:rsidRPr="008B4DA1">
        <w:rPr>
          <w:rtl/>
        </w:rPr>
        <w:t xml:space="preserve"> </w:t>
      </w:r>
      <w:r w:rsidRPr="008B4DA1">
        <w:rPr>
          <w:rFonts w:hint="cs"/>
          <w:rtl/>
        </w:rPr>
        <w:t>הביא</w:t>
      </w:r>
      <w:r w:rsidRPr="008B4DA1">
        <w:rPr>
          <w:rtl/>
        </w:rPr>
        <w:t xml:space="preserve"> </w:t>
      </w:r>
      <w:r w:rsidRPr="008B4DA1">
        <w:rPr>
          <w:rFonts w:hint="cs"/>
          <w:rtl/>
        </w:rPr>
        <w:t>ראיה</w:t>
      </w:r>
      <w:r w:rsidRPr="008B4DA1">
        <w:rPr>
          <w:rtl/>
        </w:rPr>
        <w:t xml:space="preserve"> </w:t>
      </w:r>
      <w:r w:rsidRPr="008B4DA1">
        <w:rPr>
          <w:rFonts w:hint="cs"/>
          <w:rtl/>
        </w:rPr>
        <w:t>מדרב</w:t>
      </w:r>
      <w:r w:rsidRPr="008B4DA1">
        <w:rPr>
          <w:rtl/>
        </w:rPr>
        <w:t xml:space="preserve"> </w:t>
      </w:r>
      <w:r w:rsidRPr="008B4DA1">
        <w:rPr>
          <w:rFonts w:hint="cs"/>
          <w:rtl/>
        </w:rPr>
        <w:t>אחא</w:t>
      </w:r>
      <w:r w:rsidRPr="008B4DA1">
        <w:rPr>
          <w:rtl/>
        </w:rPr>
        <w:t xml:space="preserve"> </w:t>
      </w:r>
      <w:r w:rsidRPr="008B4DA1">
        <w:rPr>
          <w:rFonts w:hint="cs"/>
          <w:rtl/>
        </w:rPr>
        <w:t>דאזלינן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אין</w:t>
      </w:r>
      <w:r w:rsidRPr="008B4DA1">
        <w:rPr>
          <w:rtl/>
        </w:rPr>
        <w:t xml:space="preserve"> </w:t>
      </w:r>
      <w:r w:rsidRPr="008B4DA1">
        <w:rPr>
          <w:rFonts w:hint="cs"/>
          <w:rtl/>
        </w:rPr>
        <w:t>כוונתו</w:t>
      </w:r>
      <w:r w:rsidRPr="008B4DA1">
        <w:rPr>
          <w:rtl/>
        </w:rPr>
        <w:t xml:space="preserve"> </w:t>
      </w:r>
      <w:r w:rsidRPr="008B4DA1">
        <w:rPr>
          <w:rFonts w:hint="cs"/>
          <w:rtl/>
        </w:rPr>
        <w:t>אלא</w:t>
      </w:r>
      <w:r w:rsidRPr="008B4DA1">
        <w:rPr>
          <w:rtl/>
        </w:rPr>
        <w:t xml:space="preserve"> </w:t>
      </w:r>
      <w:r w:rsidRPr="008B4DA1">
        <w:rPr>
          <w:rFonts w:hint="cs"/>
          <w:rtl/>
        </w:rPr>
        <w:t>לומר</w:t>
      </w:r>
      <w:r w:rsidRPr="008B4DA1">
        <w:rPr>
          <w:rtl/>
        </w:rPr>
        <w:t xml:space="preserve"> </w:t>
      </w:r>
      <w:r w:rsidRPr="008B4DA1">
        <w:rPr>
          <w:rFonts w:hint="cs"/>
          <w:rtl/>
        </w:rPr>
        <w:t>כיון</w:t>
      </w:r>
      <w:r w:rsidRPr="008B4DA1">
        <w:rPr>
          <w:rtl/>
        </w:rPr>
        <w:t xml:space="preserve"> </w:t>
      </w:r>
      <w:r w:rsidRPr="008B4DA1">
        <w:rPr>
          <w:rFonts w:hint="cs"/>
          <w:rtl/>
        </w:rPr>
        <w:t>דאשכחן</w:t>
      </w:r>
      <w:r w:rsidRPr="008B4DA1">
        <w:rPr>
          <w:rtl/>
        </w:rPr>
        <w:t xml:space="preserve"> </w:t>
      </w:r>
      <w:r w:rsidRPr="008B4DA1">
        <w:rPr>
          <w:rFonts w:hint="cs"/>
          <w:rtl/>
        </w:rPr>
        <w:t>תנא</w:t>
      </w:r>
      <w:r w:rsidRPr="008B4DA1">
        <w:rPr>
          <w:rtl/>
        </w:rPr>
        <w:t xml:space="preserve"> </w:t>
      </w:r>
      <w:r w:rsidRPr="008B4DA1">
        <w:rPr>
          <w:rFonts w:hint="cs"/>
          <w:rtl/>
        </w:rPr>
        <w:t>דאזל</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גב</w:t>
      </w:r>
      <w:r w:rsidRPr="008B4DA1">
        <w:rPr>
          <w:rtl/>
        </w:rPr>
        <w:t xml:space="preserve"> </w:t>
      </w:r>
      <w:r w:rsidRPr="008B4DA1">
        <w:rPr>
          <w:rFonts w:hint="cs"/>
          <w:rtl/>
        </w:rPr>
        <w:t>דלית</w:t>
      </w:r>
      <w:r w:rsidRPr="008B4DA1">
        <w:rPr>
          <w:rtl/>
        </w:rPr>
        <w:t xml:space="preserve"> </w:t>
      </w:r>
      <w:r w:rsidRPr="008B4DA1">
        <w:rPr>
          <w:rFonts w:hint="cs"/>
          <w:rtl/>
        </w:rPr>
        <w:t>הלכתא</w:t>
      </w:r>
      <w:r w:rsidRPr="008B4DA1">
        <w:rPr>
          <w:rtl/>
        </w:rPr>
        <w:t xml:space="preserve"> </w:t>
      </w:r>
      <w:r w:rsidRPr="008B4DA1">
        <w:rPr>
          <w:rFonts w:hint="cs"/>
          <w:rtl/>
        </w:rPr>
        <w:t>כוותיה,</w:t>
      </w:r>
      <w:r w:rsidRPr="008B4DA1">
        <w:rPr>
          <w:rtl/>
        </w:rPr>
        <w:t xml:space="preserve"> </w:t>
      </w:r>
      <w:r w:rsidRPr="008B4DA1">
        <w:rPr>
          <w:rFonts w:hint="cs"/>
          <w:b/>
          <w:bCs/>
          <w:rtl/>
        </w:rPr>
        <w:t>מכל</w:t>
      </w:r>
      <w:r w:rsidRPr="008B4DA1">
        <w:rPr>
          <w:b/>
          <w:bCs/>
          <w:rtl/>
        </w:rPr>
        <w:t xml:space="preserve"> </w:t>
      </w:r>
      <w:r w:rsidRPr="008B4DA1">
        <w:rPr>
          <w:rFonts w:hint="cs"/>
          <w:b/>
          <w:bCs/>
          <w:rtl/>
        </w:rPr>
        <w:t>מקום</w:t>
      </w:r>
      <w:r w:rsidRPr="008B4DA1">
        <w:rPr>
          <w:b/>
          <w:bCs/>
          <w:rtl/>
        </w:rPr>
        <w:t xml:space="preserve"> </w:t>
      </w:r>
      <w:r w:rsidRPr="008B4DA1">
        <w:rPr>
          <w:rFonts w:hint="cs"/>
          <w:b/>
          <w:bCs/>
          <w:rtl/>
        </w:rPr>
        <w:t>באומדנא</w:t>
      </w:r>
      <w:r w:rsidRPr="008B4DA1">
        <w:rPr>
          <w:b/>
          <w:bCs/>
          <w:rtl/>
        </w:rPr>
        <w:t xml:space="preserve"> </w:t>
      </w:r>
      <w:r w:rsidRPr="008B4DA1">
        <w:rPr>
          <w:rFonts w:hint="cs"/>
          <w:b/>
          <w:bCs/>
          <w:rtl/>
        </w:rPr>
        <w:t>דמוכחא</w:t>
      </w:r>
      <w:r w:rsidRPr="008B4DA1">
        <w:rPr>
          <w:b/>
          <w:bCs/>
          <w:rtl/>
        </w:rPr>
        <w:t xml:space="preserve"> </w:t>
      </w:r>
      <w:r w:rsidRPr="008B4DA1">
        <w:rPr>
          <w:rFonts w:hint="cs"/>
          <w:b/>
          <w:bCs/>
          <w:rtl/>
        </w:rPr>
        <w:t>טובא</w:t>
      </w:r>
      <w:r w:rsidRPr="008B4DA1">
        <w:rPr>
          <w:b/>
          <w:bCs/>
          <w:rtl/>
        </w:rPr>
        <w:t xml:space="preserve"> </w:t>
      </w:r>
      <w:r w:rsidRPr="008B4DA1">
        <w:rPr>
          <w:rFonts w:hint="cs"/>
          <w:b/>
          <w:bCs/>
          <w:rtl/>
        </w:rPr>
        <w:t>כי</w:t>
      </w:r>
      <w:r w:rsidRPr="008B4DA1">
        <w:rPr>
          <w:b/>
          <w:bCs/>
          <w:rtl/>
        </w:rPr>
        <w:t xml:space="preserve"> </w:t>
      </w:r>
      <w:r w:rsidRPr="008B4DA1">
        <w:rPr>
          <w:rFonts w:hint="cs"/>
          <w:b/>
          <w:bCs/>
          <w:rtl/>
        </w:rPr>
        <w:t>התם</w:t>
      </w:r>
      <w:r w:rsidRPr="008B4DA1">
        <w:rPr>
          <w:b/>
          <w:bCs/>
          <w:rtl/>
        </w:rPr>
        <w:t xml:space="preserve"> </w:t>
      </w:r>
      <w:r w:rsidRPr="008B4DA1">
        <w:rPr>
          <w:rFonts w:hint="cs"/>
          <w:b/>
          <w:bCs/>
          <w:rtl/>
        </w:rPr>
        <w:t>מודה</w:t>
      </w:r>
      <w:r w:rsidRPr="008B4DA1">
        <w:rPr>
          <w:b/>
          <w:bCs/>
          <w:rtl/>
        </w:rPr>
        <w:t xml:space="preserve"> </w:t>
      </w:r>
      <w:r w:rsidRPr="008B4DA1">
        <w:rPr>
          <w:rFonts w:hint="cs"/>
          <w:b/>
          <w:bCs/>
          <w:rtl/>
        </w:rPr>
        <w:t>אף</w:t>
      </w:r>
      <w:r w:rsidRPr="008B4DA1">
        <w:rPr>
          <w:b/>
          <w:bCs/>
          <w:rtl/>
        </w:rPr>
        <w:t xml:space="preserve"> </w:t>
      </w:r>
      <w:r w:rsidRPr="008B4DA1">
        <w:rPr>
          <w:rFonts w:hint="cs"/>
          <w:b/>
          <w:bCs/>
          <w:rtl/>
        </w:rPr>
        <w:t>תנא</w:t>
      </w:r>
      <w:r w:rsidRPr="008B4DA1">
        <w:rPr>
          <w:b/>
          <w:bCs/>
          <w:rtl/>
        </w:rPr>
        <w:t xml:space="preserve"> </w:t>
      </w:r>
      <w:r w:rsidRPr="008B4DA1">
        <w:rPr>
          <w:rFonts w:hint="cs"/>
          <w:b/>
          <w:bCs/>
          <w:rtl/>
        </w:rPr>
        <w:t>קמא</w:t>
      </w:r>
      <w:r w:rsidRPr="008B4DA1">
        <w:rPr>
          <w:b/>
          <w:bCs/>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 כלומר, כאשר נמצאו שור או גמל הרוגים,</w:t>
      </w:r>
      <w:r w:rsidR="005D7B4D">
        <w:rPr>
          <w:rFonts w:hint="cs"/>
          <w:rtl/>
        </w:rPr>
        <w:t xml:space="preserve"> </w:t>
      </w:r>
      <w:r w:rsidRPr="008B4DA1">
        <w:rPr>
          <w:rFonts w:hint="cs"/>
          <w:rtl/>
        </w:rPr>
        <w:t xml:space="preserve">הסבירות שהמזיק הוא שור המועד או גמל האוחר ולא שוורים או גמלים אחרים, היא כמעט ודאית, ולכן על "אומדנא" מסוג זה נפסק בשו"ע שניתן להסתמך עליה. </w:t>
      </w:r>
    </w:p>
    <w:p w14:paraId="2767D598" w14:textId="77777777" w:rsidR="00644C97" w:rsidRPr="008B4DA1" w:rsidRDefault="00644C97" w:rsidP="00F8255E">
      <w:pPr>
        <w:pStyle w:val="a2"/>
        <w:rPr>
          <w:rtl/>
        </w:rPr>
      </w:pPr>
      <w:r w:rsidRPr="008B4DA1">
        <w:rPr>
          <w:rFonts w:hint="cs"/>
          <w:rtl/>
        </w:rPr>
        <w:t xml:space="preserve">וכן נקט להלכה המהר"ם </w:t>
      </w:r>
      <w:r w:rsidRPr="008B4DA1">
        <w:rPr>
          <w:rtl/>
        </w:rPr>
        <w:t>אלשיך (סי</w:t>
      </w:r>
      <w:r w:rsidRPr="008B4DA1">
        <w:rPr>
          <w:rFonts w:hint="cs"/>
          <w:rtl/>
        </w:rPr>
        <w:t>מן</w:t>
      </w:r>
      <w:r w:rsidRPr="008B4DA1">
        <w:rPr>
          <w:rtl/>
        </w:rPr>
        <w:t xml:space="preserve"> מ) </w:t>
      </w:r>
      <w:r w:rsidRPr="008B4DA1">
        <w:rPr>
          <w:rFonts w:hint="cs"/>
          <w:rtl/>
        </w:rPr>
        <w:t>"</w:t>
      </w:r>
      <w:r w:rsidRPr="008B4DA1">
        <w:rPr>
          <w:rtl/>
        </w:rPr>
        <w:t>בגווני אחריני דא</w:t>
      </w:r>
      <w:r w:rsidRPr="008B4DA1">
        <w:rPr>
          <w:rFonts w:hint="cs"/>
          <w:rtl/>
        </w:rPr>
        <w:t>ו</w:t>
      </w:r>
      <w:r w:rsidRPr="008B4DA1">
        <w:rPr>
          <w:rtl/>
        </w:rPr>
        <w:t>מדן דעתא ע</w:t>
      </w:r>
      <w:r w:rsidRPr="008B4DA1">
        <w:rPr>
          <w:rFonts w:hint="cs"/>
          <w:rtl/>
        </w:rPr>
        <w:t>ל יד</w:t>
      </w:r>
      <w:r w:rsidRPr="008B4DA1">
        <w:rPr>
          <w:rtl/>
        </w:rPr>
        <w:t>י אמתלאות דאפשר לן למיקם עלה דקושטא דמילתא מרעינן ליה לשטרא</w:t>
      </w:r>
      <w:r w:rsidRPr="008B4DA1">
        <w:rPr>
          <w:b/>
          <w:bCs/>
          <w:rtl/>
        </w:rPr>
        <w:t xml:space="preserve"> ומפקינן ממונא באומדנא דמוכח</w:t>
      </w:r>
      <w:r w:rsidRPr="008B4DA1">
        <w:rPr>
          <w:rFonts w:hint="cs"/>
          <w:b/>
          <w:bCs/>
          <w:rtl/>
        </w:rPr>
        <w:t>"</w:t>
      </w:r>
      <w:r w:rsidRPr="008B4DA1">
        <w:rPr>
          <w:rtl/>
        </w:rPr>
        <w:t>.</w:t>
      </w:r>
      <w:r w:rsidRPr="008B4DA1">
        <w:rPr>
          <w:rFonts w:hint="cs"/>
          <w:rtl/>
        </w:rPr>
        <w:t xml:space="preserve"> וכן משמע בדברי נתיבות המשפט (חו"מ סימן טו ס"ק ב) "והא</w:t>
      </w:r>
      <w:r w:rsidRPr="008B4DA1">
        <w:rPr>
          <w:rtl/>
        </w:rPr>
        <w:t xml:space="preserve"> </w:t>
      </w:r>
      <w:r w:rsidRPr="008B4DA1">
        <w:rPr>
          <w:rFonts w:hint="cs"/>
          <w:rtl/>
        </w:rPr>
        <w:t>דמהני</w:t>
      </w:r>
      <w:r w:rsidRPr="008B4DA1">
        <w:rPr>
          <w:rtl/>
        </w:rPr>
        <w:t xml:space="preserve"> </w:t>
      </w:r>
      <w:r w:rsidRPr="008B4DA1">
        <w:rPr>
          <w:rFonts w:hint="cs"/>
          <w:rtl/>
        </w:rPr>
        <w:t>אומדנא</w:t>
      </w:r>
      <w:r w:rsidRPr="008B4DA1">
        <w:rPr>
          <w:rtl/>
        </w:rPr>
        <w:t xml:space="preserve"> </w:t>
      </w:r>
      <w:r w:rsidRPr="008B4DA1">
        <w:rPr>
          <w:rFonts w:hint="cs"/>
          <w:rtl/>
        </w:rPr>
        <w:t>להוציא</w:t>
      </w:r>
      <w:r w:rsidRPr="008B4DA1">
        <w:rPr>
          <w:rtl/>
        </w:rPr>
        <w:t xml:space="preserve"> </w:t>
      </w:r>
      <w:r w:rsidRPr="008B4DA1">
        <w:rPr>
          <w:rFonts w:hint="cs"/>
          <w:rtl/>
        </w:rPr>
        <w:t>מיתומים</w:t>
      </w:r>
      <w:r w:rsidRPr="008B4DA1">
        <w:rPr>
          <w:rtl/>
        </w:rPr>
        <w:t xml:space="preserve">, </w:t>
      </w:r>
      <w:r w:rsidRPr="008B4DA1">
        <w:rPr>
          <w:rFonts w:hint="cs"/>
          <w:rtl/>
        </w:rPr>
        <w:t>נראה</w:t>
      </w:r>
      <w:r w:rsidRPr="008B4DA1">
        <w:rPr>
          <w:rtl/>
        </w:rPr>
        <w:t xml:space="preserve"> </w:t>
      </w:r>
      <w:r w:rsidRPr="008B4DA1">
        <w:rPr>
          <w:rFonts w:hint="cs"/>
          <w:rtl/>
        </w:rPr>
        <w:t>דוקא</w:t>
      </w:r>
      <w:r w:rsidRPr="008B4DA1">
        <w:rPr>
          <w:rtl/>
        </w:rPr>
        <w:t xml:space="preserve"> </w:t>
      </w:r>
      <w:r w:rsidRPr="008B4DA1">
        <w:rPr>
          <w:rFonts w:hint="cs"/>
          <w:b/>
          <w:bCs/>
          <w:rtl/>
        </w:rPr>
        <w:t>אומדנא</w:t>
      </w:r>
      <w:r w:rsidRPr="008B4DA1">
        <w:rPr>
          <w:b/>
          <w:bCs/>
          <w:rtl/>
        </w:rPr>
        <w:t xml:space="preserve"> </w:t>
      </w:r>
      <w:r w:rsidRPr="008B4DA1">
        <w:rPr>
          <w:rFonts w:hint="cs"/>
          <w:b/>
          <w:bCs/>
          <w:rtl/>
        </w:rPr>
        <w:t>שהיא</w:t>
      </w:r>
      <w:r w:rsidRPr="008B4DA1">
        <w:rPr>
          <w:b/>
          <w:bCs/>
          <w:rtl/>
        </w:rPr>
        <w:t xml:space="preserve"> </w:t>
      </w:r>
      <w:r w:rsidRPr="008B4DA1">
        <w:rPr>
          <w:rFonts w:hint="cs"/>
          <w:b/>
          <w:bCs/>
          <w:rtl/>
        </w:rPr>
        <w:t>אומדנא</w:t>
      </w:r>
      <w:r w:rsidRPr="008B4DA1">
        <w:rPr>
          <w:b/>
          <w:bCs/>
          <w:rtl/>
        </w:rPr>
        <w:t xml:space="preserve"> </w:t>
      </w:r>
      <w:r w:rsidRPr="008B4DA1">
        <w:rPr>
          <w:rFonts w:hint="cs"/>
          <w:b/>
          <w:bCs/>
          <w:rtl/>
        </w:rPr>
        <w:t>לכל</w:t>
      </w:r>
      <w:r w:rsidRPr="008B4DA1">
        <w:rPr>
          <w:b/>
          <w:bCs/>
          <w:rtl/>
        </w:rPr>
        <w:t xml:space="preserve"> </w:t>
      </w:r>
      <w:r w:rsidRPr="008B4DA1">
        <w:rPr>
          <w:rFonts w:hint="cs"/>
          <w:b/>
          <w:bCs/>
          <w:rtl/>
        </w:rPr>
        <w:t>העולם</w:t>
      </w:r>
      <w:r w:rsidRPr="008B4DA1">
        <w:rPr>
          <w:rFonts w:hint="cs"/>
          <w:rtl/>
        </w:rPr>
        <w:t>".</w:t>
      </w:r>
    </w:p>
    <w:p w14:paraId="5579E416" w14:textId="77777777" w:rsidR="00644C97" w:rsidRPr="008B4DA1" w:rsidRDefault="00644C97" w:rsidP="00F8255E">
      <w:pPr>
        <w:pStyle w:val="a2"/>
        <w:rPr>
          <w:rtl/>
        </w:rPr>
      </w:pPr>
      <w:r w:rsidRPr="008B4DA1">
        <w:rPr>
          <w:rFonts w:hint="cs"/>
          <w:rtl/>
        </w:rPr>
        <w:t>ומבואר בדבריהם שאם ה"אומדנא" היא הוכחה חזקה מאד ניתן להסתמך עליה.</w:t>
      </w:r>
    </w:p>
    <w:p w14:paraId="402FFEDA" w14:textId="77777777" w:rsidR="00644C97" w:rsidRPr="008B4DA1" w:rsidRDefault="00644C97" w:rsidP="00F8255E">
      <w:pPr>
        <w:pStyle w:val="11"/>
        <w:bidi/>
        <w:rPr>
          <w:rtl/>
        </w:rPr>
      </w:pPr>
      <w:r w:rsidRPr="008B4DA1">
        <w:rPr>
          <w:rFonts w:hint="cs"/>
          <w:rtl/>
        </w:rPr>
        <w:t>אומדנא דמוכח בזמן הזה</w:t>
      </w:r>
    </w:p>
    <w:p w14:paraId="0C50C964" w14:textId="77777777" w:rsidR="00644C97" w:rsidRPr="008B4DA1" w:rsidRDefault="00644C97" w:rsidP="00F8255E">
      <w:pPr>
        <w:pStyle w:val="a2"/>
        <w:rPr>
          <w:rtl/>
        </w:rPr>
      </w:pPr>
      <w:r w:rsidRPr="008B4DA1">
        <w:rPr>
          <w:rFonts w:hint="cs"/>
          <w:b/>
          <w:bCs/>
          <w:rtl/>
        </w:rPr>
        <w:t>יא.</w:t>
      </w:r>
      <w:r w:rsidRPr="008B4DA1">
        <w:rPr>
          <w:rFonts w:hint="cs"/>
          <w:rtl/>
        </w:rPr>
        <w:t xml:space="preserve"> יחד עם זאת, ההסתמכות על "אומדנא", אינה מסורה לכל דיין, וכפי שכתב הרמב"ם בהלכות סנהדרין (פרק כד הלכה א) "יש</w:t>
      </w:r>
      <w:r w:rsidRPr="008B4DA1">
        <w:rPr>
          <w:rtl/>
        </w:rPr>
        <w:t xml:space="preserve"> </w:t>
      </w:r>
      <w:r w:rsidRPr="008B4DA1">
        <w:rPr>
          <w:rFonts w:hint="cs"/>
          <w:rtl/>
        </w:rPr>
        <w:t>לדיין</w:t>
      </w:r>
      <w:r w:rsidRPr="008B4DA1">
        <w:rPr>
          <w:rtl/>
        </w:rPr>
        <w:t xml:space="preserve"> </w:t>
      </w:r>
      <w:r w:rsidRPr="008B4DA1">
        <w:rPr>
          <w:rFonts w:hint="cs"/>
          <w:rtl/>
        </w:rPr>
        <w:t>לדון</w:t>
      </w:r>
      <w:r w:rsidRPr="008B4DA1">
        <w:rPr>
          <w:rtl/>
        </w:rPr>
        <w:t xml:space="preserve"> </w:t>
      </w:r>
      <w:r w:rsidRPr="008B4DA1">
        <w:rPr>
          <w:rFonts w:hint="cs"/>
          <w:rtl/>
        </w:rPr>
        <w:t>בדיני</w:t>
      </w:r>
      <w:r w:rsidRPr="008B4DA1">
        <w:rPr>
          <w:rtl/>
        </w:rPr>
        <w:t xml:space="preserve"> </w:t>
      </w:r>
      <w:r w:rsidRPr="008B4DA1">
        <w:rPr>
          <w:rFonts w:hint="cs"/>
          <w:rtl/>
        </w:rPr>
        <w:t>ממונות</w:t>
      </w:r>
      <w:r w:rsidRPr="008B4DA1">
        <w:rPr>
          <w:rtl/>
        </w:rPr>
        <w:t xml:space="preserve"> </w:t>
      </w:r>
      <w:r w:rsidRPr="008B4DA1">
        <w:rPr>
          <w:rFonts w:hint="cs"/>
          <w:b/>
          <w:bCs/>
          <w:rtl/>
        </w:rPr>
        <w:t>על</w:t>
      </w:r>
      <w:r w:rsidRPr="008B4DA1">
        <w:rPr>
          <w:b/>
          <w:bCs/>
          <w:rtl/>
        </w:rPr>
        <w:t xml:space="preserve"> </w:t>
      </w:r>
      <w:r w:rsidRPr="008B4DA1">
        <w:rPr>
          <w:rFonts w:hint="cs"/>
          <w:b/>
          <w:bCs/>
          <w:rtl/>
        </w:rPr>
        <w:t>פי</w:t>
      </w:r>
      <w:r w:rsidRPr="008B4DA1">
        <w:rPr>
          <w:b/>
          <w:bCs/>
          <w:rtl/>
        </w:rPr>
        <w:t xml:space="preserve"> </w:t>
      </w:r>
      <w:r w:rsidRPr="008B4DA1">
        <w:rPr>
          <w:rFonts w:hint="cs"/>
          <w:b/>
          <w:bCs/>
          <w:rtl/>
        </w:rPr>
        <w:t>הדברים</w:t>
      </w:r>
      <w:r w:rsidRPr="008B4DA1">
        <w:rPr>
          <w:b/>
          <w:bCs/>
          <w:rtl/>
        </w:rPr>
        <w:t xml:space="preserve"> </w:t>
      </w:r>
      <w:r w:rsidRPr="008B4DA1">
        <w:rPr>
          <w:rFonts w:hint="cs"/>
          <w:b/>
          <w:bCs/>
          <w:rtl/>
        </w:rPr>
        <w:t>שדעתו</w:t>
      </w:r>
      <w:r w:rsidRPr="008B4DA1">
        <w:rPr>
          <w:b/>
          <w:bCs/>
          <w:rtl/>
        </w:rPr>
        <w:t xml:space="preserve"> </w:t>
      </w:r>
      <w:r w:rsidRPr="008B4DA1">
        <w:rPr>
          <w:rFonts w:hint="cs"/>
          <w:b/>
          <w:bCs/>
          <w:rtl/>
        </w:rPr>
        <w:t>נוטה</w:t>
      </w:r>
      <w:r w:rsidRPr="008B4DA1">
        <w:rPr>
          <w:rtl/>
        </w:rPr>
        <w:t xml:space="preserve"> </w:t>
      </w:r>
      <w:r w:rsidRPr="008B4DA1">
        <w:rPr>
          <w:rFonts w:hint="cs"/>
          <w:rtl/>
        </w:rPr>
        <w:t>להן</w:t>
      </w:r>
      <w:r w:rsidRPr="008B4DA1">
        <w:rPr>
          <w:rtl/>
        </w:rPr>
        <w:t xml:space="preserve"> </w:t>
      </w:r>
      <w:r w:rsidRPr="008B4DA1">
        <w:rPr>
          <w:rFonts w:hint="cs"/>
          <w:rtl/>
        </w:rPr>
        <w:t>שהן</w:t>
      </w:r>
      <w:r w:rsidRPr="008B4DA1">
        <w:rPr>
          <w:rtl/>
        </w:rPr>
        <w:t xml:space="preserve"> </w:t>
      </w:r>
      <w:r w:rsidRPr="008B4DA1">
        <w:rPr>
          <w:rFonts w:hint="cs"/>
          <w:rtl/>
        </w:rPr>
        <w:t>אמת</w:t>
      </w:r>
      <w:r w:rsidRPr="008B4DA1">
        <w:rPr>
          <w:rtl/>
        </w:rPr>
        <w:t xml:space="preserve"> </w:t>
      </w:r>
      <w:r w:rsidRPr="008B4DA1">
        <w:rPr>
          <w:rFonts w:hint="cs"/>
          <w:rtl/>
        </w:rPr>
        <w:t>והדבר</w:t>
      </w:r>
      <w:r w:rsidRPr="008B4DA1">
        <w:rPr>
          <w:rtl/>
        </w:rPr>
        <w:t xml:space="preserve"> </w:t>
      </w:r>
      <w:r w:rsidRPr="008B4DA1">
        <w:rPr>
          <w:rFonts w:hint="cs"/>
          <w:rtl/>
        </w:rPr>
        <w:t>חזק</w:t>
      </w:r>
      <w:r w:rsidRPr="008B4DA1">
        <w:rPr>
          <w:rtl/>
        </w:rPr>
        <w:t xml:space="preserve"> </w:t>
      </w:r>
      <w:r w:rsidRPr="008B4DA1">
        <w:rPr>
          <w:rFonts w:hint="cs"/>
          <w:rtl/>
        </w:rPr>
        <w:t>בלבו</w:t>
      </w:r>
      <w:r w:rsidRPr="008B4DA1">
        <w:rPr>
          <w:rtl/>
        </w:rPr>
        <w:t xml:space="preserve"> </w:t>
      </w:r>
      <w:r w:rsidRPr="008B4DA1">
        <w:rPr>
          <w:rFonts w:hint="cs"/>
          <w:rtl/>
        </w:rPr>
        <w:t>שהוא</w:t>
      </w:r>
      <w:r w:rsidRPr="008B4DA1">
        <w:rPr>
          <w:rtl/>
        </w:rPr>
        <w:t xml:space="preserve"> </w:t>
      </w:r>
      <w:r w:rsidRPr="008B4DA1">
        <w:rPr>
          <w:rFonts w:hint="cs"/>
          <w:rtl/>
        </w:rPr>
        <w:t>כן,</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שאין</w:t>
      </w:r>
      <w:r w:rsidRPr="008B4DA1">
        <w:rPr>
          <w:rtl/>
        </w:rPr>
        <w:t xml:space="preserve"> </w:t>
      </w:r>
      <w:r w:rsidRPr="008B4DA1">
        <w:rPr>
          <w:rFonts w:hint="cs"/>
          <w:rtl/>
        </w:rPr>
        <w:t>שם</w:t>
      </w:r>
      <w:r w:rsidRPr="008B4DA1">
        <w:rPr>
          <w:rtl/>
        </w:rPr>
        <w:t xml:space="preserve"> </w:t>
      </w:r>
      <w:r w:rsidRPr="008B4DA1">
        <w:rPr>
          <w:rFonts w:hint="cs"/>
          <w:rtl/>
        </w:rPr>
        <w:t>ראיה</w:t>
      </w:r>
      <w:r w:rsidRPr="008B4DA1">
        <w:rPr>
          <w:rtl/>
        </w:rPr>
        <w:t xml:space="preserve"> </w:t>
      </w:r>
      <w:r w:rsidRPr="008B4DA1">
        <w:rPr>
          <w:rFonts w:hint="cs"/>
          <w:rtl/>
        </w:rPr>
        <w:t>ברורה.</w:t>
      </w:r>
      <w:r w:rsidRPr="008B4DA1">
        <w:rPr>
          <w:rtl/>
        </w:rPr>
        <w:t xml:space="preserve"> </w:t>
      </w:r>
      <w:r w:rsidRPr="008B4DA1">
        <w:rPr>
          <w:rFonts w:hint="cs"/>
          <w:rtl/>
        </w:rPr>
        <w:t>ואין</w:t>
      </w:r>
      <w:r w:rsidRPr="008B4DA1">
        <w:rPr>
          <w:rtl/>
        </w:rPr>
        <w:t xml:space="preserve"> </w:t>
      </w:r>
      <w:r w:rsidRPr="008B4DA1">
        <w:rPr>
          <w:rFonts w:hint="cs"/>
          <w:rtl/>
        </w:rPr>
        <w:t>צריך</w:t>
      </w:r>
      <w:r w:rsidRPr="008B4DA1">
        <w:rPr>
          <w:rtl/>
        </w:rPr>
        <w:t xml:space="preserve"> </w:t>
      </w:r>
      <w:r w:rsidRPr="008B4DA1">
        <w:rPr>
          <w:rFonts w:hint="cs"/>
          <w:rtl/>
        </w:rPr>
        <w:t>לומר</w:t>
      </w:r>
      <w:r w:rsidRPr="008B4DA1">
        <w:rPr>
          <w:rtl/>
        </w:rPr>
        <w:t xml:space="preserve"> </w:t>
      </w:r>
      <w:r w:rsidRPr="008B4DA1">
        <w:rPr>
          <w:rFonts w:hint="cs"/>
          <w:rtl/>
        </w:rPr>
        <w:t>אם</w:t>
      </w:r>
      <w:r w:rsidRPr="008B4DA1">
        <w:rPr>
          <w:rtl/>
        </w:rPr>
        <w:t xml:space="preserve"> </w:t>
      </w:r>
      <w:r w:rsidRPr="008B4DA1">
        <w:rPr>
          <w:rFonts w:hint="cs"/>
          <w:rtl/>
        </w:rPr>
        <w:t>היה</w:t>
      </w:r>
      <w:r w:rsidRPr="008B4DA1">
        <w:rPr>
          <w:rtl/>
        </w:rPr>
        <w:t xml:space="preserve"> </w:t>
      </w:r>
      <w:r w:rsidRPr="008B4DA1">
        <w:rPr>
          <w:rFonts w:hint="cs"/>
          <w:rtl/>
        </w:rPr>
        <w:t>יודע</w:t>
      </w:r>
      <w:r w:rsidRPr="008B4DA1">
        <w:rPr>
          <w:rtl/>
        </w:rPr>
        <w:t xml:space="preserve"> </w:t>
      </w:r>
      <w:r w:rsidRPr="008B4DA1">
        <w:rPr>
          <w:rFonts w:hint="cs"/>
          <w:rtl/>
        </w:rPr>
        <w:t>בודאי</w:t>
      </w:r>
      <w:r w:rsidRPr="008B4DA1">
        <w:rPr>
          <w:rtl/>
        </w:rPr>
        <w:t xml:space="preserve"> </w:t>
      </w:r>
      <w:r w:rsidRPr="008B4DA1">
        <w:rPr>
          <w:rFonts w:hint="cs"/>
          <w:rtl/>
        </w:rPr>
        <w:t>שהדבר</w:t>
      </w:r>
      <w:r w:rsidRPr="008B4DA1">
        <w:rPr>
          <w:rtl/>
        </w:rPr>
        <w:t xml:space="preserve"> </w:t>
      </w:r>
      <w:r w:rsidRPr="008B4DA1">
        <w:rPr>
          <w:rFonts w:hint="cs"/>
          <w:rtl/>
        </w:rPr>
        <w:t>כן</w:t>
      </w:r>
      <w:r w:rsidRPr="008B4DA1">
        <w:rPr>
          <w:rtl/>
        </w:rPr>
        <w:t xml:space="preserve"> </w:t>
      </w:r>
      <w:r w:rsidRPr="008B4DA1">
        <w:rPr>
          <w:rFonts w:hint="cs"/>
          <w:rtl/>
        </w:rPr>
        <w:t>הוא,</w:t>
      </w:r>
      <w:r w:rsidRPr="008B4DA1">
        <w:rPr>
          <w:rtl/>
        </w:rPr>
        <w:t xml:space="preserve"> </w:t>
      </w:r>
      <w:r w:rsidRPr="008B4DA1">
        <w:rPr>
          <w:rFonts w:hint="cs"/>
          <w:rtl/>
        </w:rPr>
        <w:t>שהוא</w:t>
      </w:r>
      <w:r w:rsidRPr="008B4DA1">
        <w:rPr>
          <w:rtl/>
        </w:rPr>
        <w:t xml:space="preserve"> </w:t>
      </w:r>
      <w:r w:rsidRPr="008B4DA1">
        <w:rPr>
          <w:rFonts w:hint="cs"/>
          <w:rtl/>
        </w:rPr>
        <w:t>דן</w:t>
      </w:r>
      <w:r w:rsidRPr="008B4DA1">
        <w:rPr>
          <w:rtl/>
        </w:rPr>
        <w:t xml:space="preserve"> </w:t>
      </w:r>
      <w:r w:rsidRPr="008B4DA1">
        <w:rPr>
          <w:rFonts w:hint="cs"/>
          <w:rtl/>
        </w:rPr>
        <w:t>כפי</w:t>
      </w:r>
      <w:r w:rsidRPr="008B4DA1">
        <w:rPr>
          <w:rtl/>
        </w:rPr>
        <w:t xml:space="preserve"> </w:t>
      </w:r>
      <w:r w:rsidRPr="008B4DA1">
        <w:rPr>
          <w:rFonts w:hint="cs"/>
          <w:rtl/>
        </w:rPr>
        <w:t>מה</w:t>
      </w:r>
      <w:r w:rsidRPr="008B4DA1">
        <w:rPr>
          <w:rtl/>
        </w:rPr>
        <w:t xml:space="preserve"> </w:t>
      </w:r>
      <w:r w:rsidRPr="008B4DA1">
        <w:rPr>
          <w:rFonts w:hint="cs"/>
          <w:rtl/>
        </w:rPr>
        <w:t>שיודע. הואיל</w:t>
      </w:r>
      <w:r w:rsidRPr="008B4DA1">
        <w:rPr>
          <w:rtl/>
        </w:rPr>
        <w:t xml:space="preserve"> </w:t>
      </w:r>
      <w:r w:rsidRPr="008B4DA1">
        <w:rPr>
          <w:rFonts w:hint="cs"/>
          <w:rtl/>
        </w:rPr>
        <w:t>וסמכה</w:t>
      </w:r>
      <w:r w:rsidRPr="008B4DA1">
        <w:rPr>
          <w:rtl/>
        </w:rPr>
        <w:t xml:space="preserve"> </w:t>
      </w:r>
      <w:r w:rsidRPr="008B4DA1">
        <w:rPr>
          <w:rFonts w:hint="cs"/>
          <w:rtl/>
        </w:rPr>
        <w:t>דעתו</w:t>
      </w:r>
      <w:r w:rsidRPr="008B4DA1">
        <w:rPr>
          <w:rtl/>
        </w:rPr>
        <w:t xml:space="preserve"> </w:t>
      </w:r>
      <w:r w:rsidRPr="008B4DA1">
        <w:rPr>
          <w:rFonts w:hint="cs"/>
          <w:rtl/>
        </w:rPr>
        <w:t>של</w:t>
      </w:r>
      <w:r w:rsidRPr="008B4DA1">
        <w:rPr>
          <w:rtl/>
        </w:rPr>
        <w:t xml:space="preserve"> </w:t>
      </w:r>
      <w:r w:rsidRPr="008B4DA1">
        <w:rPr>
          <w:rFonts w:hint="cs"/>
          <w:rtl/>
        </w:rPr>
        <w:t>דיין</w:t>
      </w:r>
      <w:r w:rsidRPr="008B4DA1">
        <w:rPr>
          <w:rtl/>
        </w:rPr>
        <w:t xml:space="preserve"> </w:t>
      </w:r>
      <w:r w:rsidRPr="008B4DA1">
        <w:rPr>
          <w:rFonts w:hint="cs"/>
          <w:rtl/>
        </w:rPr>
        <w:t>על</w:t>
      </w:r>
      <w:r w:rsidRPr="008B4DA1">
        <w:rPr>
          <w:rtl/>
        </w:rPr>
        <w:t xml:space="preserve"> </w:t>
      </w:r>
      <w:r w:rsidRPr="008B4DA1">
        <w:rPr>
          <w:rFonts w:hint="cs"/>
          <w:rtl/>
        </w:rPr>
        <w:t>דברי</w:t>
      </w:r>
      <w:r w:rsidRPr="008B4DA1">
        <w:rPr>
          <w:rtl/>
        </w:rPr>
        <w:t xml:space="preserve"> </w:t>
      </w:r>
      <w:r w:rsidRPr="008B4DA1">
        <w:rPr>
          <w:rFonts w:hint="cs"/>
          <w:rtl/>
        </w:rPr>
        <w:t>זה</w:t>
      </w:r>
      <w:r w:rsidRPr="008B4DA1">
        <w:rPr>
          <w:rtl/>
        </w:rPr>
        <w:t xml:space="preserve">, </w:t>
      </w:r>
      <w:r w:rsidRPr="008B4DA1">
        <w:rPr>
          <w:rFonts w:hint="cs"/>
          <w:rtl/>
        </w:rPr>
        <w:t>אפילו</w:t>
      </w:r>
      <w:r w:rsidRPr="008B4DA1">
        <w:rPr>
          <w:rtl/>
        </w:rPr>
        <w:t xml:space="preserve"> </w:t>
      </w:r>
      <w:r w:rsidRPr="008B4DA1">
        <w:rPr>
          <w:rFonts w:hint="cs"/>
          <w:rtl/>
        </w:rPr>
        <w:t>היתה</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עבד</w:t>
      </w:r>
      <w:r w:rsidRPr="008B4DA1">
        <w:rPr>
          <w:rtl/>
        </w:rPr>
        <w:t xml:space="preserve"> </w:t>
      </w:r>
      <w:r w:rsidRPr="008B4DA1">
        <w:rPr>
          <w:rFonts w:hint="cs"/>
          <w:rtl/>
        </w:rPr>
        <w:t>נאמנים</w:t>
      </w:r>
      <w:r w:rsidRPr="008B4DA1">
        <w:rPr>
          <w:rtl/>
        </w:rPr>
        <w:t xml:space="preserve"> </w:t>
      </w:r>
      <w:r w:rsidRPr="008B4DA1">
        <w:rPr>
          <w:rFonts w:hint="cs"/>
          <w:rtl/>
        </w:rPr>
        <w:t>אצלו</w:t>
      </w:r>
      <w:r w:rsidRPr="008B4DA1">
        <w:rPr>
          <w:rtl/>
        </w:rPr>
        <w:t xml:space="preserve"> </w:t>
      </w:r>
      <w:r w:rsidRPr="008B4DA1">
        <w:rPr>
          <w:rFonts w:hint="cs"/>
          <w:rtl/>
        </w:rPr>
        <w:t>הואיל</w:t>
      </w:r>
      <w:r w:rsidRPr="008B4DA1">
        <w:rPr>
          <w:rtl/>
        </w:rPr>
        <w:t xml:space="preserve"> </w:t>
      </w:r>
      <w:r w:rsidRPr="008B4DA1">
        <w:rPr>
          <w:rFonts w:hint="cs"/>
          <w:rtl/>
        </w:rPr>
        <w:t>ומצא</w:t>
      </w:r>
      <w:r w:rsidRPr="008B4DA1">
        <w:rPr>
          <w:rtl/>
        </w:rPr>
        <w:t xml:space="preserve"> </w:t>
      </w:r>
      <w:r w:rsidRPr="008B4DA1">
        <w:rPr>
          <w:rFonts w:hint="cs"/>
          <w:rtl/>
        </w:rPr>
        <w:t>הדבר</w:t>
      </w:r>
      <w:r w:rsidRPr="008B4DA1">
        <w:rPr>
          <w:rtl/>
        </w:rPr>
        <w:t xml:space="preserve"> </w:t>
      </w:r>
      <w:r w:rsidRPr="008B4DA1">
        <w:rPr>
          <w:rFonts w:hint="cs"/>
          <w:rtl/>
        </w:rPr>
        <w:t>חזק</w:t>
      </w:r>
      <w:r w:rsidRPr="008B4DA1">
        <w:rPr>
          <w:rtl/>
        </w:rPr>
        <w:t xml:space="preserve"> </w:t>
      </w:r>
      <w:r w:rsidRPr="008B4DA1">
        <w:rPr>
          <w:rFonts w:hint="cs"/>
          <w:rtl/>
        </w:rPr>
        <w:t>ונכון</w:t>
      </w:r>
      <w:r w:rsidRPr="008B4DA1">
        <w:rPr>
          <w:rtl/>
        </w:rPr>
        <w:t xml:space="preserve"> </w:t>
      </w:r>
      <w:r w:rsidRPr="008B4DA1">
        <w:rPr>
          <w:rFonts w:hint="cs"/>
          <w:rtl/>
        </w:rPr>
        <w:t>בלבו</w:t>
      </w:r>
      <w:r w:rsidRPr="008B4DA1">
        <w:rPr>
          <w:rtl/>
        </w:rPr>
        <w:t xml:space="preserve"> </w:t>
      </w:r>
      <w:r w:rsidRPr="008B4DA1">
        <w:rPr>
          <w:rFonts w:hint="cs"/>
          <w:rtl/>
        </w:rPr>
        <w:t>סומך</w:t>
      </w:r>
      <w:r w:rsidRPr="008B4DA1">
        <w:rPr>
          <w:rtl/>
        </w:rPr>
        <w:t xml:space="preserve"> </w:t>
      </w:r>
      <w:r w:rsidRPr="008B4DA1">
        <w:rPr>
          <w:rFonts w:hint="cs"/>
          <w:rtl/>
        </w:rPr>
        <w:t>עליו</w:t>
      </w:r>
      <w:r w:rsidRPr="008B4DA1">
        <w:rPr>
          <w:rtl/>
        </w:rPr>
        <w:t xml:space="preserve"> </w:t>
      </w:r>
      <w:r w:rsidRPr="008B4DA1">
        <w:rPr>
          <w:rFonts w:hint="cs"/>
          <w:rtl/>
        </w:rPr>
        <w:t>ודן</w:t>
      </w:r>
      <w:r w:rsidRPr="008B4DA1">
        <w:rPr>
          <w:rtl/>
        </w:rPr>
        <w:t xml:space="preserve">, </w:t>
      </w:r>
      <w:r w:rsidRPr="008B4DA1">
        <w:rPr>
          <w:rFonts w:hint="cs"/>
          <w:rtl/>
        </w:rPr>
        <w:t>ואין</w:t>
      </w:r>
      <w:r w:rsidRPr="008B4DA1">
        <w:rPr>
          <w:rtl/>
        </w:rPr>
        <w:t xml:space="preserve"> </w:t>
      </w:r>
      <w:r w:rsidRPr="008B4DA1">
        <w:rPr>
          <w:rFonts w:hint="cs"/>
          <w:rtl/>
        </w:rPr>
        <w:t>צריך</w:t>
      </w:r>
      <w:r w:rsidRPr="008B4DA1">
        <w:rPr>
          <w:rtl/>
        </w:rPr>
        <w:t xml:space="preserve"> </w:t>
      </w:r>
      <w:r w:rsidRPr="008B4DA1">
        <w:rPr>
          <w:rFonts w:hint="cs"/>
          <w:rtl/>
        </w:rPr>
        <w:t>לומר</w:t>
      </w:r>
      <w:r w:rsidRPr="008B4DA1">
        <w:rPr>
          <w:rtl/>
        </w:rPr>
        <w:t xml:space="preserve"> </w:t>
      </w:r>
      <w:r w:rsidRPr="008B4DA1">
        <w:rPr>
          <w:rFonts w:hint="cs"/>
          <w:rtl/>
        </w:rPr>
        <w:t>אם</w:t>
      </w:r>
      <w:r w:rsidRPr="008B4DA1">
        <w:rPr>
          <w:rtl/>
        </w:rPr>
        <w:t xml:space="preserve"> </w:t>
      </w:r>
      <w:r w:rsidRPr="008B4DA1">
        <w:rPr>
          <w:rFonts w:hint="cs"/>
          <w:rtl/>
        </w:rPr>
        <w:t>ידע</w:t>
      </w:r>
      <w:r w:rsidRPr="008B4DA1">
        <w:rPr>
          <w:rtl/>
        </w:rPr>
        <w:t xml:space="preserve"> </w:t>
      </w:r>
      <w:r w:rsidRPr="008B4DA1">
        <w:rPr>
          <w:rFonts w:hint="cs"/>
          <w:rtl/>
        </w:rPr>
        <w:t>הוא</w:t>
      </w:r>
      <w:r w:rsidRPr="008B4DA1">
        <w:rPr>
          <w:rtl/>
        </w:rPr>
        <w:t xml:space="preserve"> </w:t>
      </w:r>
      <w:r w:rsidRPr="008B4DA1">
        <w:rPr>
          <w:rFonts w:hint="cs"/>
          <w:rtl/>
        </w:rPr>
        <w:t>עצמו</w:t>
      </w:r>
      <w:r w:rsidRPr="008B4DA1">
        <w:rPr>
          <w:rtl/>
        </w:rPr>
        <w:t xml:space="preserve"> </w:t>
      </w:r>
      <w:r w:rsidRPr="008B4DA1">
        <w:rPr>
          <w:rFonts w:hint="cs"/>
          <w:rtl/>
        </w:rPr>
        <w:t>שזה</w:t>
      </w:r>
      <w:r w:rsidRPr="008B4DA1">
        <w:rPr>
          <w:rtl/>
        </w:rPr>
        <w:t xml:space="preserve"> </w:t>
      </w:r>
      <w:r w:rsidRPr="008B4DA1">
        <w:rPr>
          <w:rFonts w:hint="cs"/>
          <w:rtl/>
        </w:rPr>
        <w:t>חשוד"</w:t>
      </w:r>
      <w:r w:rsidRPr="008B4DA1">
        <w:rPr>
          <w:rtl/>
        </w:rPr>
        <w:t>.</w:t>
      </w:r>
      <w:r w:rsidRPr="008B4DA1">
        <w:rPr>
          <w:rFonts w:hint="cs"/>
          <w:rtl/>
        </w:rPr>
        <w:t xml:space="preserve"> והגביל זאת: "כל</w:t>
      </w:r>
      <w:r w:rsidRPr="008B4DA1">
        <w:rPr>
          <w:rtl/>
        </w:rPr>
        <w:t xml:space="preserve"> </w:t>
      </w:r>
      <w:r w:rsidRPr="008B4DA1">
        <w:rPr>
          <w:rFonts w:hint="cs"/>
          <w:rtl/>
        </w:rPr>
        <w:t>אלו</w:t>
      </w:r>
      <w:r w:rsidRPr="008B4DA1">
        <w:rPr>
          <w:rtl/>
        </w:rPr>
        <w:t xml:space="preserve"> </w:t>
      </w:r>
      <w:r w:rsidRPr="008B4DA1">
        <w:rPr>
          <w:rFonts w:hint="cs"/>
          <w:rtl/>
        </w:rPr>
        <w:t>הדברים</w:t>
      </w:r>
      <w:r w:rsidRPr="008B4DA1">
        <w:rPr>
          <w:rtl/>
        </w:rPr>
        <w:t xml:space="preserve"> </w:t>
      </w:r>
      <w:r w:rsidRPr="008B4DA1">
        <w:rPr>
          <w:rFonts w:hint="cs"/>
          <w:rtl/>
        </w:rPr>
        <w:t>הן</w:t>
      </w:r>
      <w:r w:rsidRPr="008B4DA1">
        <w:rPr>
          <w:rtl/>
        </w:rPr>
        <w:t xml:space="preserve"> </w:t>
      </w:r>
      <w:r w:rsidRPr="008B4DA1">
        <w:rPr>
          <w:rFonts w:hint="cs"/>
          <w:rtl/>
        </w:rPr>
        <w:t>עיקר</w:t>
      </w:r>
      <w:r w:rsidRPr="008B4DA1">
        <w:rPr>
          <w:rtl/>
        </w:rPr>
        <w:t xml:space="preserve"> </w:t>
      </w:r>
      <w:r w:rsidRPr="008B4DA1">
        <w:rPr>
          <w:rFonts w:hint="cs"/>
          <w:rtl/>
        </w:rPr>
        <w:t>הדין,</w:t>
      </w:r>
      <w:r w:rsidRPr="008B4DA1">
        <w:rPr>
          <w:rtl/>
        </w:rPr>
        <w:t xml:space="preserve"> </w:t>
      </w:r>
      <w:r w:rsidRPr="008B4DA1">
        <w:rPr>
          <w:rFonts w:hint="cs"/>
          <w:rtl/>
        </w:rPr>
        <w:t>אבל</w:t>
      </w:r>
      <w:r w:rsidRPr="008B4DA1">
        <w:rPr>
          <w:rtl/>
        </w:rPr>
        <w:t xml:space="preserve"> </w:t>
      </w:r>
      <w:r w:rsidRPr="008B4DA1">
        <w:rPr>
          <w:rFonts w:hint="cs"/>
          <w:rtl/>
        </w:rPr>
        <w:t>משרבו</w:t>
      </w:r>
      <w:r w:rsidRPr="008B4DA1">
        <w:rPr>
          <w:rtl/>
        </w:rPr>
        <w:t xml:space="preserve"> </w:t>
      </w:r>
      <w:r w:rsidRPr="008B4DA1">
        <w:rPr>
          <w:rFonts w:hint="cs"/>
          <w:rtl/>
        </w:rPr>
        <w:t>בתי</w:t>
      </w:r>
      <w:r w:rsidRPr="008B4DA1">
        <w:rPr>
          <w:rtl/>
        </w:rPr>
        <w:t xml:space="preserve"> </w:t>
      </w:r>
      <w:r w:rsidRPr="008B4DA1">
        <w:rPr>
          <w:rFonts w:hint="cs"/>
          <w:rtl/>
        </w:rPr>
        <w:t>דינין</w:t>
      </w:r>
      <w:r w:rsidRPr="008B4DA1">
        <w:rPr>
          <w:rtl/>
        </w:rPr>
        <w:t xml:space="preserve"> </w:t>
      </w:r>
      <w:r w:rsidRPr="008B4DA1">
        <w:rPr>
          <w:rFonts w:hint="cs"/>
          <w:rtl/>
        </w:rPr>
        <w:t>שאינן</w:t>
      </w:r>
      <w:r w:rsidRPr="008B4DA1">
        <w:rPr>
          <w:rtl/>
        </w:rPr>
        <w:t xml:space="preserve"> </w:t>
      </w:r>
      <w:r w:rsidRPr="008B4DA1">
        <w:rPr>
          <w:rFonts w:hint="cs"/>
          <w:rtl/>
        </w:rPr>
        <w:t>הגונים</w:t>
      </w:r>
      <w:r w:rsidRPr="008B4DA1">
        <w:rPr>
          <w:rtl/>
        </w:rPr>
        <w:t xml:space="preserve"> </w:t>
      </w:r>
      <w:r w:rsidRPr="008B4DA1">
        <w:rPr>
          <w:rFonts w:hint="cs"/>
          <w:rtl/>
        </w:rPr>
        <w:t>ואפילו</w:t>
      </w:r>
      <w:r w:rsidRPr="008B4DA1">
        <w:rPr>
          <w:rtl/>
        </w:rPr>
        <w:t xml:space="preserve"> </w:t>
      </w:r>
      <w:r w:rsidRPr="008B4DA1">
        <w:rPr>
          <w:rFonts w:hint="cs"/>
          <w:rtl/>
        </w:rPr>
        <w:t>היו</w:t>
      </w:r>
      <w:r w:rsidRPr="008B4DA1">
        <w:rPr>
          <w:rtl/>
        </w:rPr>
        <w:t xml:space="preserve"> </w:t>
      </w:r>
      <w:r w:rsidRPr="008B4DA1">
        <w:rPr>
          <w:rFonts w:hint="cs"/>
          <w:rtl/>
        </w:rPr>
        <w:t>הגונים</w:t>
      </w:r>
      <w:r w:rsidRPr="008B4DA1">
        <w:rPr>
          <w:rtl/>
        </w:rPr>
        <w:t xml:space="preserve"> </w:t>
      </w:r>
      <w:r w:rsidRPr="008B4DA1">
        <w:rPr>
          <w:rFonts w:hint="cs"/>
          <w:rtl/>
        </w:rPr>
        <w:t>במעשיהם,</w:t>
      </w:r>
      <w:r w:rsidRPr="008B4DA1">
        <w:rPr>
          <w:rtl/>
        </w:rPr>
        <w:t xml:space="preserve"> </w:t>
      </w:r>
      <w:r w:rsidRPr="008B4DA1">
        <w:rPr>
          <w:rFonts w:hint="cs"/>
          <w:rtl/>
        </w:rPr>
        <w:t>אינן</w:t>
      </w:r>
      <w:r w:rsidRPr="008B4DA1">
        <w:rPr>
          <w:rtl/>
        </w:rPr>
        <w:t xml:space="preserve"> </w:t>
      </w:r>
      <w:r w:rsidRPr="008B4DA1">
        <w:rPr>
          <w:rFonts w:hint="cs"/>
          <w:rtl/>
        </w:rPr>
        <w:t>חכמים</w:t>
      </w:r>
      <w:r w:rsidRPr="008B4DA1">
        <w:rPr>
          <w:rtl/>
        </w:rPr>
        <w:t xml:space="preserve"> </w:t>
      </w:r>
      <w:r w:rsidRPr="008B4DA1">
        <w:rPr>
          <w:rFonts w:hint="cs"/>
          <w:rtl/>
        </w:rPr>
        <w:t>כראוי</w:t>
      </w:r>
      <w:r w:rsidRPr="008B4DA1">
        <w:rPr>
          <w:rtl/>
        </w:rPr>
        <w:t xml:space="preserve"> </w:t>
      </w:r>
      <w:r w:rsidRPr="008B4DA1">
        <w:rPr>
          <w:rFonts w:hint="cs"/>
          <w:rtl/>
        </w:rPr>
        <w:t>ובעלי</w:t>
      </w:r>
      <w:r w:rsidRPr="008B4DA1">
        <w:rPr>
          <w:rtl/>
        </w:rPr>
        <w:t xml:space="preserve"> </w:t>
      </w:r>
      <w:r w:rsidRPr="008B4DA1">
        <w:rPr>
          <w:rFonts w:hint="cs"/>
          <w:rtl/>
        </w:rPr>
        <w:t>בינה,</w:t>
      </w:r>
      <w:r w:rsidRPr="008B4DA1">
        <w:rPr>
          <w:rtl/>
        </w:rPr>
        <w:t xml:space="preserve"> </w:t>
      </w:r>
      <w:r w:rsidRPr="008B4DA1">
        <w:rPr>
          <w:rFonts w:hint="cs"/>
          <w:b/>
          <w:bCs/>
          <w:rtl/>
        </w:rPr>
        <w:t>הסכימו</w:t>
      </w:r>
      <w:r w:rsidRPr="008B4DA1">
        <w:rPr>
          <w:b/>
          <w:bCs/>
          <w:rtl/>
        </w:rPr>
        <w:t xml:space="preserve"> </w:t>
      </w:r>
      <w:r w:rsidRPr="008B4DA1">
        <w:rPr>
          <w:rFonts w:hint="cs"/>
          <w:b/>
          <w:bCs/>
          <w:rtl/>
        </w:rPr>
        <w:t>רוב</w:t>
      </w:r>
      <w:r w:rsidRPr="008B4DA1">
        <w:rPr>
          <w:b/>
          <w:bCs/>
          <w:rtl/>
        </w:rPr>
        <w:t xml:space="preserve"> </w:t>
      </w:r>
      <w:r w:rsidRPr="008B4DA1">
        <w:rPr>
          <w:rFonts w:hint="cs"/>
          <w:b/>
          <w:bCs/>
          <w:rtl/>
        </w:rPr>
        <w:t>בתי</w:t>
      </w:r>
      <w:r w:rsidRPr="008B4DA1">
        <w:rPr>
          <w:b/>
          <w:bCs/>
          <w:rtl/>
        </w:rPr>
        <w:t xml:space="preserve"> </w:t>
      </w:r>
      <w:r w:rsidRPr="008B4DA1">
        <w:rPr>
          <w:rFonts w:hint="cs"/>
          <w:b/>
          <w:bCs/>
          <w:rtl/>
        </w:rPr>
        <w:t>דיני</w:t>
      </w:r>
      <w:r w:rsidRPr="008B4DA1">
        <w:rPr>
          <w:b/>
          <w:bCs/>
          <w:rtl/>
        </w:rPr>
        <w:t xml:space="preserve"> </w:t>
      </w:r>
      <w:r w:rsidRPr="008B4DA1">
        <w:rPr>
          <w:rFonts w:hint="cs"/>
          <w:b/>
          <w:bCs/>
          <w:rtl/>
        </w:rPr>
        <w:t>ישראל</w:t>
      </w:r>
      <w:r w:rsidRPr="008B4DA1">
        <w:rPr>
          <w:rtl/>
        </w:rPr>
        <w:t xml:space="preserve"> </w:t>
      </w:r>
      <w:r w:rsidRPr="008B4DA1">
        <w:rPr>
          <w:rFonts w:hint="cs"/>
          <w:rtl/>
        </w:rPr>
        <w:t>שלא</w:t>
      </w:r>
      <w:r w:rsidRPr="008B4DA1">
        <w:rPr>
          <w:rtl/>
        </w:rPr>
        <w:t xml:space="preserve"> </w:t>
      </w:r>
      <w:r w:rsidRPr="008B4DA1">
        <w:rPr>
          <w:rFonts w:hint="cs"/>
          <w:rtl/>
        </w:rPr>
        <w:t>יהפכו</w:t>
      </w:r>
      <w:r w:rsidRPr="008B4DA1">
        <w:rPr>
          <w:rtl/>
        </w:rPr>
        <w:t xml:space="preserve"> </w:t>
      </w:r>
      <w:r w:rsidRPr="008B4DA1">
        <w:rPr>
          <w:rFonts w:hint="cs"/>
          <w:rtl/>
        </w:rPr>
        <w:t>שבועה</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rtl/>
        </w:rPr>
        <w:t>ולא</w:t>
      </w:r>
      <w:r w:rsidRPr="008B4DA1">
        <w:rPr>
          <w:rtl/>
        </w:rPr>
        <w:t xml:space="preserve"> </w:t>
      </w:r>
      <w:r w:rsidRPr="008B4DA1">
        <w:rPr>
          <w:rFonts w:hint="cs"/>
          <w:rtl/>
        </w:rPr>
        <w:t>יפגמו</w:t>
      </w:r>
      <w:r w:rsidRPr="008B4DA1">
        <w:rPr>
          <w:rtl/>
        </w:rPr>
        <w:t xml:space="preserve"> </w:t>
      </w:r>
      <w:r w:rsidRPr="008B4DA1">
        <w:rPr>
          <w:rFonts w:hint="cs"/>
          <w:rtl/>
        </w:rPr>
        <w:t>שטר</w:t>
      </w:r>
      <w:r w:rsidRPr="008B4DA1">
        <w:rPr>
          <w:rtl/>
        </w:rPr>
        <w:t xml:space="preserve"> </w:t>
      </w:r>
      <w:r w:rsidRPr="008B4DA1">
        <w:rPr>
          <w:rFonts w:hint="cs"/>
          <w:rtl/>
        </w:rPr>
        <w:t>ויפסידו</w:t>
      </w:r>
      <w:r w:rsidRPr="008B4DA1">
        <w:rPr>
          <w:rtl/>
        </w:rPr>
        <w:t xml:space="preserve"> </w:t>
      </w:r>
      <w:r w:rsidRPr="008B4DA1">
        <w:rPr>
          <w:rFonts w:hint="cs"/>
          <w:rtl/>
        </w:rPr>
        <w:t>חזקתו</w:t>
      </w:r>
      <w:r w:rsidRPr="008B4DA1">
        <w:rPr>
          <w:rtl/>
        </w:rPr>
        <w:t xml:space="preserve"> </w:t>
      </w:r>
      <w:r w:rsidRPr="008B4DA1">
        <w:rPr>
          <w:rFonts w:hint="cs"/>
          <w:rtl/>
        </w:rPr>
        <w:t>בעדות</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פסול,</w:t>
      </w:r>
      <w:r w:rsidRPr="008B4DA1">
        <w:rPr>
          <w:rtl/>
        </w:rPr>
        <w:t xml:space="preserve"> </w:t>
      </w:r>
      <w:r w:rsidRPr="008B4DA1">
        <w:rPr>
          <w:rFonts w:hint="cs"/>
          <w:rtl/>
        </w:rPr>
        <w:t>וכן</w:t>
      </w:r>
      <w:r w:rsidRPr="008B4DA1">
        <w:rPr>
          <w:rtl/>
        </w:rPr>
        <w:t xml:space="preserve"> </w:t>
      </w:r>
      <w:r w:rsidRPr="008B4DA1">
        <w:rPr>
          <w:rFonts w:hint="cs"/>
          <w:rtl/>
        </w:rPr>
        <w:t>בשאר</w:t>
      </w:r>
      <w:r w:rsidRPr="008B4DA1">
        <w:rPr>
          <w:rtl/>
        </w:rPr>
        <w:t xml:space="preserve"> </w:t>
      </w:r>
      <w:r w:rsidRPr="008B4DA1">
        <w:rPr>
          <w:rFonts w:hint="cs"/>
          <w:rtl/>
        </w:rPr>
        <w:t>כל</w:t>
      </w:r>
      <w:r w:rsidRPr="008B4DA1">
        <w:rPr>
          <w:rtl/>
        </w:rPr>
        <w:t xml:space="preserve"> </w:t>
      </w:r>
      <w:r w:rsidRPr="008B4DA1">
        <w:rPr>
          <w:rFonts w:hint="cs"/>
          <w:rtl/>
        </w:rPr>
        <w:t>הדינין,</w:t>
      </w:r>
      <w:r w:rsidRPr="008B4DA1">
        <w:rPr>
          <w:rtl/>
        </w:rPr>
        <w:t xml:space="preserve"> </w:t>
      </w:r>
      <w:r w:rsidRPr="008B4DA1">
        <w:rPr>
          <w:rFonts w:hint="cs"/>
          <w:b/>
          <w:bCs/>
          <w:rtl/>
        </w:rPr>
        <w:t>ולא</w:t>
      </w:r>
      <w:r w:rsidRPr="008B4DA1">
        <w:rPr>
          <w:b/>
          <w:bCs/>
          <w:rtl/>
        </w:rPr>
        <w:t xml:space="preserve"> </w:t>
      </w:r>
      <w:r w:rsidRPr="008B4DA1">
        <w:rPr>
          <w:rFonts w:hint="cs"/>
          <w:b/>
          <w:bCs/>
          <w:rtl/>
        </w:rPr>
        <w:t>ידון</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בסמיכת</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ולא</w:t>
      </w:r>
      <w:r w:rsidRPr="008B4DA1">
        <w:rPr>
          <w:b/>
          <w:bCs/>
          <w:rtl/>
        </w:rPr>
        <w:t xml:space="preserve"> </w:t>
      </w:r>
      <w:r w:rsidRPr="008B4DA1">
        <w:rPr>
          <w:rFonts w:hint="cs"/>
          <w:b/>
          <w:bCs/>
          <w:rtl/>
        </w:rPr>
        <w:t>בידיעתו</w:t>
      </w:r>
      <w:r w:rsidRPr="008B4DA1">
        <w:rPr>
          <w:rFonts w:hint="cs"/>
          <w:rtl/>
        </w:rPr>
        <w:t>,</w:t>
      </w:r>
      <w:r w:rsidRPr="008B4DA1">
        <w:rPr>
          <w:rtl/>
        </w:rPr>
        <w:t xml:space="preserve"> </w:t>
      </w:r>
      <w:r w:rsidRPr="008B4DA1">
        <w:rPr>
          <w:rFonts w:hint="cs"/>
          <w:rtl/>
        </w:rPr>
        <w:t>כדי</w:t>
      </w:r>
      <w:r w:rsidRPr="008B4DA1">
        <w:rPr>
          <w:rtl/>
        </w:rPr>
        <w:t xml:space="preserve"> </w:t>
      </w:r>
      <w:r w:rsidRPr="008B4DA1">
        <w:rPr>
          <w:rFonts w:hint="cs"/>
          <w:rtl/>
        </w:rPr>
        <w:t>שלא</w:t>
      </w:r>
      <w:r w:rsidRPr="008B4DA1">
        <w:rPr>
          <w:rtl/>
        </w:rPr>
        <w:t xml:space="preserve"> </w:t>
      </w:r>
      <w:r w:rsidRPr="008B4DA1">
        <w:rPr>
          <w:rFonts w:hint="cs"/>
          <w:rtl/>
        </w:rPr>
        <w:t>יאמר</w:t>
      </w:r>
      <w:r w:rsidRPr="008B4DA1">
        <w:rPr>
          <w:rtl/>
        </w:rPr>
        <w:t xml:space="preserve"> </w:t>
      </w:r>
      <w:r w:rsidRPr="008B4DA1">
        <w:rPr>
          <w:rFonts w:hint="cs"/>
          <w:rtl/>
        </w:rPr>
        <w:t>כל</w:t>
      </w:r>
      <w:r w:rsidRPr="008B4DA1">
        <w:rPr>
          <w:rtl/>
        </w:rPr>
        <w:t xml:space="preserve"> </w:t>
      </w:r>
      <w:r w:rsidRPr="008B4DA1">
        <w:rPr>
          <w:rFonts w:hint="cs"/>
          <w:rtl/>
        </w:rPr>
        <w:t>הדיוט</w:t>
      </w:r>
      <w:r w:rsidRPr="008B4DA1">
        <w:rPr>
          <w:rtl/>
        </w:rPr>
        <w:t xml:space="preserve"> </w:t>
      </w:r>
      <w:r w:rsidRPr="008B4DA1">
        <w:rPr>
          <w:rFonts w:hint="cs"/>
          <w:rtl/>
        </w:rPr>
        <w:t>לבי</w:t>
      </w:r>
      <w:r w:rsidRPr="008B4DA1">
        <w:rPr>
          <w:rtl/>
        </w:rPr>
        <w:t xml:space="preserve"> </w:t>
      </w:r>
      <w:r w:rsidRPr="008B4DA1">
        <w:rPr>
          <w:rFonts w:hint="cs"/>
          <w:rtl/>
        </w:rPr>
        <w:t>מאמין</w:t>
      </w:r>
      <w:r w:rsidRPr="008B4DA1">
        <w:rPr>
          <w:rtl/>
        </w:rPr>
        <w:t xml:space="preserve"> </w:t>
      </w:r>
      <w:r w:rsidRPr="008B4DA1">
        <w:rPr>
          <w:rFonts w:hint="cs"/>
          <w:rtl/>
        </w:rPr>
        <w:t>לדברי</w:t>
      </w:r>
      <w:r w:rsidRPr="008B4DA1">
        <w:rPr>
          <w:rtl/>
        </w:rPr>
        <w:t xml:space="preserve"> </w:t>
      </w:r>
      <w:r w:rsidRPr="008B4DA1">
        <w:rPr>
          <w:rFonts w:hint="cs"/>
          <w:rtl/>
        </w:rPr>
        <w:t>זה</w:t>
      </w:r>
      <w:r w:rsidRPr="008B4DA1">
        <w:rPr>
          <w:rtl/>
        </w:rPr>
        <w:t xml:space="preserve"> </w:t>
      </w:r>
      <w:r w:rsidRPr="008B4DA1">
        <w:rPr>
          <w:rFonts w:hint="cs"/>
          <w:rtl/>
        </w:rPr>
        <w:t>ודעתי</w:t>
      </w:r>
      <w:r w:rsidRPr="008B4DA1">
        <w:rPr>
          <w:rtl/>
        </w:rPr>
        <w:t xml:space="preserve"> </w:t>
      </w:r>
      <w:r w:rsidRPr="008B4DA1">
        <w:rPr>
          <w:rFonts w:hint="cs"/>
          <w:rtl/>
        </w:rPr>
        <w:t>סומכת</w:t>
      </w:r>
      <w:r w:rsidRPr="008B4DA1">
        <w:rPr>
          <w:rtl/>
        </w:rPr>
        <w:t xml:space="preserve"> </w:t>
      </w:r>
      <w:r w:rsidRPr="008B4DA1">
        <w:rPr>
          <w:rFonts w:hint="cs"/>
          <w:rtl/>
        </w:rPr>
        <w:t>על</w:t>
      </w:r>
      <w:r w:rsidRPr="008B4DA1">
        <w:rPr>
          <w:rtl/>
        </w:rPr>
        <w:t xml:space="preserve"> </w:t>
      </w:r>
      <w:r w:rsidRPr="008B4DA1">
        <w:rPr>
          <w:rFonts w:hint="cs"/>
          <w:rtl/>
        </w:rPr>
        <w:t xml:space="preserve">זה". </w:t>
      </w:r>
    </w:p>
    <w:p w14:paraId="124AACCA" w14:textId="77777777" w:rsidR="00644C97" w:rsidRPr="008B4DA1" w:rsidRDefault="00644C97" w:rsidP="00F8255E">
      <w:pPr>
        <w:pStyle w:val="a2"/>
        <w:rPr>
          <w:b/>
          <w:bCs/>
          <w:rtl/>
        </w:rPr>
      </w:pPr>
      <w:r w:rsidRPr="008B4DA1">
        <w:rPr>
          <w:rFonts w:hint="cs"/>
          <w:rtl/>
        </w:rPr>
        <w:t>ודבריו נפסקו להלכה בשו"ע (חו"מ סי' טו סע' ה) "יש</w:t>
      </w:r>
      <w:r w:rsidRPr="008B4DA1">
        <w:rPr>
          <w:rtl/>
        </w:rPr>
        <w:t xml:space="preserve"> </w:t>
      </w:r>
      <w:r w:rsidRPr="008B4DA1">
        <w:rPr>
          <w:rFonts w:hint="cs"/>
          <w:rtl/>
        </w:rPr>
        <w:t>לדיין</w:t>
      </w:r>
      <w:r w:rsidRPr="008B4DA1">
        <w:rPr>
          <w:rtl/>
        </w:rPr>
        <w:t xml:space="preserve"> </w:t>
      </w:r>
      <w:r w:rsidRPr="008B4DA1">
        <w:rPr>
          <w:rFonts w:hint="cs"/>
          <w:rtl/>
        </w:rPr>
        <w:t>לדון</w:t>
      </w:r>
      <w:r w:rsidRPr="008B4DA1">
        <w:rPr>
          <w:rtl/>
        </w:rPr>
        <w:t xml:space="preserve"> </w:t>
      </w:r>
      <w:r w:rsidRPr="008B4DA1">
        <w:rPr>
          <w:rFonts w:hint="cs"/>
          <w:rtl/>
        </w:rPr>
        <w:t>דיני</w:t>
      </w:r>
      <w:r w:rsidRPr="008B4DA1">
        <w:rPr>
          <w:rtl/>
        </w:rPr>
        <w:t xml:space="preserve"> </w:t>
      </w:r>
      <w:r w:rsidRPr="008B4DA1">
        <w:rPr>
          <w:rFonts w:hint="cs"/>
          <w:rtl/>
        </w:rPr>
        <w:t>ממונות</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הדברים</w:t>
      </w:r>
      <w:r w:rsidRPr="008B4DA1">
        <w:rPr>
          <w:rtl/>
        </w:rPr>
        <w:t xml:space="preserve"> </w:t>
      </w:r>
      <w:r w:rsidRPr="008B4DA1">
        <w:rPr>
          <w:rFonts w:hint="cs"/>
          <w:rtl/>
        </w:rPr>
        <w:t>שדעתו</w:t>
      </w:r>
      <w:r w:rsidRPr="008B4DA1">
        <w:rPr>
          <w:rtl/>
        </w:rPr>
        <w:t xml:space="preserve"> </w:t>
      </w:r>
      <w:r w:rsidRPr="008B4DA1">
        <w:rPr>
          <w:rFonts w:hint="cs"/>
          <w:rtl/>
        </w:rPr>
        <w:t>נוטה</w:t>
      </w:r>
      <w:r w:rsidRPr="008B4DA1">
        <w:rPr>
          <w:rtl/>
        </w:rPr>
        <w:t xml:space="preserve"> </w:t>
      </w:r>
      <w:r w:rsidRPr="008B4DA1">
        <w:rPr>
          <w:rFonts w:hint="cs"/>
          <w:rtl/>
        </w:rPr>
        <w:t>להם</w:t>
      </w:r>
      <w:r w:rsidRPr="008B4DA1">
        <w:rPr>
          <w:rtl/>
        </w:rPr>
        <w:t xml:space="preserve"> </w:t>
      </w:r>
      <w:r w:rsidRPr="008B4DA1">
        <w:rPr>
          <w:rFonts w:hint="cs"/>
          <w:rtl/>
        </w:rPr>
        <w:t>שהם</w:t>
      </w:r>
      <w:r w:rsidRPr="008B4DA1">
        <w:rPr>
          <w:rtl/>
        </w:rPr>
        <w:t xml:space="preserve"> </w:t>
      </w:r>
      <w:r w:rsidRPr="008B4DA1">
        <w:rPr>
          <w:rFonts w:hint="cs"/>
          <w:rtl/>
        </w:rPr>
        <w:t>אמת</w:t>
      </w:r>
      <w:r w:rsidRPr="008B4DA1">
        <w:rPr>
          <w:rtl/>
        </w:rPr>
        <w:t xml:space="preserve"> </w:t>
      </w:r>
      <w:r w:rsidRPr="008B4DA1">
        <w:rPr>
          <w:rFonts w:hint="cs"/>
          <w:rtl/>
        </w:rPr>
        <w:t>והדבר</w:t>
      </w:r>
      <w:r w:rsidRPr="008B4DA1">
        <w:rPr>
          <w:rtl/>
        </w:rPr>
        <w:t xml:space="preserve"> </w:t>
      </w:r>
      <w:r w:rsidRPr="008B4DA1">
        <w:rPr>
          <w:rFonts w:hint="cs"/>
          <w:rtl/>
        </w:rPr>
        <w:t>חזק</w:t>
      </w:r>
      <w:r w:rsidRPr="008B4DA1">
        <w:rPr>
          <w:rtl/>
        </w:rPr>
        <w:t xml:space="preserve"> </w:t>
      </w:r>
      <w:r w:rsidRPr="008B4DA1">
        <w:rPr>
          <w:rFonts w:hint="cs"/>
          <w:rtl/>
        </w:rPr>
        <w:t>בלבו</w:t>
      </w:r>
      <w:r w:rsidRPr="008B4DA1">
        <w:rPr>
          <w:rtl/>
        </w:rPr>
        <w:t xml:space="preserve"> </w:t>
      </w:r>
      <w:r w:rsidRPr="008B4DA1">
        <w:rPr>
          <w:rFonts w:hint="cs"/>
          <w:rtl/>
        </w:rPr>
        <w:t>שהוא</w:t>
      </w:r>
      <w:r w:rsidRPr="008B4DA1">
        <w:rPr>
          <w:rtl/>
        </w:rPr>
        <w:t xml:space="preserve"> </w:t>
      </w:r>
      <w:r w:rsidRPr="008B4DA1">
        <w:rPr>
          <w:rFonts w:hint="cs"/>
          <w:rtl/>
        </w:rPr>
        <w:t>כך,</w:t>
      </w:r>
      <w:r w:rsidRPr="008B4DA1">
        <w:rPr>
          <w:rtl/>
        </w:rPr>
        <w:t xml:space="preserve"> </w:t>
      </w:r>
      <w:r w:rsidRPr="008B4DA1">
        <w:rPr>
          <w:rFonts w:hint="cs"/>
          <w:rtl/>
        </w:rPr>
        <w:t>אע</w:t>
      </w:r>
      <w:r w:rsidRPr="008B4DA1">
        <w:rPr>
          <w:rtl/>
        </w:rPr>
        <w:t>"</w:t>
      </w:r>
      <w:r w:rsidRPr="008B4DA1">
        <w:rPr>
          <w:rFonts w:hint="cs"/>
          <w:rtl/>
        </w:rPr>
        <w:t>פ</w:t>
      </w:r>
      <w:r w:rsidRPr="008B4DA1">
        <w:rPr>
          <w:rtl/>
        </w:rPr>
        <w:t xml:space="preserve"> </w:t>
      </w:r>
      <w:r w:rsidRPr="008B4DA1">
        <w:rPr>
          <w:rFonts w:hint="cs"/>
          <w:rtl/>
        </w:rPr>
        <w:t>שאין</w:t>
      </w:r>
      <w:r w:rsidRPr="008B4DA1">
        <w:rPr>
          <w:rtl/>
        </w:rPr>
        <w:t xml:space="preserve"> </w:t>
      </w:r>
      <w:r w:rsidRPr="008B4DA1">
        <w:rPr>
          <w:rFonts w:hint="cs"/>
          <w:rtl/>
        </w:rPr>
        <w:t>שם</w:t>
      </w:r>
      <w:r w:rsidRPr="008B4DA1">
        <w:rPr>
          <w:rtl/>
        </w:rPr>
        <w:t xml:space="preserve"> </w:t>
      </w:r>
      <w:r w:rsidRPr="008B4DA1">
        <w:rPr>
          <w:rFonts w:hint="cs"/>
          <w:rtl/>
        </w:rPr>
        <w:t>ראיה</w:t>
      </w:r>
      <w:r w:rsidRPr="008B4DA1">
        <w:rPr>
          <w:rtl/>
        </w:rPr>
        <w:t xml:space="preserve"> </w:t>
      </w:r>
      <w:r w:rsidRPr="008B4DA1">
        <w:rPr>
          <w:rFonts w:hint="cs"/>
          <w:rtl/>
        </w:rPr>
        <w:t>ברורה.</w:t>
      </w:r>
      <w:r w:rsidRPr="008B4DA1">
        <w:rPr>
          <w:rtl/>
        </w:rPr>
        <w:t xml:space="preserve"> </w:t>
      </w:r>
      <w:r w:rsidRPr="008B4DA1">
        <w:rPr>
          <w:rFonts w:hint="cs"/>
          <w:rtl/>
        </w:rPr>
        <w:t>ומשרבו</w:t>
      </w:r>
      <w:r w:rsidRPr="008B4DA1">
        <w:rPr>
          <w:rtl/>
        </w:rPr>
        <w:t xml:space="preserve"> </w:t>
      </w:r>
      <w:r w:rsidRPr="008B4DA1">
        <w:rPr>
          <w:rFonts w:hint="cs"/>
          <w:rtl/>
        </w:rPr>
        <w:t>בתי</w:t>
      </w:r>
      <w:r w:rsidRPr="008B4DA1">
        <w:rPr>
          <w:rtl/>
        </w:rPr>
        <w:t xml:space="preserve"> </w:t>
      </w:r>
      <w:r w:rsidRPr="008B4DA1">
        <w:rPr>
          <w:rFonts w:hint="cs"/>
          <w:rtl/>
        </w:rPr>
        <w:t>דינים</w:t>
      </w:r>
      <w:r w:rsidRPr="008B4DA1">
        <w:rPr>
          <w:rtl/>
        </w:rPr>
        <w:t xml:space="preserve"> </w:t>
      </w:r>
      <w:r w:rsidRPr="008B4DA1">
        <w:rPr>
          <w:rFonts w:hint="cs"/>
          <w:rtl/>
        </w:rPr>
        <w:t>שאינם</w:t>
      </w:r>
      <w:r w:rsidRPr="008B4DA1">
        <w:rPr>
          <w:rtl/>
        </w:rPr>
        <w:t xml:space="preserve"> </w:t>
      </w:r>
      <w:r w:rsidRPr="008B4DA1">
        <w:rPr>
          <w:rFonts w:hint="cs"/>
          <w:rtl/>
        </w:rPr>
        <w:t>הגונים</w:t>
      </w:r>
      <w:r w:rsidRPr="008B4DA1">
        <w:rPr>
          <w:rtl/>
        </w:rPr>
        <w:t xml:space="preserve"> </w:t>
      </w:r>
      <w:r w:rsidRPr="008B4DA1">
        <w:rPr>
          <w:rFonts w:hint="cs"/>
          <w:rtl/>
        </w:rPr>
        <w:t>ובעלי</w:t>
      </w:r>
      <w:r w:rsidRPr="008B4DA1">
        <w:rPr>
          <w:rtl/>
        </w:rPr>
        <w:t xml:space="preserve"> </w:t>
      </w:r>
      <w:r w:rsidRPr="008B4DA1">
        <w:rPr>
          <w:rFonts w:hint="cs"/>
          <w:rtl/>
        </w:rPr>
        <w:t>בינה</w:t>
      </w:r>
      <w:r w:rsidRPr="008B4DA1">
        <w:rPr>
          <w:rtl/>
        </w:rPr>
        <w:t xml:space="preserve"> </w:t>
      </w:r>
      <w:r w:rsidRPr="008B4DA1">
        <w:rPr>
          <w:rFonts w:hint="cs"/>
          <w:rtl/>
        </w:rPr>
        <w:t>הסכימו</w:t>
      </w:r>
      <w:r w:rsidRPr="008B4DA1">
        <w:rPr>
          <w:rtl/>
        </w:rPr>
        <w:t xml:space="preserve"> </w:t>
      </w:r>
      <w:r w:rsidRPr="008B4DA1">
        <w:rPr>
          <w:rFonts w:hint="cs"/>
          <w:rtl/>
        </w:rPr>
        <w:t>שלא</w:t>
      </w:r>
      <w:r w:rsidRPr="008B4DA1">
        <w:rPr>
          <w:rtl/>
        </w:rPr>
        <w:t xml:space="preserve"> </w:t>
      </w:r>
      <w:r w:rsidRPr="008B4DA1">
        <w:rPr>
          <w:rFonts w:hint="cs"/>
          <w:rtl/>
        </w:rPr>
        <w:t>יהפכו</w:t>
      </w:r>
      <w:r w:rsidRPr="008B4DA1">
        <w:rPr>
          <w:rtl/>
        </w:rPr>
        <w:t xml:space="preserve"> </w:t>
      </w:r>
      <w:r w:rsidRPr="008B4DA1">
        <w:rPr>
          <w:rFonts w:hint="cs"/>
          <w:rtl/>
        </w:rPr>
        <w:t>שבועה</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rtl/>
        </w:rPr>
        <w:t>ולא</w:t>
      </w:r>
      <w:r w:rsidRPr="008B4DA1">
        <w:rPr>
          <w:rtl/>
        </w:rPr>
        <w:t xml:space="preserve"> </w:t>
      </w:r>
      <w:r w:rsidRPr="008B4DA1">
        <w:rPr>
          <w:rFonts w:hint="cs"/>
          <w:rtl/>
        </w:rPr>
        <w:t>יפגמו</w:t>
      </w:r>
      <w:r w:rsidRPr="008B4DA1">
        <w:rPr>
          <w:rtl/>
        </w:rPr>
        <w:t xml:space="preserve"> </w:t>
      </w:r>
      <w:r w:rsidRPr="008B4DA1">
        <w:rPr>
          <w:rFonts w:hint="cs"/>
          <w:rtl/>
        </w:rPr>
        <w:t>שטר</w:t>
      </w:r>
      <w:r w:rsidRPr="008B4DA1">
        <w:rPr>
          <w:rtl/>
        </w:rPr>
        <w:t xml:space="preserve"> </w:t>
      </w:r>
      <w:r w:rsidRPr="008B4DA1">
        <w:rPr>
          <w:rFonts w:hint="cs"/>
          <w:rtl/>
        </w:rPr>
        <w:t>ויפסידו</w:t>
      </w:r>
      <w:r w:rsidRPr="008B4DA1">
        <w:rPr>
          <w:rtl/>
        </w:rPr>
        <w:t xml:space="preserve"> </w:t>
      </w:r>
      <w:r w:rsidRPr="008B4DA1">
        <w:rPr>
          <w:rFonts w:hint="cs"/>
          <w:rtl/>
        </w:rPr>
        <w:t>חזקתו</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עדות</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קרוב,</w:t>
      </w:r>
      <w:r w:rsidRPr="008B4DA1">
        <w:rPr>
          <w:rtl/>
        </w:rPr>
        <w:t xml:space="preserve"> </w:t>
      </w:r>
      <w:r w:rsidRPr="008B4DA1">
        <w:rPr>
          <w:rFonts w:hint="cs"/>
          <w:rtl/>
        </w:rPr>
        <w:t>אע</w:t>
      </w:r>
      <w:r w:rsidRPr="008B4DA1">
        <w:rPr>
          <w:rtl/>
        </w:rPr>
        <w:t>"</w:t>
      </w:r>
      <w:r w:rsidRPr="008B4DA1">
        <w:rPr>
          <w:rFonts w:hint="cs"/>
          <w:rtl/>
        </w:rPr>
        <w:t>פ</w:t>
      </w:r>
      <w:r w:rsidRPr="008B4DA1">
        <w:rPr>
          <w:rtl/>
        </w:rPr>
        <w:t xml:space="preserve"> </w:t>
      </w:r>
      <w:r w:rsidRPr="008B4DA1">
        <w:rPr>
          <w:rFonts w:hint="cs"/>
          <w:rtl/>
        </w:rPr>
        <w:t>שדעתו</w:t>
      </w:r>
      <w:r w:rsidRPr="008B4DA1">
        <w:rPr>
          <w:rtl/>
        </w:rPr>
        <w:t xml:space="preserve"> </w:t>
      </w:r>
      <w:r w:rsidRPr="008B4DA1">
        <w:rPr>
          <w:rFonts w:hint="cs"/>
          <w:rtl/>
        </w:rPr>
        <w:t>סומכת</w:t>
      </w:r>
      <w:r w:rsidRPr="008B4DA1">
        <w:rPr>
          <w:rtl/>
        </w:rPr>
        <w:t xml:space="preserve"> </w:t>
      </w:r>
      <w:r w:rsidRPr="008B4DA1">
        <w:rPr>
          <w:rFonts w:hint="cs"/>
          <w:rtl/>
        </w:rPr>
        <w:t>על</w:t>
      </w:r>
      <w:r w:rsidRPr="008B4DA1">
        <w:rPr>
          <w:rtl/>
        </w:rPr>
        <w:t xml:space="preserve"> </w:t>
      </w:r>
      <w:r w:rsidRPr="008B4DA1">
        <w:rPr>
          <w:rFonts w:hint="cs"/>
          <w:rtl/>
        </w:rPr>
        <w:t>דבריהם.</w:t>
      </w:r>
      <w:r w:rsidRPr="008B4DA1">
        <w:rPr>
          <w:rtl/>
        </w:rPr>
        <w:t xml:space="preserve"> </w:t>
      </w:r>
      <w:r w:rsidRPr="008B4DA1">
        <w:rPr>
          <w:rFonts w:hint="cs"/>
          <w:rtl/>
        </w:rPr>
        <w:t>וכן</w:t>
      </w:r>
      <w:r w:rsidRPr="008B4DA1">
        <w:rPr>
          <w:rtl/>
        </w:rPr>
        <w:t xml:space="preserve"> </w:t>
      </w:r>
      <w:r w:rsidRPr="008B4DA1">
        <w:rPr>
          <w:rFonts w:hint="cs"/>
          <w:rtl/>
        </w:rPr>
        <w:t>אין</w:t>
      </w:r>
      <w:r w:rsidRPr="008B4DA1">
        <w:rPr>
          <w:rtl/>
        </w:rPr>
        <w:t xml:space="preserve"> </w:t>
      </w:r>
      <w:r w:rsidRPr="008B4DA1">
        <w:rPr>
          <w:rFonts w:hint="cs"/>
          <w:rtl/>
        </w:rPr>
        <w:t>מוציאים</w:t>
      </w:r>
      <w:r w:rsidRPr="008B4DA1">
        <w:rPr>
          <w:rtl/>
        </w:rPr>
        <w:t xml:space="preserve"> </w:t>
      </w:r>
      <w:r w:rsidRPr="008B4DA1">
        <w:rPr>
          <w:rFonts w:hint="cs"/>
          <w:rtl/>
        </w:rPr>
        <w:t>מהיתומים</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b/>
          <w:bCs/>
          <w:rtl/>
        </w:rPr>
        <w:t>לא</w:t>
      </w:r>
      <w:r w:rsidRPr="008B4DA1">
        <w:rPr>
          <w:b/>
          <w:bCs/>
          <w:rtl/>
        </w:rPr>
        <w:t xml:space="preserve"> </w:t>
      </w:r>
      <w:r w:rsidRPr="008B4DA1">
        <w:rPr>
          <w:rFonts w:hint="cs"/>
          <w:b/>
          <w:bCs/>
          <w:rtl/>
        </w:rPr>
        <w:t>בדעת</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ולא</w:t>
      </w:r>
      <w:r w:rsidRPr="008B4DA1">
        <w:rPr>
          <w:b/>
          <w:bCs/>
          <w:rtl/>
        </w:rPr>
        <w:t xml:space="preserve"> </w:t>
      </w:r>
      <w:r w:rsidRPr="008B4DA1">
        <w:rPr>
          <w:rFonts w:hint="cs"/>
          <w:b/>
          <w:bCs/>
          <w:rtl/>
        </w:rPr>
        <w:t>באומדן</w:t>
      </w:r>
      <w:r w:rsidRPr="008B4DA1">
        <w:rPr>
          <w:b/>
          <w:bCs/>
          <w:rtl/>
        </w:rPr>
        <w:t xml:space="preserve"> </w:t>
      </w:r>
      <w:r w:rsidRPr="008B4DA1">
        <w:rPr>
          <w:rFonts w:hint="cs"/>
          <w:b/>
          <w:bCs/>
          <w:rtl/>
        </w:rPr>
        <w:t>המת</w:t>
      </w:r>
      <w:r w:rsidRPr="008B4DA1">
        <w:rPr>
          <w:b/>
          <w:bCs/>
          <w:rtl/>
        </w:rPr>
        <w:t xml:space="preserve"> </w:t>
      </w:r>
      <w:r w:rsidRPr="008B4DA1">
        <w:rPr>
          <w:rFonts w:hint="cs"/>
          <w:b/>
          <w:bCs/>
          <w:rtl/>
        </w:rPr>
        <w:t>או</w:t>
      </w:r>
      <w:r w:rsidRPr="008B4DA1">
        <w:rPr>
          <w:b/>
          <w:bCs/>
          <w:rtl/>
        </w:rPr>
        <w:t xml:space="preserve"> </w:t>
      </w:r>
      <w:r w:rsidRPr="008B4DA1">
        <w:rPr>
          <w:rFonts w:hint="cs"/>
          <w:b/>
          <w:bCs/>
          <w:rtl/>
        </w:rPr>
        <w:t>הטוען</w:t>
      </w:r>
      <w:r w:rsidRPr="008B4DA1">
        <w:rPr>
          <w:rFonts w:hint="cs"/>
          <w:rtl/>
        </w:rPr>
        <w:t>".</w:t>
      </w:r>
      <w:r w:rsidRPr="008B4DA1">
        <w:rPr>
          <w:rtl/>
        </w:rPr>
        <w:t xml:space="preserve"> </w:t>
      </w:r>
      <w:r w:rsidRPr="008B4DA1">
        <w:rPr>
          <w:rFonts w:hint="cs"/>
          <w:rtl/>
        </w:rPr>
        <w:t xml:space="preserve">ומבואר בדבריהם כי </w:t>
      </w:r>
      <w:r w:rsidRPr="008B4DA1">
        <w:rPr>
          <w:rFonts w:hint="cs"/>
          <w:b/>
          <w:bCs/>
          <w:rtl/>
        </w:rPr>
        <w:t xml:space="preserve">בזמן הזה אין לדון על </w:t>
      </w:r>
      <w:r w:rsidRPr="008B4DA1">
        <w:rPr>
          <w:rFonts w:hint="cs"/>
          <w:b/>
          <w:bCs/>
          <w:rtl/>
        </w:rPr>
        <w:lastRenderedPageBreak/>
        <w:t>פי "אומדנא".</w:t>
      </w:r>
    </w:p>
    <w:p w14:paraId="2E3C5651" w14:textId="209854B2" w:rsidR="00644C97" w:rsidRPr="00C86C49" w:rsidRDefault="00644C97" w:rsidP="00930EC7">
      <w:pPr>
        <w:pStyle w:val="a2"/>
        <w:rPr>
          <w:rtl/>
        </w:rPr>
      </w:pPr>
      <w:r w:rsidRPr="008B4DA1">
        <w:rPr>
          <w:rFonts w:hint="cs"/>
          <w:rtl/>
        </w:rPr>
        <w:t>אולם בהמשך דבריו פסק מרן השו"ע: "ואעפ</w:t>
      </w:r>
      <w:r w:rsidRPr="008B4DA1">
        <w:rPr>
          <w:rtl/>
        </w:rPr>
        <w:t>"</w:t>
      </w:r>
      <w:r w:rsidRPr="008B4DA1">
        <w:rPr>
          <w:rFonts w:hint="cs"/>
          <w:rtl/>
        </w:rPr>
        <w:t>כ</w:t>
      </w:r>
      <w:r w:rsidRPr="008B4DA1">
        <w:rPr>
          <w:rtl/>
        </w:rPr>
        <w:t xml:space="preserve"> </w:t>
      </w:r>
      <w:r w:rsidRPr="008B4DA1">
        <w:rPr>
          <w:rFonts w:hint="cs"/>
          <w:rtl/>
        </w:rPr>
        <w:t>אם</w:t>
      </w:r>
      <w:r w:rsidRPr="008B4DA1">
        <w:rPr>
          <w:rtl/>
        </w:rPr>
        <w:t xml:space="preserve"> </w:t>
      </w:r>
      <w:r w:rsidRPr="008B4DA1">
        <w:rPr>
          <w:rFonts w:hint="cs"/>
          <w:rtl/>
        </w:rPr>
        <w:t>העיד</w:t>
      </w:r>
      <w:r w:rsidRPr="008B4DA1">
        <w:rPr>
          <w:rtl/>
        </w:rPr>
        <w:t xml:space="preserve"> </w:t>
      </w:r>
      <w:r w:rsidRPr="008B4DA1">
        <w:rPr>
          <w:rFonts w:hint="cs"/>
          <w:rtl/>
        </w:rPr>
        <w:t>אדם</w:t>
      </w:r>
      <w:r w:rsidRPr="008B4DA1">
        <w:rPr>
          <w:rtl/>
        </w:rPr>
        <w:t xml:space="preserve"> </w:t>
      </w:r>
      <w:r w:rsidRPr="008B4DA1">
        <w:rPr>
          <w:rFonts w:hint="cs"/>
          <w:rtl/>
        </w:rPr>
        <w:t>נאמן</w:t>
      </w:r>
      <w:r w:rsidRPr="008B4DA1">
        <w:rPr>
          <w:rtl/>
        </w:rPr>
        <w:t xml:space="preserve"> </w:t>
      </w:r>
      <w:r w:rsidRPr="008B4DA1">
        <w:rPr>
          <w:rFonts w:hint="cs"/>
          <w:rtl/>
        </w:rPr>
        <w:t>בדבר</w:t>
      </w:r>
      <w:r w:rsidRPr="008B4DA1">
        <w:rPr>
          <w:rtl/>
        </w:rPr>
        <w:t xml:space="preserve"> </w:t>
      </w:r>
      <w:r w:rsidRPr="008B4DA1">
        <w:rPr>
          <w:rFonts w:hint="cs"/>
          <w:rtl/>
        </w:rPr>
        <w:t>מכל</w:t>
      </w:r>
      <w:r w:rsidRPr="008B4DA1">
        <w:rPr>
          <w:rtl/>
        </w:rPr>
        <w:t xml:space="preserve"> </w:t>
      </w:r>
      <w:r w:rsidRPr="008B4DA1">
        <w:rPr>
          <w:rFonts w:hint="cs"/>
          <w:rtl/>
        </w:rPr>
        <w:t>הדברים,</w:t>
      </w:r>
      <w:r w:rsidRPr="008B4DA1">
        <w:rPr>
          <w:rtl/>
        </w:rPr>
        <w:t xml:space="preserve"> </w:t>
      </w:r>
      <w:r w:rsidRPr="008B4DA1">
        <w:rPr>
          <w:rFonts w:hint="cs"/>
          <w:rtl/>
        </w:rPr>
        <w:t>ונטתה</w:t>
      </w:r>
      <w:r w:rsidRPr="008B4DA1">
        <w:rPr>
          <w:rtl/>
        </w:rPr>
        <w:t xml:space="preserve"> </w:t>
      </w:r>
      <w:r w:rsidRPr="008B4DA1">
        <w:rPr>
          <w:rFonts w:hint="cs"/>
          <w:rtl/>
        </w:rPr>
        <w:t>דעת</w:t>
      </w:r>
      <w:r w:rsidRPr="008B4DA1">
        <w:rPr>
          <w:rtl/>
        </w:rPr>
        <w:t xml:space="preserve"> </w:t>
      </w:r>
      <w:r w:rsidRPr="008B4DA1">
        <w:rPr>
          <w:rFonts w:hint="cs"/>
          <w:rtl/>
        </w:rPr>
        <w:t>הדיין</w:t>
      </w:r>
      <w:r w:rsidRPr="008B4DA1">
        <w:rPr>
          <w:rtl/>
        </w:rPr>
        <w:t xml:space="preserve"> </w:t>
      </w:r>
      <w:r w:rsidRPr="008B4DA1">
        <w:rPr>
          <w:rFonts w:hint="cs"/>
          <w:rtl/>
        </w:rPr>
        <w:t>שאמת</w:t>
      </w:r>
      <w:r w:rsidRPr="008B4DA1">
        <w:rPr>
          <w:rtl/>
        </w:rPr>
        <w:t xml:space="preserve"> </w:t>
      </w:r>
      <w:r w:rsidRPr="008B4DA1">
        <w:rPr>
          <w:rFonts w:hint="cs"/>
          <w:rtl/>
        </w:rPr>
        <w:t>הוא</w:t>
      </w:r>
      <w:r w:rsidRPr="008B4DA1">
        <w:rPr>
          <w:rtl/>
        </w:rPr>
        <w:t xml:space="preserve"> </w:t>
      </w:r>
      <w:r w:rsidRPr="008B4DA1">
        <w:rPr>
          <w:rFonts w:hint="cs"/>
          <w:rtl/>
        </w:rPr>
        <w:t>אומר,</w:t>
      </w:r>
      <w:r w:rsidRPr="008B4DA1">
        <w:rPr>
          <w:rtl/>
        </w:rPr>
        <w:t xml:space="preserve"> </w:t>
      </w:r>
      <w:r w:rsidRPr="008B4DA1">
        <w:rPr>
          <w:rFonts w:hint="cs"/>
          <w:rtl/>
        </w:rPr>
        <w:t>ממתין</w:t>
      </w:r>
      <w:r w:rsidRPr="008B4DA1">
        <w:rPr>
          <w:rtl/>
        </w:rPr>
        <w:t xml:space="preserve"> </w:t>
      </w:r>
      <w:r w:rsidRPr="008B4DA1">
        <w:rPr>
          <w:rFonts w:hint="cs"/>
          <w:rtl/>
        </w:rPr>
        <w:t>בדין</w:t>
      </w:r>
      <w:r w:rsidRPr="008B4DA1">
        <w:rPr>
          <w:rtl/>
        </w:rPr>
        <w:t xml:space="preserve"> </w:t>
      </w:r>
      <w:r w:rsidRPr="008B4DA1">
        <w:rPr>
          <w:rFonts w:hint="cs"/>
          <w:rtl/>
        </w:rPr>
        <w:t>ואינו</w:t>
      </w:r>
      <w:r w:rsidRPr="008B4DA1">
        <w:rPr>
          <w:rtl/>
        </w:rPr>
        <w:t xml:space="preserve"> </w:t>
      </w:r>
      <w:r w:rsidRPr="008B4DA1">
        <w:rPr>
          <w:rFonts w:hint="cs"/>
          <w:rtl/>
        </w:rPr>
        <w:t>דוחה</w:t>
      </w:r>
      <w:r w:rsidRPr="008B4DA1">
        <w:rPr>
          <w:rtl/>
        </w:rPr>
        <w:t xml:space="preserve"> </w:t>
      </w:r>
      <w:r w:rsidRPr="008B4DA1">
        <w:rPr>
          <w:rFonts w:hint="cs"/>
          <w:rtl/>
        </w:rPr>
        <w:t>עדותו</w:t>
      </w:r>
      <w:r w:rsidRPr="008B4DA1">
        <w:rPr>
          <w:rtl/>
        </w:rPr>
        <w:t xml:space="preserve"> </w:t>
      </w:r>
      <w:r w:rsidRPr="008B4DA1">
        <w:rPr>
          <w:rFonts w:hint="cs"/>
          <w:rtl/>
        </w:rPr>
        <w:t>ונושא</w:t>
      </w:r>
      <w:r w:rsidRPr="008B4DA1">
        <w:rPr>
          <w:rtl/>
        </w:rPr>
        <w:t xml:space="preserve"> </w:t>
      </w:r>
      <w:r w:rsidRPr="008B4DA1">
        <w:rPr>
          <w:rFonts w:hint="cs"/>
          <w:rtl/>
        </w:rPr>
        <w:t>ונותן</w:t>
      </w:r>
      <w:r w:rsidRPr="008B4DA1">
        <w:rPr>
          <w:rtl/>
        </w:rPr>
        <w:t xml:space="preserve"> </w:t>
      </w:r>
      <w:r w:rsidRPr="008B4DA1">
        <w:rPr>
          <w:rFonts w:hint="cs"/>
          <w:rtl/>
        </w:rPr>
        <w:t>עם</w:t>
      </w:r>
      <w:r w:rsidRPr="008B4DA1">
        <w:rPr>
          <w:rtl/>
        </w:rPr>
        <w:t xml:space="preserve"> </w:t>
      </w:r>
      <w:r w:rsidRPr="008B4DA1">
        <w:rPr>
          <w:rFonts w:hint="cs"/>
          <w:rtl/>
        </w:rPr>
        <w:t>בעלי</w:t>
      </w:r>
      <w:r w:rsidRPr="008B4DA1">
        <w:rPr>
          <w:rtl/>
        </w:rPr>
        <w:t xml:space="preserve"> </w:t>
      </w:r>
      <w:r w:rsidRPr="008B4DA1">
        <w:rPr>
          <w:rFonts w:hint="cs"/>
          <w:rtl/>
        </w:rPr>
        <w:t>דינים</w:t>
      </w:r>
      <w:r w:rsidRPr="008B4DA1">
        <w:rPr>
          <w:rtl/>
        </w:rPr>
        <w:t xml:space="preserve"> </w:t>
      </w:r>
      <w:r w:rsidRPr="008B4DA1">
        <w:rPr>
          <w:rFonts w:hint="cs"/>
          <w:rtl/>
        </w:rPr>
        <w:t>עד</w:t>
      </w:r>
      <w:r w:rsidRPr="008B4DA1">
        <w:rPr>
          <w:rtl/>
        </w:rPr>
        <w:t xml:space="preserve"> </w:t>
      </w:r>
      <w:r w:rsidRPr="008B4DA1">
        <w:rPr>
          <w:rFonts w:hint="cs"/>
          <w:rtl/>
        </w:rPr>
        <w:t>שיודו</w:t>
      </w:r>
      <w:r w:rsidRPr="008B4DA1">
        <w:rPr>
          <w:rtl/>
        </w:rPr>
        <w:t xml:space="preserve"> </w:t>
      </w:r>
      <w:r w:rsidRPr="008B4DA1">
        <w:rPr>
          <w:rFonts w:hint="cs"/>
          <w:rtl/>
        </w:rPr>
        <w:t>לדברי</w:t>
      </w:r>
      <w:r w:rsidRPr="008B4DA1">
        <w:rPr>
          <w:rtl/>
        </w:rPr>
        <w:t xml:space="preserve"> </w:t>
      </w:r>
      <w:r w:rsidRPr="008B4DA1">
        <w:rPr>
          <w:rFonts w:hint="cs"/>
          <w:rtl/>
        </w:rPr>
        <w:t>העד,</w:t>
      </w:r>
      <w:r w:rsidRPr="008B4DA1">
        <w:rPr>
          <w:rtl/>
        </w:rPr>
        <w:t xml:space="preserve"> </w:t>
      </w:r>
      <w:r w:rsidRPr="008B4DA1">
        <w:rPr>
          <w:rFonts w:hint="cs"/>
          <w:rtl/>
        </w:rPr>
        <w:t>ודורש</w:t>
      </w:r>
      <w:r w:rsidRPr="008B4DA1">
        <w:rPr>
          <w:rtl/>
        </w:rPr>
        <w:t xml:space="preserve"> </w:t>
      </w:r>
      <w:r w:rsidRPr="008B4DA1">
        <w:rPr>
          <w:rFonts w:hint="cs"/>
          <w:rtl/>
        </w:rPr>
        <w:t>וחוקר</w:t>
      </w:r>
      <w:r w:rsidRPr="008B4DA1">
        <w:rPr>
          <w:rtl/>
        </w:rPr>
        <w:t xml:space="preserve"> </w:t>
      </w:r>
      <w:r w:rsidRPr="008B4DA1">
        <w:rPr>
          <w:rFonts w:hint="cs"/>
          <w:rtl/>
        </w:rPr>
        <w:t>עד</w:t>
      </w:r>
      <w:r w:rsidRPr="008B4DA1">
        <w:rPr>
          <w:rtl/>
        </w:rPr>
        <w:t xml:space="preserve"> </w:t>
      </w:r>
      <w:r w:rsidRPr="008B4DA1">
        <w:rPr>
          <w:rFonts w:hint="cs"/>
          <w:rtl/>
        </w:rPr>
        <w:t>שיתברר</w:t>
      </w:r>
      <w:r w:rsidRPr="008B4DA1">
        <w:rPr>
          <w:rtl/>
        </w:rPr>
        <w:t xml:space="preserve"> </w:t>
      </w:r>
      <w:r w:rsidRPr="008B4DA1">
        <w:rPr>
          <w:rFonts w:hint="cs"/>
          <w:rtl/>
        </w:rPr>
        <w:t>הדבר,</w:t>
      </w:r>
      <w:r w:rsidRPr="008B4DA1">
        <w:rPr>
          <w:rtl/>
        </w:rPr>
        <w:t xml:space="preserve"> </w:t>
      </w:r>
      <w:r w:rsidRPr="008B4DA1">
        <w:rPr>
          <w:rFonts w:hint="cs"/>
          <w:rtl/>
        </w:rPr>
        <w:t>או</w:t>
      </w:r>
      <w:r w:rsidRPr="008B4DA1">
        <w:rPr>
          <w:rtl/>
        </w:rPr>
        <w:t xml:space="preserve"> </w:t>
      </w:r>
      <w:r w:rsidRPr="008B4DA1">
        <w:rPr>
          <w:rFonts w:hint="cs"/>
          <w:rtl/>
        </w:rPr>
        <w:t>יעשו</w:t>
      </w:r>
      <w:r w:rsidRPr="008B4DA1">
        <w:rPr>
          <w:rtl/>
        </w:rPr>
        <w:t xml:space="preserve"> </w:t>
      </w:r>
      <w:r w:rsidRPr="008B4DA1">
        <w:rPr>
          <w:rFonts w:hint="cs"/>
          <w:rtl/>
        </w:rPr>
        <w:t>פשרה</w:t>
      </w:r>
      <w:r w:rsidRPr="008B4DA1">
        <w:rPr>
          <w:rtl/>
        </w:rPr>
        <w:t xml:space="preserve"> </w:t>
      </w:r>
      <w:r w:rsidRPr="008B4DA1">
        <w:rPr>
          <w:rFonts w:hint="cs"/>
          <w:rtl/>
        </w:rPr>
        <w:t>או</w:t>
      </w:r>
      <w:r w:rsidRPr="008B4DA1">
        <w:rPr>
          <w:rtl/>
        </w:rPr>
        <w:t xml:space="preserve"> </w:t>
      </w:r>
      <w:r w:rsidRPr="008B4DA1">
        <w:rPr>
          <w:rFonts w:hint="cs"/>
          <w:rtl/>
        </w:rPr>
        <w:t>יסתלק</w:t>
      </w:r>
      <w:r w:rsidRPr="008B4DA1">
        <w:rPr>
          <w:rtl/>
        </w:rPr>
        <w:t xml:space="preserve"> </w:t>
      </w:r>
      <w:r w:rsidRPr="008B4DA1">
        <w:rPr>
          <w:rFonts w:hint="cs"/>
          <w:rtl/>
        </w:rPr>
        <w:t>מן</w:t>
      </w:r>
      <w:r w:rsidRPr="008B4DA1">
        <w:rPr>
          <w:rtl/>
        </w:rPr>
        <w:t xml:space="preserve"> </w:t>
      </w:r>
      <w:r w:rsidRPr="008B4DA1">
        <w:rPr>
          <w:rFonts w:hint="cs"/>
          <w:rtl/>
        </w:rPr>
        <w:t>הדין</w:t>
      </w:r>
      <w:r w:rsidRPr="008B4DA1">
        <w:rPr>
          <w:rtl/>
        </w:rPr>
        <w:t xml:space="preserve"> </w:t>
      </w:r>
      <w:r w:rsidRPr="008B4DA1">
        <w:rPr>
          <w:rFonts w:hint="cs"/>
          <w:rtl/>
        </w:rPr>
        <w:t>כמו</w:t>
      </w:r>
      <w:r w:rsidRPr="008B4DA1">
        <w:rPr>
          <w:rtl/>
        </w:rPr>
        <w:t xml:space="preserve"> </w:t>
      </w:r>
      <w:r w:rsidRPr="008B4DA1">
        <w:rPr>
          <w:rFonts w:hint="cs"/>
          <w:rtl/>
        </w:rPr>
        <w:t xml:space="preserve">שנתבאר". כלומר, ה"אומדנא" יכולה לשמש את הדיין </w:t>
      </w:r>
      <w:r w:rsidRPr="008B4DA1">
        <w:rPr>
          <w:rFonts w:hint="cs"/>
          <w:b/>
          <w:bCs/>
          <w:rtl/>
        </w:rPr>
        <w:t>כאמצעי לחץ להמשיך לדרוש ולחקור את בעלי הדינים עד שישכיל לבירור האמת</w:t>
      </w:r>
      <w:r w:rsidRPr="008B4DA1">
        <w:rPr>
          <w:rFonts w:hint="cs"/>
          <w:rtl/>
        </w:rPr>
        <w:t>, או לכל הפחות לעשות "פשרה" ביניהם.</w:t>
      </w:r>
    </w:p>
    <w:p w14:paraId="5BC82DED" w14:textId="77777777" w:rsidR="00644C97" w:rsidRPr="00C86C49" w:rsidRDefault="00644C97" w:rsidP="00F8255E">
      <w:pPr>
        <w:pStyle w:val="a2"/>
        <w:rPr>
          <w:rtl/>
        </w:rPr>
      </w:pPr>
      <w:r w:rsidRPr="00C86C49">
        <w:rPr>
          <w:b/>
          <w:bCs/>
          <w:rtl/>
        </w:rPr>
        <w:t>נמצא לסיכומם של דברים</w:t>
      </w:r>
      <w:r w:rsidRPr="00C86C49">
        <w:rPr>
          <w:rtl/>
        </w:rPr>
        <w:t xml:space="preserve">, כי בתנאים הבאים ניתן להסתמך על "אומדנא" </w:t>
      </w:r>
      <w:r w:rsidRPr="00C86C49">
        <w:rPr>
          <w:b/>
          <w:bCs/>
          <w:rtl/>
        </w:rPr>
        <w:t>בדיני ממונות</w:t>
      </w:r>
      <w:r w:rsidRPr="00C86C49">
        <w:rPr>
          <w:rtl/>
        </w:rPr>
        <w:t>:</w:t>
      </w:r>
    </w:p>
    <w:p w14:paraId="2996C866" w14:textId="77777777" w:rsidR="00644C97" w:rsidRPr="00C86C49" w:rsidRDefault="00644C97" w:rsidP="00F8255E">
      <w:pPr>
        <w:pStyle w:val="a2"/>
        <w:rPr>
          <w:rtl/>
        </w:rPr>
      </w:pPr>
      <w:r>
        <w:rPr>
          <w:rFonts w:hint="cs"/>
          <w:rtl/>
        </w:rPr>
        <w:t>א)</w:t>
      </w:r>
      <w:r w:rsidRPr="00C86C49">
        <w:rPr>
          <w:rtl/>
        </w:rPr>
        <w:t xml:space="preserve"> "להחזיק" ממון - לדעת הרדב"ז.</w:t>
      </w:r>
    </w:p>
    <w:p w14:paraId="1892A8BB" w14:textId="77777777" w:rsidR="00644C97" w:rsidRPr="00C86C49" w:rsidRDefault="00644C97" w:rsidP="00F8255E">
      <w:pPr>
        <w:pStyle w:val="a2"/>
        <w:rPr>
          <w:rtl/>
        </w:rPr>
      </w:pPr>
      <w:r w:rsidRPr="00C86C49">
        <w:rPr>
          <w:rFonts w:hint="cs"/>
          <w:rtl/>
        </w:rPr>
        <w:t>ב)</w:t>
      </w:r>
      <w:r w:rsidRPr="00C86C49">
        <w:rPr>
          <w:rtl/>
        </w:rPr>
        <w:t xml:space="preserve"> כאשר המעשה עצמו מבורר לדיינים, ויש ספק מה היתה דעתו של המוכר, הנותן או המגרש - לדעת המהרי"ק.</w:t>
      </w:r>
    </w:p>
    <w:p w14:paraId="4D5FBFD6" w14:textId="77777777" w:rsidR="00644C97" w:rsidRPr="00C86C49" w:rsidRDefault="00644C97" w:rsidP="00F8255E">
      <w:pPr>
        <w:pStyle w:val="a2"/>
        <w:rPr>
          <w:rtl/>
        </w:rPr>
      </w:pPr>
      <w:r w:rsidRPr="00C86C49">
        <w:rPr>
          <w:rFonts w:hint="cs"/>
          <w:rtl/>
        </w:rPr>
        <w:t>ג)</w:t>
      </w:r>
      <w:r w:rsidRPr="00C86C49">
        <w:rPr>
          <w:b/>
          <w:bCs/>
          <w:rtl/>
        </w:rPr>
        <w:t xml:space="preserve"> אומדנא דמוכחא טובא </w:t>
      </w:r>
      <w:r w:rsidRPr="00C86C49">
        <w:rPr>
          <w:rtl/>
        </w:rPr>
        <w:t>[הוכחה חזקה וחותכת] - לדעת הב"ח, מהר"ם אלשיך ונתיבות המשפט.</w:t>
      </w:r>
    </w:p>
    <w:p w14:paraId="6D4F4D88" w14:textId="77777777" w:rsidR="00644C97" w:rsidRPr="00C86C49" w:rsidRDefault="00644C97" w:rsidP="00F8255E">
      <w:pPr>
        <w:pStyle w:val="a2"/>
        <w:rPr>
          <w:rtl/>
        </w:rPr>
      </w:pPr>
      <w:r w:rsidRPr="00C86C49">
        <w:rPr>
          <w:rtl/>
        </w:rPr>
        <w:t xml:space="preserve">אולם החילוקים הנ"ל נאמרו </w:t>
      </w:r>
      <w:r w:rsidRPr="00C86C49">
        <w:rPr>
          <w:b/>
          <w:bCs/>
          <w:rtl/>
        </w:rPr>
        <w:t>בדיני ממונות</w:t>
      </w:r>
      <w:r w:rsidRPr="00C86C49">
        <w:rPr>
          <w:rtl/>
        </w:rPr>
        <w:t>, ואילו בדברי הרא"ש [</w:t>
      </w:r>
      <w:r w:rsidRPr="00C86C49">
        <w:rPr>
          <w:b/>
          <w:bCs/>
          <w:rtl/>
        </w:rPr>
        <w:t>אות ז</w:t>
      </w:r>
      <w:r w:rsidRPr="00C86C49">
        <w:rPr>
          <w:rtl/>
        </w:rPr>
        <w:t xml:space="preserve">] שהביא את משפט שלמה כראיה לפסיקת הלכה על פי אומדנא, מבואר כי ניתן להסתמך על "אומדנא" גם </w:t>
      </w:r>
      <w:r w:rsidRPr="00C86C49">
        <w:rPr>
          <w:b/>
          <w:bCs/>
          <w:rtl/>
        </w:rPr>
        <w:t>בדיני נפשות</w:t>
      </w:r>
      <w:r w:rsidRPr="00C86C49">
        <w:rPr>
          <w:rtl/>
        </w:rPr>
        <w:t>, ולכאורה לא מצאתי בדברי הפוסקים, האם למעשה גם בדיני נפשות ניתן להסתמך על אומדנא, והאם נאמרו תנאים אימתי מסתמכים על אומדנא, וצ"ע.</w:t>
      </w:r>
    </w:p>
    <w:p w14:paraId="165E3D9D" w14:textId="77777777" w:rsidR="00644C97" w:rsidRPr="00930EC7" w:rsidRDefault="00644C97" w:rsidP="00F8255E">
      <w:pPr>
        <w:pStyle w:val="11"/>
        <w:bidi/>
        <w:rPr>
          <w:rFonts w:ascii="FbFrankReal" w:hAnsi="FbFrankReal" w:cs="FbFrankReal"/>
          <w:rtl/>
        </w:rPr>
      </w:pPr>
      <w:r w:rsidRPr="00930EC7">
        <w:rPr>
          <w:rFonts w:ascii="FbFrankReal" w:hAnsi="FbFrankReal" w:cs="FbFrankReal"/>
          <w:rtl/>
        </w:rPr>
        <w:t>***</w:t>
      </w:r>
    </w:p>
    <w:p w14:paraId="386E7665" w14:textId="77777777" w:rsidR="00644C97" w:rsidRPr="00C86C49" w:rsidRDefault="00644C97" w:rsidP="00F8255E">
      <w:pPr>
        <w:pStyle w:val="a2"/>
        <w:rPr>
          <w:b/>
          <w:bCs/>
          <w:rtl/>
        </w:rPr>
      </w:pPr>
      <w:r w:rsidRPr="00C86C49">
        <w:rPr>
          <w:rtl/>
        </w:rPr>
        <w:t xml:space="preserve">אולם למעשה </w:t>
      </w:r>
      <w:r w:rsidRPr="00C86C49">
        <w:rPr>
          <w:b/>
          <w:bCs/>
          <w:rtl/>
        </w:rPr>
        <w:t>בזמן הזה "</w:t>
      </w:r>
      <w:r w:rsidRPr="00C86C49">
        <w:rPr>
          <w:rtl/>
        </w:rPr>
        <w:t xml:space="preserve">שרבו בתי דינים שאינם הגונים ובעלי בינה", </w:t>
      </w:r>
      <w:r w:rsidRPr="00C86C49">
        <w:rPr>
          <w:b/>
          <w:bCs/>
          <w:rtl/>
        </w:rPr>
        <w:t xml:space="preserve">אין לפסוק הלכה על פי "אומדנא". </w:t>
      </w:r>
      <w:r w:rsidRPr="00C86C49">
        <w:rPr>
          <w:rtl/>
        </w:rPr>
        <w:t>וה"אומדנא" מהווה</w:t>
      </w:r>
      <w:r w:rsidRPr="00C86C49">
        <w:rPr>
          <w:b/>
          <w:bCs/>
          <w:rtl/>
        </w:rPr>
        <w:t xml:space="preserve"> "כלי" בלבד</w:t>
      </w:r>
      <w:r w:rsidRPr="00C86C49">
        <w:rPr>
          <w:rtl/>
        </w:rPr>
        <w:t>, בידיו של הדיין להמשיך</w:t>
      </w:r>
      <w:r w:rsidRPr="00C86C49">
        <w:rPr>
          <w:b/>
          <w:bCs/>
          <w:rtl/>
        </w:rPr>
        <w:t xml:space="preserve"> </w:t>
      </w:r>
      <w:r w:rsidRPr="00C86C49">
        <w:rPr>
          <w:rtl/>
        </w:rPr>
        <w:t>לשאת ולתת עם בעלי הדינים ולחוקרם הדק היטב עד שיודו לדברי העד או יעשו פשרה.</w:t>
      </w:r>
    </w:p>
    <w:p w14:paraId="00C0C9AD" w14:textId="77777777" w:rsidR="00644C97" w:rsidRPr="00C86C49" w:rsidRDefault="00644C97" w:rsidP="00F8255E">
      <w:pPr>
        <w:pStyle w:val="a2"/>
        <w:rPr>
          <w:rtl/>
        </w:rPr>
      </w:pPr>
      <w:r w:rsidRPr="00C86C49">
        <w:rPr>
          <w:rtl/>
        </w:rPr>
        <w:t xml:space="preserve">לאור האמור נראה כי גם "ראיה נסיבתית" שהיא בגדר "אומדנא" המוכיחה את אמיתות הטענה, אין בכוחה </w:t>
      </w:r>
      <w:r w:rsidRPr="00C86C49">
        <w:rPr>
          <w:b/>
          <w:bCs/>
          <w:rtl/>
        </w:rPr>
        <w:t>להכריע את פסיקת הדין</w:t>
      </w:r>
      <w:r w:rsidRPr="00C86C49">
        <w:rPr>
          <w:rtl/>
        </w:rPr>
        <w:t xml:space="preserve"> על פיה לבד, והיא "כלי" המשמש את הדיינים לחקור </w:t>
      </w:r>
      <w:r w:rsidRPr="00C86C49">
        <w:rPr>
          <w:b/>
          <w:bCs/>
          <w:rtl/>
        </w:rPr>
        <w:t>את בעלי הדינים עד לבירור האמת</w:t>
      </w:r>
      <w:r w:rsidRPr="00C86C49">
        <w:rPr>
          <w:rtl/>
        </w:rPr>
        <w:t>, ולעשיית "פשרה" ביניהם.</w:t>
      </w:r>
    </w:p>
    <w:p w14:paraId="36DD3B36" w14:textId="4D9B4888" w:rsidR="005D6004" w:rsidRPr="002651A4" w:rsidRDefault="00644C97" w:rsidP="00F8255E">
      <w:pPr>
        <w:pStyle w:val="a2"/>
        <w:rPr>
          <w:rtl/>
        </w:rPr>
      </w:pPr>
      <w:r w:rsidRPr="00C86C49">
        <w:rPr>
          <w:rtl/>
        </w:rPr>
        <w:lastRenderedPageBreak/>
        <w:t xml:space="preserve">וכן מתבאר במכתבו של רבי משה שאול קליין (הובא בקובץ ישורון, כרך יב עמ' תקלג) בשם הגר"ש וואזנר והגר"נ קרליץ, אודות בדיקת ד.נ.א. המשמשת אמצעי זיהוי בכל מעבדות המשטרה והמכונים לרפואה משפטית - האם ניתן להרשיע אדם ולהפלילו על סמך בדיקה זו, כאשר נמצאו דגימות מגופו בזירת הפשע: "בדיני ישראל </w:t>
      </w:r>
      <w:r w:rsidRPr="00C86C49">
        <w:rPr>
          <w:b/>
          <w:bCs/>
          <w:rtl/>
        </w:rPr>
        <w:t>אין להוכיח הרשעת אדם על סמך הוכחות, אפילו החותכות ביותר</w:t>
      </w:r>
      <w:r w:rsidRPr="00C86C49">
        <w:rPr>
          <w:rtl/>
        </w:rPr>
        <w:t>, אלא על פי שני עדים יקום דבר". והיינו כמבואר לעיל, שגם "אומדנא דמוכח" אינה מועילה לפסוק על פיה את הדין, וכן כל "ראיה נסיבתית", ואפילו הטובה ביותר כבדיקת ד.נ.א. - אין בהם בכדי להוכיח את אשמת הנאשם ולחייב את המזיק.</w:t>
      </w:r>
    </w:p>
    <w:p w14:paraId="7945F727" w14:textId="77777777" w:rsidR="002651A4" w:rsidRPr="00552D8B" w:rsidRDefault="002651A4" w:rsidP="005E6E84">
      <w:pPr>
        <w:pStyle w:val="a4"/>
        <w:sectPr w:rsidR="002651A4" w:rsidRPr="00552D8B" w:rsidSect="00E65DD5">
          <w:headerReference w:type="even" r:id="rId54"/>
          <w:headerReference w:type="default" r:id="rId55"/>
          <w:footnotePr>
            <w:numRestart w:val="eachSect"/>
          </w:footnotePr>
          <w:type w:val="continuous"/>
          <w:pgSz w:w="7920" w:h="12240"/>
          <w:pgMar w:top="-810" w:right="864" w:bottom="720" w:left="864" w:header="270" w:footer="0" w:gutter="0"/>
          <w:cols w:space="720"/>
          <w:docGrid w:linePitch="360"/>
        </w:sectPr>
      </w:pPr>
      <w:r w:rsidRPr="00552D8B">
        <w:t>g</w:t>
      </w:r>
    </w:p>
    <w:p w14:paraId="37A973E2" w14:textId="15226CA9" w:rsidR="002651A4" w:rsidRDefault="002651A4" w:rsidP="002651A4">
      <w:pPr>
        <w:pStyle w:val="a"/>
        <w:rPr>
          <w:rtl/>
        </w:rPr>
      </w:pPr>
      <w:bookmarkStart w:id="156" w:name="_Toc2301368"/>
      <w:bookmarkStart w:id="157" w:name="_Toc3515507"/>
      <w:r>
        <w:rPr>
          <w:rFonts w:hint="cs"/>
          <w:rtl/>
        </w:rPr>
        <w:t>אמירה</w:t>
      </w:r>
      <w:r>
        <w:rPr>
          <w:rtl/>
        </w:rPr>
        <w:t xml:space="preserve"> </w:t>
      </w:r>
      <w:r>
        <w:rPr>
          <w:rFonts w:hint="cs"/>
          <w:rtl/>
        </w:rPr>
        <w:t>לנכרי</w:t>
      </w:r>
      <w:r>
        <w:rPr>
          <w:rtl/>
        </w:rPr>
        <w:t xml:space="preserve"> </w:t>
      </w:r>
      <w:r>
        <w:rPr>
          <w:rFonts w:hint="cs"/>
          <w:rtl/>
        </w:rPr>
        <w:t>בדרך</w:t>
      </w:r>
      <w:r>
        <w:rPr>
          <w:rtl/>
        </w:rPr>
        <w:t xml:space="preserve"> </w:t>
      </w:r>
      <w:r>
        <w:rPr>
          <w:rFonts w:hint="cs"/>
          <w:rtl/>
        </w:rPr>
        <w:t>סיפור</w:t>
      </w:r>
      <w:bookmarkEnd w:id="156"/>
      <w:r w:rsidR="00D22FBE">
        <w:rPr>
          <w:rFonts w:hint="cs"/>
          <w:rtl/>
        </w:rPr>
        <w:t xml:space="preserve"> (גליון)</w:t>
      </w:r>
      <w:bookmarkEnd w:id="157"/>
    </w:p>
    <w:p w14:paraId="6BE81B5A" w14:textId="77777777" w:rsidR="00F24725" w:rsidRPr="00C60FEE" w:rsidRDefault="00F24725" w:rsidP="00F24725">
      <w:pPr>
        <w:pStyle w:val="a0"/>
        <w:rPr>
          <w:rFonts w:hint="cs"/>
          <w:rtl/>
        </w:rPr>
      </w:pPr>
      <w:bookmarkStart w:id="158" w:name="_Toc3515508"/>
      <w:r w:rsidRPr="00C60FEE">
        <w:rPr>
          <w:rFonts w:hint="cs"/>
          <w:rtl/>
        </w:rPr>
        <w:t>הרב לוי יצחק ראסקין</w:t>
      </w:r>
      <w:bookmarkEnd w:id="158"/>
    </w:p>
    <w:p w14:paraId="426E4F7F" w14:textId="77777777" w:rsidR="00F24725" w:rsidRPr="00C60FEE" w:rsidRDefault="00F24725" w:rsidP="00F24725">
      <w:pPr>
        <w:pStyle w:val="a1"/>
        <w:rPr>
          <w:rFonts w:hint="cs"/>
          <w:rtl/>
        </w:rPr>
      </w:pPr>
      <w:r w:rsidRPr="00C60FEE">
        <w:rPr>
          <w:rFonts w:hint="cs"/>
          <w:rtl/>
        </w:rPr>
        <w:t>דומ"צ בקהילת ליובאוויטש, לונדון</w:t>
      </w:r>
    </w:p>
    <w:p w14:paraId="4A868DD1" w14:textId="50F69A04" w:rsidR="002651A4" w:rsidRDefault="00E259CC" w:rsidP="00F8255E">
      <w:pPr>
        <w:pStyle w:val="a2"/>
        <w:rPr>
          <w:rtl/>
        </w:rPr>
      </w:pPr>
      <w:r>
        <w:rPr>
          <w:rFonts w:hint="cs"/>
          <w:rtl/>
        </w:rPr>
        <w:t xml:space="preserve">א. </w:t>
      </w:r>
      <w:r w:rsidR="002651A4">
        <w:rPr>
          <w:rtl/>
        </w:rPr>
        <w:t>בדבר העסקת נכרי לעשות מלאכה בשבת להנאת ישראל, יש לזהות ג' דרגות:</w:t>
      </w:r>
    </w:p>
    <w:p w14:paraId="26FB6464" w14:textId="77777777" w:rsidR="002651A4" w:rsidRDefault="002651A4" w:rsidP="00F8255E">
      <w:pPr>
        <w:pStyle w:val="a2"/>
        <w:rPr>
          <w:rtl/>
        </w:rPr>
      </w:pPr>
      <w:r>
        <w:rPr>
          <w:rFonts w:hint="cs"/>
          <w:rtl/>
        </w:rPr>
        <w:t xml:space="preserve">א) </w:t>
      </w:r>
      <w:r>
        <w:rPr>
          <w:rtl/>
        </w:rPr>
        <w:t>"כל המכבה אינו מפסיד". דרך זה הותר רק בדליקה, ואולי גם במצבים דומים (ראה שוע"ר סי' שז סל"ג).</w:t>
      </w:r>
    </w:p>
    <w:p w14:paraId="15472586" w14:textId="77777777" w:rsidR="002651A4" w:rsidRDefault="002651A4" w:rsidP="00F8255E">
      <w:pPr>
        <w:pStyle w:val="a2"/>
      </w:pPr>
      <w:r>
        <w:rPr>
          <w:rFonts w:hint="cs"/>
          <w:rtl/>
        </w:rPr>
        <w:t xml:space="preserve">ב) </w:t>
      </w:r>
      <w:r>
        <w:rPr>
          <w:rtl/>
        </w:rPr>
        <w:t>"מדוע לא עשית דבר פלוני בשבת שעברה?" דבר זה מותר בנכרי שאינו שכירו של ישראל (שם ס"ח).</w:t>
      </w:r>
    </w:p>
    <w:p w14:paraId="65774D4F" w14:textId="77777777" w:rsidR="002651A4" w:rsidRDefault="002651A4" w:rsidP="00F8255E">
      <w:pPr>
        <w:pStyle w:val="a2"/>
      </w:pPr>
      <w:r>
        <w:rPr>
          <w:rFonts w:hint="cs"/>
          <w:rtl/>
        </w:rPr>
        <w:t xml:space="preserve">ג) </w:t>
      </w:r>
      <w:r>
        <w:rPr>
          <w:rtl/>
        </w:rPr>
        <w:t>נכרי הביא לו אגרת חתומה, והוא אומר בפני הנכרי "איני יכול לקרותה כל זמן שאינה פתוחה", והנכרי פותחה מעצמו (שם ס"ז).</w:t>
      </w:r>
    </w:p>
    <w:p w14:paraId="2CDDC26A" w14:textId="77777777" w:rsidR="002651A4" w:rsidRDefault="002651A4" w:rsidP="00F8255E">
      <w:pPr>
        <w:pStyle w:val="a2"/>
      </w:pPr>
      <w:r>
        <w:rPr>
          <w:rtl/>
        </w:rPr>
        <w:t>קל מזה הוא כשהנכרי עושה מלאכה מעצמו, לטובתנו. כי חז"ל שיערו שכוונת הנכרי בזה היא לטובת עצמו, שהוא מצפה לטובת הנאה (שם סי' שכה ס"כ).</w:t>
      </w:r>
    </w:p>
    <w:p w14:paraId="527839DE" w14:textId="1D21EDCB" w:rsidR="002651A4" w:rsidRDefault="002651A4" w:rsidP="00F8255E">
      <w:pPr>
        <w:pStyle w:val="a2"/>
        <w:rPr>
          <w:rtl/>
        </w:rPr>
      </w:pPr>
      <w:r>
        <w:rPr>
          <w:rtl/>
        </w:rPr>
        <w:t xml:space="preserve">טענת הרש"ב לוין שליט"א היא </w:t>
      </w:r>
      <w:r w:rsidR="00D22FBE">
        <w:rPr>
          <w:rFonts w:hint="cs"/>
          <w:rtl/>
        </w:rPr>
        <w:t xml:space="preserve">(בגליון העבר) </w:t>
      </w:r>
      <w:r>
        <w:rPr>
          <w:rtl/>
        </w:rPr>
        <w:t>– לא שעלינו להבחין בין "בא מעצמו" לבין "דרך סיפור", כי אם – שחייבים להבחין בין נכרי שהוא מכירו לבין נכרי שאינו מכירו. להשערת הרב לוין, זה שחז"ל שיערו שנכרי העושה לטובתנו חושב בלבו 'הנאת עצמו', היינו דוקא בנכרי שיש לו קשר מכבר עם ישראל זה, אבל לא בנכרי שתפסוהו עתה "מן השוק", ושוב הולך לדרכו.</w:t>
      </w:r>
    </w:p>
    <w:p w14:paraId="6950DFEC" w14:textId="77777777" w:rsidR="002651A4" w:rsidRDefault="002651A4" w:rsidP="00F8255E">
      <w:pPr>
        <w:pStyle w:val="a2"/>
        <w:rPr>
          <w:rtl/>
        </w:rPr>
      </w:pPr>
      <w:r>
        <w:rPr>
          <w:rtl/>
        </w:rPr>
        <w:lastRenderedPageBreak/>
        <w:t>הנה:</w:t>
      </w:r>
    </w:p>
    <w:p w14:paraId="5EAB5E9D" w14:textId="77777777" w:rsidR="002651A4" w:rsidRDefault="002651A4" w:rsidP="00F8255E">
      <w:pPr>
        <w:pStyle w:val="a2"/>
        <w:rPr>
          <w:rtl/>
        </w:rPr>
      </w:pPr>
      <w:r>
        <w:rPr>
          <w:rFonts w:hint="cs"/>
          <w:rtl/>
        </w:rPr>
        <w:t xml:space="preserve">א) </w:t>
      </w:r>
      <w:r>
        <w:rPr>
          <w:rtl/>
        </w:rPr>
        <w:t>אז מהי טענתו על דברינו להתיר "בדרך סיפור"? הוה לי' למימר שהיתר "בדרך סיפור" הוא רק בנכרי המכירו.</w:t>
      </w:r>
    </w:p>
    <w:p w14:paraId="6F598CDE" w14:textId="77777777" w:rsidR="002651A4" w:rsidRDefault="002651A4" w:rsidP="00F8255E">
      <w:pPr>
        <w:pStyle w:val="a2"/>
      </w:pPr>
      <w:r>
        <w:rPr>
          <w:rFonts w:hint="cs"/>
          <w:rtl/>
        </w:rPr>
        <w:t xml:space="preserve">ב) </w:t>
      </w:r>
      <w:r>
        <w:rPr>
          <w:rtl/>
        </w:rPr>
        <w:t xml:space="preserve">על השערתו זאת - שנכרי שאינו מכירו אינו מצפה לתגמול – לא הביא מקור. ואם מסברא, מאן לימא שנכרי "מן השוק" אינו יודע בטיב ישראל, ויודע טבעם "אז זיי בלייבען ניט קיין בעל חוב", ודרכם לתת הטבה למי שהיטיב להם? וכבר הביא בדבריו משוע"ר סי' שלד סכ"ו, שהנכרי שוקל בדעתו שכדאי לו לטרוח בעבור הישראל "מפני שישתכר בו </w:t>
      </w:r>
      <w:r>
        <w:rPr>
          <w:b/>
          <w:bCs/>
          <w:rtl/>
        </w:rPr>
        <w:t>עכשיו</w:t>
      </w:r>
      <w:r>
        <w:rPr>
          <w:rtl/>
        </w:rPr>
        <w:t>, או לאחר זמן".</w:t>
      </w:r>
    </w:p>
    <w:p w14:paraId="597E06B3" w14:textId="77777777" w:rsidR="002651A4" w:rsidRDefault="002651A4" w:rsidP="00F8255E">
      <w:pPr>
        <w:pStyle w:val="a2"/>
      </w:pPr>
      <w:r>
        <w:rPr>
          <w:rFonts w:hint="cs"/>
          <w:rtl/>
        </w:rPr>
        <w:t xml:space="preserve">ג) </w:t>
      </w:r>
      <w:r>
        <w:rPr>
          <w:rtl/>
        </w:rPr>
        <w:t>ביקורת ברורה יותר היא שהיתר "בדרך סיפור" אינו מועיל בנכרי שהוא שכיר יום, מכיון שאז אין לומר עליו שהוא עושה "לדעת עצמו", כמבואר בדברי אדה"ז במהדו"ב. זו מילתא דשכיחא, ובודאי שיש להתריע עלי'.</w:t>
      </w:r>
    </w:p>
    <w:p w14:paraId="52D3EA27" w14:textId="77777777" w:rsidR="002651A4" w:rsidRDefault="002651A4" w:rsidP="00F8255E">
      <w:pPr>
        <w:pStyle w:val="a2"/>
      </w:pPr>
      <w:r>
        <w:rPr>
          <w:rtl/>
        </w:rPr>
        <w:t>עיקר מטרת דברינו בזה הוא להודיע שלאדה"ז במהדו"ב יש דרך חדש בהסברת היתר פתיחת חתימת האגרת ע"י הנכרי, עקב אמירת הישראל "איני יכול לקרותה כל זמן שאינה פתוחה". שבשו"ע תלה הדבר שהנכרי בדעתו בא להשלים מלאכת שולח החבילה, ובמהדו"ב מתיר הדבר מכיון שהוא מצפה שיקבל מזה טובת הנאה. וראה גם הגהות רעק"א על דברי המגן אברהם סי' שז סק"כ שביאר הדבר כן.</w:t>
      </w:r>
    </w:p>
    <w:p w14:paraId="487FACE0" w14:textId="2551DF77" w:rsidR="002651A4" w:rsidRDefault="00E259CC" w:rsidP="00F8255E">
      <w:pPr>
        <w:pStyle w:val="a2"/>
        <w:rPr>
          <w:rtl/>
        </w:rPr>
      </w:pPr>
      <w:r>
        <w:rPr>
          <w:rFonts w:hint="cs"/>
          <w:rtl/>
        </w:rPr>
        <w:t xml:space="preserve">ב. </w:t>
      </w:r>
      <w:r w:rsidR="002651A4">
        <w:rPr>
          <w:rtl/>
        </w:rPr>
        <w:t xml:space="preserve">עוד מבחין הרב לוין (בסעיף ד שלו) בין נכרי שבא מעצמו לבין </w:t>
      </w:r>
      <w:r w:rsidR="002651A4">
        <w:rPr>
          <w:b/>
          <w:bCs/>
          <w:rtl/>
        </w:rPr>
        <w:t>הקורא אותו לתוך ביתו</w:t>
      </w:r>
      <w:r w:rsidR="002651A4">
        <w:rPr>
          <w:rtl/>
        </w:rPr>
        <w:t>, שאפילו בנכרי המכירו, הותר זה רק במקום הפסד, כגון שיש מים באים ושוטפים את נכסיו, כדין דליקה ר"ל.</w:t>
      </w:r>
    </w:p>
    <w:p w14:paraId="6517DB4C" w14:textId="77777777" w:rsidR="002651A4" w:rsidRDefault="002651A4" w:rsidP="00F8255E">
      <w:pPr>
        <w:pStyle w:val="a2"/>
        <w:rPr>
          <w:rtl/>
        </w:rPr>
      </w:pPr>
      <w:r>
        <w:rPr>
          <w:rtl/>
        </w:rPr>
        <w:t xml:space="preserve">כמדומה שיש להבחין בזה, כי שם מיירי שהישראל מביא את הנכרי לתוך רשותו, והנכרי רואה תיכף את גורם ההיזק. בזה האופן יש לראות את הקריאה לרשותו כמבקש ממנו בפירוש לעשות מלאכה עבורו. משא"כ בקורא נכרי לתוך ביתו ולא נראית שום סיבה לבהלה, ואז מספר לו הישראל ששכח לכבות האור בחדר שינה, ולכך לא יוכל להירדם וכו'. דמסתבר שאין להחשיב קריאת הנכרי לתוך ביתו כ'בקשה </w:t>
      </w:r>
      <w:r>
        <w:rPr>
          <w:b/>
          <w:bCs/>
          <w:rtl/>
        </w:rPr>
        <w:t>מפורשת'</w:t>
      </w:r>
      <w:r>
        <w:rPr>
          <w:rtl/>
        </w:rPr>
        <w:t xml:space="preserve"> שיעשה מלאכה פלונית עבורו.</w:t>
      </w:r>
    </w:p>
    <w:p w14:paraId="34FEEEC3" w14:textId="69194B71" w:rsidR="00F24725" w:rsidRDefault="002651A4" w:rsidP="00F8255E">
      <w:pPr>
        <w:pStyle w:val="a2"/>
        <w:rPr>
          <w:rtl/>
        </w:rPr>
      </w:pPr>
      <w:r w:rsidRPr="002F608F">
        <w:rPr>
          <w:rtl/>
        </w:rPr>
        <w:t>גם אם יוכיח לנו שלא כדברינו אלה, אין בכך הכחשה להיתר "דרך סיפור", ורק תוספת תנאי, שהשיחה עם נכרי שהוא מכירו צריכה להתבצע במקום שהם נפגשים בחוץ וכיו"ב, ולא שיזמין אותו לביתו לשם כך.</w:t>
      </w:r>
    </w:p>
    <w:p w14:paraId="06258984" w14:textId="09BA272C" w:rsidR="002651A4" w:rsidRPr="00F24725" w:rsidRDefault="00F24725" w:rsidP="00F24725">
      <w:pPr>
        <w:rPr>
          <w:rFonts w:ascii="FbFrankReal" w:eastAsia="Calibri" w:hAnsi="FbFrankReal" w:cs="FbFrankReal"/>
          <w:sz w:val="24"/>
          <w:szCs w:val="24"/>
          <w:bdr w:val="nil"/>
          <w:rtl/>
        </w:rPr>
      </w:pPr>
      <w:r>
        <w:br w:type="page"/>
      </w:r>
    </w:p>
    <w:p w14:paraId="6209DD05" w14:textId="14D7060A" w:rsidR="00993781" w:rsidRDefault="00F8255E" w:rsidP="00993781">
      <w:pPr>
        <w:pStyle w:val="a"/>
        <w:rPr>
          <w:rtl/>
        </w:rPr>
      </w:pPr>
      <w:bookmarkStart w:id="159" w:name="_Toc3515509"/>
      <w:r>
        <w:rPr>
          <w:rFonts w:hint="cs"/>
          <w:rtl/>
        </w:rPr>
        <w:lastRenderedPageBreak/>
        <w:t>בענין הנ"ל</w:t>
      </w:r>
      <w:r w:rsidR="00993781" w:rsidRPr="00993781">
        <w:rPr>
          <w:rFonts w:hint="cs"/>
          <w:rtl/>
        </w:rPr>
        <w:t xml:space="preserve"> (גליון)</w:t>
      </w:r>
      <w:bookmarkEnd w:id="159"/>
    </w:p>
    <w:p w14:paraId="3B6E2B9D" w14:textId="6745D388" w:rsidR="00F8255E" w:rsidRPr="00F8255E" w:rsidRDefault="00F8255E" w:rsidP="00F8255E">
      <w:pPr>
        <w:pStyle w:val="a5"/>
        <w:spacing w:before="240"/>
        <w:jc w:val="right"/>
        <w:rPr>
          <w:rStyle w:val="Char1"/>
          <w:b w:val="0"/>
          <w:bCs w:val="0"/>
        </w:rPr>
      </w:pPr>
      <w:bookmarkStart w:id="160" w:name="_Toc3515510"/>
      <w:r>
        <w:rPr>
          <w:rStyle w:val="Char0"/>
          <w:rFonts w:hint="cs"/>
          <w:rtl/>
        </w:rPr>
        <w:t>הרב</w:t>
      </w:r>
      <w:r w:rsidRPr="00F8255E">
        <w:rPr>
          <w:rStyle w:val="Char0"/>
          <w:rFonts w:hint="cs"/>
          <w:rtl/>
        </w:rPr>
        <w:t xml:space="preserve"> שבתי אשר טיאר</w:t>
      </w:r>
      <w:bookmarkEnd w:id="160"/>
      <w:r w:rsidRPr="003E3DE0">
        <w:rPr>
          <w:rtl/>
        </w:rPr>
        <w:br/>
      </w:r>
      <w:r w:rsidRPr="00F8255E">
        <w:rPr>
          <w:rStyle w:val="Char1"/>
          <w:rFonts w:hint="cs"/>
          <w:b w:val="0"/>
          <w:bCs w:val="0"/>
          <w:rtl/>
        </w:rPr>
        <w:t>מח"ס 'קונטרס רבית ועיסקא דרך קצרה'</w:t>
      </w:r>
    </w:p>
    <w:p w14:paraId="2F70EC3F" w14:textId="77777777" w:rsidR="00993781" w:rsidRPr="00AC7D6E" w:rsidRDefault="00993781" w:rsidP="00F8255E">
      <w:pPr>
        <w:pStyle w:val="a2"/>
        <w:rPr>
          <w:rtl/>
        </w:rPr>
      </w:pPr>
      <w:r w:rsidRPr="00AC7D6E">
        <w:rPr>
          <w:rtl/>
        </w:rPr>
        <w:t xml:space="preserve">בקובץ הערות ובאורים גליון א׳קס הביא הרב שלום דובער לוין מ״ש </w:t>
      </w:r>
      <w:r w:rsidRPr="00AC7D6E">
        <w:rPr>
          <w:rFonts w:hint="cs"/>
          <w:rtl/>
        </w:rPr>
        <w:t xml:space="preserve">הרב לוי יצחק ראסקין </w:t>
      </w:r>
      <w:r w:rsidRPr="00AC7D6E">
        <w:rPr>
          <w:rtl/>
        </w:rPr>
        <w:t>בגליון א'קנ</w:t>
      </w:r>
      <w:r w:rsidRPr="00AC7D6E">
        <w:rPr>
          <w:rFonts w:hint="cs"/>
          <w:rtl/>
        </w:rPr>
        <w:t>ה כלל ח</w:t>
      </w:r>
      <w:r>
        <w:rPr>
          <w:rFonts w:hint="cs"/>
          <w:rtl/>
        </w:rPr>
        <w:t>'</w:t>
      </w:r>
      <w:r w:rsidRPr="00AC7D6E">
        <w:rPr>
          <w:rtl/>
        </w:rPr>
        <w:t xml:space="preserve"> שהאומר דרך סיפור בלי פקודה, והנכרי עושה המלאכה מעצמו, לפי המבואר בה'מהדורא בתרא' ס״ל לאדה״ז שמותר גם כשעושה עבור הישראל, ובלבד שאין גוף הישראל נהנה</w:t>
      </w:r>
      <w:r w:rsidRPr="00AC7D6E">
        <w:t xml:space="preserve"> </w:t>
      </w:r>
      <w:r w:rsidRPr="00AC7D6E">
        <w:rPr>
          <w:rtl/>
        </w:rPr>
        <w:t>מיד ממעשה הנכרי.</w:t>
      </w:r>
    </w:p>
    <w:p w14:paraId="1A240827" w14:textId="77777777" w:rsidR="00993781" w:rsidRPr="00AC7D6E" w:rsidRDefault="00993781" w:rsidP="00F8255E">
      <w:pPr>
        <w:pStyle w:val="a2"/>
      </w:pPr>
      <w:r w:rsidRPr="00AC7D6E">
        <w:rPr>
          <w:rtl/>
        </w:rPr>
        <w:t>וכתב עליו ש״פשוט שאינו כן, וכפי שבארתי ב"הלכות אמירה לנכרי" ע' יב-ג, בהערה ט״</w:t>
      </w:r>
      <w:r w:rsidRPr="00AC7D6E">
        <w:rPr>
          <w:rFonts w:hint="cs"/>
          <w:rtl/>
        </w:rPr>
        <w:t>,</w:t>
      </w:r>
      <w:r w:rsidRPr="00AC7D6E">
        <w:rPr>
          <w:rtl/>
        </w:rPr>
        <w:t xml:space="preserve"> וה</w:t>
      </w:r>
      <w:r w:rsidRPr="00AC7D6E">
        <w:rPr>
          <w:rFonts w:hint="cs"/>
          <w:rtl/>
        </w:rPr>
        <w:t>אריך</w:t>
      </w:r>
      <w:r w:rsidRPr="00AC7D6E">
        <w:rPr>
          <w:rtl/>
        </w:rPr>
        <w:t xml:space="preserve"> שם לבאר </w:t>
      </w:r>
      <w:r w:rsidRPr="00AC7D6E">
        <w:rPr>
          <w:rFonts w:hint="cs"/>
          <w:rtl/>
        </w:rPr>
        <w:t xml:space="preserve">איך </w:t>
      </w:r>
      <w:r w:rsidRPr="00AC7D6E">
        <w:rPr>
          <w:rtl/>
        </w:rPr>
        <w:t xml:space="preserve">שרבים נכשלים בזה, דאסור מטעם </w:t>
      </w:r>
      <w:r w:rsidRPr="00AC7D6E">
        <w:rPr>
          <w:b/>
          <w:bCs/>
          <w:rtl/>
        </w:rPr>
        <w:t>שליחות</w:t>
      </w:r>
      <w:r w:rsidRPr="00AC7D6E">
        <w:rPr>
          <w:rtl/>
        </w:rPr>
        <w:t>, ואינו מותר אלא ב</w:t>
      </w:r>
      <w:r w:rsidRPr="00AC7D6E">
        <w:rPr>
          <w:b/>
          <w:bCs/>
          <w:rtl/>
        </w:rPr>
        <w:t>נכרי המכירו</w:t>
      </w:r>
      <w:r w:rsidRPr="00F8255E">
        <w:rPr>
          <w:rStyle w:val="FootnoteReference"/>
          <w:sz w:val="22"/>
          <w:szCs w:val="22"/>
          <w:rtl/>
        </w:rPr>
        <w:footnoteReference w:id="59"/>
      </w:r>
      <w:r w:rsidRPr="00F8255E">
        <w:rPr>
          <w:rtl/>
        </w:rPr>
        <w:t xml:space="preserve"> </w:t>
      </w:r>
      <w:r w:rsidRPr="00AC7D6E">
        <w:rPr>
          <w:rtl/>
        </w:rPr>
        <w:t xml:space="preserve">שאז הנכרי יש לו שקול הדעת ששוקל בדעתו שכך ראוי לו לעשות, מפני שישתכר בו עכשיו, או לאחר זמן, ולהנאת עצמו הוא מתכוין, כמ״ש בשו״ע אדה״ז סי׳ שלד סעיף כו וסי' רמז סעיף ט וסי' רנב ס"י וסי' שכה ס"כ. </w:t>
      </w:r>
      <w:r w:rsidRPr="00AC7D6E">
        <w:rPr>
          <w:rFonts w:hint="cs"/>
          <w:rtl/>
        </w:rPr>
        <w:t>דבאינו מכירו</w:t>
      </w:r>
      <w:r w:rsidRPr="00AC7D6E">
        <w:rPr>
          <w:rtl/>
        </w:rPr>
        <w:t xml:space="preserve"> אין הנכרי מצפה לקבל טובת הנאה בעד עמלו, ואם כן עשייתו היא בתורת שליחות האסורה.</w:t>
      </w:r>
      <w:r w:rsidRPr="00AC7D6E">
        <w:rPr>
          <w:rFonts w:hint="cs"/>
          <w:rtl/>
        </w:rPr>
        <w:t xml:space="preserve"> </w:t>
      </w:r>
      <w:r w:rsidRPr="00AC7D6E">
        <w:rPr>
          <w:rtl/>
        </w:rPr>
        <w:t>ו</w:t>
      </w:r>
      <w:r w:rsidRPr="00AC7D6E">
        <w:rPr>
          <w:rFonts w:hint="cs"/>
          <w:rtl/>
        </w:rPr>
        <w:t>רצה לדייק כן גם</w:t>
      </w:r>
      <w:r w:rsidRPr="00AC7D6E">
        <w:rPr>
          <w:rtl/>
        </w:rPr>
        <w:t xml:space="preserve"> </w:t>
      </w:r>
      <w:r w:rsidRPr="00AC7D6E">
        <w:rPr>
          <w:rFonts w:hint="cs"/>
          <w:rtl/>
        </w:rPr>
        <w:t>מ</w:t>
      </w:r>
      <w:r w:rsidRPr="00AC7D6E">
        <w:rPr>
          <w:rtl/>
        </w:rPr>
        <w:t>המהדו"ב.</w:t>
      </w:r>
    </w:p>
    <w:p w14:paraId="73597CC8" w14:textId="77777777" w:rsidR="00993781" w:rsidRPr="00AC7D6E" w:rsidRDefault="00993781" w:rsidP="00F8255E">
      <w:pPr>
        <w:pStyle w:val="a2"/>
        <w:rPr>
          <w:rtl/>
          <w:lang w:val="en-AU"/>
        </w:rPr>
      </w:pPr>
      <w:r w:rsidRPr="00AC7D6E">
        <w:rPr>
          <w:rtl/>
          <w:lang w:val="en-AU"/>
        </w:rPr>
        <w:lastRenderedPageBreak/>
        <w:t>והנה מה שהחליט הרב לוין שה</w:t>
      </w:r>
      <w:r w:rsidRPr="00AC7D6E">
        <w:rPr>
          <w:rFonts w:hint="cs"/>
          <w:rtl/>
          <w:lang w:val="en-AU"/>
        </w:rPr>
        <w:t>מספר</w:t>
      </w:r>
      <w:r w:rsidRPr="00AC7D6E">
        <w:rPr>
          <w:rtl/>
          <w:lang w:val="en-AU"/>
        </w:rPr>
        <w:t xml:space="preserve"> </w:t>
      </w:r>
      <w:r w:rsidRPr="00AC7D6E">
        <w:rPr>
          <w:rFonts w:hint="cs"/>
          <w:rtl/>
          <w:lang w:val="en-AU"/>
        </w:rPr>
        <w:t>ל</w:t>
      </w:r>
      <w:r w:rsidRPr="00AC7D6E">
        <w:rPr>
          <w:rtl/>
          <w:lang w:val="en-AU"/>
        </w:rPr>
        <w:t xml:space="preserve">נכרי מן הרחוב ומודיע לו צערו ואותו הנכרי נכנס לבית הישראל ועושה לו מלאכה וכו' - אין נכרי כזה מצפה להטבה, </w:t>
      </w:r>
      <w:r w:rsidRPr="00AC7D6E">
        <w:rPr>
          <w:rFonts w:hint="cs"/>
          <w:rtl/>
          <w:lang w:val="en-AU"/>
        </w:rPr>
        <w:t>אינו מובן כ״כ ואדרבה מסתבר לומר ש</w:t>
      </w:r>
      <w:r w:rsidRPr="00AC7D6E">
        <w:rPr>
          <w:rtl/>
          <w:lang w:val="en-AU"/>
        </w:rPr>
        <w:t>גם נכרי מן הרחוב שייך לצפות להטבה. ו</w:t>
      </w:r>
      <w:r w:rsidRPr="00AC7D6E">
        <w:rPr>
          <w:rFonts w:hint="cs"/>
          <w:rtl/>
          <w:lang w:val="en-AU"/>
        </w:rPr>
        <w:t>עוד, ד</w:t>
      </w:r>
      <w:r w:rsidRPr="00AC7D6E">
        <w:rPr>
          <w:rtl/>
          <w:lang w:val="en-AU"/>
        </w:rPr>
        <w:t xml:space="preserve">אי </w:t>
      </w:r>
      <w:r w:rsidRPr="00AC7D6E">
        <w:rPr>
          <w:rFonts w:hint="cs"/>
          <w:rtl/>
          <w:lang w:val="en-AU"/>
        </w:rPr>
        <w:t xml:space="preserve">הוה </w:t>
      </w:r>
      <w:r w:rsidRPr="00AC7D6E">
        <w:rPr>
          <w:rtl/>
          <w:lang w:val="en-AU"/>
        </w:rPr>
        <w:t>ס״ל לאדה״ז ש</w:t>
      </w:r>
      <w:r w:rsidRPr="00AC7D6E">
        <w:rPr>
          <w:rFonts w:hint="cs"/>
          <w:rtl/>
          <w:lang w:val="en-AU"/>
        </w:rPr>
        <w:t>רק במכירו מותר</w:t>
      </w:r>
      <w:r w:rsidRPr="00AC7D6E">
        <w:rPr>
          <w:rtl/>
          <w:lang w:val="en-AU"/>
        </w:rPr>
        <w:t xml:space="preserve">, לא הו״ל </w:t>
      </w:r>
      <w:r>
        <w:rPr>
          <w:rFonts w:hint="cs"/>
          <w:rtl/>
          <w:lang w:val="en-AU"/>
        </w:rPr>
        <w:t xml:space="preserve">לאדה״ז </w:t>
      </w:r>
      <w:r w:rsidRPr="00AC7D6E">
        <w:rPr>
          <w:rtl/>
          <w:lang w:val="en-AU"/>
        </w:rPr>
        <w:t xml:space="preserve">לסתום אלא לפרש בכל המקומות דלעיל </w:t>
      </w:r>
      <w:r w:rsidRPr="00AC7D6E">
        <w:rPr>
          <w:rFonts w:hint="cs"/>
          <w:rtl/>
          <w:lang w:val="en-AU"/>
        </w:rPr>
        <w:t>ש</w:t>
      </w:r>
      <w:r w:rsidRPr="00AC7D6E">
        <w:rPr>
          <w:rtl/>
          <w:lang w:val="en-AU"/>
        </w:rPr>
        <w:t xml:space="preserve">בנכרי </w:t>
      </w:r>
      <w:r w:rsidRPr="00AC7D6E">
        <w:rPr>
          <w:rFonts w:hint="cs"/>
          <w:rtl/>
          <w:lang w:val="en-AU"/>
        </w:rPr>
        <w:t xml:space="preserve">שאינו </w:t>
      </w:r>
      <w:r w:rsidRPr="00AC7D6E">
        <w:rPr>
          <w:rtl/>
          <w:lang w:val="en-AU"/>
        </w:rPr>
        <w:t xml:space="preserve">מכירו </w:t>
      </w:r>
      <w:r w:rsidRPr="00AC7D6E">
        <w:rPr>
          <w:rFonts w:hint="cs"/>
          <w:rtl/>
          <w:lang w:val="en-AU"/>
        </w:rPr>
        <w:t>אסור</w:t>
      </w:r>
      <w:r w:rsidRPr="00AC7D6E">
        <w:rPr>
          <w:rtl/>
          <w:lang w:val="en-AU"/>
        </w:rPr>
        <w:t>.</w:t>
      </w:r>
    </w:p>
    <w:p w14:paraId="4B1502D6" w14:textId="715BCB94" w:rsidR="00993781" w:rsidRPr="00AC7D6E" w:rsidRDefault="00993781" w:rsidP="00F8255E">
      <w:pPr>
        <w:pStyle w:val="a2"/>
        <w:rPr>
          <w:rtl/>
        </w:rPr>
      </w:pPr>
      <w:r w:rsidRPr="00AC7D6E">
        <w:rPr>
          <w:rtl/>
        </w:rPr>
        <w:t>וכ״מ בשוע"ר סי' שז ס"ז: "נכרי שהביא אגרת חתומה או קשורה, שאין הישראל יכול לפותחה ולקוראה, יכול לומר להנכרי איני יכול לקרותה כל זמן שאינה פתוחה, והנכרי פותחה מעצמו, שהרי אינו אומר לו שום ציווי אפילו ברמז, אלא שהנכרי מבין מעצמו שצריך לעשות כן</w:t>
      </w:r>
      <w:r w:rsidR="00F8255E">
        <w:rPr>
          <w:rFonts w:hint="cs"/>
          <w:rtl/>
        </w:rPr>
        <w:t>"</w:t>
      </w:r>
      <w:r w:rsidRPr="00AC7D6E">
        <w:rPr>
          <w:rtl/>
        </w:rPr>
        <w:t>.</w:t>
      </w:r>
    </w:p>
    <w:p w14:paraId="001AA117" w14:textId="77777777" w:rsidR="00993781" w:rsidRPr="00AC7D6E" w:rsidRDefault="00993781" w:rsidP="00F8255E">
      <w:pPr>
        <w:pStyle w:val="a2"/>
        <w:rPr>
          <w:rtl/>
        </w:rPr>
      </w:pPr>
      <w:r w:rsidRPr="00AC7D6E">
        <w:rPr>
          <w:rtl/>
        </w:rPr>
        <w:t>ואע״פ שכתב שם ובסעיף ח (בסוגריים</w:t>
      </w:r>
      <w:r w:rsidRPr="00F8255E">
        <w:rPr>
          <w:rStyle w:val="FootnoteReference"/>
          <w:sz w:val="22"/>
          <w:szCs w:val="22"/>
          <w:rtl/>
        </w:rPr>
        <w:footnoteReference w:id="60"/>
      </w:r>
      <w:r w:rsidRPr="00AC7D6E">
        <w:rPr>
          <w:rtl/>
        </w:rPr>
        <w:t xml:space="preserve">) שאין צריך למחות בידו כיון שלדעת עצמו הוא עושה ״להשלים פעולתו בשליחות אגרת זו״ ״וכגון שאין המלאכה נעשית בחפצים של ישראל״, היינו דוקא לפי שיטתו בשו״ע שכשהמלאכה נעשית בחפצים של ישראל צריך למחות כשנעשית בשביל הישראל. משא״כ לפי מסקנתו במהדו״ב לסי׳ רמג שכשאין גוף הישראל נהנה ממלאכה זו [הנאה גמורה, ראה סי׳ רעו ס״ה] אין צריך למחות אפי׳ בשל ישראל, מותר גם בלאו הכי. </w:t>
      </w:r>
      <w:r w:rsidRPr="00AC7D6E">
        <w:rPr>
          <w:rFonts w:hint="cs"/>
          <w:rtl/>
        </w:rPr>
        <w:t>[</w:t>
      </w:r>
      <w:r w:rsidRPr="00AC7D6E">
        <w:rPr>
          <w:rtl/>
        </w:rPr>
        <w:t>ובפרט שבסימן שז ס״ז כתב (רק) ״</w:t>
      </w:r>
      <w:r w:rsidRPr="00AC7D6E">
        <w:rPr>
          <w:b/>
          <w:bCs/>
          <w:rtl/>
        </w:rPr>
        <w:t>כגון</w:t>
      </w:r>
      <w:r w:rsidRPr="00AC7D6E">
        <w:rPr>
          <w:rtl/>
        </w:rPr>
        <w:t xml:space="preserve"> נכרי שהביא אגרת״ </w:t>
      </w:r>
      <w:r w:rsidRPr="00AC7D6E">
        <w:rPr>
          <w:rFonts w:hint="cs"/>
          <w:rtl/>
        </w:rPr>
        <w:t xml:space="preserve">דלפי״ז </w:t>
      </w:r>
      <w:r w:rsidRPr="00AC7D6E">
        <w:rPr>
          <w:rtl/>
        </w:rPr>
        <w:t xml:space="preserve">י״ל </w:t>
      </w:r>
      <w:r w:rsidRPr="00AC7D6E">
        <w:rPr>
          <w:rFonts w:hint="cs"/>
          <w:rtl/>
        </w:rPr>
        <w:t>ש</w:t>
      </w:r>
      <w:r w:rsidRPr="00AC7D6E">
        <w:rPr>
          <w:rtl/>
        </w:rPr>
        <w:t>מ״ש בסוגריים אינו אלא לרווחא דמילתא.</w:t>
      </w:r>
      <w:r w:rsidRPr="00AC7D6E">
        <w:rPr>
          <w:rFonts w:hint="cs"/>
          <w:rtl/>
        </w:rPr>
        <w:t>]</w:t>
      </w:r>
    </w:p>
    <w:p w14:paraId="31A9BE6D" w14:textId="723CF571" w:rsidR="00993781" w:rsidRPr="00AC7D6E" w:rsidRDefault="00993781" w:rsidP="00F8255E">
      <w:pPr>
        <w:pStyle w:val="a2"/>
        <w:rPr>
          <w:rtl/>
        </w:rPr>
      </w:pPr>
      <w:r w:rsidRPr="00AC7D6E">
        <w:rPr>
          <w:rtl/>
        </w:rPr>
        <w:t>ובכלל יש לעיין בסברת הרב לוין ביסוד איסור שליחות</w:t>
      </w:r>
      <w:r w:rsidRPr="00F8255E">
        <w:rPr>
          <w:rStyle w:val="FootnoteReference"/>
          <w:rtl/>
        </w:rPr>
        <w:footnoteReference w:id="61"/>
      </w:r>
      <w:r w:rsidRPr="00AC7D6E">
        <w:rPr>
          <w:rtl/>
        </w:rPr>
        <w:t xml:space="preserve"> בנדו״ד שהרי בשו״ת צ״צ או״ח סי׳ כט הקשה על </w:t>
      </w:r>
      <w:r w:rsidRPr="00AC7D6E">
        <w:rPr>
          <w:rFonts w:hint="cs"/>
          <w:rtl/>
        </w:rPr>
        <w:t>מ״ש אדה״ז</w:t>
      </w:r>
      <w:r w:rsidRPr="00AC7D6E">
        <w:rPr>
          <w:rtl/>
        </w:rPr>
        <w:t xml:space="preserve"> שיש שליחות גם בלי אמירה של ישראל</w:t>
      </w:r>
      <w:r w:rsidRPr="00AC7D6E">
        <w:rPr>
          <w:rStyle w:val="FootnoteReference"/>
          <w:rFonts w:asciiTheme="majorBidi" w:hAnsiTheme="majorBidi" w:cstheme="majorBidi"/>
          <w:rtl/>
        </w:rPr>
        <w:footnoteReference w:id="62"/>
      </w:r>
      <w:r w:rsidRPr="00AC7D6E">
        <w:rPr>
          <w:rtl/>
        </w:rPr>
        <w:t xml:space="preserve"> ומתרץ שרק בזכות </w:t>
      </w:r>
      <w:r w:rsidRPr="00AC7D6E">
        <w:rPr>
          <w:b/>
          <w:bCs/>
          <w:rtl/>
        </w:rPr>
        <w:t>גמור</w:t>
      </w:r>
      <w:r w:rsidRPr="00AC7D6E">
        <w:rPr>
          <w:rtl/>
        </w:rPr>
        <w:t xml:space="preserve"> חשוב כמו שלוחו (או מחזי כשלוחו)</w:t>
      </w:r>
      <w:r>
        <w:rPr>
          <w:rFonts w:hint="cs"/>
          <w:rtl/>
        </w:rPr>
        <w:t xml:space="preserve"> מטעם זכין כו׳</w:t>
      </w:r>
      <w:r w:rsidRPr="00AC7D6E">
        <w:rPr>
          <w:rtl/>
        </w:rPr>
        <w:t>, משא״כ כשעושה ה</w:t>
      </w:r>
      <w:r w:rsidRPr="00AC7D6E">
        <w:rPr>
          <w:rFonts w:hint="cs"/>
          <w:rtl/>
        </w:rPr>
        <w:t>נכרי</w:t>
      </w:r>
      <w:r w:rsidRPr="00AC7D6E">
        <w:rPr>
          <w:rtl/>
        </w:rPr>
        <w:t xml:space="preserve"> לקבל שכר דאז ה״ל כמו מקח וממכר ולא נעשה שלוחו שלא מדעתו. ועיי״ש בס״ה שמבאר עפ״ז מ״ש אדה״ז בקו״א סי׳ רסג ״שגם כשעושה מעצמו יש בו משום שליחות דהיינו כשעושה בחנם</w:t>
      </w:r>
      <w:r w:rsidR="00F8255E">
        <w:rPr>
          <w:rFonts w:hint="cs"/>
          <w:rtl/>
        </w:rPr>
        <w:t>"</w:t>
      </w:r>
      <w:r w:rsidRPr="00AC7D6E">
        <w:rPr>
          <w:rtl/>
        </w:rPr>
        <w:t>.</w:t>
      </w:r>
    </w:p>
    <w:p w14:paraId="5849256C" w14:textId="112F49C7" w:rsidR="00993781" w:rsidRPr="00AC7D6E" w:rsidRDefault="00993781" w:rsidP="00F8255E">
      <w:pPr>
        <w:pStyle w:val="a2"/>
        <w:rPr>
          <w:rtl/>
        </w:rPr>
      </w:pPr>
      <w:r>
        <w:rPr>
          <w:rFonts w:hint="cs"/>
          <w:rtl/>
        </w:rPr>
        <w:t>ד</w:t>
      </w:r>
      <w:r w:rsidRPr="00AC7D6E">
        <w:rPr>
          <w:rtl/>
        </w:rPr>
        <w:t xml:space="preserve">מסתבר לומר </w:t>
      </w:r>
      <w:r>
        <w:rPr>
          <w:rFonts w:hint="cs"/>
          <w:rtl/>
        </w:rPr>
        <w:t xml:space="preserve">לפי״ז </w:t>
      </w:r>
      <w:r w:rsidRPr="00AC7D6E">
        <w:rPr>
          <w:rtl/>
        </w:rPr>
        <w:t>שאין איסור שליחות אלא במקום שצריך למחות. דכמו ש</w:t>
      </w:r>
      <w:r w:rsidRPr="00AC7D6E">
        <w:rPr>
          <w:rFonts w:hint="cs"/>
          <w:rtl/>
        </w:rPr>
        <w:t>כ</w:t>
      </w:r>
      <w:r w:rsidRPr="00AC7D6E">
        <w:rPr>
          <w:rtl/>
        </w:rPr>
        <w:t>שאין הנאה לגוף הישראל מותר ליהנות מהמלאכה שעשה בשבילו</w:t>
      </w:r>
      <w:r w:rsidRPr="00AC7D6E">
        <w:rPr>
          <w:rFonts w:hint="cs"/>
          <w:rtl/>
        </w:rPr>
        <w:t xml:space="preserve"> (כמבואר </w:t>
      </w:r>
      <w:r w:rsidRPr="00AC7D6E">
        <w:rPr>
          <w:rtl/>
        </w:rPr>
        <w:t xml:space="preserve">ברסי׳ </w:t>
      </w:r>
      <w:r w:rsidRPr="00AC7D6E">
        <w:rPr>
          <w:rtl/>
        </w:rPr>
        <w:lastRenderedPageBreak/>
        <w:t>רעו</w:t>
      </w:r>
      <w:r w:rsidRPr="00AC7D6E">
        <w:rPr>
          <w:rFonts w:hint="cs"/>
          <w:rtl/>
        </w:rPr>
        <w:t>)</w:t>
      </w:r>
      <w:r w:rsidRPr="00AC7D6E">
        <w:rPr>
          <w:rtl/>
        </w:rPr>
        <w:t xml:space="preserve">, </w:t>
      </w:r>
      <w:r w:rsidRPr="00AC7D6E">
        <w:rPr>
          <w:rFonts w:hint="cs"/>
          <w:rtl/>
        </w:rPr>
        <w:t>כמו״כ</w:t>
      </w:r>
      <w:r w:rsidRPr="00AC7D6E">
        <w:rPr>
          <w:rtl/>
        </w:rPr>
        <w:t xml:space="preserve"> לפי המהדו״ב אין צריך למחות </w:t>
      </w:r>
      <w:r w:rsidRPr="00AC7D6E">
        <w:rPr>
          <w:rFonts w:hint="cs"/>
          <w:rtl/>
        </w:rPr>
        <w:t>ו</w:t>
      </w:r>
      <w:r w:rsidRPr="00AC7D6E">
        <w:rPr>
          <w:rtl/>
        </w:rPr>
        <w:t>לא נחשב ״שלוחו״</w:t>
      </w:r>
      <w:r w:rsidRPr="00F8255E">
        <w:rPr>
          <w:rStyle w:val="FootnoteReference"/>
          <w:rtl/>
        </w:rPr>
        <w:footnoteReference w:id="63"/>
      </w:r>
      <w:r w:rsidRPr="00AC7D6E">
        <w:rPr>
          <w:rtl/>
        </w:rPr>
        <w:t xml:space="preserve"> </w:t>
      </w:r>
      <w:r>
        <w:rPr>
          <w:rFonts w:hint="cs"/>
          <w:rtl/>
        </w:rPr>
        <w:t xml:space="preserve">אם </w:t>
      </w:r>
      <w:r w:rsidRPr="00AC7D6E">
        <w:rPr>
          <w:rtl/>
        </w:rPr>
        <w:t>לא ציווה לו לעשותו</w:t>
      </w:r>
      <w:r>
        <w:rPr>
          <w:rFonts w:hint="cs"/>
          <w:rtl/>
        </w:rPr>
        <w:t xml:space="preserve">, כיון שאינו זכות גמור </w:t>
      </w:r>
      <w:r w:rsidRPr="00AC7D6E">
        <w:rPr>
          <w:rtl/>
        </w:rPr>
        <w:t xml:space="preserve">כמו שאינו זכות גמור אם עושה ע״מ לקבל שכר (כמ״ש הצ״צ שם, דדמי למקח וממכר). </w:t>
      </w:r>
      <w:r>
        <w:rPr>
          <w:rFonts w:hint="cs"/>
          <w:rtl/>
        </w:rPr>
        <w:t>פוק חזי עמא דבר.</w:t>
      </w:r>
    </w:p>
    <w:p w14:paraId="327CE7E2" w14:textId="5E2E0AD8" w:rsidR="00993781" w:rsidRPr="00F8255E" w:rsidRDefault="00993781" w:rsidP="00F8255E">
      <w:pPr>
        <w:pStyle w:val="a2"/>
        <w:rPr>
          <w:rFonts w:cs="Times New Roman"/>
          <w:rtl/>
        </w:rPr>
      </w:pPr>
      <w:r w:rsidRPr="00AC7D6E">
        <w:rPr>
          <w:rFonts w:hint="cs"/>
          <w:rtl/>
        </w:rPr>
        <w:t>והחידוש בדליקה הוא שאע״פ שזכות גמור הוא לו, התירו לומר שכל המכבה אינו מפסיד</w:t>
      </w:r>
      <w:r w:rsidRPr="00F8255E">
        <w:rPr>
          <w:rStyle w:val="FootnoteReference"/>
          <w:rtl/>
        </w:rPr>
        <w:footnoteReference w:id="64"/>
      </w:r>
      <w:r w:rsidRPr="00AC7D6E">
        <w:rPr>
          <w:rFonts w:hint="cs"/>
          <w:rtl/>
        </w:rPr>
        <w:t xml:space="preserve"> </w:t>
      </w:r>
      <w:r>
        <w:rPr>
          <w:rFonts w:hint="cs"/>
          <w:rtl/>
        </w:rPr>
        <w:t>ולא חששו לשליחות</w:t>
      </w:r>
      <w:r w:rsidRPr="00F8255E">
        <w:rPr>
          <w:rStyle w:val="FootnoteReference"/>
          <w:rtl/>
        </w:rPr>
        <w:footnoteReference w:id="65"/>
      </w:r>
      <w:r>
        <w:rPr>
          <w:rFonts w:hint="cs"/>
          <w:rtl/>
        </w:rPr>
        <w:t>.</w:t>
      </w:r>
    </w:p>
    <w:p w14:paraId="1A3330E4" w14:textId="1FFBDCB5" w:rsidR="00993781" w:rsidRPr="00F8255E" w:rsidRDefault="00993781" w:rsidP="00F8255E">
      <w:pPr>
        <w:pStyle w:val="a2"/>
        <w:rPr>
          <w:rtl/>
        </w:rPr>
      </w:pPr>
      <w:r w:rsidRPr="00F8255E">
        <w:rPr>
          <w:rtl/>
        </w:rPr>
        <w:t>וידועה המליצה שאמר מרע״ה בנוגע לאלדד ומידד: המה בכתובים ולא יצאו האהלה - שידעו הענינים מהכתובים ולא יצאו לראות המציאות בשטח. ועז״א: הטל עליהם צרכי ציבור - להיות בשטח הרבנות - והם ״כלים״ מאליהם - מעצמם יתחילו כבר ״להקל״ על בנ״י. ודי למבין.</w:t>
      </w:r>
    </w:p>
    <w:p w14:paraId="649B122D" w14:textId="77777777" w:rsidR="00F8255E" w:rsidRDefault="00F8255E" w:rsidP="005E6E84">
      <w:pPr>
        <w:pStyle w:val="a4"/>
        <w:rPr>
          <w:rtl/>
        </w:rPr>
      </w:pPr>
      <w:r w:rsidRPr="00552D8B">
        <w:t>g</w:t>
      </w:r>
    </w:p>
    <w:p w14:paraId="784A2319" w14:textId="77777777" w:rsidR="00D22FBE" w:rsidRDefault="00D22FBE" w:rsidP="00D22FBE">
      <w:pPr>
        <w:pStyle w:val="a"/>
        <w:rPr>
          <w:rtl/>
        </w:rPr>
      </w:pPr>
      <w:bookmarkStart w:id="161" w:name="_Toc3515511"/>
      <w:r w:rsidRPr="005423B8">
        <w:rPr>
          <w:rtl/>
        </w:rPr>
        <w:t>חילופי חפץ שהגיע מחוץ לתחום (גליון)</w:t>
      </w:r>
      <w:bookmarkEnd w:id="161"/>
    </w:p>
    <w:p w14:paraId="4F316640" w14:textId="77777777" w:rsidR="00D22FBE" w:rsidRPr="00C11702" w:rsidRDefault="00D22FBE" w:rsidP="00D22FBE">
      <w:pPr>
        <w:pStyle w:val="a0"/>
        <w:rPr>
          <w:rtl/>
        </w:rPr>
      </w:pPr>
      <w:bookmarkStart w:id="162" w:name="_Toc3515512"/>
      <w:r>
        <w:rPr>
          <w:rFonts w:hint="cs"/>
          <w:rtl/>
        </w:rPr>
        <w:t xml:space="preserve">הרב </w:t>
      </w:r>
      <w:r w:rsidRPr="00C11702">
        <w:rPr>
          <w:rFonts w:hint="cs"/>
          <w:rtl/>
        </w:rPr>
        <w:t>מאיר צירקינד</w:t>
      </w:r>
      <w:bookmarkEnd w:id="162"/>
    </w:p>
    <w:p w14:paraId="352C7BF1" w14:textId="77777777" w:rsidR="00D22FBE" w:rsidRPr="008F5AFD" w:rsidRDefault="00D22FBE" w:rsidP="00D22FBE">
      <w:pPr>
        <w:pStyle w:val="a1"/>
        <w:spacing w:after="0"/>
        <w:rPr>
          <w:sz w:val="44"/>
          <w:szCs w:val="44"/>
          <w:rtl/>
        </w:rPr>
      </w:pPr>
      <w:r w:rsidRPr="00C11702">
        <w:rPr>
          <w:rFonts w:hint="cs"/>
          <w:rtl/>
        </w:rPr>
        <w:t>מיאמי פל.</w:t>
      </w:r>
    </w:p>
    <w:p w14:paraId="069BAC76" w14:textId="6FCEC8E3" w:rsidR="00D22FBE" w:rsidRPr="008F5AFD" w:rsidRDefault="00E259CC" w:rsidP="00D22FBE">
      <w:pPr>
        <w:pStyle w:val="a2"/>
        <w:rPr>
          <w:rtl/>
        </w:rPr>
      </w:pPr>
      <w:r>
        <w:rPr>
          <w:rFonts w:hint="cs"/>
          <w:rtl/>
        </w:rPr>
        <w:t xml:space="preserve">א. </w:t>
      </w:r>
      <w:r w:rsidR="00D22FBE" w:rsidRPr="008F5AFD">
        <w:rPr>
          <w:rtl/>
        </w:rPr>
        <w:t>בגליון א'ק"ס נשאלה השאלה "אחד נסע מביתו לחגוג חג הסוכות עם בתו וחתנו. בתום הטיסה, ראה שהכבודה (באגאז"ש) שלו לא הגיעה. בא-כח חברת התעופה בדק, והרגיעו שזו תגיע בטיסה של מחר, והם ידאגו להסיע המזוודה לבית מארחו. נתהווה השאלה, האם יוכלו להשתמש בחפצים שבכבודה שתגיע מחר ביום ראשון של החג, שהרי הובאה מחוץ לתחום?"</w:t>
      </w:r>
    </w:p>
    <w:p w14:paraId="1D33F187" w14:textId="77777777" w:rsidR="00D22FBE" w:rsidRPr="008F5AFD" w:rsidRDefault="00D22FBE" w:rsidP="00D22FBE">
      <w:pPr>
        <w:pStyle w:val="a2"/>
        <w:rPr>
          <w:rtl/>
        </w:rPr>
      </w:pPr>
      <w:r w:rsidRPr="008F5AFD">
        <w:rPr>
          <w:rtl/>
        </w:rPr>
        <w:t xml:space="preserve">ונראה ממ"ש כ"ק אדה"ז בשו"ע (סימן תקטו,כא) שיש מקום לומר שמותר אפילו למי שהובאו בשבילו. וזלה"ק שם: ישראל שקצץ דמים לנכרי שיביא לו דגים בערב יום טוב בעד סכום דמים אלו שקצץ לו ונשתהה הנכרי והביאן ביום טוב, אם </w:t>
      </w:r>
      <w:r w:rsidRPr="008F5AFD">
        <w:rPr>
          <w:rtl/>
        </w:rPr>
        <w:lastRenderedPageBreak/>
        <w:t xml:space="preserve">הוא בענין שיש להסתפק שמא ניצודו ביום טוב הרי אלו אסורין באכילה ובטלטול עד הערב כמ"ש למעלה. אבל בערב יש להסתפק אם צריך להמתין בכדי שיעשו, לפי שיש לומר שלא הצריכו חכמים להמתין בכדי שיעשו במלאכה הנעשית ביום טוב בשביל ישראל, אלא אם הוא בענין שאם נאסור [ל]הישראל ליהנות ממלאכה זו עד לאחר שימתין בערב בכדי שיעשו אזי לא יעשה הנכרי המלאכה ביום טוב עד הערב בשעה שהישראל רשאי ליהנות ממנה כגון שהישראל לא קצץ עם הנכרי שיעשה מלאכה זו בשבילו אלא הנכרי מדעת עצמו הוא עושה כן לצורך הישראל ואילו היה יודע הנכרי שהישראל לא יהנה ממנה ביום טוב בודאי לא היה מזרז את עצמו לעשותה ביום טוב ונמצא כשהנכרי עושה אותה ביום טוב בודאי עושה אותה לדעת כן שיהנה ממנה הישראל ביום טוב לפיכך קנסוהו חכמים שלא יהנה ממנה ביום טוב עצמו וגם לערב עד לאחר שימתין בכדי שיעשו </w:t>
      </w:r>
      <w:r w:rsidRPr="008F5AFD">
        <w:rPr>
          <w:b/>
          <w:bCs/>
          <w:rtl/>
        </w:rPr>
        <w:t>אבל כשהישראל קצץ עם הנכרי מערב יום טוב שיעשה לו מלאכה זו ואף אם נאסור להישראל ליהנות ממלאכה זו אעפ"כ יעשנה הנכרי להשלים קציצתו וליטול דמיו מהישראל נמצא כשהנכרי עושה המלאכה ביום טוב אינו עושה אותה בשביל שיהנה ממנה הישראל ביום טוב עצמו אלא בשביל עצמו הוא מזרז את עצמו למהר מלאכתו לפיכך אפשר שזהו דומה לקצץ עם הנכרי מערב שבת שיעשה לו מנעלים והביאן לו הנכרי בשבת שהן מותרים להישראל בו ביום כמ"ש בסי' רנ"ב ע"ש.</w:t>
      </w:r>
      <w:r w:rsidRPr="008F5AFD">
        <w:rPr>
          <w:rtl/>
        </w:rPr>
        <w:t xml:space="preserve"> וכבר נתבאר שם דיש אוסרין ללבוש המנעלים עד שימתין במוצאי שבת בכדי שיעשו ולדבריהם אף דגים אלו אסורין עד מוצאי יום טוב בכדי שיעשו. אבל לאחר כדי שיעשו אפשר שהן מותרים אף אם הוא יום טוב שני של גליות כמו שנתבאר לענין המנעלים. </w:t>
      </w:r>
      <w:r w:rsidRPr="008F5AFD">
        <w:rPr>
          <w:b/>
          <w:bCs/>
          <w:rtl/>
        </w:rPr>
        <w:t>ואם ידוע שדגים אלו ניצודו מערב יום טוב אלא שהביאן ביום טוב מחוץ לתחום כיון שאין כאן איסור מוקצה אפשר שהן מותרים אף בו ביום להמתירין גבי מנעלים וכבר ביארנו שם שבשעת הדחק (שהוא צריך למנעלים אלו בשבת) יש לסמוך על המתירין</w:t>
      </w:r>
      <w:r w:rsidRPr="008F5AFD">
        <w:rPr>
          <w:rtl/>
        </w:rPr>
        <w:t xml:space="preserve"> עיין שם כל פרטים אלו: עכלה"ק.</w:t>
      </w:r>
    </w:p>
    <w:p w14:paraId="6CC58688" w14:textId="77777777" w:rsidR="00D22FBE" w:rsidRPr="008F5AFD" w:rsidRDefault="00D22FBE" w:rsidP="00D22FBE">
      <w:pPr>
        <w:pStyle w:val="a2"/>
        <w:rPr>
          <w:rtl/>
        </w:rPr>
      </w:pPr>
      <w:r w:rsidRPr="008F5AFD">
        <w:rPr>
          <w:rtl/>
        </w:rPr>
        <w:t>ויש להאריך בזה ממ"ש ה'בית מאיר' (על אתר) "בכדי שיעשו. כתב המ"א ויש לדקדק וכו' דאם אין מביא בחנם רק הישראל קצץ לו מעות שיביא לו דגים מעי"ט והעכו"ם שהה והביאן בי"ט מותרים לערב מיד ואם הוא דבר שאין במינו במחובר ומחוסר צידה מותר אפי' בי"ט אפי' הביאו מחוץ לתחום''.</w:t>
      </w:r>
    </w:p>
    <w:p w14:paraId="70C6FBFA" w14:textId="77777777" w:rsidR="00D22FBE" w:rsidRPr="008F5AFD" w:rsidRDefault="00D22FBE" w:rsidP="00D22FBE">
      <w:pPr>
        <w:pStyle w:val="a2"/>
        <w:rPr>
          <w:rtl/>
        </w:rPr>
      </w:pPr>
      <w:r w:rsidRPr="008F5AFD">
        <w:rPr>
          <w:rtl/>
        </w:rPr>
        <w:t xml:space="preserve">וקשה חדא הא בסעי׳ ט׳ לא נראה הכי דהא מסתמא ישראל ששיגר דורן ע"י גוי בלי ספק הי' שליח בשכר ומ״מ לא התיר הרשב״א התם אלא מן הטעם שלא הי׳ של הגוי המביא עי"ש בב"י. ותו דאם בקציצה יהא שרי אפי' לאותו ישראל, הא גוי שמביא דורן ודאי דאינו בחנם אם לא שקיבל טובת הנאה מהישראל והרי בסי' רמ"ז סעי' ד' מבואר לכל הפחות דבמקום שהגוי מתחיל עם הישראל הוי כקצץ. תו קשה הרי בפרק בכל מערבין איתא דף ע' כיון דחזא דקא מפשו ומייתי אסר להו. והוא משום דהוא בא בשביל ישראל. והרי זה שמביא למכור ודאי אדעתי' דנפשי' כדי למכור פירותיו </w:t>
      </w:r>
      <w:r w:rsidRPr="008F5AFD">
        <w:rPr>
          <w:rtl/>
        </w:rPr>
        <w:lastRenderedPageBreak/>
        <w:t>ולפדות הדמים ולא אדעתי' דטובת ישראל. והכי מבואר בב"י סי׳ רנ"ב [ד]כתב וי״ל דשאני מנעלים דאין דרך בני אדם לתת לו מלאכה לעשות אלא הוא משלו ומוכר הילכך אפילו עשאה בי"ט לית לן בה דבדדי' קטרח וכן פסק שם הרמ"א. ולמה אסר רבא? א״ו דקציצה נמי אסר.</w:t>
      </w:r>
    </w:p>
    <w:p w14:paraId="1CBD874E" w14:textId="77777777" w:rsidR="00D22FBE" w:rsidRPr="008F5AFD" w:rsidRDefault="00D22FBE" w:rsidP="00D22FBE">
      <w:pPr>
        <w:pStyle w:val="a2"/>
        <w:rPr>
          <w:rtl/>
        </w:rPr>
      </w:pPr>
      <w:r w:rsidRPr="008F5AFD">
        <w:rPr>
          <w:rtl/>
        </w:rPr>
        <w:t xml:space="preserve">ומה שכתב דהא אפי' עשה העכו"ם מלבוש בי״ט מותר ללבוש אם קצץ וכו' ק״ו כשבא מח״ל (=מחוץ לתחום). תמהני איך שכח דברי עצמו שהרי בסי׳ רנ"ב ס"ק י״א מביא דברי הר״ן שהם בלשון זה "ומסתברא לי דכל שקצץ אע"פ שעשה הגוי מלאכה בשבת מותר לישראל ללבוש הכלים בשבת עצמו ולא דמי לההוא דאמרינן בפרק כל כתבי: גוי שהדליק את הנר שאם בשביל ישראל אסור להשתמש לאורו דהתם משום דגוי אדעתא דישראל קא עביד אבל כל שקצץ אדעתי׳ דנפשי׳ קעביד ושרי ישראל להשתמש אפי׳ בשבת". וכתב המ״א שם פי׳ שמדליקו בשבת כדי שישתמש בו הישראל </w:t>
      </w:r>
      <w:r w:rsidRPr="008F5AFD">
        <w:rPr>
          <w:b/>
          <w:bCs/>
          <w:rtl/>
        </w:rPr>
        <w:t>עכשיו</w:t>
      </w:r>
      <w:r w:rsidRPr="008F5AFD">
        <w:rPr>
          <w:rtl/>
        </w:rPr>
        <w:t xml:space="preserve"> משא"כ כאן שעושה להשלים פעולתו. ובודאי פירושו מוכרח דא"ל דהר"ן חולק על כל הפוסקים שבסי׳ רע״ו ומתיר אפי׳ בהדלקת נר כל שעושה בקציצה דא״כ מה זה שמחליט דהתם משום דנכרי אדעתא דישראל קא עביד הא בקציצה עביד אדעתי׳ דנפשי׳ והי׳ לו אך לומר דהת׳ איירי בלא קצן</w:t>
      </w:r>
    </w:p>
    <w:p w14:paraId="2DFC7AF4" w14:textId="77777777" w:rsidR="00D22FBE" w:rsidRPr="008F5AFD" w:rsidRDefault="00D22FBE" w:rsidP="00D22FBE">
      <w:pPr>
        <w:pStyle w:val="a2"/>
        <w:rPr>
          <w:rtl/>
        </w:rPr>
      </w:pPr>
      <w:r w:rsidRPr="008F5AFD">
        <w:rPr>
          <w:rtl/>
        </w:rPr>
        <w:t xml:space="preserve">אלא ודאי מוכרח פירושו </w:t>
      </w:r>
      <w:r w:rsidRPr="008F5AFD">
        <w:rPr>
          <w:b/>
          <w:bCs/>
          <w:rtl/>
        </w:rPr>
        <w:t>דכל דעביד כדי שישתמש בו הישראל עכשיו לא מהני הקציצה</w:t>
      </w:r>
      <w:r w:rsidRPr="008F5AFD">
        <w:rPr>
          <w:rtl/>
        </w:rPr>
        <w:t xml:space="preserve"> וא״כ המביא מח״ל הא מביאו כדי שישתמש בו הישראל </w:t>
      </w:r>
      <w:r w:rsidRPr="008F5AFD">
        <w:rPr>
          <w:b/>
          <w:bCs/>
          <w:rtl/>
        </w:rPr>
        <w:t>עכשיו</w:t>
      </w:r>
      <w:r w:rsidRPr="008F5AFD">
        <w:rPr>
          <w:rtl/>
        </w:rPr>
        <w:t xml:space="preserve"> והוא ממש דומה לנכרי שהדליק בשביל ישראל." עכ"ל.</w:t>
      </w:r>
    </w:p>
    <w:p w14:paraId="4A059E49" w14:textId="77777777" w:rsidR="00D22FBE" w:rsidRPr="008F5AFD" w:rsidRDefault="00D22FBE" w:rsidP="00D22FBE">
      <w:pPr>
        <w:pStyle w:val="a2"/>
        <w:rPr>
          <w:rtl/>
        </w:rPr>
      </w:pPr>
      <w:r w:rsidRPr="008F5AFD">
        <w:rPr>
          <w:rtl/>
        </w:rPr>
        <w:t xml:space="preserve">ונראה שמשום קושיא הנ"ל הוסיף כ"ק "אבל כשהישראל קצץ עם הנכרי מעי"ט שיעשה לו מלאכה זו ואף אם נאסור להישראל ליהנות ממלאכה זו </w:t>
      </w:r>
      <w:r w:rsidRPr="008F5AFD">
        <w:rPr>
          <w:b/>
          <w:bCs/>
          <w:rtl/>
        </w:rPr>
        <w:t xml:space="preserve">אעפ"כ יעשנה הנכרי להשלים </w:t>
      </w:r>
      <w:r w:rsidRPr="008F5AFD">
        <w:rPr>
          <w:rtl/>
        </w:rPr>
        <w:t xml:space="preserve">וליטול דמיו מהישראל נמצא כשהנכרי עושה המלאכה ביום טוב אינו עושה אותה בשביל שיהנה ממנה הישראל </w:t>
      </w:r>
      <w:r w:rsidRPr="008F5AFD">
        <w:rPr>
          <w:b/>
          <w:bCs/>
          <w:rtl/>
        </w:rPr>
        <w:t>ביום טוב עצמו</w:t>
      </w:r>
      <w:r w:rsidRPr="008F5AFD">
        <w:rPr>
          <w:rtl/>
        </w:rPr>
        <w:t xml:space="preserve"> אלא בשביל עצמו הוא מזרז את עצמו למהר מלאכתו". (ההדגשה היא שהנכרי עושה הפעולה שלא על מנת שיהנה ממנה הישראל ביום טוב עצמו).</w:t>
      </w:r>
    </w:p>
    <w:p w14:paraId="54962079" w14:textId="77777777" w:rsidR="00D22FBE" w:rsidRPr="008F5AFD" w:rsidRDefault="00D22FBE" w:rsidP="00D22FBE">
      <w:pPr>
        <w:pStyle w:val="a2"/>
        <w:rPr>
          <w:rtl/>
        </w:rPr>
      </w:pPr>
      <w:r w:rsidRPr="008F5AFD">
        <w:rPr>
          <w:rtl/>
        </w:rPr>
        <w:t>מ"מ נחזור לענינינו בשאלה הנ"ל, חברת התעופה יש להם דין קציצה (דהא קונים כרטיסי טיסה</w:t>
      </w:r>
      <w:r w:rsidRPr="008F5AFD">
        <w:t xml:space="preserve"> </w:t>
      </w:r>
      <w:r w:rsidRPr="008F5AFD">
        <w:rPr>
          <w:rtl/>
        </w:rPr>
        <w:t>ובזה מחייבים את עצמם להעביר ללקוח כל דבר שלא בא איתו) ולא איפכת להו האם הישראל יהנה ממנה ביום טוב עצמו או לא, אלא הם עושים זאת בשביל עצמם, הם מזרזים את עצמם למהר מלאכתם.</w:t>
      </w:r>
    </w:p>
    <w:p w14:paraId="1E68A683" w14:textId="77777777" w:rsidR="00D22FBE" w:rsidRPr="008F5AFD" w:rsidRDefault="00D22FBE" w:rsidP="00D22FBE">
      <w:pPr>
        <w:pStyle w:val="a2"/>
        <w:rPr>
          <w:rtl/>
        </w:rPr>
      </w:pPr>
      <w:r w:rsidRPr="008F5AFD">
        <w:rPr>
          <w:rtl/>
        </w:rPr>
        <w:t>ואת"ל שהנהג (</w:t>
      </w:r>
      <w:r w:rsidRPr="008F5AFD">
        <w:t>driver</w:t>
      </w:r>
      <w:r w:rsidRPr="008F5AFD">
        <w:rPr>
          <w:rtl/>
        </w:rPr>
        <w:t>)</w:t>
      </w:r>
      <w:r>
        <w:rPr>
          <w:rtl/>
        </w:rPr>
        <w:t xml:space="preserve"> </w:t>
      </w:r>
      <w:r w:rsidRPr="008F5AFD">
        <w:rPr>
          <w:rtl/>
        </w:rPr>
        <w:t xml:space="preserve">עצמו הוא שכיר יום? י"ל שאעפ"כ דין קבלן יש כאן, וכמו שכתב כ"ק בסימן רמד,ח' "ומטעם זה יש להתיר להניח לנכרים לבנות בית הכנסת בשבת אם הוא מקום שמפורסם בו דרך בנין הבתים ע"י אומנים קבלנים ולא ע"י </w:t>
      </w:r>
      <w:r w:rsidRPr="008F5AFD">
        <w:rPr>
          <w:rtl/>
        </w:rPr>
        <w:lastRenderedPageBreak/>
        <w:t xml:space="preserve">שכירי יום כמו שהוא ברוב המקומות </w:t>
      </w:r>
      <w:r w:rsidRPr="008F5AFD">
        <w:rPr>
          <w:b/>
          <w:bCs/>
          <w:rtl/>
        </w:rPr>
        <w:t>שהאדריכל לבדו הוא קבלן והאומנים עושי מלאכה שתחתיו הם שכירי יום</w:t>
      </w:r>
      <w:r w:rsidRPr="008F5AFD">
        <w:rPr>
          <w:rtl/>
        </w:rPr>
        <w:t>". (אלא ששם יש טעם אחר להחמיר שאינו שייך כאן).</w:t>
      </w:r>
    </w:p>
    <w:p w14:paraId="4385A269" w14:textId="3BAD53AC" w:rsidR="00D22FBE" w:rsidRPr="008F5AFD" w:rsidRDefault="00D22FBE" w:rsidP="00E259CC">
      <w:pPr>
        <w:pStyle w:val="a2"/>
        <w:rPr>
          <w:rtl/>
        </w:rPr>
      </w:pPr>
      <w:r w:rsidRPr="008F5AFD">
        <w:rPr>
          <w:rtl/>
        </w:rPr>
        <w:t xml:space="preserve">אלא שמ"מ כ"ק כתבו בלשון אפשר. וב'דעת תורה' (מהרש"ם) (על סעיף ט') איתא, וז"ל ונשאלתי באחד ששלח לחבירו מעיו"ט דגים על הבי דואר וידע שיוליכום ביו"ט ובאו ביו"ט ליד הישראל מחוץ לתחום, אם מותר לאכלם? ונראה דכיון דע"י הבי דואר מותר לשלוח כמו שכתוב לעיל סימן רמ"ז אין לגזור "שמא יאמר להביא באיסור", כמ"ש המג"א סוסי' תרכ"ד בשם </w:t>
      </w:r>
      <w:r w:rsidRPr="008F5AFD">
        <w:rPr>
          <w:rFonts w:ascii="Times New Roman" w:hAnsi="Times New Roman" w:cs="Times New Roman" w:hint="cs"/>
          <w:rtl/>
        </w:rPr>
        <w:t>‏</w:t>
      </w:r>
      <w:r w:rsidRPr="008F5AFD">
        <w:rPr>
          <w:rFonts w:hint="cs"/>
          <w:rtl/>
        </w:rPr>
        <w:t>תשוב</w:t>
      </w:r>
      <w:r w:rsidRPr="008F5AFD">
        <w:rPr>
          <w:rtl/>
        </w:rPr>
        <w:t xml:space="preserve">ת מהר"ם... ורק משום מוקצה יש לאסור, ותליא בפלוגתת המג"א והא"ר בסקכ"ז כאן, שהמג"א מחמיר והא"ר פסק להקל בשעה"ד גם בלא הי' דעתו מאתמול. ובנ"ד הרי הודיעו קודם יו"ט ששולח לו וא"כ לכו"ע שרי. </w:t>
      </w:r>
    </w:p>
    <w:p w14:paraId="78B47394" w14:textId="036FB711" w:rsidR="00D22FBE" w:rsidRPr="008F5AFD" w:rsidRDefault="00E259CC" w:rsidP="00D22FBE">
      <w:pPr>
        <w:pStyle w:val="a2"/>
        <w:rPr>
          <w:rtl/>
        </w:rPr>
      </w:pPr>
      <w:r>
        <w:rPr>
          <w:rFonts w:hint="cs"/>
          <w:rtl/>
        </w:rPr>
        <w:t xml:space="preserve">ב. </w:t>
      </w:r>
      <w:r w:rsidR="00D22FBE" w:rsidRPr="008F5AFD">
        <w:rPr>
          <w:rtl/>
        </w:rPr>
        <w:t>מכל הנ"ל יש לחזק מה שכתבו בגליון הנ"ל "ואפילו בקורא את הנכרי המכירו לביתו, ואומר לו בדרך סיפור, שהוא נחשב כקבלנות, מטעם שמצפה לטובת הנאה.</w:t>
      </w:r>
    </w:p>
    <w:p w14:paraId="3DC2E203" w14:textId="77777777" w:rsidR="00D22FBE" w:rsidRPr="008F5AFD" w:rsidRDefault="00D22FBE" w:rsidP="00D22FBE">
      <w:pPr>
        <w:pStyle w:val="a2"/>
        <w:rPr>
          <w:rtl/>
        </w:rPr>
      </w:pPr>
      <w:r w:rsidRPr="008F5AFD">
        <w:rPr>
          <w:rtl/>
        </w:rPr>
        <w:t>ויתירה מזו, אפילו קורא את הנכרי המכירו לביתו, ואינו אומר לו כלום, רק שהנכרי רואה מעצמו מהי התקלה, ומתקן אותה.</w:t>
      </w:r>
    </w:p>
    <w:p w14:paraId="786560A2" w14:textId="77777777" w:rsidR="00D22FBE" w:rsidRPr="008F5AFD" w:rsidRDefault="00D22FBE" w:rsidP="00D22FBE">
      <w:pPr>
        <w:pStyle w:val="a2"/>
        <w:rPr>
          <w:rtl/>
        </w:rPr>
      </w:pPr>
      <w:r w:rsidRPr="008F5AFD">
        <w:rPr>
          <w:rtl/>
        </w:rPr>
        <w:t xml:space="preserve">נראה מדברי רבינו, שלא הותר אלא בדליקה, או במקום הפסד. כי אף שאינו אומר לו כלום, הנה זה גופא שקורא לו, הוי כקובע מלאכתו ליום השבת. </w:t>
      </w:r>
    </w:p>
    <w:p w14:paraId="643914FF" w14:textId="77777777" w:rsidR="00D22FBE" w:rsidRPr="008F5AFD" w:rsidRDefault="00D22FBE" w:rsidP="00D22FBE">
      <w:pPr>
        <w:pStyle w:val="a2"/>
        <w:rPr>
          <w:rtl/>
        </w:rPr>
      </w:pPr>
      <w:r w:rsidRPr="008F5AFD">
        <w:rPr>
          <w:rtl/>
        </w:rPr>
        <w:t>משא"כ במקום שאין הפסד מרובה, אסור גם לקרוא את הנכרי, שיבין מעצמו מהי התקלה, ויתקן. והיינו אף במקום שהוא מכירו, שמצפה לטובת הנאה, דהוי כקבלן." ע"כ.</w:t>
      </w:r>
    </w:p>
    <w:p w14:paraId="7CE75512" w14:textId="77777777" w:rsidR="00D22FBE" w:rsidRPr="008F5AFD" w:rsidRDefault="00D22FBE" w:rsidP="00D22FBE">
      <w:pPr>
        <w:pStyle w:val="a2"/>
        <w:rPr>
          <w:rtl/>
        </w:rPr>
      </w:pPr>
      <w:r w:rsidRPr="008F5AFD">
        <w:rPr>
          <w:rtl/>
        </w:rPr>
        <w:t xml:space="preserve">מכאן (סי' תקטו) נראה דס"ל לכ"ק דאפילו בקוצץ (דהיינו קבלן) עצמו אם עביד הנכרי כדי שישתמש בו הישראל </w:t>
      </w:r>
      <w:r w:rsidRPr="008F5AFD">
        <w:rPr>
          <w:b/>
          <w:bCs/>
          <w:rtl/>
        </w:rPr>
        <w:t>עכשיו</w:t>
      </w:r>
      <w:r w:rsidRPr="008F5AFD">
        <w:rPr>
          <w:rtl/>
        </w:rPr>
        <w:t xml:space="preserve"> לא מהני הקציצה ועאכו"כ כשקוראים לנכרי מהרחוב ואומרים לו בדרך סיפור וכו'</w:t>
      </w:r>
    </w:p>
    <w:p w14:paraId="0C0D41F1" w14:textId="5755C3C9" w:rsidR="00D22FBE" w:rsidRPr="008F5AFD" w:rsidRDefault="00E259CC" w:rsidP="00D22FBE">
      <w:pPr>
        <w:pStyle w:val="a2"/>
        <w:rPr>
          <w:rtl/>
        </w:rPr>
      </w:pPr>
      <w:r>
        <w:rPr>
          <w:rFonts w:hint="cs"/>
          <w:rtl/>
        </w:rPr>
        <w:t xml:space="preserve">ג. </w:t>
      </w:r>
      <w:r w:rsidR="00D22FBE" w:rsidRPr="008F5AFD">
        <w:rPr>
          <w:rtl/>
        </w:rPr>
        <w:t>עוד נשאלה שם האם יכול הוא להחליף הבגד שלו עם של חתנו. דהא כתב אדה"ז בסימן שכה סי"ב: "אף על פי שהבא מחוץ לתחום מותר למי שלא הובא בשבילו, מכל מקום אם הביאו ב' דברים לב' בני אדם אסורים להחליף זה עם זה, שהרי עכ"פ נהנה הוא במה שהובא לו מחוץ לתחום, שעל ידי כן נותן חבירו לו את חליפיו" וא"כ גם בנדו"ד, הרי בזה שנותן בגדו לחתנו ומקבל בגד חתנו במקומו, הוא נהנה מהמובא בשבילו מחוץ לתחום?</w:t>
      </w:r>
    </w:p>
    <w:p w14:paraId="73A77358" w14:textId="77777777" w:rsidR="00D22FBE" w:rsidRPr="008F5AFD" w:rsidRDefault="00D22FBE" w:rsidP="00D22FBE">
      <w:pPr>
        <w:pStyle w:val="a2"/>
        <w:rPr>
          <w:rtl/>
        </w:rPr>
      </w:pPr>
      <w:r w:rsidRPr="008F5AFD">
        <w:rPr>
          <w:rtl/>
        </w:rPr>
        <w:t xml:space="preserve">ונראה שהוא תלוי במה שכתוב במקור הדברים ב'כנסת הגדולה' בסימן שכ"ה, </w:t>
      </w:r>
      <w:r w:rsidRPr="008F5AFD">
        <w:rPr>
          <w:rtl/>
        </w:rPr>
        <w:lastRenderedPageBreak/>
        <w:t>וז"ל: להחליף הבשר שהובא לראובן ליתנה לשמעון והבשר שהובא לשמעון ליתנה לראובן. נשאלתי על זה ואסרתי להם. והטעם דאי שרית להו למעבד הכי אין אנו מרויחין כלום דכיון דיש היתר בחליפין לא ימשכו ידיהם מלשלוח בעד הבשר להחליפה, למכור הבשר שהובא בשבילו למי שלא הובא בשבילו, גם על זה נשאלתי והתרתי להם. והטעם דכיון דלא אהנו מעשיו ליכא למיגזר שמא יאמר לו לך והבא עוד, ומיהו למכרה ביוקר ממה שלקחה הא ודאי אסור וכן לשלוח בעד בשר למכרה לחביריהם אסור אפילו באותו סך. עכ"ל.</w:t>
      </w:r>
    </w:p>
    <w:p w14:paraId="7A00EB08" w14:textId="77777777" w:rsidR="00D22FBE" w:rsidRPr="008F5AFD" w:rsidRDefault="00D22FBE" w:rsidP="00D22FBE">
      <w:pPr>
        <w:pStyle w:val="a2"/>
        <w:rPr>
          <w:rtl/>
        </w:rPr>
      </w:pPr>
      <w:r w:rsidRPr="008F5AFD">
        <w:rPr>
          <w:rtl/>
        </w:rPr>
        <w:t>מכל זה נראה דהוא תלוי באם ירויח בדבר ומשום אותה הרווחה יאמר לנכרי להביא מחוץ לתחום. ואם כן צריך להתיישב בנידון שאחד יושב בבית הכנסת בלי קאפאטע ומשום אותה הרווחה (של העדר בושה) היה שולח נכרי מחוץ לתחום להביאו או לא.</w:t>
      </w:r>
    </w:p>
    <w:p w14:paraId="104579AF" w14:textId="77777777" w:rsidR="00D22FBE" w:rsidRPr="00552D8B" w:rsidRDefault="00D22FBE" w:rsidP="00D22FBE">
      <w:pPr>
        <w:pStyle w:val="a4"/>
        <w:sectPr w:rsidR="00D22FBE" w:rsidRPr="00552D8B" w:rsidSect="00E65DD5">
          <w:headerReference w:type="even" r:id="rId56"/>
          <w:headerReference w:type="default" r:id="rId57"/>
          <w:footnotePr>
            <w:numRestart w:val="eachSect"/>
          </w:footnotePr>
          <w:type w:val="continuous"/>
          <w:pgSz w:w="7920" w:h="12240"/>
          <w:pgMar w:top="-810" w:right="864" w:bottom="720" w:left="864" w:header="270" w:footer="0" w:gutter="0"/>
          <w:cols w:space="720"/>
          <w:docGrid w:linePitch="360"/>
        </w:sectPr>
      </w:pPr>
      <w:r w:rsidRPr="00552D8B">
        <w:t>g</w:t>
      </w:r>
    </w:p>
    <w:p w14:paraId="505A7B50" w14:textId="77777777" w:rsidR="002A3A9E" w:rsidRPr="002A3A9E" w:rsidRDefault="002A3A9E" w:rsidP="00F8255E">
      <w:pPr>
        <w:pStyle w:val="a"/>
        <w:rPr>
          <w:sz w:val="2"/>
          <w:szCs w:val="2"/>
        </w:rPr>
        <w:sectPr w:rsidR="002A3A9E" w:rsidRPr="002A3A9E" w:rsidSect="00E65DD5">
          <w:headerReference w:type="even" r:id="rId58"/>
          <w:headerReference w:type="default" r:id="rId59"/>
          <w:footnotePr>
            <w:numRestart w:val="eachSect"/>
          </w:footnotePr>
          <w:type w:val="continuous"/>
          <w:pgSz w:w="7920" w:h="12240"/>
          <w:pgMar w:top="-810" w:right="864" w:bottom="720" w:left="864" w:header="270" w:footer="0" w:gutter="0"/>
          <w:cols w:space="720"/>
          <w:docGrid w:linePitch="360"/>
        </w:sectPr>
      </w:pPr>
    </w:p>
    <w:p w14:paraId="586F87B4" w14:textId="1034B042" w:rsidR="00F8255E" w:rsidRDefault="00F8255E" w:rsidP="00F8255E">
      <w:pPr>
        <w:pStyle w:val="a"/>
        <w:rPr>
          <w:rtl/>
        </w:rPr>
      </w:pPr>
      <w:bookmarkStart w:id="163" w:name="_Toc3515513"/>
      <w:r>
        <w:rPr>
          <w:rFonts w:hint="cs"/>
          <w:rtl/>
        </w:rPr>
        <w:t>אופן לימוד הקריאה</w:t>
      </w:r>
      <w:r w:rsidR="00D22FBE">
        <w:rPr>
          <w:rFonts w:hint="cs"/>
          <w:rtl/>
        </w:rPr>
        <w:t xml:space="preserve"> (גליון)</w:t>
      </w:r>
      <w:bookmarkEnd w:id="163"/>
    </w:p>
    <w:p w14:paraId="28BE18E9" w14:textId="4DE105DC" w:rsidR="001D0782" w:rsidRDefault="001D0782" w:rsidP="00C40187">
      <w:pPr>
        <w:pStyle w:val="a0"/>
        <w:rPr>
          <w:rFonts w:hint="cs"/>
          <w:rtl/>
        </w:rPr>
      </w:pPr>
      <w:bookmarkStart w:id="164" w:name="_Toc3515514"/>
      <w:r>
        <w:rPr>
          <w:rFonts w:hint="cs"/>
          <w:rtl/>
        </w:rPr>
        <w:t>הרב אהרן פרידמן</w:t>
      </w:r>
      <w:bookmarkEnd w:id="164"/>
    </w:p>
    <w:p w14:paraId="1FCE7165" w14:textId="60B3DCBD" w:rsidR="001D0782" w:rsidRPr="001D0782" w:rsidRDefault="008D09B6" w:rsidP="001D0782">
      <w:pPr>
        <w:pStyle w:val="a1"/>
        <w:rPr>
          <w:rtl/>
          <w:lang w:val="en-GB"/>
        </w:rPr>
      </w:pPr>
      <w:r>
        <w:rPr>
          <w:rFonts w:hint="cs"/>
          <w:rtl/>
          <w:lang w:val="en-GB"/>
        </w:rPr>
        <w:t>תושב השכונה</w:t>
      </w:r>
    </w:p>
    <w:p w14:paraId="0FD8B6DD" w14:textId="77777777" w:rsidR="00F8255E" w:rsidRDefault="00F8255E" w:rsidP="00F8255E">
      <w:pPr>
        <w:pStyle w:val="a2"/>
        <w:rPr>
          <w:rtl/>
        </w:rPr>
      </w:pPr>
      <w:r>
        <w:rPr>
          <w:rtl/>
        </w:rPr>
        <w:t xml:space="preserve">בקשר להדיון בגליונות האחרונות באם ניתן ללמד צלילי האותיות לפני שמלמדים צורות הנקודות, לכאורה יש להעיר מדברי הרבי בעת חלוקת הדולרים ביום כ"ד מנ"א ה'תנש''א, לחסיד מחסידי פולין שאמר לכ"ק אדמו''ר שהוא מלמד של אל"ף בי"ת. והנה דברי הרבי כפי שנדפסו ביומן 'בית חיינו' (וידאו מזה פועל באופן קבוע בפרוזדור בו חילק הרבי הדולרים): </w:t>
      </w:r>
    </w:p>
    <w:p w14:paraId="07EBEE31" w14:textId="77777777" w:rsidR="00F8255E" w:rsidRDefault="00F8255E" w:rsidP="00F8255E">
      <w:pPr>
        <w:pStyle w:val="a2"/>
        <w:rPr>
          <w:rtl/>
        </w:rPr>
      </w:pPr>
      <w:r>
        <w:rPr>
          <w:rtl/>
        </w:rPr>
        <w:t xml:space="preserve">"בשעת איר וועט לערנען מיט זיי די אל"ף בי"ת וועט איר זיי זאגן אז אל"ף הויבט זיך אן 'אנכי', די עשרת הדיברות האבן זיך אנגעהויבן מיט א אל"ף, במילא וועט דאס זיין א גוטע התחלה". </w:t>
      </w:r>
    </w:p>
    <w:p w14:paraId="011D803B" w14:textId="77777777" w:rsidR="00F8255E" w:rsidRDefault="00F8255E" w:rsidP="00F8255E">
      <w:pPr>
        <w:pStyle w:val="a2"/>
        <w:rPr>
          <w:rtl/>
        </w:rPr>
      </w:pPr>
      <w:r>
        <w:rPr>
          <w:rtl/>
        </w:rPr>
        <w:t>ולכאורה, מזה שאמר כ"ק אדמו''ר 'במילא וועט דאס זיין א גוטע התחלה' נראה ברור שמדובר בהתחלה של לימוד האל"ף בי"ת, עוד לפני לימוד הנקודות. וכן משמע ממ"ש 'בשעת איר וועט לערנען מיט זיי די אל"ף בי"ת', ואין הבדל בענין זה בין התחלת הלימוד ללאחרי שלמדו הנקודות.</w:t>
      </w:r>
    </w:p>
    <w:p w14:paraId="63CD1446" w14:textId="77777777" w:rsidR="00F8255E" w:rsidRDefault="00F8255E" w:rsidP="001D0782">
      <w:pPr>
        <w:pStyle w:val="a2"/>
        <w:rPr>
          <w:rtl/>
        </w:rPr>
      </w:pPr>
      <w:r>
        <w:rPr>
          <w:rtl/>
        </w:rPr>
        <w:t xml:space="preserve">ולכאורה הר"ז לימוד צליל האל"ף לפני לימוד הנקודות, דבאל"כ ומלמדים רק </w:t>
      </w:r>
      <w:r>
        <w:rPr>
          <w:rtl/>
        </w:rPr>
        <w:lastRenderedPageBreak/>
        <w:t xml:space="preserve">צורת האל"ף ולא צליל האל"ף, מהו הדמיון בין צורת האל"ף שהילד למד להאות אל"ף </w:t>
      </w:r>
      <w:r w:rsidRPr="001D0782">
        <w:rPr>
          <w:b/>
          <w:bCs/>
          <w:rtl/>
        </w:rPr>
        <w:t xml:space="preserve">שבדיבור </w:t>
      </w:r>
      <w:r>
        <w:rPr>
          <w:rtl/>
        </w:rPr>
        <w:t xml:space="preserve">'וועט איר זיי </w:t>
      </w:r>
      <w:r w:rsidRPr="001D0782">
        <w:rPr>
          <w:b/>
          <w:bCs/>
          <w:rtl/>
        </w:rPr>
        <w:t>זאגן</w:t>
      </w:r>
      <w:r>
        <w:rPr>
          <w:rtl/>
        </w:rPr>
        <w:t xml:space="preserve"> אז אל"ף הויבט זיך אן אנכי', הרי בתיבת אנכי שבדיבור אין צורת האל"ף שהילד למד. ובהכרח שתיכף בהתחלת הלימוד לפני לימוד הנקודות מלמדים צלילי האותיות. ואין הבדל בין אם אומרים שאל"ף הוא כמו התחלת תיבת אנכי, לבין אם אומרים שבי"ת היא כמו התחלת תיבת בגד. </w:t>
      </w:r>
    </w:p>
    <w:p w14:paraId="4D8FAE27" w14:textId="77777777" w:rsidR="00F8255E" w:rsidRDefault="00F8255E" w:rsidP="00F8255E">
      <w:pPr>
        <w:pStyle w:val="a2"/>
        <w:rPr>
          <w:rtl/>
        </w:rPr>
      </w:pPr>
      <w:r>
        <w:rPr>
          <w:rtl/>
        </w:rPr>
        <w:t>ובהכרח לחלק בין לימוד הצלילים ללימוד הנקודות, שבאם מלמדים לייחס הברות הנקודות להאותיות (כפי שיטת המשכילים שהרביים התנגדו אליו), הר"ז היפך האמת והיפך סדר הלימוד שעל פי תורה ומסורת ישראל שהברות הנקודות מתייחסות לצורות הנקודות ולא להאותיות. משא"כ אם מלמדים לייחס צלילי האותיות להאותיות, הר"ז אמת ובהתאם לסדר הלימוד שעל פי תורה.</w:t>
      </w:r>
    </w:p>
    <w:p w14:paraId="1C18E29D" w14:textId="77777777" w:rsidR="00F8255E" w:rsidRDefault="00F8255E" w:rsidP="00F8255E">
      <w:pPr>
        <w:pStyle w:val="a2"/>
      </w:pPr>
      <w:r>
        <w:rPr>
          <w:rtl/>
        </w:rPr>
        <w:t>ועפ"ז בהכרח שכשאומרים ש'אל"ף' הוא כמו התחלת תיבת אנכי, המדובר הוא על הצליל שבהתחלת תיבת אנכי ולא על הניקוד קמ"ץ שבתחילת תיבת אנכי, אף שבכדי להשמיע הקול בהתחלת תיבת אנכי צריך לבטא גם צליל האל"ף וגם הניקוד של הקמ"ץ, כי המלמד מקשר לצורת האל"ף רק הצליל (והרי בטח יגיד להילד עוד דוגמאות מלבד אנכי שבהן אין הניקוד קמ"ץ אלא ניקוד אחר), ואינו אומר לילד לייחס גם הניקוד לצורת האל"ף.</w:t>
      </w:r>
    </w:p>
    <w:p w14:paraId="52432AFE" w14:textId="01BA6FB7" w:rsidR="00F8255E" w:rsidRDefault="00F8255E" w:rsidP="00F8255E">
      <w:pPr>
        <w:pStyle w:val="a2"/>
        <w:rPr>
          <w:sz w:val="44"/>
          <w:szCs w:val="44"/>
          <w:rtl/>
        </w:rPr>
      </w:pPr>
      <w:r>
        <w:rPr>
          <w:rtl/>
        </w:rPr>
        <w:t>ומודגש עוד יותר בתיבת 'אנכי' שבהתחלת עשה"ד, שהיא הדוגמא בכ"מ שרק כשקודם מלמדים האל"ף, אח"כ הקמ"ץ, ואח"כ מחברים אותם, רק אז הר"ז האל"ף של 'אנכי'. ובהכרח דהיינו בכתיבה, משא''כ בדיבור יכולים להגיד תיבת אנכי לפני לימוד הא"ב כפשוט, ויכולים לקשר בין תיבת 'אנכי' שבדיבור לצורת האל"ף בכתב בנוגע להצליל ולא בנוגע להניקוד, וזוהי הוראת כ''ק אדמו''ר למלמד הנ"ל.</w:t>
      </w:r>
    </w:p>
    <w:p w14:paraId="3020CB7E" w14:textId="77777777" w:rsidR="001D0782" w:rsidRPr="00552D8B" w:rsidRDefault="001D0782" w:rsidP="005E6E84">
      <w:pPr>
        <w:pStyle w:val="a4"/>
        <w:sectPr w:rsidR="001D078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4BF24C5" w14:textId="77777777" w:rsidR="002A3A9E" w:rsidRDefault="002A3A9E">
      <w:pPr>
        <w:rPr>
          <w:rFonts w:ascii="FbTehilaMedium" w:hAnsi="FbTehilaMedium" w:cs="FbTehilaMedium"/>
          <w:sz w:val="70"/>
          <w:szCs w:val="70"/>
          <w:rtl/>
          <w:lang w:val="en-GB"/>
        </w:rPr>
      </w:pPr>
      <w:r>
        <w:br w:type="page"/>
      </w:r>
    </w:p>
    <w:p w14:paraId="272EB2B7" w14:textId="7768A642" w:rsidR="002651A4" w:rsidRDefault="0073252C" w:rsidP="0073252C">
      <w:pPr>
        <w:pStyle w:val="12"/>
        <w:rPr>
          <w:rtl/>
        </w:rPr>
      </w:pPr>
      <w:bookmarkStart w:id="165" w:name="_Toc3515515"/>
      <w:r>
        <w:rPr>
          <w:rFonts w:hint="cs"/>
          <w:rtl/>
        </w:rPr>
        <w:lastRenderedPageBreak/>
        <w:t>פשוטו של מקרא</w:t>
      </w:r>
      <w:bookmarkEnd w:id="165"/>
    </w:p>
    <w:p w14:paraId="5C727939" w14:textId="77777777" w:rsidR="005E6E84" w:rsidRDefault="005E6E84" w:rsidP="005E6E84">
      <w:pPr>
        <w:pStyle w:val="a"/>
        <w:rPr>
          <w:rtl/>
        </w:rPr>
      </w:pPr>
      <w:bookmarkStart w:id="166" w:name="_Toc3515516"/>
      <w:bookmarkStart w:id="167" w:name="_GoBack"/>
      <w:bookmarkEnd w:id="167"/>
      <w:r w:rsidRPr="00A73440">
        <w:rPr>
          <w:rtl/>
        </w:rPr>
        <w:t>אם במשמעו</w:t>
      </w:r>
      <w:r>
        <w:rPr>
          <w:rFonts w:hint="cs"/>
          <w:rtl/>
        </w:rPr>
        <w:t>ת</w:t>
      </w:r>
      <w:r w:rsidRPr="00A73440">
        <w:rPr>
          <w:rtl/>
        </w:rPr>
        <w:t xml:space="preserve"> או</w:t>
      </w:r>
      <w:bookmarkEnd w:id="166"/>
    </w:p>
    <w:p w14:paraId="6BCD6E7B" w14:textId="77777777" w:rsidR="005E6E84" w:rsidRDefault="005E6E84" w:rsidP="00C40187">
      <w:pPr>
        <w:pStyle w:val="a0"/>
        <w:rPr>
          <w:rtl/>
        </w:rPr>
      </w:pPr>
      <w:bookmarkStart w:id="168" w:name="_Toc3515517"/>
      <w:r>
        <w:rPr>
          <w:rFonts w:hint="cs"/>
          <w:rtl/>
        </w:rPr>
        <w:t>הרב אברהם אלאשוילי</w:t>
      </w:r>
      <w:bookmarkEnd w:id="168"/>
    </w:p>
    <w:p w14:paraId="06DA8617" w14:textId="7FD1113F" w:rsidR="005E6E84" w:rsidRPr="005E6E84" w:rsidRDefault="005E6E84" w:rsidP="005E6E84">
      <w:pPr>
        <w:pStyle w:val="a1"/>
        <w:rPr>
          <w:rtl/>
        </w:rPr>
      </w:pPr>
      <w:r>
        <w:rPr>
          <w:rFonts w:hint="cs"/>
          <w:rtl/>
        </w:rPr>
        <w:t xml:space="preserve">מח"ס "תורה ופירושה </w:t>
      </w:r>
      <w:r>
        <w:rPr>
          <w:rtl/>
        </w:rPr>
        <w:t>–</w:t>
      </w:r>
      <w:r>
        <w:rPr>
          <w:rFonts w:hint="cs"/>
          <w:rtl/>
        </w:rPr>
        <w:t xml:space="preserve"> אשל אברהם"</w:t>
      </w:r>
    </w:p>
    <w:p w14:paraId="2EA1683C" w14:textId="77777777" w:rsidR="005E6E84" w:rsidRPr="005E6E84" w:rsidRDefault="005E6E84" w:rsidP="005E6E84">
      <w:pPr>
        <w:pStyle w:val="a2"/>
        <w:rPr>
          <w:rtl/>
        </w:rPr>
      </w:pPr>
      <w:r w:rsidRPr="005E6E84">
        <w:rPr>
          <w:rtl/>
        </w:rPr>
        <w:t xml:space="preserve">בפרשתנו עה"פ (ויקרא ד, כג) "או הדע אליו חטאתו אשר חטא בה", מפרש רש"י "או הודע - כמו אם הודע. הרבה או יש שמשמשין בלשון אם, ואם במקום או, וכן או נודע כי שור נגח הוא". </w:t>
      </w:r>
    </w:p>
    <w:p w14:paraId="01288830" w14:textId="77777777" w:rsidR="005E6E84" w:rsidRPr="005E6E84" w:rsidRDefault="005E6E84" w:rsidP="005E6E84">
      <w:pPr>
        <w:pStyle w:val="a2"/>
        <w:rPr>
          <w:rtl/>
        </w:rPr>
      </w:pPr>
      <w:r w:rsidRPr="005E6E84">
        <w:rPr>
          <w:rtl/>
        </w:rPr>
        <w:t>והנה בכלל הראשון "או בלשון אם", הביא רש"י דוגמא מהפסוק (שמות כא, לו) "</w:t>
      </w:r>
      <w:r w:rsidRPr="005E6E84">
        <w:rPr>
          <w:b/>
          <w:bCs/>
          <w:rtl/>
        </w:rPr>
        <w:t>או</w:t>
      </w:r>
      <w:r w:rsidRPr="005E6E84">
        <w:rPr>
          <w:rtl/>
        </w:rPr>
        <w:t xml:space="preserve"> נודע כי שור נגח הוא", שפירושו "</w:t>
      </w:r>
      <w:r w:rsidRPr="005E6E84">
        <w:rPr>
          <w:b/>
          <w:bCs/>
          <w:rtl/>
        </w:rPr>
        <w:t>אם</w:t>
      </w:r>
      <w:r w:rsidRPr="005E6E84">
        <w:rPr>
          <w:rtl/>
        </w:rPr>
        <w:t xml:space="preserve"> נודע כי שור נגח הוא" (אך להעיר שבשמות שם מפרש רש"י אחרת, וראה הביאור בזה בספרי "אשל אברהם" עה"פ שם. ואכ"מ). ועד"ז מפרש רש"י את הפסוק (ויקרא כו, מא) "</w:t>
      </w:r>
      <w:r w:rsidRPr="005E6E84">
        <w:rPr>
          <w:b/>
          <w:bCs/>
          <w:rtl/>
        </w:rPr>
        <w:t>או</w:t>
      </w:r>
      <w:r w:rsidRPr="005E6E84">
        <w:rPr>
          <w:rtl/>
        </w:rPr>
        <w:t xml:space="preserve"> אז יכנע לבבם הערל", שפירושו "</w:t>
      </w:r>
      <w:r w:rsidRPr="005E6E84">
        <w:rPr>
          <w:b/>
          <w:bCs/>
          <w:rtl/>
        </w:rPr>
        <w:t>אם</w:t>
      </w:r>
      <w:r w:rsidRPr="005E6E84">
        <w:rPr>
          <w:rtl/>
        </w:rPr>
        <w:t xml:space="preserve"> אז יכנע" (אלא ששם מביא פירוש נוסף "שמא אז יכנע"). וכן מפרש רש"י את הפסוק (במדבר ה, ל) "</w:t>
      </w:r>
      <w:r w:rsidRPr="005E6E84">
        <w:rPr>
          <w:b/>
          <w:bCs/>
          <w:rtl/>
        </w:rPr>
        <w:t>או</w:t>
      </w:r>
      <w:r w:rsidRPr="005E6E84">
        <w:rPr>
          <w:rtl/>
        </w:rPr>
        <w:t xml:space="preserve"> איש אשר תעבור עליו רוח קנאה" </w:t>
      </w:r>
      <w:r w:rsidRPr="005E6E84">
        <w:t>-</w:t>
      </w:r>
      <w:r w:rsidRPr="005E6E84">
        <w:rPr>
          <w:rtl/>
        </w:rPr>
        <w:t xml:space="preserve"> "כלומר </w:t>
      </w:r>
      <w:r w:rsidRPr="005E6E84">
        <w:rPr>
          <w:b/>
          <w:bCs/>
          <w:rtl/>
        </w:rPr>
        <w:t>אם</w:t>
      </w:r>
      <w:r w:rsidRPr="005E6E84">
        <w:rPr>
          <w:rtl/>
        </w:rPr>
        <w:t xml:space="preserve"> איש קנאי הוא". וכן מפרש רש"י את הפסוק בישיעיה </w:t>
      </w:r>
      <w:r w:rsidRPr="005E6E84">
        <w:t>)</w:t>
      </w:r>
      <w:r w:rsidRPr="005E6E84">
        <w:rPr>
          <w:rtl/>
        </w:rPr>
        <w:t>כז, ה</w:t>
      </w:r>
      <w:r w:rsidRPr="005E6E84">
        <w:t>(</w:t>
      </w:r>
      <w:r w:rsidRPr="005E6E84">
        <w:rPr>
          <w:rtl/>
        </w:rPr>
        <w:t xml:space="preserve"> "או יחזיק במעוזי" </w:t>
      </w:r>
      <w:r w:rsidRPr="005E6E84">
        <w:t>-</w:t>
      </w:r>
      <w:r w:rsidRPr="005E6E84">
        <w:rPr>
          <w:rtl/>
        </w:rPr>
        <w:t xml:space="preserve"> שפירושו "</w:t>
      </w:r>
      <w:r w:rsidRPr="005E6E84">
        <w:rPr>
          <w:b/>
          <w:bCs/>
          <w:rtl/>
        </w:rPr>
        <w:t>אם</w:t>
      </w:r>
      <w:r w:rsidRPr="005E6E84">
        <w:rPr>
          <w:rtl/>
        </w:rPr>
        <w:t xml:space="preserve"> יחזיק במעוזי". </w:t>
      </w:r>
    </w:p>
    <w:p w14:paraId="0AFD4A5F" w14:textId="77777777" w:rsidR="005E6E84" w:rsidRPr="005E6E84" w:rsidRDefault="005E6E84" w:rsidP="005E6E84">
      <w:pPr>
        <w:pStyle w:val="a2"/>
        <w:rPr>
          <w:rtl/>
        </w:rPr>
      </w:pPr>
      <w:r w:rsidRPr="005E6E84">
        <w:rPr>
          <w:rtl/>
        </w:rPr>
        <w:t>אבל בכלל השני "אם במקום או", רש"י לא מביא כאן שום דוגמא, ובספרי הנ"ל לא התייחסתי לכך משום מה, ואם כן אשלים זאת כאן.</w:t>
      </w:r>
    </w:p>
    <w:p w14:paraId="321AC314" w14:textId="145FE3A8" w:rsidR="005E6E84" w:rsidRPr="005E6E84" w:rsidRDefault="005E6E84" w:rsidP="005E6E84">
      <w:pPr>
        <w:pStyle w:val="a2"/>
        <w:rPr>
          <w:rtl/>
        </w:rPr>
      </w:pPr>
      <w:r w:rsidRPr="005E6E84">
        <w:rPr>
          <w:rtl/>
        </w:rPr>
        <w:t xml:space="preserve">ובאמת מה שהשמיט רש"י בפירושו בפרשתנו השלימו בשו"ת שלו סי' רנא, והביא דוגמאות לכלל השני, וז"ל "יש אם במקום או, כגון </w:t>
      </w:r>
      <w:r w:rsidRPr="005E6E84">
        <w:rPr>
          <w:b/>
          <w:bCs/>
          <w:rtl/>
        </w:rPr>
        <w:t>אם</w:t>
      </w:r>
      <w:r w:rsidRPr="005E6E84">
        <w:rPr>
          <w:rtl/>
        </w:rPr>
        <w:t xml:space="preserve"> אברה חסידה ונוצה (איוב לט, יג). וכן כל אם הסמוכים לתמיהה, הבמחנים </w:t>
      </w:r>
      <w:r w:rsidRPr="005E6E84">
        <w:rPr>
          <w:b/>
          <w:bCs/>
          <w:rtl/>
        </w:rPr>
        <w:t>אם</w:t>
      </w:r>
      <w:r w:rsidRPr="005E6E84">
        <w:rPr>
          <w:rtl/>
        </w:rPr>
        <w:t xml:space="preserve"> במבצרים (במדבר יג, יט), הטובה היא </w:t>
      </w:r>
      <w:r w:rsidRPr="005E6E84">
        <w:rPr>
          <w:b/>
          <w:bCs/>
          <w:rtl/>
        </w:rPr>
        <w:t>אם</w:t>
      </w:r>
      <w:r w:rsidRPr="005E6E84">
        <w:rPr>
          <w:rtl/>
        </w:rPr>
        <w:t xml:space="preserve"> רעה (במדבר שם), הינהק פרא </w:t>
      </w:r>
      <w:r w:rsidRPr="005E6E84">
        <w:rPr>
          <w:b/>
          <w:bCs/>
          <w:rtl/>
        </w:rPr>
        <w:t>אם</w:t>
      </w:r>
      <w:r w:rsidRPr="005E6E84">
        <w:rPr>
          <w:rtl/>
        </w:rPr>
        <w:t xml:space="preserve"> יגעה שור" (איוב ו, ה).</w:t>
      </w:r>
      <w:r w:rsidR="005D7B4D">
        <w:rPr>
          <w:rtl/>
        </w:rPr>
        <w:t xml:space="preserve"> </w:t>
      </w:r>
    </w:p>
    <w:p w14:paraId="47BAADD2" w14:textId="77777777" w:rsidR="005E6E84" w:rsidRPr="005E6E84" w:rsidRDefault="005E6E84" w:rsidP="005E6E84">
      <w:pPr>
        <w:pStyle w:val="a2"/>
        <w:rPr>
          <w:rtl/>
        </w:rPr>
      </w:pPr>
      <w:r w:rsidRPr="005E6E84">
        <w:rPr>
          <w:rtl/>
        </w:rPr>
        <w:t>והנה את הפסוק "</w:t>
      </w:r>
      <w:r w:rsidRPr="005E6E84">
        <w:rPr>
          <w:b/>
          <w:bCs/>
          <w:rtl/>
        </w:rPr>
        <w:t>אם</w:t>
      </w:r>
      <w:r w:rsidRPr="005E6E84">
        <w:rPr>
          <w:rtl/>
        </w:rPr>
        <w:t xml:space="preserve"> אברה חסידה ונוצה" - כן מפרש רש"י גם על הפסוק עצמו (איוב לט, יג) "כל עוף קרוי אברה על שם שפורח, כלומר </w:t>
      </w:r>
      <w:r w:rsidRPr="005E6E84">
        <w:rPr>
          <w:b/>
          <w:bCs/>
          <w:rtl/>
        </w:rPr>
        <w:t>או</w:t>
      </w:r>
      <w:r w:rsidRPr="005E6E84">
        <w:rPr>
          <w:rtl/>
        </w:rPr>
        <w:t xml:space="preserve"> עוף ששמו חסידה ועוף ששמו נוצה - ראה מה מנהגה".</w:t>
      </w:r>
    </w:p>
    <w:p w14:paraId="5FAB216C" w14:textId="77777777" w:rsidR="005E6E84" w:rsidRPr="005E6E84" w:rsidRDefault="005E6E84" w:rsidP="005E6E84">
      <w:pPr>
        <w:pStyle w:val="a2"/>
        <w:rPr>
          <w:rtl/>
        </w:rPr>
      </w:pPr>
      <w:r w:rsidRPr="005E6E84">
        <w:rPr>
          <w:rtl/>
        </w:rPr>
        <w:t xml:space="preserve">אך מה שכתב "וכן כל אם הסמוכים לתמיהה" פירושו </w:t>
      </w:r>
      <w:r w:rsidRPr="005E6E84">
        <w:rPr>
          <w:b/>
          <w:bCs/>
          <w:rtl/>
        </w:rPr>
        <w:t>או</w:t>
      </w:r>
      <w:r w:rsidRPr="005E6E84">
        <w:rPr>
          <w:rtl/>
        </w:rPr>
        <w:t xml:space="preserve"> (דהיינ, הבמחנים </w:t>
      </w:r>
      <w:r w:rsidRPr="005E6E84">
        <w:rPr>
          <w:b/>
          <w:bCs/>
          <w:rtl/>
        </w:rPr>
        <w:t>או</w:t>
      </w:r>
      <w:r w:rsidRPr="005E6E84">
        <w:rPr>
          <w:rtl/>
        </w:rPr>
        <w:t xml:space="preserve"> במבצרים, הטובה </w:t>
      </w:r>
      <w:r w:rsidRPr="005E6E84">
        <w:rPr>
          <w:b/>
          <w:bCs/>
          <w:rtl/>
        </w:rPr>
        <w:t>או</w:t>
      </w:r>
      <w:r w:rsidRPr="005E6E84">
        <w:rPr>
          <w:rtl/>
        </w:rPr>
        <w:t xml:space="preserve"> רעה, הינהק פרה </w:t>
      </w:r>
      <w:r w:rsidRPr="005E6E84">
        <w:rPr>
          <w:b/>
          <w:bCs/>
          <w:rtl/>
        </w:rPr>
        <w:t>או</w:t>
      </w:r>
      <w:r w:rsidRPr="005E6E84">
        <w:rPr>
          <w:rtl/>
        </w:rPr>
        <w:t xml:space="preserve"> יגעה שור) - אין זה מתאים עם דברי רש"י עצמו בפירושו לתנ"ך, שכן על הפסוק בירמיה (יד, כב) "</w:t>
      </w:r>
      <w:r w:rsidRPr="005E6E84">
        <w:rPr>
          <w:b/>
          <w:bCs/>
          <w:rtl/>
        </w:rPr>
        <w:t>היש</w:t>
      </w:r>
      <w:r w:rsidRPr="005E6E84">
        <w:rPr>
          <w:rtl/>
        </w:rPr>
        <w:t xml:space="preserve"> בהבלי הגוים מגשימים </w:t>
      </w:r>
      <w:r w:rsidRPr="005E6E84">
        <w:rPr>
          <w:b/>
          <w:bCs/>
          <w:rtl/>
        </w:rPr>
        <w:lastRenderedPageBreak/>
        <w:t>ואם</w:t>
      </w:r>
      <w:r w:rsidRPr="005E6E84">
        <w:rPr>
          <w:rtl/>
        </w:rPr>
        <w:t xml:space="preserve"> השמים יתנו רביבים", מפרש רש"י "כל תמיהה הכפולה, הראשונה </w:t>
      </w:r>
      <w:r w:rsidRPr="005E6E84">
        <w:rPr>
          <w:b/>
          <w:bCs/>
          <w:rtl/>
        </w:rPr>
        <w:t>בה"א</w:t>
      </w:r>
      <w:r w:rsidRPr="005E6E84">
        <w:rPr>
          <w:rtl/>
        </w:rPr>
        <w:t xml:space="preserve"> והשנייה </w:t>
      </w:r>
      <w:r w:rsidRPr="005E6E84">
        <w:rPr>
          <w:b/>
          <w:bCs/>
          <w:rtl/>
        </w:rPr>
        <w:t>באם</w:t>
      </w:r>
      <w:r w:rsidRPr="005E6E84">
        <w:rPr>
          <w:rtl/>
        </w:rPr>
        <w:t>, כגון הבמחנים אם במבצרים, הטובה היא אם רעה</w:t>
      </w:r>
      <w:r w:rsidRPr="005E6E84">
        <w:rPr>
          <w:rStyle w:val="FootnoteReference"/>
          <w:sz w:val="28"/>
          <w:szCs w:val="28"/>
          <w:rtl/>
        </w:rPr>
        <w:footnoteReference w:id="66"/>
      </w:r>
      <w:r w:rsidRPr="005E6E84">
        <w:rPr>
          <w:rtl/>
        </w:rPr>
        <w:t xml:space="preserve">, המאוס מאסת אם בציון געלה נפשך". כלומר, לפי הכלל הזה אין פירוש "אם" בתמיה כפולה במשמעות "או", אלא במשמעות תמיה שניה, וכאילו היה כתוב "הבמחנים </w:t>
      </w:r>
      <w:r w:rsidRPr="005E6E84">
        <w:rPr>
          <w:b/>
          <w:bCs/>
          <w:rtl/>
        </w:rPr>
        <w:t>הבמבצרים</w:t>
      </w:r>
      <w:r w:rsidRPr="005E6E84">
        <w:rPr>
          <w:rtl/>
        </w:rPr>
        <w:t>"</w:t>
      </w:r>
      <w:r w:rsidRPr="005E6E84">
        <w:rPr>
          <w:rStyle w:val="FootnoteReference"/>
          <w:sz w:val="28"/>
          <w:szCs w:val="28"/>
          <w:rtl/>
        </w:rPr>
        <w:footnoteReference w:id="67"/>
      </w:r>
      <w:r w:rsidRPr="005E6E84">
        <w:rPr>
          <w:rtl/>
        </w:rPr>
        <w:t xml:space="preserve">, "הטובה היא </w:t>
      </w:r>
      <w:r w:rsidRPr="005E6E84">
        <w:rPr>
          <w:b/>
          <w:bCs/>
          <w:rtl/>
        </w:rPr>
        <w:t>הרעה</w:t>
      </w:r>
      <w:r w:rsidRPr="005E6E84">
        <w:rPr>
          <w:rtl/>
        </w:rPr>
        <w:t xml:space="preserve">", המאוס מאסת </w:t>
      </w:r>
      <w:r w:rsidRPr="005E6E84">
        <w:rPr>
          <w:b/>
          <w:bCs/>
          <w:rtl/>
        </w:rPr>
        <w:t>הבציון</w:t>
      </w:r>
      <w:r w:rsidRPr="005E6E84">
        <w:rPr>
          <w:rtl/>
        </w:rPr>
        <w:t xml:space="preserve"> געלה נפשך", ורק משום שלא מתאים כ"כ לכתוב ב' תמיהות בה"א בזה אחר זה - כתוב בלשון "אם".</w:t>
      </w:r>
      <w:r w:rsidRPr="005E6E84">
        <w:rPr>
          <w:rStyle w:val="FootnoteReference"/>
          <w:sz w:val="28"/>
          <w:szCs w:val="28"/>
          <w:rtl/>
        </w:rPr>
        <w:footnoteReference w:id="68"/>
      </w:r>
      <w:r w:rsidRPr="005E6E84">
        <w:rPr>
          <w:rtl/>
        </w:rPr>
        <w:t xml:space="preserve"> ולפי זה יש רק דוגמא אחת בתנ"ך אם במשמעות או, והוא הפסוק הראשון המובא מאיוב.</w:t>
      </w:r>
    </w:p>
    <w:p w14:paraId="432E235F" w14:textId="77777777" w:rsidR="005E6E84" w:rsidRPr="005E6E84" w:rsidRDefault="005E6E84" w:rsidP="005E6E84">
      <w:pPr>
        <w:pStyle w:val="a2"/>
        <w:rPr>
          <w:rtl/>
        </w:rPr>
      </w:pPr>
      <w:r w:rsidRPr="005E6E84">
        <w:rPr>
          <w:rtl/>
        </w:rPr>
        <w:t xml:space="preserve">והנה בשו"ת רש"י שם כותב על פי הכלל הזה ענין נוסף, וז"ל "ומזה הבננו טעם של מחלוקת של בית שמאי ורבי עקיבא במסכת גיטין (צ, א), בית שמאי אומרים לא יגרש אדם את אשתו אלא אם כן מצא בה דבר ערוה, רבי עקיבא אומר אפילו מצא אחרת נאה הימנה, שנאמר (דברים כד, א) והיה אם לא תמצא חן בעיניו, שאינה נאה, </w:t>
      </w:r>
      <w:r w:rsidRPr="005E6E84">
        <w:rPr>
          <w:b/>
          <w:bCs/>
          <w:rtl/>
        </w:rPr>
        <w:t>או</w:t>
      </w:r>
      <w:r w:rsidRPr="005E6E84">
        <w:rPr>
          <w:rtl/>
        </w:rPr>
        <w:t xml:space="preserve"> מצא בה ערות דבר". דהיינו שרבי עקיבא מפרש "</w:t>
      </w:r>
      <w:r w:rsidRPr="005E6E84">
        <w:rPr>
          <w:b/>
          <w:bCs/>
          <w:rtl/>
        </w:rPr>
        <w:t>כי</w:t>
      </w:r>
      <w:r w:rsidRPr="005E6E84">
        <w:rPr>
          <w:rtl/>
        </w:rPr>
        <w:t xml:space="preserve"> מצא בה ערות דבר" – </w:t>
      </w:r>
      <w:r w:rsidRPr="005E6E84">
        <w:rPr>
          <w:b/>
          <w:bCs/>
          <w:rtl/>
        </w:rPr>
        <w:t>או</w:t>
      </w:r>
      <w:r w:rsidRPr="005E6E84">
        <w:rPr>
          <w:rtl/>
        </w:rPr>
        <w:t xml:space="preserve"> מצא בה ערות דבר", ודלא כבית שמאי שמפרש "כי מצא בה" – </w:t>
      </w:r>
      <w:r w:rsidRPr="005E6E84">
        <w:rPr>
          <w:b/>
          <w:bCs/>
          <w:rtl/>
        </w:rPr>
        <w:t>מפני</w:t>
      </w:r>
      <w:r w:rsidRPr="005E6E84">
        <w:rPr>
          <w:rtl/>
        </w:rPr>
        <w:t xml:space="preserve"> שמצא בה (כמובא בגמרא וברש"י שם).</w:t>
      </w:r>
    </w:p>
    <w:p w14:paraId="417467C1" w14:textId="34B315C9" w:rsidR="005E6E84" w:rsidRPr="005E6E84" w:rsidRDefault="005E6E84" w:rsidP="005E6E84">
      <w:pPr>
        <w:pStyle w:val="a2"/>
        <w:rPr>
          <w:rtl/>
        </w:rPr>
      </w:pPr>
      <w:r w:rsidRPr="005E6E84">
        <w:rPr>
          <w:rtl/>
        </w:rPr>
        <w:t>אלא שרש"י עצמו בגיטין שם מפרש קצת אחרת את הפסוק לדעת רבי עקיבא, וז"ל</w:t>
      </w:r>
      <w:r w:rsidR="005D7B4D">
        <w:rPr>
          <w:rtl/>
        </w:rPr>
        <w:t xml:space="preserve"> </w:t>
      </w:r>
      <w:r w:rsidRPr="005E6E84">
        <w:rPr>
          <w:rtl/>
        </w:rPr>
        <w:t xml:space="preserve">"ורבי עקיבא מפרש ליה להאי </w:t>
      </w:r>
      <w:r w:rsidRPr="005E6E84">
        <w:rPr>
          <w:b/>
          <w:bCs/>
          <w:rtl/>
        </w:rPr>
        <w:t>כי</w:t>
      </w:r>
      <w:r w:rsidRPr="005E6E84">
        <w:rPr>
          <w:rtl/>
        </w:rPr>
        <w:t xml:space="preserve"> בלשון </w:t>
      </w:r>
      <w:r w:rsidRPr="005E6E84">
        <w:rPr>
          <w:b/>
          <w:bCs/>
          <w:rtl/>
        </w:rPr>
        <w:t>אם</w:t>
      </w:r>
      <w:r w:rsidRPr="005E6E84">
        <w:rPr>
          <w:rtl/>
        </w:rPr>
        <w:t xml:space="preserve">, הלכך תרי מילי נינהו, </w:t>
      </w:r>
      <w:r w:rsidRPr="005E6E84">
        <w:rPr>
          <w:b/>
          <w:bCs/>
          <w:rtl/>
        </w:rPr>
        <w:t>אם</w:t>
      </w:r>
      <w:r w:rsidRPr="005E6E84">
        <w:rPr>
          <w:rtl/>
        </w:rPr>
        <w:t xml:space="preserve"> לא תמצא חן של נוי בעיניו, </w:t>
      </w:r>
      <w:r w:rsidRPr="005E6E84">
        <w:rPr>
          <w:b/>
          <w:bCs/>
          <w:rtl/>
        </w:rPr>
        <w:t>ואם</w:t>
      </w:r>
      <w:r w:rsidRPr="005E6E84">
        <w:rPr>
          <w:rtl/>
        </w:rPr>
        <w:t xml:space="preserve"> מצא בה ערות דבר". ובדוחק יש לומר (כדי להתאים דברי רש"י אהדדי), שכוונת רש"י לומר ש"כי" פירושו "אם", וממילא "אם" מתפרש במשמעות "או", כמו שכתב בשו"ת שלו.</w:t>
      </w:r>
    </w:p>
    <w:p w14:paraId="5B45AB00" w14:textId="77777777" w:rsidR="005E6E84" w:rsidRPr="00552D8B" w:rsidRDefault="005E6E84" w:rsidP="005E6E84">
      <w:pPr>
        <w:pStyle w:val="a4"/>
        <w:sectPr w:rsidR="005E6E84" w:rsidRPr="00552D8B" w:rsidSect="00E65DD5">
          <w:headerReference w:type="even" r:id="rId60"/>
          <w:headerReference w:type="default" r:id="rId61"/>
          <w:footnotePr>
            <w:numRestart w:val="eachSect"/>
          </w:footnotePr>
          <w:type w:val="continuous"/>
          <w:pgSz w:w="7920" w:h="12240"/>
          <w:pgMar w:top="-810" w:right="864" w:bottom="720" w:left="864" w:header="270" w:footer="0" w:gutter="0"/>
          <w:cols w:space="720"/>
          <w:docGrid w:linePitch="360"/>
        </w:sectPr>
      </w:pPr>
      <w:r w:rsidRPr="00552D8B">
        <w:t>g</w:t>
      </w:r>
    </w:p>
    <w:p w14:paraId="00311499" w14:textId="77777777" w:rsidR="002A3A9E" w:rsidRDefault="002A3A9E">
      <w:pPr>
        <w:rPr>
          <w:rFonts w:ascii="FbFRealBelet Bold" w:eastAsia="Times New Roman" w:hAnsi="FbFRealBelet Bold" w:cs="FbFRealBelet Bold"/>
          <w:bCs/>
          <w:sz w:val="39"/>
          <w:szCs w:val="39"/>
          <w:rtl/>
          <w:lang w:val="en-GB"/>
        </w:rPr>
      </w:pPr>
      <w:r>
        <w:br w:type="page"/>
      </w:r>
    </w:p>
    <w:p w14:paraId="6498ED5D" w14:textId="79064279" w:rsidR="0073252C" w:rsidRDefault="0073252C" w:rsidP="0073252C">
      <w:pPr>
        <w:pStyle w:val="a"/>
        <w:rPr>
          <w:rtl/>
        </w:rPr>
      </w:pPr>
      <w:bookmarkStart w:id="169" w:name="_Toc3515518"/>
      <w:r w:rsidRPr="00A41AE2">
        <w:rPr>
          <w:rFonts w:hint="cs"/>
          <w:rtl/>
        </w:rPr>
        <w:lastRenderedPageBreak/>
        <w:t>זה הדבר אשר צוה ה'</w:t>
      </w:r>
      <w:bookmarkEnd w:id="169"/>
    </w:p>
    <w:p w14:paraId="56A3C4B6" w14:textId="682A15F7" w:rsidR="0073252C" w:rsidRPr="00E85961" w:rsidRDefault="0073252C" w:rsidP="00C40187">
      <w:pPr>
        <w:pStyle w:val="a0"/>
        <w:rPr>
          <w:rtl/>
        </w:rPr>
      </w:pPr>
      <w:bookmarkStart w:id="170" w:name="_Toc3515519"/>
      <w:r w:rsidRPr="00E85961">
        <w:rPr>
          <w:rFonts w:hint="cs"/>
          <w:rtl/>
        </w:rPr>
        <w:t>הרב שרגא פייוויל רימלער</w:t>
      </w:r>
      <w:bookmarkEnd w:id="170"/>
    </w:p>
    <w:p w14:paraId="5B190FF2" w14:textId="346C81F2" w:rsidR="0073252C" w:rsidRPr="00F8255E" w:rsidRDefault="0073252C" w:rsidP="00F8255E">
      <w:pPr>
        <w:pStyle w:val="a1"/>
        <w:rPr>
          <w:rtl/>
        </w:rPr>
      </w:pPr>
      <w:r w:rsidRPr="00F8255E">
        <w:rPr>
          <w:rFonts w:hint="cs"/>
          <w:rtl/>
        </w:rPr>
        <w:t>רב בברייטון ביטש, ברוקלין, נ.י.</w:t>
      </w:r>
    </w:p>
    <w:p w14:paraId="59D6F368" w14:textId="7BA4E13E" w:rsidR="0073252C" w:rsidRDefault="0073252C" w:rsidP="00F8255E">
      <w:pPr>
        <w:pStyle w:val="a2"/>
        <w:rPr>
          <w:rtl/>
        </w:rPr>
      </w:pPr>
      <w:r>
        <w:rPr>
          <w:rFonts w:hint="cs"/>
          <w:rtl/>
        </w:rPr>
        <w:t>פ' ויקהל ל"ה ד' ברש"י ד"ה זה הדבר אשר צוה ה'</w:t>
      </w:r>
      <w:r w:rsidR="005D7B4D">
        <w:rPr>
          <w:rFonts w:hint="cs"/>
          <w:rtl/>
        </w:rPr>
        <w:t xml:space="preserve"> </w:t>
      </w:r>
      <w:r>
        <w:rPr>
          <w:rFonts w:hint="cs"/>
          <w:rtl/>
        </w:rPr>
        <w:t>כותב לי לאמור לכם</w:t>
      </w:r>
      <w:r w:rsidR="005D7B4D">
        <w:rPr>
          <w:rFonts w:hint="cs"/>
          <w:rtl/>
        </w:rPr>
        <w:t xml:space="preserve"> </w:t>
      </w:r>
      <w:r>
        <w:rPr>
          <w:rFonts w:hint="cs"/>
          <w:rtl/>
        </w:rPr>
        <w:t>ובביאור הפירוש רש"י</w:t>
      </w:r>
      <w:r w:rsidR="005D7B4D">
        <w:rPr>
          <w:rFonts w:hint="cs"/>
          <w:rtl/>
        </w:rPr>
        <w:t xml:space="preserve"> </w:t>
      </w:r>
      <w:r>
        <w:rPr>
          <w:rFonts w:hint="cs"/>
          <w:rtl/>
        </w:rPr>
        <w:t>אומר רבינו בל"ש ח"ו</w:t>
      </w:r>
      <w:r w:rsidR="005D7B4D">
        <w:rPr>
          <w:rFonts w:hint="cs"/>
          <w:rtl/>
        </w:rPr>
        <w:t xml:space="preserve"> </w:t>
      </w:r>
      <w:r>
        <w:rPr>
          <w:rFonts w:hint="cs"/>
          <w:rtl/>
        </w:rPr>
        <w:t>שמשה רבינו נצטווה לאמור לישראל לעשות המשכן אבל הוא עצמו לא נצטווה ע"ז.</w:t>
      </w:r>
      <w:r w:rsidR="005D7B4D">
        <w:rPr>
          <w:rFonts w:hint="cs"/>
          <w:rtl/>
        </w:rPr>
        <w:t xml:space="preserve"> </w:t>
      </w:r>
      <w:r>
        <w:rPr>
          <w:rFonts w:hint="cs"/>
          <w:rtl/>
        </w:rPr>
        <w:t>ושואל למה זה שונה מכל שאר ציווים שגם משה נצטווה עליהם ובענין המשכן משה עצמו לא נכלל</w:t>
      </w:r>
      <w:r w:rsidR="005D7B4D">
        <w:rPr>
          <w:rFonts w:hint="cs"/>
          <w:rtl/>
        </w:rPr>
        <w:t xml:space="preserve"> </w:t>
      </w:r>
      <w:r>
        <w:rPr>
          <w:rFonts w:hint="cs"/>
          <w:rtl/>
        </w:rPr>
        <w:t>וכמפורש</w:t>
      </w:r>
      <w:r w:rsidR="005D7B4D">
        <w:rPr>
          <w:rFonts w:hint="cs"/>
          <w:rtl/>
        </w:rPr>
        <w:t xml:space="preserve"> </w:t>
      </w:r>
      <w:r>
        <w:rPr>
          <w:rFonts w:hint="cs"/>
          <w:rtl/>
        </w:rPr>
        <w:t>בפ' פקודי ל"ט ל"ג</w:t>
      </w:r>
      <w:r w:rsidR="005D7B4D">
        <w:rPr>
          <w:rFonts w:hint="cs"/>
          <w:rtl/>
        </w:rPr>
        <w:t xml:space="preserve"> </w:t>
      </w:r>
      <w:r>
        <w:rPr>
          <w:rFonts w:hint="cs"/>
          <w:rtl/>
        </w:rPr>
        <w:t xml:space="preserve">בפירש"י "ולפי שלא עשה משה שום מלאכה </w:t>
      </w:r>
      <w:r w:rsidR="008F5AFD">
        <w:rPr>
          <w:rFonts w:hint="cs"/>
          <w:rtl/>
        </w:rPr>
        <w:t>במשכן הניח לו הקב"ה הרמתו" וכו'</w:t>
      </w:r>
      <w:r>
        <w:rPr>
          <w:rFonts w:hint="cs"/>
          <w:rtl/>
        </w:rPr>
        <w:t>, ומבאר רבינו בפנימיות הענינים שמשה הוא ענין התורה וזה למעלה מענין המשכן ולכן לא היה רשאי להשתתף בזה.</w:t>
      </w:r>
      <w:r w:rsidR="005D7B4D">
        <w:rPr>
          <w:rFonts w:hint="cs"/>
          <w:rtl/>
        </w:rPr>
        <w:t xml:space="preserve"> </w:t>
      </w:r>
      <w:r>
        <w:rPr>
          <w:rFonts w:hint="cs"/>
          <w:rtl/>
        </w:rPr>
        <w:t>ובדרך הפשט מבאר כיון שהמשכן בא לאחר חטא העגל שהיו ישראל מנודה לרב</w:t>
      </w:r>
      <w:r w:rsidR="005D7B4D">
        <w:rPr>
          <w:rFonts w:hint="cs"/>
          <w:rtl/>
        </w:rPr>
        <w:t xml:space="preserve"> </w:t>
      </w:r>
      <w:r>
        <w:rPr>
          <w:rFonts w:hint="cs"/>
          <w:rtl/>
        </w:rPr>
        <w:t>ולאחר הסליחה נצטווה ועשו לימקדש ושכנתי בתוכם,</w:t>
      </w:r>
      <w:r w:rsidR="005D7B4D">
        <w:rPr>
          <w:rFonts w:hint="cs"/>
          <w:rtl/>
        </w:rPr>
        <w:t xml:space="preserve"> </w:t>
      </w:r>
      <w:r>
        <w:rPr>
          <w:rFonts w:hint="cs"/>
          <w:rtl/>
        </w:rPr>
        <w:t>אבל משה שגם לפני יוה"כ נאמר "יקח את האהל"</w:t>
      </w:r>
      <w:r w:rsidR="005D7B4D">
        <w:rPr>
          <w:rFonts w:hint="cs"/>
          <w:rtl/>
        </w:rPr>
        <w:t xml:space="preserve"> </w:t>
      </w:r>
      <w:r>
        <w:rPr>
          <w:rFonts w:hint="cs"/>
          <w:rtl/>
        </w:rPr>
        <w:t>ושם היתה מקום שכינה, לא הוצרך ל"ועשו לי מקדש"</w:t>
      </w:r>
      <w:r w:rsidR="005D7B4D">
        <w:rPr>
          <w:rFonts w:hint="cs"/>
          <w:rtl/>
        </w:rPr>
        <w:t xml:space="preserve"> </w:t>
      </w:r>
      <w:r>
        <w:rPr>
          <w:rFonts w:hint="cs"/>
          <w:rtl/>
        </w:rPr>
        <w:t>ולכן לא היה לו להשתתף בעשית המשכן.</w:t>
      </w:r>
    </w:p>
    <w:p w14:paraId="2644C8D4" w14:textId="6CFD9144" w:rsidR="0073252C" w:rsidRDefault="0073252C" w:rsidP="00F8255E">
      <w:pPr>
        <w:pStyle w:val="a2"/>
        <w:rPr>
          <w:rtl/>
        </w:rPr>
      </w:pPr>
      <w:r>
        <w:rPr>
          <w:rFonts w:hint="cs"/>
          <w:rtl/>
        </w:rPr>
        <w:t>אבל עדיין לכאורה צ"ב</w:t>
      </w:r>
      <w:r w:rsidR="005D7B4D">
        <w:rPr>
          <w:rFonts w:hint="cs"/>
          <w:rtl/>
        </w:rPr>
        <w:t xml:space="preserve"> </w:t>
      </w:r>
      <w:r>
        <w:rPr>
          <w:rFonts w:hint="cs"/>
          <w:rtl/>
        </w:rPr>
        <w:t>מובן שמשה לא הוצרך למשכן ולכן לא היה לו להשתתף במלאכת המשכן בבנינו , אבל בנוגע לתרומת ונדבת הדברים הנצרכים למשכן וכליו ולבגדי כהונה למה גם זה נמנע ממשה ולמה לא היה רשאי לתרום משהו , שלכאורה אין זה מובן לא ע"פ פנימיות הענינים ולא ע"פ דרך הפשט ?!</w:t>
      </w:r>
    </w:p>
    <w:p w14:paraId="37D94402" w14:textId="576D3B38" w:rsidR="0073252C" w:rsidRDefault="0073252C" w:rsidP="00F8255E">
      <w:pPr>
        <w:pStyle w:val="a2"/>
        <w:rPr>
          <w:rtl/>
        </w:rPr>
      </w:pPr>
      <w:r>
        <w:rPr>
          <w:rFonts w:hint="cs"/>
          <w:rtl/>
        </w:rPr>
        <w:t>נוסף על התמיה שמשה היה רועה נאמן ומסר נפשו למען ישראל ואף שלו לעצמו לא היה צריך למשכן, היתכן שלא יהיה נוגע לו טובת ישראל ולעשות משהו למענם שיהיה השכינה שורה</w:t>
      </w:r>
      <w:r w:rsidR="005D7B4D">
        <w:rPr>
          <w:rFonts w:hint="cs"/>
          <w:rtl/>
        </w:rPr>
        <w:t xml:space="preserve"> </w:t>
      </w:r>
      <w:r>
        <w:rPr>
          <w:rFonts w:hint="cs"/>
          <w:rtl/>
        </w:rPr>
        <w:t>בתוכם, עכ"פ ע"י שיתרום וינדב גם הוא מהדברים הנצרכים למשכן ?!</w:t>
      </w:r>
    </w:p>
    <w:p w14:paraId="2512D626" w14:textId="4D7D584D" w:rsidR="0073252C" w:rsidRDefault="0073252C" w:rsidP="00F8255E">
      <w:pPr>
        <w:pStyle w:val="a2"/>
        <w:rPr>
          <w:rtl/>
        </w:rPr>
      </w:pPr>
      <w:r>
        <w:rPr>
          <w:rFonts w:hint="cs"/>
          <w:rtl/>
        </w:rPr>
        <w:t>וי"ל בדרך הפשט כי בפ' תשא</w:t>
      </w:r>
      <w:r w:rsidR="005D7B4D">
        <w:rPr>
          <w:rFonts w:hint="cs"/>
          <w:rtl/>
        </w:rPr>
        <w:t xml:space="preserve"> </w:t>
      </w:r>
      <w:r>
        <w:rPr>
          <w:rFonts w:hint="cs"/>
          <w:rtl/>
        </w:rPr>
        <w:t>(ל"ד א') ברש"י ד"ה פסל לך</w:t>
      </w:r>
      <w:r w:rsidR="005D7B4D">
        <w:rPr>
          <w:rFonts w:hint="cs"/>
          <w:rtl/>
        </w:rPr>
        <w:t xml:space="preserve"> </w:t>
      </w:r>
      <w:r>
        <w:rPr>
          <w:rFonts w:hint="cs"/>
          <w:rtl/>
        </w:rPr>
        <w:t>כותב הראהו מחצב סנפירינון מתוך אהלו ואמר לו הפסולת יהיה שלך</w:t>
      </w:r>
      <w:r w:rsidR="005D7B4D">
        <w:rPr>
          <w:rFonts w:hint="cs"/>
          <w:rtl/>
        </w:rPr>
        <w:t xml:space="preserve"> </w:t>
      </w:r>
      <w:r>
        <w:rPr>
          <w:rFonts w:hint="cs"/>
          <w:rtl/>
        </w:rPr>
        <w:t>ומשם נתעשר משה הרבה.</w:t>
      </w:r>
    </w:p>
    <w:p w14:paraId="59F3CE2C" w14:textId="665F0E16" w:rsidR="002A3A9E" w:rsidRDefault="0073252C" w:rsidP="00F8255E">
      <w:pPr>
        <w:pStyle w:val="a2"/>
        <w:rPr>
          <w:rtl/>
        </w:rPr>
      </w:pPr>
      <w:r>
        <w:rPr>
          <w:rFonts w:hint="cs"/>
          <w:rtl/>
        </w:rPr>
        <w:t>ומצד עשירות המופלג שלו הנה אם היה רשאי לתרום למשכן יתכן שהיה נותן ומשלים כל הדרוש ואז לא היה משאיר כלום לישראל לתרום והיו נמנעים מזכות השתתפות בתרומת המשכן, וכידוע שהיה משה טוב עין והיה מזדרז לתרום כל מה שצריך, ולכן לא הרשה לו הקב"ה להשתתף לא בעשית מלאכה ולא בתרומה כלל וכלל.</w:t>
      </w:r>
    </w:p>
    <w:p w14:paraId="67AC5A7A" w14:textId="77777777" w:rsidR="002A3A9E" w:rsidRDefault="002A3A9E">
      <w:pPr>
        <w:rPr>
          <w:rFonts w:ascii="FbFrankReal" w:eastAsia="Calibri" w:hAnsi="FbFrankReal" w:cs="FbFrankReal"/>
          <w:sz w:val="24"/>
          <w:szCs w:val="24"/>
          <w:bdr w:val="nil"/>
          <w:rtl/>
        </w:rPr>
      </w:pPr>
      <w:r>
        <w:br w:type="page"/>
      </w:r>
    </w:p>
    <w:p w14:paraId="6FC5002F" w14:textId="7D4116B7" w:rsidR="0005147E" w:rsidRDefault="0073252C" w:rsidP="00E259CC">
      <w:pPr>
        <w:pStyle w:val="12"/>
        <w:rPr>
          <w:rtl/>
        </w:rPr>
      </w:pPr>
      <w:bookmarkStart w:id="171" w:name="_Toc3515520"/>
      <w:r>
        <w:rPr>
          <w:rFonts w:hint="cs"/>
          <w:rtl/>
        </w:rPr>
        <w:lastRenderedPageBreak/>
        <w:t>שונות</w:t>
      </w:r>
      <w:bookmarkEnd w:id="171"/>
    </w:p>
    <w:p w14:paraId="75E786C9" w14:textId="77777777" w:rsidR="00E259CC" w:rsidRDefault="00E259CC" w:rsidP="00E259CC">
      <w:pPr>
        <w:pStyle w:val="a"/>
        <w:bidi w:val="0"/>
        <w:rPr>
          <w:rtl/>
        </w:rPr>
      </w:pPr>
      <w:bookmarkStart w:id="172" w:name="_Toc3515521"/>
      <w:r>
        <w:rPr>
          <w:rFonts w:hint="cs"/>
          <w:rtl/>
        </w:rPr>
        <w:t>והסר ממנו יגון ואנחה (גליון)</w:t>
      </w:r>
      <w:bookmarkEnd w:id="172"/>
    </w:p>
    <w:p w14:paraId="4E2AC760" w14:textId="77777777" w:rsidR="00E259CC" w:rsidRDefault="00E259CC" w:rsidP="00E259CC">
      <w:pPr>
        <w:pStyle w:val="a0"/>
        <w:rPr>
          <w:rtl/>
        </w:rPr>
      </w:pPr>
      <w:bookmarkStart w:id="173" w:name="_Toc3515522"/>
      <w:r>
        <w:rPr>
          <w:rFonts w:hint="cs"/>
          <w:rtl/>
        </w:rPr>
        <w:t>הרב משה מרקוביץ</w:t>
      </w:r>
      <w:bookmarkEnd w:id="173"/>
    </w:p>
    <w:p w14:paraId="5A2F9F8A" w14:textId="77777777" w:rsidR="00E259CC" w:rsidRPr="00D310B7" w:rsidRDefault="00E259CC" w:rsidP="00E259CC">
      <w:pPr>
        <w:pStyle w:val="a1"/>
        <w:rPr>
          <w:rFonts w:asciiTheme="minorHAnsi" w:hAnsiTheme="minorHAnsi" w:cstheme="minorBidi"/>
          <w:sz w:val="22"/>
          <w:szCs w:val="22"/>
          <w:rtl/>
        </w:rPr>
      </w:pPr>
      <w:r>
        <w:rPr>
          <w:rFonts w:hint="cs"/>
          <w:rtl/>
        </w:rPr>
        <w:t>ברוקלין, נ.י.</w:t>
      </w:r>
    </w:p>
    <w:p w14:paraId="70086006" w14:textId="77777777" w:rsidR="00E259CC" w:rsidRDefault="00E259CC" w:rsidP="00E259CC">
      <w:pPr>
        <w:pStyle w:val="a2"/>
        <w:rPr>
          <w:rtl/>
        </w:rPr>
      </w:pPr>
      <w:r>
        <w:rPr>
          <w:rFonts w:hint="cs"/>
          <w:rtl/>
        </w:rPr>
        <w:t>בגליון הקודם הערתי על נוסח ברכת השיבה שופטינו שבתפילת העמידה, "השיבה שופטנו כבראשונה ויועצנו כבתחילה, והסר ממנו יגון ואנחה", דלכאורה צ"ב מה ענין הסרת יגון ואנחה לזה שיש שופטים ויועצים כבתחלה. (גם הבאתי ביאור ע"פ מ"ש בשיחת ש"פ שופטים תנש"א).</w:t>
      </w:r>
    </w:p>
    <w:p w14:paraId="0C58BFCB" w14:textId="77777777" w:rsidR="00E259CC" w:rsidRDefault="00E259CC" w:rsidP="00E259CC">
      <w:pPr>
        <w:pStyle w:val="a2"/>
        <w:rPr>
          <w:rtl/>
        </w:rPr>
      </w:pPr>
      <w:r>
        <w:rPr>
          <w:rFonts w:hint="cs"/>
          <w:rtl/>
        </w:rPr>
        <w:t>והעירוני שר"ד אבודרהם כתב בזה וז"ל:</w:t>
      </w:r>
    </w:p>
    <w:p w14:paraId="43C27ABB" w14:textId="77777777" w:rsidR="00E259CC" w:rsidRPr="00D310B7" w:rsidRDefault="00E259CC" w:rsidP="00E259CC">
      <w:pPr>
        <w:pStyle w:val="a2"/>
        <w:rPr>
          <w:rtl/>
        </w:rPr>
      </w:pPr>
      <w:r w:rsidRPr="00D310B7">
        <w:rPr>
          <w:rtl/>
        </w:rPr>
        <w:t>השיבה שופטינו</w:t>
      </w:r>
      <w:r w:rsidRPr="00D310B7">
        <w:rPr>
          <w:rFonts w:ascii="Cambria" w:hAnsi="Cambria" w:cs="Cambria" w:hint="cs"/>
          <w:rtl/>
        </w:rPr>
        <w:t> </w:t>
      </w:r>
      <w:r w:rsidRPr="00D310B7">
        <w:rPr>
          <w:rFonts w:hint="cs"/>
          <w:rtl/>
        </w:rPr>
        <w:t>כבראשונה</w:t>
      </w:r>
      <w:r w:rsidRPr="00D310B7">
        <w:rPr>
          <w:rtl/>
        </w:rPr>
        <w:t xml:space="preserve"> </w:t>
      </w:r>
      <w:r w:rsidRPr="00D310B7">
        <w:rPr>
          <w:rFonts w:hint="cs"/>
          <w:rtl/>
        </w:rPr>
        <w:t>ויועצינו</w:t>
      </w:r>
      <w:r w:rsidRPr="00D310B7">
        <w:rPr>
          <w:rtl/>
        </w:rPr>
        <w:t xml:space="preserve"> </w:t>
      </w:r>
      <w:r w:rsidRPr="00D310B7">
        <w:rPr>
          <w:rFonts w:hint="cs"/>
          <w:rtl/>
        </w:rPr>
        <w:t>כבתחלה</w:t>
      </w:r>
      <w:r w:rsidRPr="00D310B7">
        <w:rPr>
          <w:rtl/>
        </w:rPr>
        <w:t xml:space="preserve"> </w:t>
      </w:r>
      <w:r w:rsidRPr="00D310B7">
        <w:rPr>
          <w:rFonts w:hint="cs"/>
          <w:rtl/>
        </w:rPr>
        <w:t>על</w:t>
      </w:r>
      <w:r w:rsidRPr="00D310B7">
        <w:rPr>
          <w:rtl/>
        </w:rPr>
        <w:t xml:space="preserve"> </w:t>
      </w:r>
      <w:r w:rsidRPr="00D310B7">
        <w:rPr>
          <w:rFonts w:hint="cs"/>
          <w:rtl/>
        </w:rPr>
        <w:t>שם</w:t>
      </w:r>
      <w:r w:rsidRPr="00D310B7">
        <w:rPr>
          <w:rtl/>
        </w:rPr>
        <w:t xml:space="preserve"> </w:t>
      </w:r>
      <w:r w:rsidRPr="00D310B7">
        <w:rPr>
          <w:rFonts w:hint="cs"/>
          <w:rtl/>
        </w:rPr>
        <w:t>"</w:t>
      </w:r>
      <w:r w:rsidRPr="00D310B7">
        <w:rPr>
          <w:rtl/>
        </w:rPr>
        <w:t>ואשיבה שופטיך כבראשונה ויועציך כבתחלה</w:t>
      </w:r>
      <w:r w:rsidRPr="00D310B7">
        <w:rPr>
          <w:rFonts w:hint="cs"/>
          <w:rtl/>
        </w:rPr>
        <w:t>"</w:t>
      </w:r>
      <w:r w:rsidRPr="00D310B7">
        <w:rPr>
          <w:rtl/>
        </w:rPr>
        <w:t xml:space="preserve">. והסר ממנו יגון ואנחה על שם </w:t>
      </w:r>
      <w:r w:rsidRPr="00D310B7">
        <w:rPr>
          <w:rFonts w:hint="cs"/>
          <w:rtl/>
        </w:rPr>
        <w:t>"</w:t>
      </w:r>
      <w:r w:rsidRPr="00D310B7">
        <w:rPr>
          <w:rtl/>
        </w:rPr>
        <w:t>ונסו יגון ואנחה</w:t>
      </w:r>
      <w:r w:rsidRPr="00D310B7">
        <w:rPr>
          <w:rFonts w:hint="cs"/>
          <w:rtl/>
        </w:rPr>
        <w:t>",</w:t>
      </w:r>
      <w:r w:rsidRPr="00D310B7">
        <w:rPr>
          <w:rtl/>
        </w:rPr>
        <w:t xml:space="preserve"> וכתיב </w:t>
      </w:r>
      <w:r w:rsidRPr="00D310B7">
        <w:rPr>
          <w:rFonts w:hint="cs"/>
          <w:rtl/>
        </w:rPr>
        <w:t>"</w:t>
      </w:r>
      <w:r w:rsidRPr="00D310B7">
        <w:rPr>
          <w:rtl/>
        </w:rPr>
        <w:t>וחרפת עמו יסיר מעל כל הארץ</w:t>
      </w:r>
      <w:r w:rsidRPr="00D310B7">
        <w:rPr>
          <w:rFonts w:hint="cs"/>
          <w:rtl/>
        </w:rPr>
        <w:t>".</w:t>
      </w:r>
    </w:p>
    <w:p w14:paraId="16EB2350" w14:textId="77777777" w:rsidR="00E259CC" w:rsidRPr="00D310B7" w:rsidRDefault="00E259CC" w:rsidP="00E259CC">
      <w:pPr>
        <w:pStyle w:val="a2"/>
        <w:rPr>
          <w:rtl/>
        </w:rPr>
      </w:pPr>
      <w:r w:rsidRPr="00D310B7">
        <w:rPr>
          <w:rtl/>
        </w:rPr>
        <w:t xml:space="preserve"> והוא חוזר על מה שלמעלה ממנו על שם </w:t>
      </w:r>
      <w:r w:rsidRPr="00D310B7">
        <w:rPr>
          <w:rFonts w:hint="cs"/>
          <w:rtl/>
        </w:rPr>
        <w:t>"</w:t>
      </w:r>
      <w:r w:rsidRPr="00D310B7">
        <w:rPr>
          <w:rtl/>
        </w:rPr>
        <w:t>ובמשול רשע יאנח עם</w:t>
      </w:r>
      <w:r w:rsidRPr="00D310B7">
        <w:rPr>
          <w:rFonts w:hint="cs"/>
          <w:rtl/>
        </w:rPr>
        <w:t>",</w:t>
      </w:r>
      <w:r w:rsidRPr="00D310B7">
        <w:rPr>
          <w:rtl/>
        </w:rPr>
        <w:t xml:space="preserve"> ומתוך שמשיב לנו שופטים הגונים נהפכה אותה האנחה לששון ולשמחה. </w:t>
      </w:r>
    </w:p>
    <w:p w14:paraId="55B6838F" w14:textId="457D7B8E" w:rsidR="00E259CC" w:rsidRPr="00D310B7" w:rsidRDefault="00E259CC" w:rsidP="00F24725">
      <w:pPr>
        <w:pStyle w:val="a2"/>
        <w:rPr>
          <w:rtl/>
        </w:rPr>
      </w:pPr>
      <w:r w:rsidRPr="00D310B7">
        <w:rPr>
          <w:rtl/>
        </w:rPr>
        <w:t>וגם יתכן לפרש</w:t>
      </w:r>
      <w:r w:rsidRPr="00D310B7">
        <w:rPr>
          <w:rFonts w:hint="cs"/>
          <w:rtl/>
        </w:rPr>
        <w:t>,</w:t>
      </w:r>
      <w:r w:rsidRPr="00D310B7">
        <w:rPr>
          <w:rtl/>
        </w:rPr>
        <w:t xml:space="preserve"> מת</w:t>
      </w:r>
      <w:r w:rsidRPr="00D310B7">
        <w:rPr>
          <w:rFonts w:hint="cs"/>
          <w:rtl/>
        </w:rPr>
        <w:t>ו</w:t>
      </w:r>
      <w:r w:rsidRPr="00D310B7">
        <w:rPr>
          <w:rtl/>
        </w:rPr>
        <w:t>ך שנעשה דין</w:t>
      </w:r>
      <w:r w:rsidRPr="00D310B7">
        <w:rPr>
          <w:rFonts w:hint="cs"/>
          <w:rtl/>
        </w:rPr>
        <w:t xml:space="preserve"> </w:t>
      </w:r>
      <w:r w:rsidRPr="00D310B7">
        <w:rPr>
          <w:rtl/>
        </w:rPr>
        <w:t>ומשפט בינינו סר ממנו יגון ואנחה</w:t>
      </w:r>
      <w:r w:rsidRPr="00D310B7">
        <w:rPr>
          <w:rFonts w:hint="cs"/>
          <w:rtl/>
        </w:rPr>
        <w:t>. עכ"ל.</w:t>
      </w:r>
    </w:p>
    <w:p w14:paraId="55E1FA70" w14:textId="77777777" w:rsidR="00E259CC" w:rsidRDefault="00E259CC" w:rsidP="00E259CC">
      <w:pPr>
        <w:pStyle w:val="a2"/>
        <w:rPr>
          <w:rtl/>
        </w:rPr>
      </w:pPr>
      <w:r>
        <w:rPr>
          <w:rFonts w:hint="cs"/>
          <w:rtl/>
        </w:rPr>
        <w:t>כלומר, הוא מביא ב' פירושים בזה שתולה היעוד "ונסו יגון ואנחה" (ישעי' לה,י) ביעוד "ואשיבה שופטיך כבראשונה ויועצייך כבתחילה" (ישעי' א, כו):</w:t>
      </w:r>
    </w:p>
    <w:p w14:paraId="59516D55" w14:textId="77777777" w:rsidR="00E259CC" w:rsidRDefault="00E259CC" w:rsidP="00E259CC">
      <w:pPr>
        <w:pStyle w:val="a2"/>
        <w:rPr>
          <w:rtl/>
        </w:rPr>
      </w:pPr>
      <w:r>
        <w:rPr>
          <w:rFonts w:hint="cs"/>
          <w:rtl/>
        </w:rPr>
        <w:t>פירוש א', על פי הכתוב במשלי (כט, ב) "במשול רשע יאנח עם", נמצא ש"אנחה" באה כשיש מושלים רשעים, וכשישובו השופטים הצדיקים אז תסור האנחה.</w:t>
      </w:r>
    </w:p>
    <w:p w14:paraId="23DC3D22" w14:textId="77777777" w:rsidR="00E259CC" w:rsidRDefault="00E259CC" w:rsidP="00E259CC">
      <w:pPr>
        <w:pStyle w:val="a2"/>
        <w:rPr>
          <w:rtl/>
        </w:rPr>
      </w:pPr>
      <w:r>
        <w:rPr>
          <w:rFonts w:hint="cs"/>
          <w:rtl/>
        </w:rPr>
        <w:t xml:space="preserve"> והשני, ע"ד מה שהבאתי שם, שכשיש שופטים צדיקים אז הצדק נעשה וזה מבטל היגון והאנחה.</w:t>
      </w:r>
    </w:p>
    <w:p w14:paraId="5322005E" w14:textId="77777777" w:rsidR="00E259CC" w:rsidRDefault="00E259CC" w:rsidP="00E259CC">
      <w:pPr>
        <w:pStyle w:val="a2"/>
        <w:rPr>
          <w:rtl/>
        </w:rPr>
      </w:pPr>
      <w:r>
        <w:rPr>
          <w:rFonts w:hint="cs"/>
          <w:rtl/>
        </w:rPr>
        <w:t xml:space="preserve">והנה הפירוש הראשון שהביא לכאורה צ"ב, ד"שופטים" ויועצים" אינם "מושלים". המושל הוא המלך, והשופט והיועץ הם רק הפוסקים הדינים וכו'. ולפי זה הבקשה דהסרת יגון והנחה מקומה בברכת "את צמח דוד עבדת מהרה תצמיח". </w:t>
      </w:r>
      <w:r>
        <w:rPr>
          <w:rFonts w:hint="cs"/>
          <w:rtl/>
        </w:rPr>
        <w:lastRenderedPageBreak/>
        <w:t>ועצ"ב.</w:t>
      </w:r>
    </w:p>
    <w:p w14:paraId="5A74E6C5" w14:textId="77777777" w:rsidR="00E259CC" w:rsidRDefault="00E259CC" w:rsidP="00E259CC">
      <w:pPr>
        <w:pStyle w:val="a2"/>
        <w:rPr>
          <w:rtl/>
        </w:rPr>
      </w:pPr>
      <w:r>
        <w:rPr>
          <w:rFonts w:hint="cs"/>
          <w:rtl/>
        </w:rPr>
        <w:t xml:space="preserve">ואולי יש לפרש לפי האבודרהם, שענין שופטים כאן הוא במובן מושלים, לפי הידוע שכל מצות מינוי מלך היתה רק "כנגד יצר הרע", ובעצם הי' צ"ל הנהגת בני ישראל ע"י שופטים והקב"ה ימלוך עלינו, ולפי זה מתאים המשך הברכה "השיבה שופטינו כבראשונה ויועצינו כבתחילה (היינו כבתקופת השופטים, לפני שבאה מלכות לישראל) ומלוך עלינו את ה' לבדך", שזו היתה טענת שמואל הנביא לבני ישראל שלא הסתפקו במלכות הקב"ה אלא רצו מלך ככל הגויים. </w:t>
      </w:r>
    </w:p>
    <w:p w14:paraId="51C5FE7D" w14:textId="77777777" w:rsidR="00E259CC" w:rsidRDefault="00E259CC" w:rsidP="00E259CC">
      <w:pPr>
        <w:pStyle w:val="a2"/>
        <w:rPr>
          <w:rtl/>
        </w:rPr>
      </w:pPr>
      <w:r>
        <w:rPr>
          <w:rFonts w:hint="cs"/>
          <w:rtl/>
        </w:rPr>
        <w:t xml:space="preserve">ולפי זה יש מקום לפרש, "והסר ממנו יגון ואנחה" היינו שלא יהיו בני ישראל במצב של צער וצעקה "תן לנו מלך" וכו'. </w:t>
      </w:r>
    </w:p>
    <w:p w14:paraId="33C0E2F8" w14:textId="77777777" w:rsidR="00E259CC" w:rsidRPr="00D310B7" w:rsidRDefault="00E259CC" w:rsidP="00E259CC">
      <w:pPr>
        <w:pStyle w:val="a2"/>
        <w:rPr>
          <w:rtl/>
        </w:rPr>
      </w:pPr>
      <w:r>
        <w:rPr>
          <w:rFonts w:hint="cs"/>
          <w:rtl/>
        </w:rPr>
        <w:t>אלא שיש לעיין כיצד להתאים זה עם הכיוון השני שבעצם יש מעלה במינוי מלך כמבואר כ"ז במצוות מינוי מלך שבדרך מצוותיך ע"ד החסידות ובכמה מקומות ע"ד הנגלה.</w:t>
      </w:r>
    </w:p>
    <w:p w14:paraId="09D00A9B" w14:textId="77777777" w:rsidR="00E259CC" w:rsidRPr="00862E1C" w:rsidRDefault="00E259CC" w:rsidP="00E259CC">
      <w:pPr>
        <w:pStyle w:val="a4"/>
        <w:rPr>
          <w:sz w:val="27"/>
          <w:szCs w:val="27"/>
        </w:rPr>
        <w:sectPr w:rsidR="00E259CC" w:rsidRPr="00862E1C" w:rsidSect="00E65DD5">
          <w:headerReference w:type="even" r:id="rId62"/>
          <w:headerReference w:type="default" r:id="rId63"/>
          <w:footnotePr>
            <w:numRestart w:val="eachSect"/>
          </w:footnotePr>
          <w:type w:val="continuous"/>
          <w:pgSz w:w="7920" w:h="12240"/>
          <w:pgMar w:top="-810" w:right="864" w:bottom="720" w:left="864" w:header="270" w:footer="0" w:gutter="0"/>
          <w:cols w:space="720"/>
          <w:docGrid w:linePitch="360"/>
        </w:sectPr>
      </w:pPr>
      <w:r w:rsidRPr="00552D8B">
        <w:t>g</w:t>
      </w:r>
    </w:p>
    <w:p w14:paraId="473C787F" w14:textId="77777777" w:rsidR="00E259CC" w:rsidRPr="002A3A9E" w:rsidRDefault="00E259CC" w:rsidP="00E259CC">
      <w:pPr>
        <w:pStyle w:val="12"/>
        <w:rPr>
          <w:sz w:val="2"/>
          <w:szCs w:val="2"/>
        </w:rPr>
        <w:sectPr w:rsidR="00E259CC" w:rsidRPr="002A3A9E" w:rsidSect="00E65DD5">
          <w:headerReference w:type="even" r:id="rId64"/>
          <w:headerReference w:type="default" r:id="rId65"/>
          <w:footnotePr>
            <w:numRestart w:val="eachSect"/>
          </w:footnotePr>
          <w:type w:val="continuous"/>
          <w:pgSz w:w="7920" w:h="12240"/>
          <w:pgMar w:top="-810" w:right="864" w:bottom="720" w:left="864" w:header="270" w:footer="0" w:gutter="0"/>
          <w:cols w:space="720"/>
          <w:docGrid w:linePitch="360"/>
        </w:sectPr>
      </w:pPr>
    </w:p>
    <w:p w14:paraId="607DADAC" w14:textId="77777777" w:rsidR="0005147E" w:rsidRDefault="0005147E" w:rsidP="0005147E">
      <w:pPr>
        <w:pStyle w:val="a"/>
        <w:rPr>
          <w:rtl/>
        </w:rPr>
      </w:pPr>
      <w:bookmarkStart w:id="174" w:name="_Toc3515523"/>
      <w:r>
        <w:rPr>
          <w:rFonts w:hint="cs"/>
          <w:rtl/>
        </w:rPr>
        <w:t>ספרים שהיו לפני רבינו הזקן (גליון)</w:t>
      </w:r>
      <w:bookmarkEnd w:id="174"/>
    </w:p>
    <w:p w14:paraId="507C7C9F" w14:textId="00AB3287" w:rsidR="0005147E" w:rsidRDefault="0005147E" w:rsidP="00C40187">
      <w:pPr>
        <w:pStyle w:val="a0"/>
        <w:rPr>
          <w:rtl/>
        </w:rPr>
      </w:pPr>
      <w:bookmarkStart w:id="175" w:name="_Toc3515524"/>
      <w:r>
        <w:rPr>
          <w:rFonts w:hint="cs"/>
          <w:rtl/>
        </w:rPr>
        <w:t>הרב אלי' מטוסוב</w:t>
      </w:r>
      <w:bookmarkEnd w:id="175"/>
    </w:p>
    <w:p w14:paraId="449B9EC2" w14:textId="53F798B4" w:rsidR="0005147E" w:rsidRPr="0005147E" w:rsidRDefault="0005147E" w:rsidP="0005147E">
      <w:pPr>
        <w:pStyle w:val="a1"/>
        <w:rPr>
          <w:rtl/>
        </w:rPr>
      </w:pPr>
      <w:r w:rsidRPr="00C60FEE">
        <w:rPr>
          <w:rtl/>
        </w:rPr>
        <w:t>חבר מערכת "אוצר החסידים"</w:t>
      </w:r>
    </w:p>
    <w:p w14:paraId="52C5B122" w14:textId="77777777" w:rsidR="0005147E" w:rsidRDefault="0005147E" w:rsidP="0005147E">
      <w:pPr>
        <w:pStyle w:val="a2"/>
        <w:rPr>
          <w:b/>
          <w:bCs/>
          <w:rtl/>
        </w:rPr>
      </w:pPr>
      <w:r w:rsidRPr="009916CD">
        <w:rPr>
          <w:rFonts w:hint="cs"/>
          <w:rtl/>
        </w:rPr>
        <w:t>ב</w:t>
      </w:r>
      <w:r>
        <w:rPr>
          <w:rFonts w:hint="cs"/>
          <w:rtl/>
        </w:rPr>
        <w:t>גליון הקודם עמ' 89, מופיע מאמר מאת הרב אברהם א', בכותרת "</w:t>
      </w:r>
      <w:r w:rsidRPr="0005147E">
        <w:rPr>
          <w:rFonts w:hint="cs"/>
          <w:b/>
          <w:bCs/>
          <w:rtl/>
        </w:rPr>
        <w:t>שו"ע אדמו"ר הזקן והאליה רבה</w:t>
      </w:r>
      <w:r>
        <w:rPr>
          <w:rFonts w:hint="cs"/>
          <w:rtl/>
        </w:rPr>
        <w:t>", והוא מאמר נכבד מאד.</w:t>
      </w:r>
    </w:p>
    <w:p w14:paraId="0529493C" w14:textId="77777777" w:rsidR="0005147E" w:rsidRDefault="0005147E" w:rsidP="0005147E">
      <w:pPr>
        <w:pStyle w:val="a2"/>
        <w:rPr>
          <w:b/>
          <w:bCs/>
          <w:rtl/>
        </w:rPr>
      </w:pPr>
      <w:r>
        <w:rPr>
          <w:rFonts w:hint="cs"/>
          <w:rtl/>
        </w:rPr>
        <w:t>ותוכנו, כי בשו"ע רבינו מביא הרבה את דברי האליה זוטא, ואינו מביא לשונות האליה רבה (רק במקומות מועטים שידוע שכתב אותם רבינו בשנים מאוחרות יותר, ולא בעת כתיבתו את עיקר השו"ע בשנים תקל"א-תקל"ב), ולכאורה הלא הן האליה רבה והן האליה זוטא שניהם מאותו מחבר.</w:t>
      </w:r>
    </w:p>
    <w:p w14:paraId="1BEB3B25" w14:textId="77777777" w:rsidR="0005147E" w:rsidRDefault="0005147E" w:rsidP="0005147E">
      <w:pPr>
        <w:pStyle w:val="a2"/>
        <w:rPr>
          <w:b/>
          <w:bCs/>
          <w:rtl/>
        </w:rPr>
      </w:pPr>
      <w:r>
        <w:rPr>
          <w:rFonts w:hint="cs"/>
          <w:rtl/>
        </w:rPr>
        <w:t>הרב א"א מבאר זאת בעובדה כי האליה זוטא נדפס הרבה לפני אותו זמן, אבל האליה רבה נדפס רק פעם אחת, 15 שנים בערך לפני כתיבת השו"ע, אם כן אפשר שהוא לא הגיע לידי רבינו באותם שנים.</w:t>
      </w:r>
    </w:p>
    <w:p w14:paraId="2A48C4B2" w14:textId="77777777" w:rsidR="0005147E" w:rsidRDefault="0005147E" w:rsidP="0005147E">
      <w:pPr>
        <w:pStyle w:val="a2"/>
        <w:rPr>
          <w:b/>
          <w:bCs/>
          <w:rtl/>
        </w:rPr>
      </w:pPr>
      <w:r>
        <w:rPr>
          <w:rFonts w:hint="cs"/>
          <w:rtl/>
        </w:rPr>
        <w:t>ועל זה הוא מקשה, כי מצא בשו"ע אדה"ז סי' ח', בקו"א: וז"ל: "</w:t>
      </w:r>
      <w:r w:rsidRPr="0005147E">
        <w:rPr>
          <w:rFonts w:hint="cs"/>
          <w:b/>
          <w:bCs/>
          <w:rtl/>
        </w:rPr>
        <w:t xml:space="preserve">כתב בתשובת </w:t>
      </w:r>
      <w:r w:rsidRPr="0005147E">
        <w:rPr>
          <w:rFonts w:hint="cs"/>
          <w:b/>
          <w:bCs/>
          <w:rtl/>
        </w:rPr>
        <w:lastRenderedPageBreak/>
        <w:t>בית יעקב [סי' פד] ואם הוא בדרך ואין לו טלית אחר, מותר להעלים עיניו ולברך בלא בדיקה עכ"ל</w:t>
      </w:r>
      <w:r>
        <w:rPr>
          <w:rFonts w:hint="cs"/>
          <w:rtl/>
        </w:rPr>
        <w:t>". כך אמנם כתוב תוכן הדברים בתשו' בית יעקב, אבל האמור כאן אין זה הלשון שם.</w:t>
      </w:r>
    </w:p>
    <w:p w14:paraId="44AEBABA" w14:textId="77777777" w:rsidR="0005147E" w:rsidRDefault="0005147E" w:rsidP="0005147E">
      <w:pPr>
        <w:pStyle w:val="a2"/>
        <w:rPr>
          <w:b/>
          <w:bCs/>
          <w:rtl/>
        </w:rPr>
      </w:pPr>
      <w:r>
        <w:rPr>
          <w:rFonts w:hint="cs"/>
          <w:rtl/>
        </w:rPr>
        <w:t xml:space="preserve">וכותב הרא"א: "אדה"ז העתיק מילה במילה ממש מלשון האליה רבה, וז"ל האליה רבה: </w:t>
      </w:r>
      <w:r w:rsidRPr="0005147E">
        <w:rPr>
          <w:rFonts w:hint="cs"/>
          <w:b/>
          <w:bCs/>
          <w:rtl/>
        </w:rPr>
        <w:t>כתב בתשובות בית יעקב סימן פ"ד אם הוא בדרך ואין לו טלית אחר, מותר להעלים עיניו ולברך בלא בדיקה.</w:t>
      </w:r>
      <w:r>
        <w:rPr>
          <w:rFonts w:hint="cs"/>
          <w:rtl/>
        </w:rPr>
        <w:t xml:space="preserve"> ודוחק גדול לומר ששניהם [אדה"ז והאליה רבה] כתבו באותו לשון ממש במקרה".</w:t>
      </w:r>
    </w:p>
    <w:p w14:paraId="7E3E5825" w14:textId="77777777" w:rsidR="0005147E" w:rsidRDefault="0005147E" w:rsidP="0005147E">
      <w:pPr>
        <w:pStyle w:val="a2"/>
        <w:rPr>
          <w:b/>
          <w:bCs/>
          <w:rtl/>
        </w:rPr>
      </w:pPr>
      <w:r>
        <w:rPr>
          <w:rFonts w:hint="cs"/>
          <w:rtl/>
        </w:rPr>
        <w:t>ומזה הוא מסיק: "ומחומר הקושיא ניתן אולי לדחוק, שאמנם קו"א זה הוא הוספה מאוחרת".</w:t>
      </w:r>
    </w:p>
    <w:p w14:paraId="38C876D5" w14:textId="77777777" w:rsidR="0005147E" w:rsidRDefault="0005147E" w:rsidP="0005147E">
      <w:pPr>
        <w:pStyle w:val="11"/>
        <w:bidi/>
        <w:rPr>
          <w:rtl/>
        </w:rPr>
      </w:pPr>
      <w:r>
        <w:rPr>
          <w:rFonts w:hint="cs"/>
          <w:rtl/>
        </w:rPr>
        <w:t xml:space="preserve">זמן כתיבת </w:t>
      </w:r>
      <w:r w:rsidRPr="00FB7994">
        <w:rPr>
          <w:rFonts w:hint="cs"/>
          <w:rtl/>
        </w:rPr>
        <w:t>הקו</w:t>
      </w:r>
      <w:r>
        <w:rPr>
          <w:rFonts w:hint="cs"/>
          <w:rtl/>
        </w:rPr>
        <w:t>"א שבשולחן ערוך</w:t>
      </w:r>
    </w:p>
    <w:p w14:paraId="7D8398B9" w14:textId="77777777" w:rsidR="0005147E" w:rsidRDefault="0005147E" w:rsidP="0005147E">
      <w:pPr>
        <w:pStyle w:val="a2"/>
        <w:rPr>
          <w:b/>
          <w:bCs/>
          <w:rtl/>
        </w:rPr>
      </w:pPr>
      <w:r>
        <w:rPr>
          <w:rFonts w:hint="cs"/>
          <w:rtl/>
        </w:rPr>
        <w:t>פירוש דבריו, כי בדרך כלל, הקו"א שנדפס בתוך סימני השו"ע, נכתבו ג"כ באותו זמן של כתיבת גוף סימני השו"ע, כמובן מהקדמת בני המחבר לשו"ע אדה"ז, ובנדו"ד הוא בהשנים תקל"א-תקל"ב,</w:t>
      </w:r>
    </w:p>
    <w:p w14:paraId="3C86FF1F" w14:textId="77777777" w:rsidR="0005147E" w:rsidRDefault="0005147E" w:rsidP="0005147E">
      <w:pPr>
        <w:pStyle w:val="a2"/>
        <w:rPr>
          <w:b/>
          <w:bCs/>
          <w:rtl/>
        </w:rPr>
      </w:pPr>
      <w:r>
        <w:rPr>
          <w:rFonts w:hint="cs"/>
          <w:rtl/>
        </w:rPr>
        <w:t>אולם בקו"א זה של הל' ציצית סי' ח' שבו הוא כותב כלשון האליה רבה, והלא הגענו למסקנא שספר זה לא הי' לפני רבינו, על כן צריך לדחוק שבשונה מכל שאר הקו"א שבשו"ע הנה קו"א זה הוא נכתב בתקופה מאוחרת יותר.</w:t>
      </w:r>
    </w:p>
    <w:p w14:paraId="21F6234D" w14:textId="77777777" w:rsidR="0005147E" w:rsidRDefault="0005147E" w:rsidP="0005147E">
      <w:pPr>
        <w:pStyle w:val="a2"/>
        <w:rPr>
          <w:b/>
          <w:bCs/>
          <w:rtl/>
        </w:rPr>
      </w:pPr>
      <w:r>
        <w:rPr>
          <w:rFonts w:hint="cs"/>
          <w:rtl/>
        </w:rPr>
        <w:t>ולדבריו שם זהו דוחק כי בתוך הדברים בקו"א זה כותב רבינו: "</w:t>
      </w:r>
      <w:r w:rsidRPr="0005147E">
        <w:rPr>
          <w:rFonts w:hint="cs"/>
          <w:b/>
          <w:bCs/>
          <w:rtl/>
        </w:rPr>
        <w:t>כמו שיתבאר בעז"ה</w:t>
      </w:r>
      <w:r>
        <w:rPr>
          <w:rFonts w:hint="cs"/>
          <w:rtl/>
        </w:rPr>
        <w:t>", וקאי על המשך הלכות ציצית שם. ודוחק לומר שכתב זה אחרי כתיבת השו"ע.</w:t>
      </w:r>
    </w:p>
    <w:p w14:paraId="7AB50F0B" w14:textId="77777777" w:rsidR="0005147E" w:rsidRDefault="0005147E" w:rsidP="0005147E">
      <w:pPr>
        <w:pStyle w:val="a2"/>
        <w:rPr>
          <w:b/>
          <w:bCs/>
          <w:rtl/>
        </w:rPr>
      </w:pPr>
      <w:r>
        <w:rPr>
          <w:rFonts w:hint="cs"/>
          <w:rtl/>
        </w:rPr>
        <w:t>רק שמחומר הקושיא, יש לדחוק שקו"א זה נכתב מאוחר יותר. אלו דבריו.</w:t>
      </w:r>
    </w:p>
    <w:p w14:paraId="0F0F238B" w14:textId="77777777" w:rsidR="0005147E" w:rsidRPr="00EF1E4A" w:rsidRDefault="0005147E" w:rsidP="0005147E">
      <w:pPr>
        <w:pStyle w:val="11"/>
        <w:bidi/>
        <w:rPr>
          <w:rtl/>
        </w:rPr>
      </w:pPr>
      <w:r>
        <w:rPr>
          <w:rFonts w:hint="cs"/>
          <w:rtl/>
        </w:rPr>
        <w:t>ביטול התמיהה</w:t>
      </w:r>
    </w:p>
    <w:p w14:paraId="52D3396D" w14:textId="77777777" w:rsidR="0005147E" w:rsidRDefault="0005147E" w:rsidP="0005147E">
      <w:pPr>
        <w:pStyle w:val="a2"/>
        <w:rPr>
          <w:b/>
          <w:bCs/>
          <w:rtl/>
        </w:rPr>
      </w:pPr>
      <w:r>
        <w:rPr>
          <w:rFonts w:hint="cs"/>
          <w:rtl/>
        </w:rPr>
        <w:t>באמת, אי משום הא אין צריך לשום דוחק. כי רבינו הזקן כתב את השו"ע בהיותו במעזריטש (אחרי גיל כ"ה שנה בערך), כמפורש בהקדמת בני המחבר לשו"ע.</w:t>
      </w:r>
    </w:p>
    <w:p w14:paraId="0C4EF1B4" w14:textId="77777777" w:rsidR="0005147E" w:rsidRDefault="0005147E" w:rsidP="0005147E">
      <w:pPr>
        <w:pStyle w:val="a2"/>
        <w:rPr>
          <w:b/>
          <w:bCs/>
          <w:rtl/>
        </w:rPr>
      </w:pPr>
      <w:r>
        <w:rPr>
          <w:rFonts w:hint="cs"/>
          <w:rtl/>
        </w:rPr>
        <w:t>והלא לפני זה עד לאותו זמן, הוא היה במקום הולדתו בליאזני (עד לגיל בר-מצוה), ובפינקס החברא קדישא של ליאזני כתבו עליו בעת הבר-מצוה שלו "ה"ה חכם המופלג תנא ופליג החתן מוהרש"ז" כו'. ואחרי זה הוא גר עם חותנו בוויטפסק (עיר גדולה לאלקים), עד שהחל לנסוע למזריטש בהיותו בגיל 20 בערך.</w:t>
      </w:r>
    </w:p>
    <w:p w14:paraId="4B9B3778" w14:textId="77777777" w:rsidR="0005147E" w:rsidRDefault="0005147E" w:rsidP="0005147E">
      <w:pPr>
        <w:pStyle w:val="a2"/>
        <w:rPr>
          <w:b/>
          <w:bCs/>
          <w:rtl/>
        </w:rPr>
      </w:pPr>
      <w:r>
        <w:rPr>
          <w:rFonts w:hint="cs"/>
          <w:rtl/>
        </w:rPr>
        <w:lastRenderedPageBreak/>
        <w:t>אם כן אף אם במעזריטש בשנים תקל"א-תקל"ב לא היה לפניו האליה רבה, אבל מדוע לומר שבכל עשרים השנים שלפני זה, הוא לא ראה את האליה רבה בכל מקומותיו ובכל תחנות מסעיו. ובודאי כי לשונות רבים נשארו חקוקים אצלו בזכרונו הקדוש (ובפרט בנדו"ד שמדובר בשורה פשוטה, שיכולה להיות חקוקה בזכרון אצל כל גאון ומחבר).</w:t>
      </w:r>
    </w:p>
    <w:p w14:paraId="4E14F5CF" w14:textId="1CABCF76" w:rsidR="0005147E" w:rsidRDefault="0005147E" w:rsidP="0005147E">
      <w:pPr>
        <w:pStyle w:val="a2"/>
        <w:rPr>
          <w:sz w:val="44"/>
          <w:szCs w:val="44"/>
          <w:rtl/>
        </w:rPr>
      </w:pPr>
      <w:r>
        <w:rPr>
          <w:rFonts w:hint="cs"/>
          <w:b/>
          <w:bCs/>
          <w:rtl/>
        </w:rPr>
        <w:t>אם כן גם אם יימצאו איזה לשונות בשו</w:t>
      </w:r>
      <w:r w:rsidRPr="0085267C">
        <w:rPr>
          <w:rFonts w:hint="cs"/>
          <w:rtl/>
        </w:rPr>
        <w:t>"</w:t>
      </w:r>
      <w:r>
        <w:rPr>
          <w:rFonts w:hint="cs"/>
          <w:b/>
          <w:bCs/>
          <w:rtl/>
        </w:rPr>
        <w:t>ע, שמוצאים אותם בקדמונים שלא היו לפני רבינו במעזריטש, אין מזה הוכחה לאיזה תקופה נכתבו אותם דברים, וזה פשוט לענ"ד.</w:t>
      </w:r>
    </w:p>
    <w:p w14:paraId="4FE18CE0" w14:textId="77777777" w:rsidR="00D310B7" w:rsidRPr="00552D8B" w:rsidRDefault="00D310B7" w:rsidP="005E6E84">
      <w:pPr>
        <w:pStyle w:val="a4"/>
        <w:sectPr w:rsidR="00D310B7" w:rsidRPr="00552D8B" w:rsidSect="00E65DD5">
          <w:headerReference w:type="even" r:id="rId66"/>
          <w:headerReference w:type="default" r:id="rId67"/>
          <w:footnotePr>
            <w:numRestart w:val="eachSect"/>
          </w:footnotePr>
          <w:type w:val="continuous"/>
          <w:pgSz w:w="7920" w:h="12240"/>
          <w:pgMar w:top="-810" w:right="864" w:bottom="720" w:left="864" w:header="270" w:footer="0" w:gutter="0"/>
          <w:cols w:space="720"/>
          <w:docGrid w:linePitch="360"/>
        </w:sectPr>
      </w:pPr>
      <w:r w:rsidRPr="00552D8B">
        <w:t>g</w:t>
      </w:r>
    </w:p>
    <w:p w14:paraId="073F9CD5" w14:textId="5A17D728" w:rsidR="002A3A9E" w:rsidRDefault="002A3A9E">
      <w:pPr>
        <w:rPr>
          <w:rFonts w:ascii="David" w:hAnsi="David" w:cs="David"/>
          <w:sz w:val="24"/>
          <w:szCs w:val="24"/>
          <w:rtl/>
        </w:rPr>
      </w:pPr>
      <w:r>
        <w:rPr>
          <w:rFonts w:ascii="David" w:hAnsi="David" w:cs="David"/>
          <w:sz w:val="24"/>
          <w:szCs w:val="24"/>
        </w:rPr>
        <w:br w:type="page"/>
      </w:r>
    </w:p>
    <w:p w14:paraId="7CC3F1B0" w14:textId="77777777" w:rsidR="002A3A9E" w:rsidRDefault="002A3A9E" w:rsidP="002A3A9E">
      <w:pPr>
        <w:bidi/>
        <w:rPr>
          <w:rFonts w:cs="1ShefaClassic"/>
          <w:sz w:val="27"/>
          <w:szCs w:val="27"/>
          <w:rtl/>
        </w:rPr>
      </w:pPr>
    </w:p>
    <w:p w14:paraId="774F1BD7" w14:textId="77777777" w:rsidR="00862E1C" w:rsidRPr="00862E1C" w:rsidRDefault="00862E1C" w:rsidP="00E259CC">
      <w:pPr>
        <w:bidi/>
        <w:jc w:val="center"/>
        <w:rPr>
          <w:rFonts w:cs="1ShefaClassic"/>
          <w:sz w:val="27"/>
          <w:szCs w:val="27"/>
        </w:rPr>
      </w:pPr>
      <w:r w:rsidRPr="00862E1C">
        <w:rPr>
          <w:rFonts w:cs="1ShefaClassic" w:hint="cs"/>
          <w:sz w:val="27"/>
          <w:szCs w:val="27"/>
          <w:rtl/>
        </w:rPr>
        <w:t>לעילוי</w:t>
      </w:r>
      <w:r w:rsidRPr="00862E1C">
        <w:rPr>
          <w:rFonts w:cs="1ShefaClassic"/>
          <w:sz w:val="27"/>
          <w:szCs w:val="27"/>
          <w:rtl/>
        </w:rPr>
        <w:t xml:space="preserve"> </w:t>
      </w:r>
      <w:r w:rsidRPr="00862E1C">
        <w:rPr>
          <w:rFonts w:cs="1ShefaClassic" w:hint="cs"/>
          <w:sz w:val="27"/>
          <w:szCs w:val="27"/>
          <w:rtl/>
        </w:rPr>
        <w:t>נשמת</w:t>
      </w:r>
    </w:p>
    <w:p w14:paraId="30EBEEF5" w14:textId="77777777" w:rsidR="00862E1C" w:rsidRPr="00862E1C" w:rsidRDefault="00862E1C" w:rsidP="00862E1C">
      <w:pPr>
        <w:bidi/>
        <w:jc w:val="center"/>
        <w:rPr>
          <w:rFonts w:cs="1ShefaClassic"/>
          <w:sz w:val="27"/>
          <w:szCs w:val="27"/>
        </w:rPr>
      </w:pPr>
      <w:r w:rsidRPr="00862E1C">
        <w:rPr>
          <w:rFonts w:cs="1ShefaClassic" w:hint="cs"/>
          <w:sz w:val="27"/>
          <w:szCs w:val="27"/>
          <w:rtl/>
        </w:rPr>
        <w:t>איש</w:t>
      </w:r>
      <w:r w:rsidRPr="00862E1C">
        <w:rPr>
          <w:rFonts w:cs="1ShefaClassic"/>
          <w:sz w:val="27"/>
          <w:szCs w:val="27"/>
          <w:rtl/>
        </w:rPr>
        <w:t xml:space="preserve"> </w:t>
      </w:r>
      <w:r w:rsidRPr="00862E1C">
        <w:rPr>
          <w:rFonts w:cs="1ShefaClassic" w:hint="cs"/>
          <w:sz w:val="27"/>
          <w:szCs w:val="27"/>
          <w:rtl/>
        </w:rPr>
        <w:t>תם</w:t>
      </w:r>
      <w:r w:rsidRPr="00862E1C">
        <w:rPr>
          <w:rFonts w:cs="1ShefaClassic"/>
          <w:sz w:val="27"/>
          <w:szCs w:val="27"/>
          <w:rtl/>
        </w:rPr>
        <w:t xml:space="preserve"> </w:t>
      </w:r>
      <w:r w:rsidRPr="00862E1C">
        <w:rPr>
          <w:rFonts w:cs="1ShefaClassic" w:hint="cs"/>
          <w:sz w:val="27"/>
          <w:szCs w:val="27"/>
          <w:rtl/>
        </w:rPr>
        <w:t>וישר</w:t>
      </w:r>
      <w:r w:rsidRPr="00862E1C">
        <w:rPr>
          <w:rFonts w:cs="1ShefaClassic"/>
          <w:sz w:val="27"/>
          <w:szCs w:val="27"/>
          <w:rtl/>
        </w:rPr>
        <w:t xml:space="preserve"> </w:t>
      </w:r>
      <w:r w:rsidRPr="00862E1C">
        <w:rPr>
          <w:rFonts w:cs="1ShefaClassic" w:hint="cs"/>
          <w:sz w:val="27"/>
          <w:szCs w:val="27"/>
          <w:rtl/>
        </w:rPr>
        <w:t>הולך</w:t>
      </w:r>
      <w:r w:rsidRPr="00862E1C">
        <w:rPr>
          <w:rFonts w:cs="1ShefaClassic"/>
          <w:sz w:val="27"/>
          <w:szCs w:val="27"/>
          <w:rtl/>
        </w:rPr>
        <w:t xml:space="preserve"> </w:t>
      </w:r>
      <w:r w:rsidRPr="00862E1C">
        <w:rPr>
          <w:rFonts w:cs="1ShefaClassic" w:hint="cs"/>
          <w:sz w:val="27"/>
          <w:szCs w:val="27"/>
          <w:rtl/>
        </w:rPr>
        <w:t>תמים</w:t>
      </w:r>
      <w:r w:rsidRPr="00862E1C">
        <w:rPr>
          <w:rFonts w:cs="1ShefaClassic"/>
          <w:sz w:val="27"/>
          <w:szCs w:val="27"/>
          <w:rtl/>
        </w:rPr>
        <w:t xml:space="preserve"> </w:t>
      </w:r>
      <w:r w:rsidRPr="00862E1C">
        <w:rPr>
          <w:rFonts w:cs="1ShefaClassic" w:hint="cs"/>
          <w:sz w:val="27"/>
          <w:szCs w:val="27"/>
          <w:rtl/>
        </w:rPr>
        <w:t>ופועל</w:t>
      </w:r>
      <w:r w:rsidRPr="00862E1C">
        <w:rPr>
          <w:rFonts w:cs="1ShefaClassic"/>
          <w:sz w:val="27"/>
          <w:szCs w:val="27"/>
          <w:rtl/>
        </w:rPr>
        <w:t xml:space="preserve"> </w:t>
      </w:r>
      <w:r w:rsidRPr="00862E1C">
        <w:rPr>
          <w:rFonts w:cs="1ShefaClassic" w:hint="cs"/>
          <w:sz w:val="27"/>
          <w:szCs w:val="27"/>
          <w:rtl/>
        </w:rPr>
        <w:t>צדק</w:t>
      </w:r>
    </w:p>
    <w:p w14:paraId="663AFD8D" w14:textId="77777777" w:rsidR="00862E1C" w:rsidRPr="00862E1C" w:rsidRDefault="00862E1C" w:rsidP="00862E1C">
      <w:pPr>
        <w:bidi/>
        <w:jc w:val="center"/>
        <w:rPr>
          <w:rFonts w:cs="1ShefaClassic"/>
          <w:sz w:val="27"/>
          <w:szCs w:val="27"/>
        </w:rPr>
      </w:pPr>
      <w:r w:rsidRPr="00862E1C">
        <w:rPr>
          <w:rFonts w:cs="1ShefaClassic" w:hint="cs"/>
          <w:sz w:val="27"/>
          <w:szCs w:val="27"/>
          <w:rtl/>
        </w:rPr>
        <w:t>בר</w:t>
      </w:r>
      <w:r w:rsidRPr="00862E1C">
        <w:rPr>
          <w:rFonts w:cs="1ShefaClassic"/>
          <w:sz w:val="27"/>
          <w:szCs w:val="27"/>
          <w:rtl/>
        </w:rPr>
        <w:t xml:space="preserve"> </w:t>
      </w:r>
      <w:r w:rsidRPr="00862E1C">
        <w:rPr>
          <w:rFonts w:cs="1ShefaClassic" w:hint="cs"/>
          <w:sz w:val="27"/>
          <w:szCs w:val="27"/>
          <w:rtl/>
        </w:rPr>
        <w:t>אוריין</w:t>
      </w:r>
      <w:r w:rsidRPr="00862E1C">
        <w:rPr>
          <w:rFonts w:cs="1ShefaClassic"/>
          <w:sz w:val="27"/>
          <w:szCs w:val="27"/>
          <w:rtl/>
        </w:rPr>
        <w:t xml:space="preserve"> </w:t>
      </w:r>
      <w:r w:rsidRPr="00862E1C">
        <w:rPr>
          <w:rFonts w:cs="1ShefaClassic" w:hint="cs"/>
          <w:sz w:val="27"/>
          <w:szCs w:val="27"/>
          <w:rtl/>
        </w:rPr>
        <w:t>ויר</w:t>
      </w:r>
      <w:r w:rsidRPr="00862E1C">
        <w:rPr>
          <w:rFonts w:cs="1ShefaClassic"/>
          <w:sz w:val="27"/>
          <w:szCs w:val="27"/>
          <w:rtl/>
        </w:rPr>
        <w:t>"</w:t>
      </w:r>
      <w:r w:rsidRPr="00862E1C">
        <w:rPr>
          <w:rFonts w:cs="1ShefaClassic" w:hint="cs"/>
          <w:sz w:val="27"/>
          <w:szCs w:val="27"/>
          <w:rtl/>
        </w:rPr>
        <w:t>א</w:t>
      </w:r>
      <w:r w:rsidRPr="00862E1C">
        <w:rPr>
          <w:rFonts w:cs="1ShefaClassic"/>
          <w:sz w:val="27"/>
          <w:szCs w:val="27"/>
          <w:rtl/>
        </w:rPr>
        <w:t xml:space="preserve"> </w:t>
      </w:r>
      <w:r w:rsidRPr="00862E1C">
        <w:rPr>
          <w:rFonts w:cs="1ShefaClassic" w:hint="cs"/>
          <w:sz w:val="27"/>
          <w:szCs w:val="27"/>
          <w:rtl/>
        </w:rPr>
        <w:t>רחים</w:t>
      </w:r>
      <w:r w:rsidRPr="00862E1C">
        <w:rPr>
          <w:rFonts w:cs="1ShefaClassic"/>
          <w:sz w:val="27"/>
          <w:szCs w:val="27"/>
          <w:rtl/>
        </w:rPr>
        <w:t xml:space="preserve"> </w:t>
      </w:r>
      <w:r w:rsidRPr="00862E1C">
        <w:rPr>
          <w:rFonts w:cs="1ShefaClassic" w:hint="cs"/>
          <w:sz w:val="27"/>
          <w:szCs w:val="27"/>
          <w:rtl/>
        </w:rPr>
        <w:t>ומוקיר</w:t>
      </w:r>
      <w:r w:rsidRPr="00862E1C">
        <w:rPr>
          <w:rFonts w:cs="1ShefaClassic"/>
          <w:sz w:val="27"/>
          <w:szCs w:val="27"/>
          <w:rtl/>
        </w:rPr>
        <w:t xml:space="preserve"> </w:t>
      </w:r>
      <w:r w:rsidRPr="00862E1C">
        <w:rPr>
          <w:rFonts w:cs="1ShefaClassic" w:hint="cs"/>
          <w:sz w:val="27"/>
          <w:szCs w:val="27"/>
          <w:rtl/>
        </w:rPr>
        <w:t>רבנן</w:t>
      </w:r>
    </w:p>
    <w:p w14:paraId="001DEE2E" w14:textId="77777777" w:rsidR="00862E1C" w:rsidRPr="00862E1C" w:rsidRDefault="00862E1C" w:rsidP="00862E1C">
      <w:pPr>
        <w:bidi/>
        <w:jc w:val="center"/>
        <w:rPr>
          <w:rFonts w:cs="1ShefaClassic"/>
          <w:sz w:val="27"/>
          <w:szCs w:val="27"/>
        </w:rPr>
      </w:pPr>
      <w:r w:rsidRPr="00862E1C">
        <w:rPr>
          <w:rFonts w:cs="1ShefaClassic" w:hint="cs"/>
          <w:sz w:val="27"/>
          <w:szCs w:val="27"/>
          <w:rtl/>
        </w:rPr>
        <w:t>הרב</w:t>
      </w:r>
      <w:r w:rsidRPr="00862E1C">
        <w:rPr>
          <w:rFonts w:cs="1ShefaClassic"/>
          <w:sz w:val="27"/>
          <w:szCs w:val="27"/>
          <w:rtl/>
        </w:rPr>
        <w:t xml:space="preserve"> </w:t>
      </w:r>
      <w:r w:rsidRPr="00862E1C">
        <w:rPr>
          <w:rFonts w:cs="1ShefaClassic" w:hint="cs"/>
          <w:b/>
          <w:bCs/>
          <w:sz w:val="27"/>
          <w:szCs w:val="27"/>
          <w:rtl/>
        </w:rPr>
        <w:t>שלום</w:t>
      </w:r>
      <w:r w:rsidRPr="00862E1C">
        <w:rPr>
          <w:rFonts w:cs="1ShefaClassic"/>
          <w:sz w:val="27"/>
          <w:szCs w:val="27"/>
          <w:rtl/>
        </w:rPr>
        <w:t xml:space="preserve"> </w:t>
      </w:r>
      <w:r w:rsidRPr="00862E1C">
        <w:rPr>
          <w:rFonts w:cs="1ShefaClassic" w:hint="cs"/>
          <w:sz w:val="27"/>
          <w:szCs w:val="27"/>
          <w:rtl/>
        </w:rPr>
        <w:t>בן</w:t>
      </w:r>
      <w:r w:rsidRPr="00862E1C">
        <w:rPr>
          <w:rFonts w:cs="1ShefaClassic"/>
          <w:sz w:val="27"/>
          <w:szCs w:val="27"/>
          <w:rtl/>
        </w:rPr>
        <w:t xml:space="preserve"> </w:t>
      </w:r>
      <w:r w:rsidRPr="00862E1C">
        <w:rPr>
          <w:rFonts w:cs="1ShefaClassic" w:hint="cs"/>
          <w:b/>
          <w:bCs/>
          <w:sz w:val="27"/>
          <w:szCs w:val="27"/>
          <w:rtl/>
        </w:rPr>
        <w:t>יהודא</w:t>
      </w:r>
      <w:r w:rsidRPr="00862E1C">
        <w:rPr>
          <w:rFonts w:cs="1ShefaClassic"/>
          <w:sz w:val="27"/>
          <w:szCs w:val="27"/>
          <w:rtl/>
        </w:rPr>
        <w:t xml:space="preserve"> </w:t>
      </w:r>
      <w:r w:rsidRPr="00862E1C">
        <w:rPr>
          <w:rFonts w:cs="1ShefaClassic" w:hint="cs"/>
          <w:b/>
          <w:bCs/>
          <w:sz w:val="27"/>
          <w:szCs w:val="27"/>
          <w:rtl/>
        </w:rPr>
        <w:t>משה</w:t>
      </w:r>
      <w:r w:rsidRPr="00862E1C">
        <w:rPr>
          <w:rFonts w:cs="1ShefaClassic"/>
          <w:sz w:val="27"/>
          <w:szCs w:val="27"/>
          <w:rtl/>
        </w:rPr>
        <w:t xml:space="preserve"> </w:t>
      </w:r>
      <w:r w:rsidRPr="00862E1C">
        <w:rPr>
          <w:rFonts w:cs="1ShefaClassic" w:hint="cs"/>
          <w:sz w:val="27"/>
          <w:szCs w:val="27"/>
          <w:rtl/>
        </w:rPr>
        <w:t>הכהן</w:t>
      </w:r>
      <w:r w:rsidRPr="00862E1C">
        <w:rPr>
          <w:rFonts w:cs="1ShefaClassic"/>
          <w:sz w:val="27"/>
          <w:szCs w:val="27"/>
          <w:rtl/>
        </w:rPr>
        <w:t xml:space="preserve"> </w:t>
      </w:r>
      <w:r w:rsidRPr="00862E1C">
        <w:rPr>
          <w:rFonts w:cs="1ShefaClassic" w:hint="cs"/>
          <w:sz w:val="27"/>
          <w:szCs w:val="27"/>
          <w:rtl/>
        </w:rPr>
        <w:t>ע</w:t>
      </w:r>
      <w:r w:rsidRPr="00862E1C">
        <w:rPr>
          <w:rFonts w:cs="1ShefaClassic"/>
          <w:sz w:val="27"/>
          <w:szCs w:val="27"/>
          <w:rtl/>
        </w:rPr>
        <w:t>"</w:t>
      </w:r>
      <w:r w:rsidRPr="00862E1C">
        <w:rPr>
          <w:rFonts w:cs="1ShefaClassic" w:hint="cs"/>
          <w:sz w:val="27"/>
          <w:szCs w:val="27"/>
          <w:rtl/>
        </w:rPr>
        <w:t>ה</w:t>
      </w:r>
    </w:p>
    <w:p w14:paraId="17471A07" w14:textId="77777777" w:rsidR="00862E1C" w:rsidRPr="00862E1C" w:rsidRDefault="00862E1C" w:rsidP="00862E1C">
      <w:pPr>
        <w:bidi/>
        <w:jc w:val="center"/>
        <w:rPr>
          <w:rFonts w:cs="1ShefaClassic"/>
          <w:b/>
          <w:bCs/>
          <w:sz w:val="27"/>
          <w:szCs w:val="27"/>
        </w:rPr>
      </w:pPr>
      <w:r w:rsidRPr="00862E1C">
        <w:rPr>
          <w:rFonts w:cs="1ShefaClassic" w:hint="cs"/>
          <w:b/>
          <w:bCs/>
          <w:sz w:val="27"/>
          <w:szCs w:val="27"/>
          <w:rtl/>
        </w:rPr>
        <w:t>שורפין</w:t>
      </w:r>
    </w:p>
    <w:p w14:paraId="1DBE44AE" w14:textId="77777777" w:rsidR="00862E1C" w:rsidRPr="00862E1C" w:rsidRDefault="00862E1C" w:rsidP="00862E1C">
      <w:pPr>
        <w:bidi/>
        <w:jc w:val="center"/>
        <w:rPr>
          <w:rFonts w:cs="1ShefaClassic"/>
          <w:sz w:val="27"/>
          <w:szCs w:val="27"/>
        </w:rPr>
      </w:pPr>
      <w:r w:rsidRPr="00862E1C">
        <w:rPr>
          <w:rFonts w:cs="1ShefaClassic" w:hint="cs"/>
          <w:sz w:val="27"/>
          <w:szCs w:val="27"/>
          <w:rtl/>
        </w:rPr>
        <w:t>נלב</w:t>
      </w:r>
      <w:r w:rsidRPr="00862E1C">
        <w:rPr>
          <w:rFonts w:cs="1ShefaClassic"/>
          <w:sz w:val="27"/>
          <w:szCs w:val="27"/>
          <w:rtl/>
        </w:rPr>
        <w:t>"</w:t>
      </w:r>
      <w:r w:rsidRPr="00862E1C">
        <w:rPr>
          <w:rFonts w:cs="1ShefaClassic" w:hint="cs"/>
          <w:sz w:val="27"/>
          <w:szCs w:val="27"/>
          <w:rtl/>
        </w:rPr>
        <w:t>ע</w:t>
      </w:r>
      <w:r w:rsidRPr="00862E1C">
        <w:rPr>
          <w:rFonts w:cs="1ShefaClassic"/>
          <w:sz w:val="27"/>
          <w:szCs w:val="27"/>
          <w:rtl/>
        </w:rPr>
        <w:t xml:space="preserve"> </w:t>
      </w:r>
      <w:r w:rsidRPr="00862E1C">
        <w:rPr>
          <w:rFonts w:cs="1ShefaClassic" w:hint="cs"/>
          <w:sz w:val="27"/>
          <w:szCs w:val="27"/>
          <w:rtl/>
        </w:rPr>
        <w:t>ביום</w:t>
      </w:r>
      <w:r w:rsidRPr="00862E1C">
        <w:rPr>
          <w:rFonts w:cs="1ShefaClassic"/>
          <w:b/>
          <w:bCs/>
          <w:sz w:val="27"/>
          <w:szCs w:val="27"/>
          <w:rtl/>
        </w:rPr>
        <w:t xml:space="preserve"> </w:t>
      </w:r>
      <w:r w:rsidRPr="00862E1C">
        <w:rPr>
          <w:rFonts w:cs="1ShefaClassic" w:hint="cs"/>
          <w:b/>
          <w:bCs/>
          <w:sz w:val="27"/>
          <w:szCs w:val="27"/>
          <w:rtl/>
        </w:rPr>
        <w:t>י</w:t>
      </w:r>
      <w:r w:rsidRPr="00862E1C">
        <w:rPr>
          <w:rFonts w:cs="1ShefaClassic"/>
          <w:b/>
          <w:bCs/>
          <w:sz w:val="27"/>
          <w:szCs w:val="27"/>
          <w:rtl/>
        </w:rPr>
        <w:t>"</w:t>
      </w:r>
      <w:r w:rsidRPr="00862E1C">
        <w:rPr>
          <w:rFonts w:cs="1ShefaClassic" w:hint="cs"/>
          <w:b/>
          <w:bCs/>
          <w:sz w:val="27"/>
          <w:szCs w:val="27"/>
          <w:rtl/>
        </w:rPr>
        <w:t>ט</w:t>
      </w:r>
      <w:r w:rsidRPr="00862E1C">
        <w:rPr>
          <w:rFonts w:cs="1ShefaClassic"/>
          <w:b/>
          <w:bCs/>
          <w:sz w:val="27"/>
          <w:szCs w:val="27"/>
          <w:rtl/>
        </w:rPr>
        <w:t xml:space="preserve"> </w:t>
      </w:r>
      <w:r w:rsidRPr="00862E1C">
        <w:rPr>
          <w:rFonts w:cs="1ShefaClassic" w:hint="cs"/>
          <w:b/>
          <w:bCs/>
          <w:sz w:val="27"/>
          <w:szCs w:val="27"/>
          <w:rtl/>
        </w:rPr>
        <w:t>אדר</w:t>
      </w:r>
      <w:r w:rsidRPr="00862E1C">
        <w:rPr>
          <w:rFonts w:cs="1ShefaClassic"/>
          <w:b/>
          <w:bCs/>
          <w:sz w:val="27"/>
          <w:szCs w:val="27"/>
          <w:rtl/>
        </w:rPr>
        <w:t xml:space="preserve"> </w:t>
      </w:r>
      <w:r w:rsidRPr="00862E1C">
        <w:rPr>
          <w:rFonts w:cs="1ShefaClassic" w:hint="cs"/>
          <w:b/>
          <w:bCs/>
          <w:sz w:val="27"/>
          <w:szCs w:val="27"/>
          <w:rtl/>
        </w:rPr>
        <w:t>שני</w:t>
      </w:r>
      <w:r w:rsidRPr="00862E1C">
        <w:rPr>
          <w:rFonts w:cs="1ShefaClassic"/>
          <w:b/>
          <w:bCs/>
          <w:sz w:val="27"/>
          <w:szCs w:val="27"/>
          <w:rtl/>
        </w:rPr>
        <w:t xml:space="preserve"> </w:t>
      </w:r>
      <w:r w:rsidRPr="00862E1C">
        <w:rPr>
          <w:rFonts w:cs="1ShefaClassic" w:hint="cs"/>
          <w:b/>
          <w:bCs/>
          <w:sz w:val="27"/>
          <w:szCs w:val="27"/>
          <w:rtl/>
        </w:rPr>
        <w:t>ה</w:t>
      </w:r>
      <w:r w:rsidRPr="00862E1C">
        <w:rPr>
          <w:rFonts w:cs="1ShefaClassic"/>
          <w:b/>
          <w:bCs/>
          <w:sz w:val="27"/>
          <w:szCs w:val="27"/>
          <w:rtl/>
        </w:rPr>
        <w:t>'</w:t>
      </w:r>
      <w:r w:rsidRPr="00862E1C">
        <w:rPr>
          <w:rFonts w:cs="1ShefaClassic" w:hint="cs"/>
          <w:b/>
          <w:bCs/>
          <w:sz w:val="27"/>
          <w:szCs w:val="27"/>
          <w:rtl/>
        </w:rPr>
        <w:t>תשס</w:t>
      </w:r>
      <w:r w:rsidRPr="00862E1C">
        <w:rPr>
          <w:rFonts w:cs="1ShefaClassic"/>
          <w:b/>
          <w:bCs/>
          <w:sz w:val="27"/>
          <w:szCs w:val="27"/>
          <w:rtl/>
        </w:rPr>
        <w:t>"</w:t>
      </w:r>
      <w:r w:rsidRPr="00862E1C">
        <w:rPr>
          <w:rFonts w:cs="1ShefaClassic" w:hint="cs"/>
          <w:b/>
          <w:bCs/>
          <w:sz w:val="27"/>
          <w:szCs w:val="27"/>
          <w:rtl/>
        </w:rPr>
        <w:t>ח</w:t>
      </w:r>
    </w:p>
    <w:p w14:paraId="275D89A8" w14:textId="77777777" w:rsidR="00862E1C" w:rsidRPr="00862E1C" w:rsidRDefault="00862E1C" w:rsidP="00862E1C">
      <w:pPr>
        <w:bidi/>
        <w:jc w:val="center"/>
        <w:rPr>
          <w:rFonts w:cs="1ShefaClassic"/>
          <w:b/>
          <w:bCs/>
          <w:sz w:val="27"/>
          <w:szCs w:val="27"/>
        </w:rPr>
      </w:pPr>
      <w:r w:rsidRPr="00862E1C">
        <w:rPr>
          <w:rFonts w:cs="1ShefaClassic" w:hint="cs"/>
          <w:b/>
          <w:bCs/>
          <w:sz w:val="27"/>
          <w:szCs w:val="27"/>
          <w:rtl/>
        </w:rPr>
        <w:t>ת</w:t>
      </w:r>
      <w:r w:rsidRPr="00862E1C">
        <w:rPr>
          <w:rFonts w:cs="1ShefaClassic"/>
          <w:b/>
          <w:bCs/>
          <w:sz w:val="27"/>
          <w:szCs w:val="27"/>
          <w:rtl/>
        </w:rPr>
        <w:t>.</w:t>
      </w:r>
      <w:r w:rsidRPr="00862E1C">
        <w:rPr>
          <w:rFonts w:cs="1ShefaClassic" w:hint="cs"/>
          <w:b/>
          <w:bCs/>
          <w:sz w:val="27"/>
          <w:szCs w:val="27"/>
          <w:rtl/>
        </w:rPr>
        <w:t>נ</w:t>
      </w:r>
      <w:r w:rsidRPr="00862E1C">
        <w:rPr>
          <w:rFonts w:cs="1ShefaClassic"/>
          <w:b/>
          <w:bCs/>
          <w:sz w:val="27"/>
          <w:szCs w:val="27"/>
          <w:rtl/>
        </w:rPr>
        <w:t>.</w:t>
      </w:r>
      <w:r w:rsidRPr="00862E1C">
        <w:rPr>
          <w:rFonts w:cs="1ShefaClassic" w:hint="cs"/>
          <w:b/>
          <w:bCs/>
          <w:sz w:val="27"/>
          <w:szCs w:val="27"/>
          <w:rtl/>
        </w:rPr>
        <w:t>צ</w:t>
      </w:r>
      <w:r w:rsidRPr="00862E1C">
        <w:rPr>
          <w:rFonts w:cs="1ShefaClassic"/>
          <w:b/>
          <w:bCs/>
          <w:sz w:val="27"/>
          <w:szCs w:val="27"/>
          <w:rtl/>
        </w:rPr>
        <w:t>.</w:t>
      </w:r>
      <w:r w:rsidRPr="00862E1C">
        <w:rPr>
          <w:rFonts w:cs="1ShefaClassic" w:hint="cs"/>
          <w:b/>
          <w:bCs/>
          <w:sz w:val="27"/>
          <w:szCs w:val="27"/>
          <w:rtl/>
        </w:rPr>
        <w:t>ב</w:t>
      </w:r>
      <w:r w:rsidRPr="00862E1C">
        <w:rPr>
          <w:rFonts w:cs="1ShefaClassic"/>
          <w:b/>
          <w:bCs/>
          <w:sz w:val="27"/>
          <w:szCs w:val="27"/>
          <w:rtl/>
        </w:rPr>
        <w:t>.</w:t>
      </w:r>
      <w:r w:rsidRPr="00862E1C">
        <w:rPr>
          <w:rFonts w:cs="1ShefaClassic" w:hint="cs"/>
          <w:b/>
          <w:bCs/>
          <w:sz w:val="27"/>
          <w:szCs w:val="27"/>
          <w:rtl/>
        </w:rPr>
        <w:t>ה</w:t>
      </w:r>
      <w:r w:rsidRPr="00862E1C">
        <w:rPr>
          <w:rFonts w:cs="1ShefaClassic"/>
          <w:b/>
          <w:bCs/>
          <w:sz w:val="27"/>
          <w:szCs w:val="27"/>
        </w:rPr>
        <w:t>.</w:t>
      </w:r>
    </w:p>
    <w:p w14:paraId="4A76B1CB" w14:textId="77777777" w:rsidR="00862E1C" w:rsidRPr="00862E1C" w:rsidRDefault="00862E1C" w:rsidP="00862E1C">
      <w:pPr>
        <w:bidi/>
        <w:jc w:val="center"/>
        <w:rPr>
          <w:rFonts w:cs="1ShefaClassic"/>
          <w:sz w:val="27"/>
          <w:szCs w:val="27"/>
          <w:rtl/>
          <w:lang w:bidi="ar-SA"/>
        </w:rPr>
      </w:pPr>
      <w:r w:rsidRPr="00862E1C">
        <w:rPr>
          <w:rFonts w:cs="1ShefaClassic"/>
          <w:sz w:val="27"/>
          <w:szCs w:val="27"/>
        </w:rPr>
        <w:sym w:font="Wingdings 2" w:char="F0B2"/>
      </w:r>
    </w:p>
    <w:p w14:paraId="468FA8B0" w14:textId="77777777" w:rsidR="00862E1C" w:rsidRPr="00862E1C" w:rsidRDefault="00862E1C" w:rsidP="00862E1C">
      <w:pPr>
        <w:bidi/>
        <w:spacing w:line="240" w:lineRule="auto"/>
        <w:jc w:val="center"/>
        <w:rPr>
          <w:rFonts w:cs="1ShefaClassic"/>
          <w:sz w:val="27"/>
          <w:szCs w:val="27"/>
          <w:rtl/>
        </w:rPr>
      </w:pPr>
      <w:r w:rsidRPr="00862E1C">
        <w:rPr>
          <w:rFonts w:cs="1ShefaClassic" w:hint="cs"/>
          <w:sz w:val="27"/>
          <w:szCs w:val="27"/>
          <w:rtl/>
        </w:rPr>
        <w:t>נדפס</w:t>
      </w:r>
      <w:r w:rsidRPr="00862E1C">
        <w:rPr>
          <w:rFonts w:cs="1ShefaClassic"/>
          <w:sz w:val="27"/>
          <w:szCs w:val="27"/>
          <w:rtl/>
        </w:rPr>
        <w:t xml:space="preserve"> </w:t>
      </w:r>
      <w:r w:rsidRPr="00862E1C">
        <w:rPr>
          <w:rFonts w:cs="1ShefaClassic" w:hint="cs"/>
          <w:sz w:val="27"/>
          <w:szCs w:val="27"/>
          <w:rtl/>
        </w:rPr>
        <w:t>ע</w:t>
      </w:r>
      <w:r w:rsidRPr="00862E1C">
        <w:rPr>
          <w:rFonts w:cs="1ShefaClassic"/>
          <w:sz w:val="27"/>
          <w:szCs w:val="27"/>
          <w:rtl/>
        </w:rPr>
        <w:t>"</w:t>
      </w:r>
      <w:r w:rsidRPr="00862E1C">
        <w:rPr>
          <w:rFonts w:cs="1ShefaClassic" w:hint="cs"/>
          <w:sz w:val="27"/>
          <w:szCs w:val="27"/>
          <w:rtl/>
        </w:rPr>
        <w:t>י</w:t>
      </w:r>
      <w:r w:rsidRPr="00862E1C">
        <w:rPr>
          <w:rFonts w:cs="1ShefaClassic"/>
          <w:sz w:val="27"/>
          <w:szCs w:val="27"/>
          <w:rtl/>
        </w:rPr>
        <w:t xml:space="preserve"> </w:t>
      </w:r>
      <w:r w:rsidRPr="00862E1C">
        <w:rPr>
          <w:rFonts w:cs="1ShefaClassic" w:hint="cs"/>
          <w:sz w:val="27"/>
          <w:szCs w:val="27"/>
          <w:rtl/>
        </w:rPr>
        <w:t>ולזכות</w:t>
      </w:r>
      <w:r w:rsidRPr="00862E1C">
        <w:rPr>
          <w:rFonts w:cs="1ShefaClassic"/>
          <w:sz w:val="27"/>
          <w:szCs w:val="27"/>
          <w:rtl/>
        </w:rPr>
        <w:t xml:space="preserve"> </w:t>
      </w:r>
      <w:r w:rsidRPr="00862E1C">
        <w:rPr>
          <w:rFonts w:cs="1ShefaClassic" w:hint="cs"/>
          <w:sz w:val="27"/>
          <w:szCs w:val="27"/>
          <w:rtl/>
        </w:rPr>
        <w:t>משפחתו</w:t>
      </w:r>
      <w:r w:rsidRPr="00862E1C">
        <w:rPr>
          <w:rFonts w:cs="1ShefaClassic"/>
          <w:sz w:val="27"/>
          <w:szCs w:val="27"/>
          <w:rtl/>
        </w:rPr>
        <w:t xml:space="preserve"> </w:t>
      </w:r>
      <w:r w:rsidRPr="00862E1C">
        <w:rPr>
          <w:rFonts w:cs="1ShefaClassic" w:hint="cs"/>
          <w:sz w:val="27"/>
          <w:szCs w:val="27"/>
          <w:rtl/>
        </w:rPr>
        <w:t>שיחיו</w:t>
      </w:r>
      <w:r w:rsidRPr="00862E1C">
        <w:rPr>
          <w:rFonts w:cs="1ShefaClassic"/>
          <w:sz w:val="27"/>
          <w:szCs w:val="27"/>
        </w:rPr>
        <w:t xml:space="preserve"> </w:t>
      </w:r>
    </w:p>
    <w:p w14:paraId="5182F672" w14:textId="77777777" w:rsidR="002A3A9E" w:rsidRPr="00552D8B" w:rsidRDefault="002A3A9E" w:rsidP="002A3A9E">
      <w:pPr>
        <w:pStyle w:val="a4"/>
        <w:sectPr w:rsidR="002A3A9E" w:rsidRPr="00552D8B" w:rsidSect="00E65DD5">
          <w:headerReference w:type="even" r:id="rId68"/>
          <w:headerReference w:type="default" r:id="rId69"/>
          <w:footnotePr>
            <w:numRestart w:val="eachSect"/>
          </w:footnotePr>
          <w:type w:val="continuous"/>
          <w:pgSz w:w="7920" w:h="12240"/>
          <w:pgMar w:top="-810" w:right="864" w:bottom="720" w:left="864" w:header="270" w:footer="0" w:gutter="0"/>
          <w:cols w:space="720"/>
          <w:docGrid w:linePitch="360"/>
        </w:sectPr>
      </w:pPr>
      <w:r w:rsidRPr="00552D8B">
        <w:t>g</w:t>
      </w:r>
    </w:p>
    <w:p w14:paraId="0C72C1F4"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לעילוי</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נשמת</w:t>
      </w:r>
    </w:p>
    <w:p w14:paraId="29876CF5"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האשה</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החשובה</w:t>
      </w:r>
    </w:p>
    <w:p w14:paraId="4B6BB923"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מרת</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חנה</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מרים</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ה</w:t>
      </w:r>
    </w:p>
    <w:p w14:paraId="7EAA4E26"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בת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ר</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משה</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ז</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ל</w:t>
      </w:r>
    </w:p>
    <w:p w14:paraId="66851139"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נלב</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תענית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אסתר</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תשנ</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ז</w:t>
      </w:r>
    </w:p>
    <w:p w14:paraId="19F296A5" w14:textId="77777777" w:rsidR="00862E1C" w:rsidRPr="00862E1C" w:rsidRDefault="00862E1C" w:rsidP="00862E1C">
      <w:pPr>
        <w:bidi/>
        <w:spacing w:line="276" w:lineRule="auto"/>
        <w:jc w:val="center"/>
        <w:rPr>
          <w:rFonts w:ascii="Calibri" w:eastAsia="Calibri" w:hAnsi="Calibri" w:cs="1ShefaClassic"/>
          <w:b/>
          <w:bCs/>
          <w:sz w:val="27"/>
          <w:szCs w:val="27"/>
        </w:rPr>
      </w:pPr>
      <w:r w:rsidRPr="00862E1C">
        <w:rPr>
          <w:rFonts w:ascii="Calibri" w:eastAsia="Calibri" w:hAnsi="Calibri" w:cs="1ShefaClassic" w:hint="cs"/>
          <w:b/>
          <w:bCs/>
          <w:sz w:val="27"/>
          <w:szCs w:val="27"/>
          <w:rtl/>
        </w:rPr>
        <w:t>ת</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נ</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צ</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ב</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ה.</w:t>
      </w:r>
    </w:p>
    <w:p w14:paraId="0A89F0BE" w14:textId="77777777" w:rsidR="00862E1C" w:rsidRPr="00862E1C" w:rsidRDefault="00862E1C" w:rsidP="00862E1C">
      <w:pPr>
        <w:bidi/>
        <w:spacing w:line="276" w:lineRule="auto"/>
        <w:jc w:val="center"/>
        <w:rPr>
          <w:rFonts w:ascii="Calibri" w:eastAsia="Calibri" w:hAnsi="Calibri" w:cs="1ShefaClassic"/>
          <w:sz w:val="27"/>
          <w:szCs w:val="27"/>
          <w:rtl/>
          <w:lang w:bidi="ar-SA"/>
        </w:rPr>
      </w:pPr>
      <w:r w:rsidRPr="00862E1C">
        <w:rPr>
          <w:rFonts w:ascii="Calibri" w:eastAsia="Calibri" w:hAnsi="Calibri" w:cs="1ShefaClassic"/>
          <w:sz w:val="27"/>
          <w:szCs w:val="27"/>
        </w:rPr>
        <w:sym w:font="Wingdings 2" w:char="F0B2"/>
      </w:r>
    </w:p>
    <w:p w14:paraId="68E5505C"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נדפס</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י</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בנה</w:t>
      </w:r>
    </w:p>
    <w:p w14:paraId="4048C11F"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הרה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ח</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הרה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ר</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אהרן</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וזוגתו</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מרת</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מינא</w:t>
      </w:r>
      <w:r w:rsidRPr="00862E1C">
        <w:rPr>
          <w:rFonts w:ascii="Calibri" w:eastAsia="Calibri" w:hAnsi="Calibri" w:cs="1ShefaClassic"/>
          <w:sz w:val="27"/>
          <w:szCs w:val="27"/>
          <w:rtl/>
        </w:rPr>
        <w:t xml:space="preserve"> </w:t>
      </w:r>
    </w:p>
    <w:p w14:paraId="4225AB16"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ומשפחתם</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שיחיו</w:t>
      </w:r>
    </w:p>
    <w:p w14:paraId="3A214941" w14:textId="77777777" w:rsidR="00862E1C" w:rsidRPr="00862E1C" w:rsidRDefault="00862E1C" w:rsidP="00862E1C">
      <w:pPr>
        <w:bidi/>
        <w:spacing w:line="276" w:lineRule="auto"/>
        <w:jc w:val="center"/>
        <w:rPr>
          <w:rFonts w:ascii="Calibri" w:eastAsia="Calibri" w:hAnsi="Calibri" w:cs="1ShefaClassic"/>
          <w:b/>
          <w:bCs/>
          <w:sz w:val="27"/>
          <w:szCs w:val="27"/>
        </w:rPr>
      </w:pPr>
      <w:r w:rsidRPr="00862E1C">
        <w:rPr>
          <w:rFonts w:ascii="Calibri" w:eastAsia="Calibri" w:hAnsi="Calibri" w:cs="1ShefaClassic" w:hint="cs"/>
          <w:b/>
          <w:bCs/>
          <w:sz w:val="27"/>
          <w:szCs w:val="27"/>
          <w:rtl/>
        </w:rPr>
        <w:t>שפוטץ</w:t>
      </w:r>
    </w:p>
    <w:p w14:paraId="5C27FEB8" w14:textId="77777777" w:rsidR="00862E1C" w:rsidRDefault="00862E1C" w:rsidP="00862E1C">
      <w:pPr>
        <w:pStyle w:val="af3"/>
        <w:spacing w:after="0" w:line="480" w:lineRule="auto"/>
        <w:rPr>
          <w:sz w:val="27"/>
          <w:szCs w:val="27"/>
          <w:rtl/>
        </w:rPr>
      </w:pPr>
    </w:p>
    <w:p w14:paraId="7C8FE303" w14:textId="77777777" w:rsidR="002A3A9E" w:rsidRDefault="002A3A9E" w:rsidP="00862E1C">
      <w:pPr>
        <w:pStyle w:val="af3"/>
        <w:spacing w:after="0" w:line="480" w:lineRule="auto"/>
        <w:rPr>
          <w:sz w:val="27"/>
          <w:szCs w:val="27"/>
          <w:rtl/>
        </w:rPr>
      </w:pPr>
    </w:p>
    <w:p w14:paraId="3704E798" w14:textId="77777777" w:rsidR="002A3A9E" w:rsidRDefault="002A3A9E" w:rsidP="00862E1C">
      <w:pPr>
        <w:pStyle w:val="af3"/>
        <w:spacing w:after="0" w:line="480" w:lineRule="auto"/>
        <w:rPr>
          <w:sz w:val="27"/>
          <w:szCs w:val="27"/>
          <w:rtl/>
        </w:rPr>
      </w:pPr>
    </w:p>
    <w:p w14:paraId="60F62749" w14:textId="77777777" w:rsidR="00862E1C" w:rsidRPr="00862E1C" w:rsidRDefault="00862E1C" w:rsidP="00862E1C">
      <w:pPr>
        <w:bidi/>
        <w:jc w:val="center"/>
        <w:rPr>
          <w:rFonts w:cs="1ShefaClassic"/>
          <w:sz w:val="27"/>
          <w:szCs w:val="27"/>
        </w:rPr>
      </w:pPr>
      <w:r w:rsidRPr="00862E1C">
        <w:rPr>
          <w:rFonts w:cs="1ShefaClassic"/>
          <w:sz w:val="27"/>
          <w:szCs w:val="27"/>
          <w:rtl/>
        </w:rPr>
        <w:t>לעילוי נשמת</w:t>
      </w:r>
    </w:p>
    <w:p w14:paraId="5E4DFD39"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הרה"ת ר' </w:t>
      </w:r>
      <w:r w:rsidRPr="00862E1C">
        <w:rPr>
          <w:rFonts w:cs="1ShefaClassic"/>
          <w:b/>
          <w:bCs/>
          <w:sz w:val="27"/>
          <w:szCs w:val="27"/>
          <w:rtl/>
        </w:rPr>
        <w:t>שמשון</w:t>
      </w:r>
      <w:r w:rsidRPr="00862E1C">
        <w:rPr>
          <w:rFonts w:cs="1ShefaClassic"/>
          <w:sz w:val="27"/>
          <w:szCs w:val="27"/>
          <w:rtl/>
        </w:rPr>
        <w:t xml:space="preserve"> הכהן ע"ה</w:t>
      </w:r>
    </w:p>
    <w:p w14:paraId="70F86E83" w14:textId="77777777" w:rsidR="00862E1C" w:rsidRPr="00862E1C" w:rsidRDefault="00862E1C" w:rsidP="00862E1C">
      <w:pPr>
        <w:bidi/>
        <w:jc w:val="center"/>
        <w:rPr>
          <w:rFonts w:cs="1ShefaClassic"/>
          <w:sz w:val="27"/>
          <w:szCs w:val="27"/>
        </w:rPr>
      </w:pPr>
      <w:r w:rsidRPr="00862E1C">
        <w:rPr>
          <w:rFonts w:cs="1ShefaClassic"/>
          <w:sz w:val="27"/>
          <w:szCs w:val="27"/>
          <w:rtl/>
        </w:rPr>
        <w:t>בהרה"</w:t>
      </w:r>
      <w:r w:rsidRPr="00862E1C">
        <w:rPr>
          <w:rFonts w:cs="1ShefaClassic" w:hint="cs"/>
          <w:sz w:val="27"/>
          <w:szCs w:val="27"/>
          <w:rtl/>
        </w:rPr>
        <w:t>ת</w:t>
      </w:r>
      <w:r w:rsidRPr="00862E1C">
        <w:rPr>
          <w:rFonts w:cs="1ShefaClassic"/>
          <w:sz w:val="27"/>
          <w:szCs w:val="27"/>
          <w:rtl/>
        </w:rPr>
        <w:t xml:space="preserve"> ר' </w:t>
      </w:r>
      <w:r w:rsidRPr="00862E1C">
        <w:rPr>
          <w:rFonts w:cs="1ShefaClassic"/>
          <w:b/>
          <w:bCs/>
          <w:sz w:val="27"/>
          <w:szCs w:val="27"/>
          <w:rtl/>
        </w:rPr>
        <w:t>יעקב</w:t>
      </w:r>
      <w:r w:rsidRPr="00862E1C">
        <w:rPr>
          <w:rFonts w:cs="1ShefaClassic"/>
          <w:sz w:val="27"/>
          <w:szCs w:val="27"/>
          <w:rtl/>
        </w:rPr>
        <w:t xml:space="preserve"> </w:t>
      </w:r>
      <w:r w:rsidRPr="00862E1C">
        <w:rPr>
          <w:rFonts w:cs="1ShefaClassic"/>
          <w:b/>
          <w:bCs/>
          <w:sz w:val="27"/>
          <w:szCs w:val="27"/>
          <w:rtl/>
        </w:rPr>
        <w:t>אפרים</w:t>
      </w:r>
      <w:r w:rsidRPr="00862E1C">
        <w:rPr>
          <w:rFonts w:cs="1ShefaClassic"/>
          <w:sz w:val="27"/>
          <w:szCs w:val="27"/>
          <w:rtl/>
        </w:rPr>
        <w:t xml:space="preserve"> הכהן ע"ה</w:t>
      </w:r>
    </w:p>
    <w:p w14:paraId="05B48CA2"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שטאק</w:t>
      </w:r>
    </w:p>
    <w:p w14:paraId="7A83CBD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נלב"ע </w:t>
      </w:r>
      <w:r w:rsidRPr="00862E1C">
        <w:rPr>
          <w:rFonts w:cs="1ShefaClassic"/>
          <w:b/>
          <w:bCs/>
          <w:sz w:val="27"/>
          <w:szCs w:val="27"/>
          <w:rtl/>
        </w:rPr>
        <w:t>י"ד אדר פורים ה'תשס"ז</w:t>
      </w:r>
    </w:p>
    <w:p w14:paraId="2D2FB84B"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ת.נ.צ.ב.ה</w:t>
      </w:r>
      <w:r w:rsidRPr="00862E1C">
        <w:rPr>
          <w:rFonts w:cs="1ShefaClassic"/>
          <w:b/>
          <w:bCs/>
          <w:sz w:val="27"/>
          <w:szCs w:val="27"/>
        </w:rPr>
        <w:t>.</w:t>
      </w:r>
    </w:p>
    <w:p w14:paraId="1ABDF049" w14:textId="77777777" w:rsidR="00862E1C" w:rsidRPr="00862E1C" w:rsidRDefault="00862E1C" w:rsidP="00862E1C">
      <w:pPr>
        <w:bidi/>
        <w:jc w:val="center"/>
        <w:rPr>
          <w:rFonts w:cs="1ShefaClassic"/>
          <w:sz w:val="27"/>
          <w:szCs w:val="27"/>
          <w:rtl/>
        </w:rPr>
      </w:pPr>
      <w:r w:rsidRPr="00862E1C">
        <w:rPr>
          <w:rFonts w:cs="1ShefaClassic"/>
          <w:sz w:val="27"/>
          <w:szCs w:val="27"/>
        </w:rPr>
        <w:sym w:font="Wingdings 2" w:char="F0B2"/>
      </w:r>
    </w:p>
    <w:p w14:paraId="03B7EE99" w14:textId="77777777" w:rsidR="00862E1C" w:rsidRPr="00862E1C" w:rsidRDefault="00862E1C" w:rsidP="00862E1C">
      <w:pPr>
        <w:bidi/>
        <w:jc w:val="center"/>
        <w:rPr>
          <w:rFonts w:cs="1ShefaClassic"/>
          <w:sz w:val="27"/>
          <w:szCs w:val="27"/>
        </w:rPr>
      </w:pPr>
      <w:r w:rsidRPr="00862E1C">
        <w:rPr>
          <w:rFonts w:cs="1ShefaClassic"/>
          <w:sz w:val="27"/>
          <w:szCs w:val="27"/>
          <w:rtl/>
        </w:rPr>
        <w:t>ולעילוי נשמת</w:t>
      </w:r>
    </w:p>
    <w:p w14:paraId="4249216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זוגתו מרת </w:t>
      </w:r>
      <w:r w:rsidRPr="00862E1C">
        <w:rPr>
          <w:rFonts w:cs="1ShefaClassic"/>
          <w:b/>
          <w:bCs/>
          <w:sz w:val="27"/>
          <w:szCs w:val="27"/>
          <w:rtl/>
        </w:rPr>
        <w:t>מאטיל</w:t>
      </w:r>
      <w:r w:rsidRPr="00862E1C">
        <w:rPr>
          <w:rFonts w:cs="1ShefaClassic"/>
          <w:sz w:val="27"/>
          <w:szCs w:val="27"/>
          <w:rtl/>
        </w:rPr>
        <w:t xml:space="preserve"> ע"ה</w:t>
      </w:r>
    </w:p>
    <w:p w14:paraId="0A931A47"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בת הרה"ח ר' </w:t>
      </w:r>
      <w:r w:rsidRPr="00862E1C">
        <w:rPr>
          <w:rFonts w:cs="1ShefaClassic"/>
          <w:b/>
          <w:bCs/>
          <w:sz w:val="27"/>
          <w:szCs w:val="27"/>
          <w:rtl/>
        </w:rPr>
        <w:t>בן-ציון</w:t>
      </w:r>
      <w:r w:rsidRPr="00862E1C">
        <w:rPr>
          <w:rFonts w:cs="1ShefaClassic"/>
          <w:sz w:val="27"/>
          <w:szCs w:val="27"/>
          <w:rtl/>
        </w:rPr>
        <w:t xml:space="preserve"> ע"ה</w:t>
      </w:r>
    </w:p>
    <w:p w14:paraId="4863CF90" w14:textId="77777777" w:rsidR="00862E1C" w:rsidRPr="00862E1C" w:rsidRDefault="00862E1C" w:rsidP="00862E1C">
      <w:pPr>
        <w:bidi/>
        <w:jc w:val="center"/>
        <w:rPr>
          <w:rFonts w:cs="1ShefaClassic"/>
          <w:b/>
          <w:bCs/>
          <w:sz w:val="27"/>
          <w:szCs w:val="27"/>
          <w:rtl/>
        </w:rPr>
      </w:pPr>
      <w:r w:rsidRPr="00862E1C">
        <w:rPr>
          <w:rFonts w:cs="1ShefaClassic"/>
          <w:sz w:val="27"/>
          <w:szCs w:val="27"/>
          <w:rtl/>
        </w:rPr>
        <w:t xml:space="preserve">נלב"ע </w:t>
      </w:r>
      <w:r w:rsidRPr="00862E1C">
        <w:rPr>
          <w:rFonts w:cs="1ShefaClassic"/>
          <w:b/>
          <w:bCs/>
          <w:sz w:val="27"/>
          <w:szCs w:val="27"/>
          <w:rtl/>
        </w:rPr>
        <w:t>ח' ניסן ה'תשס"ז</w:t>
      </w:r>
    </w:p>
    <w:p w14:paraId="381EA2E0"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ת.נ.צ.ב.ה</w:t>
      </w:r>
      <w:r w:rsidRPr="00862E1C">
        <w:rPr>
          <w:rFonts w:cs="1ShefaClassic"/>
          <w:b/>
          <w:bCs/>
          <w:sz w:val="27"/>
          <w:szCs w:val="27"/>
        </w:rPr>
        <w:t>.</w:t>
      </w:r>
    </w:p>
    <w:p w14:paraId="0A5B43DE" w14:textId="77777777" w:rsidR="00862E1C" w:rsidRPr="00862E1C" w:rsidRDefault="00862E1C" w:rsidP="00862E1C">
      <w:pPr>
        <w:bidi/>
        <w:jc w:val="center"/>
        <w:rPr>
          <w:rFonts w:cs="1ShefaClassic"/>
          <w:sz w:val="27"/>
          <w:szCs w:val="27"/>
          <w:rtl/>
        </w:rPr>
      </w:pPr>
      <w:r w:rsidRPr="00862E1C">
        <w:rPr>
          <w:rFonts w:cs="1ShefaClassic"/>
          <w:sz w:val="27"/>
          <w:szCs w:val="27"/>
        </w:rPr>
        <w:sym w:font="Wingdings 2" w:char="F0B2"/>
      </w:r>
    </w:p>
    <w:p w14:paraId="6A4762FA" w14:textId="77777777" w:rsidR="00862E1C" w:rsidRPr="00862E1C" w:rsidRDefault="00862E1C" w:rsidP="00862E1C">
      <w:pPr>
        <w:bidi/>
        <w:jc w:val="center"/>
        <w:rPr>
          <w:rFonts w:cs="1ShefaClassic"/>
          <w:sz w:val="27"/>
          <w:szCs w:val="27"/>
        </w:rPr>
      </w:pPr>
      <w:r w:rsidRPr="00862E1C">
        <w:rPr>
          <w:rFonts w:cs="1ShefaClassic"/>
          <w:sz w:val="27"/>
          <w:szCs w:val="27"/>
          <w:rtl/>
        </w:rPr>
        <w:t>נדפס ע"י ולזכות בנם</w:t>
      </w:r>
    </w:p>
    <w:p w14:paraId="4FAD0E0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הרה"ת ר' </w:t>
      </w:r>
      <w:r w:rsidRPr="00862E1C">
        <w:rPr>
          <w:rFonts w:cs="1ShefaClassic"/>
          <w:b/>
          <w:bCs/>
          <w:sz w:val="27"/>
          <w:szCs w:val="27"/>
          <w:rtl/>
        </w:rPr>
        <w:t xml:space="preserve">בן-ציון </w:t>
      </w:r>
      <w:r w:rsidRPr="00862E1C">
        <w:rPr>
          <w:rFonts w:cs="1ShefaClassic"/>
          <w:sz w:val="27"/>
          <w:szCs w:val="27"/>
          <w:rtl/>
        </w:rPr>
        <w:t xml:space="preserve">הכהן וזוגתו מרת </w:t>
      </w:r>
      <w:r w:rsidRPr="00862E1C">
        <w:rPr>
          <w:rFonts w:cs="1ShefaClassic"/>
          <w:b/>
          <w:bCs/>
          <w:sz w:val="27"/>
          <w:szCs w:val="27"/>
          <w:rtl/>
        </w:rPr>
        <w:t>מוסיא</w:t>
      </w:r>
    </w:p>
    <w:p w14:paraId="3CFFEA06" w14:textId="77777777" w:rsidR="00862E1C" w:rsidRPr="00862E1C" w:rsidRDefault="00862E1C" w:rsidP="00862E1C">
      <w:pPr>
        <w:bidi/>
        <w:jc w:val="center"/>
        <w:rPr>
          <w:rFonts w:cs="1ShefaClassic"/>
          <w:sz w:val="27"/>
          <w:szCs w:val="27"/>
        </w:rPr>
      </w:pPr>
      <w:r w:rsidRPr="00862E1C">
        <w:rPr>
          <w:rFonts w:cs="1ShefaClassic"/>
          <w:sz w:val="27"/>
          <w:szCs w:val="27"/>
          <w:rtl/>
        </w:rPr>
        <w:t>ומשפחתם שיחיו</w:t>
      </w:r>
    </w:p>
    <w:p w14:paraId="40C1CCF5" w14:textId="77777777" w:rsidR="00862E1C" w:rsidRPr="00862E1C" w:rsidRDefault="00862E1C" w:rsidP="00862E1C">
      <w:pPr>
        <w:bidi/>
        <w:jc w:val="center"/>
        <w:rPr>
          <w:rFonts w:cs="1ShefaClassic"/>
          <w:sz w:val="27"/>
          <w:szCs w:val="27"/>
          <w:rtl/>
        </w:rPr>
      </w:pPr>
      <w:r w:rsidRPr="00862E1C">
        <w:rPr>
          <w:rFonts w:cs="1ShefaClassic"/>
          <w:b/>
          <w:bCs/>
          <w:sz w:val="27"/>
          <w:szCs w:val="27"/>
          <w:rtl/>
        </w:rPr>
        <w:t>שטאק</w:t>
      </w:r>
    </w:p>
    <w:p w14:paraId="0563C233" w14:textId="77777777" w:rsidR="00862E1C" w:rsidRDefault="00862E1C" w:rsidP="00862E1C">
      <w:pPr>
        <w:pStyle w:val="af3"/>
        <w:spacing w:after="0" w:line="480" w:lineRule="auto"/>
        <w:rPr>
          <w:sz w:val="27"/>
          <w:szCs w:val="27"/>
          <w:rtl/>
        </w:rPr>
      </w:pPr>
    </w:p>
    <w:p w14:paraId="65E0B89B" w14:textId="77777777" w:rsidR="00862E1C" w:rsidRDefault="00862E1C" w:rsidP="00862E1C">
      <w:pPr>
        <w:pStyle w:val="af3"/>
        <w:spacing w:after="0" w:line="480" w:lineRule="auto"/>
        <w:rPr>
          <w:sz w:val="27"/>
          <w:szCs w:val="27"/>
          <w:rtl/>
        </w:rPr>
      </w:pPr>
    </w:p>
    <w:p w14:paraId="7916F7D5" w14:textId="77777777" w:rsidR="00862E1C" w:rsidRDefault="00862E1C" w:rsidP="00862E1C">
      <w:pPr>
        <w:pStyle w:val="af3"/>
        <w:spacing w:after="0" w:line="480" w:lineRule="auto"/>
        <w:rPr>
          <w:sz w:val="27"/>
          <w:szCs w:val="27"/>
          <w:rtl/>
        </w:rPr>
      </w:pPr>
    </w:p>
    <w:p w14:paraId="012EAB4E" w14:textId="77777777" w:rsidR="00862E1C" w:rsidRDefault="00862E1C" w:rsidP="00862E1C">
      <w:pPr>
        <w:pStyle w:val="af3"/>
        <w:spacing w:after="0" w:line="480" w:lineRule="auto"/>
        <w:rPr>
          <w:sz w:val="27"/>
          <w:szCs w:val="27"/>
          <w:rtl/>
        </w:rPr>
      </w:pPr>
    </w:p>
    <w:p w14:paraId="79F9D5BE" w14:textId="77777777" w:rsidR="00F24725" w:rsidRDefault="00F24725" w:rsidP="00F24725">
      <w:pPr>
        <w:pStyle w:val="af3"/>
        <w:spacing w:after="0" w:line="480" w:lineRule="auto"/>
        <w:jc w:val="left"/>
        <w:rPr>
          <w:sz w:val="27"/>
          <w:szCs w:val="27"/>
        </w:rPr>
      </w:pPr>
    </w:p>
    <w:p w14:paraId="0089CE17" w14:textId="77777777" w:rsidR="00F24725" w:rsidRDefault="00F24725" w:rsidP="00F24725">
      <w:pPr>
        <w:pStyle w:val="af3"/>
        <w:spacing w:after="0" w:line="480" w:lineRule="auto"/>
        <w:jc w:val="left"/>
        <w:rPr>
          <w:sz w:val="27"/>
          <w:szCs w:val="27"/>
          <w:rtl/>
        </w:rPr>
      </w:pPr>
    </w:p>
    <w:p w14:paraId="523595A6" w14:textId="77777777" w:rsidR="002A3A9E" w:rsidRDefault="002A3A9E" w:rsidP="00862E1C">
      <w:pPr>
        <w:pStyle w:val="af3"/>
        <w:spacing w:after="0" w:line="480" w:lineRule="auto"/>
        <w:rPr>
          <w:sz w:val="27"/>
          <w:szCs w:val="27"/>
          <w:rtl/>
        </w:rPr>
      </w:pPr>
    </w:p>
    <w:p w14:paraId="3FC81360" w14:textId="77777777" w:rsidR="00862E1C" w:rsidRPr="00862E1C" w:rsidRDefault="00862E1C" w:rsidP="00862E1C">
      <w:pPr>
        <w:pStyle w:val="af3"/>
        <w:spacing w:after="0" w:line="360" w:lineRule="auto"/>
        <w:rPr>
          <w:sz w:val="27"/>
          <w:szCs w:val="27"/>
          <w:rtl/>
        </w:rPr>
      </w:pPr>
      <w:r w:rsidRPr="00862E1C">
        <w:rPr>
          <w:rFonts w:hint="cs"/>
          <w:sz w:val="27"/>
          <w:szCs w:val="27"/>
          <w:rtl/>
        </w:rPr>
        <w:t>לזכות</w:t>
      </w:r>
    </w:p>
    <w:p w14:paraId="799C2775" w14:textId="47E7500F" w:rsidR="00862E1C" w:rsidRPr="00862E1C" w:rsidRDefault="00862E1C" w:rsidP="00862E1C">
      <w:pPr>
        <w:pStyle w:val="af3"/>
        <w:spacing w:after="0" w:line="360" w:lineRule="auto"/>
        <w:rPr>
          <w:sz w:val="27"/>
          <w:szCs w:val="27"/>
          <w:rtl/>
        </w:rPr>
      </w:pPr>
      <w:r w:rsidRPr="00862E1C">
        <w:rPr>
          <w:rFonts w:hint="cs"/>
          <w:sz w:val="27"/>
          <w:szCs w:val="27"/>
          <w:rtl/>
        </w:rPr>
        <w:t xml:space="preserve"> החתן הרה"ת ר' </w:t>
      </w:r>
      <w:r w:rsidRPr="00862E1C">
        <w:rPr>
          <w:rFonts w:hint="cs"/>
          <w:b/>
          <w:bCs/>
          <w:sz w:val="27"/>
          <w:szCs w:val="27"/>
          <w:rtl/>
        </w:rPr>
        <w:t>מאיר שלמה</w:t>
      </w:r>
      <w:r w:rsidRPr="00862E1C">
        <w:rPr>
          <w:rFonts w:hint="cs"/>
          <w:sz w:val="27"/>
          <w:szCs w:val="27"/>
          <w:rtl/>
        </w:rPr>
        <w:t xml:space="preserve"> שיחי' </w:t>
      </w:r>
    </w:p>
    <w:p w14:paraId="76A2AEAF" w14:textId="75CBD60D" w:rsidR="00862E1C" w:rsidRDefault="00862E1C" w:rsidP="00862E1C">
      <w:pPr>
        <w:pStyle w:val="af3"/>
        <w:spacing w:after="0" w:line="360" w:lineRule="auto"/>
        <w:rPr>
          <w:b/>
          <w:bCs/>
          <w:sz w:val="27"/>
          <w:szCs w:val="27"/>
          <w:rtl/>
        </w:rPr>
      </w:pPr>
      <w:r w:rsidRPr="00862E1C">
        <w:rPr>
          <w:rFonts w:hint="cs"/>
          <w:sz w:val="27"/>
          <w:szCs w:val="27"/>
          <w:rtl/>
        </w:rPr>
        <w:t xml:space="preserve">והכלה המהוללה מרת </w:t>
      </w:r>
      <w:r w:rsidRPr="00862E1C">
        <w:rPr>
          <w:rFonts w:hint="cs"/>
          <w:b/>
          <w:bCs/>
          <w:sz w:val="27"/>
          <w:szCs w:val="27"/>
          <w:rtl/>
        </w:rPr>
        <w:t>שטערנא שרה</w:t>
      </w:r>
      <w:r w:rsidRPr="00862E1C">
        <w:rPr>
          <w:rFonts w:hint="cs"/>
          <w:sz w:val="27"/>
          <w:szCs w:val="27"/>
          <w:rtl/>
        </w:rPr>
        <w:t xml:space="preserve"> שתחי'</w:t>
      </w:r>
      <w:r w:rsidRPr="00862E1C">
        <w:rPr>
          <w:rFonts w:hint="cs"/>
          <w:b/>
          <w:bCs/>
          <w:sz w:val="27"/>
          <w:szCs w:val="27"/>
          <w:rtl/>
        </w:rPr>
        <w:t xml:space="preserve"> </w:t>
      </w:r>
    </w:p>
    <w:p w14:paraId="0FF72DB6" w14:textId="18A165ED" w:rsidR="00862E1C" w:rsidRDefault="00862E1C" w:rsidP="00862E1C">
      <w:pPr>
        <w:pStyle w:val="af3"/>
        <w:spacing w:after="0" w:line="360" w:lineRule="auto"/>
        <w:rPr>
          <w:b/>
          <w:bCs/>
          <w:sz w:val="27"/>
          <w:szCs w:val="27"/>
          <w:rtl/>
        </w:rPr>
      </w:pPr>
      <w:r w:rsidRPr="00862E1C">
        <w:rPr>
          <w:rFonts w:hint="cs"/>
          <w:b/>
          <w:bCs/>
          <w:sz w:val="27"/>
          <w:szCs w:val="27"/>
          <w:rtl/>
        </w:rPr>
        <w:t>שם טוב</w:t>
      </w:r>
    </w:p>
    <w:p w14:paraId="5A146117"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sz w:val="27"/>
          <w:szCs w:val="27"/>
          <w:rtl/>
        </w:rPr>
        <w:t xml:space="preserve">לרגל </w:t>
      </w:r>
      <w:r w:rsidRPr="00862E1C">
        <w:rPr>
          <w:rFonts w:cs="1ShefaClassic" w:hint="cs"/>
          <w:sz w:val="27"/>
          <w:szCs w:val="27"/>
          <w:rtl/>
        </w:rPr>
        <w:t xml:space="preserve">נישואיהם </w:t>
      </w:r>
    </w:p>
    <w:p w14:paraId="5ADD9063"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 xml:space="preserve">ביום ב' </w:t>
      </w:r>
      <w:r w:rsidRPr="00862E1C">
        <w:rPr>
          <w:rFonts w:cs="1ShefaClassic"/>
          <w:sz w:val="27"/>
          <w:szCs w:val="27"/>
        </w:rPr>
        <w:t xml:space="preserve"> </w:t>
      </w:r>
      <w:r w:rsidRPr="00862E1C">
        <w:rPr>
          <w:rFonts w:cs="1ShefaClassic" w:hint="cs"/>
          <w:sz w:val="27"/>
          <w:szCs w:val="27"/>
          <w:rtl/>
        </w:rPr>
        <w:t>ח"י אד"ש  ה</w:t>
      </w:r>
      <w:r w:rsidRPr="00862E1C">
        <w:rPr>
          <w:rFonts w:cs="1ShefaClassic"/>
          <w:sz w:val="27"/>
          <w:szCs w:val="27"/>
          <w:rtl/>
        </w:rPr>
        <w:t>’</w:t>
      </w:r>
      <w:r w:rsidRPr="00862E1C">
        <w:rPr>
          <w:rFonts w:cs="1ShefaClassic" w:hint="cs"/>
          <w:sz w:val="27"/>
          <w:szCs w:val="27"/>
          <w:rtl/>
        </w:rPr>
        <w:t>תשע</w:t>
      </w:r>
      <w:r w:rsidRPr="00862E1C">
        <w:rPr>
          <w:rFonts w:cs="1ShefaClassic"/>
          <w:sz w:val="27"/>
          <w:szCs w:val="27"/>
          <w:rtl/>
        </w:rPr>
        <w:t>”</w:t>
      </w:r>
      <w:r w:rsidRPr="00862E1C">
        <w:rPr>
          <w:rFonts w:cs="1ShefaClassic" w:hint="cs"/>
          <w:sz w:val="27"/>
          <w:szCs w:val="27"/>
          <w:rtl/>
        </w:rPr>
        <w:t>ט</w:t>
      </w:r>
    </w:p>
    <w:p w14:paraId="00F9086D"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יה"ר שיזכו לבנות בית נאמן בישראל בנין עדי עד</w:t>
      </w:r>
    </w:p>
    <w:p w14:paraId="6CC4E4A2"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כרצוה"ק ולנח"ר כ"ק אדמו"ר זי"ע</w:t>
      </w:r>
    </w:p>
    <w:p w14:paraId="58840D0B" w14:textId="77777777" w:rsidR="00862E1C" w:rsidRPr="00862E1C" w:rsidRDefault="00862E1C" w:rsidP="00862E1C">
      <w:pPr>
        <w:pStyle w:val="NormalComplexNarkisim"/>
        <w:spacing w:after="120" w:line="276" w:lineRule="auto"/>
        <w:rPr>
          <w:rFonts w:cs="1ShefaClassic"/>
          <w:sz w:val="27"/>
          <w:szCs w:val="27"/>
        </w:rPr>
      </w:pPr>
      <w:r w:rsidRPr="00862E1C">
        <w:rPr>
          <w:rFonts w:cs="1ShefaClassic" w:hint="cs"/>
          <w:sz w:val="27"/>
          <w:szCs w:val="27"/>
          <w:rtl/>
        </w:rPr>
        <w:t>מתוך ברכה והצלחה בגו"ר אושר ושמחה תמיד כה"י</w:t>
      </w:r>
    </w:p>
    <w:p w14:paraId="5CF53D7B" w14:textId="4822B022" w:rsidR="00862E1C" w:rsidRPr="00862E1C" w:rsidRDefault="00862E1C" w:rsidP="00862E1C">
      <w:pPr>
        <w:bidi/>
        <w:jc w:val="center"/>
        <w:rPr>
          <w:rFonts w:cs="1ShefaClassic"/>
          <w:sz w:val="27"/>
          <w:szCs w:val="27"/>
          <w:lang w:bidi="ar-SA"/>
        </w:rPr>
      </w:pPr>
      <w:r>
        <w:rPr>
          <w:rFonts w:cs="1ShefaClassic"/>
          <w:sz w:val="27"/>
          <w:szCs w:val="27"/>
        </w:rPr>
        <w:sym w:font="Wingdings 2" w:char="F0B1"/>
      </w:r>
    </w:p>
    <w:p w14:paraId="47447365" w14:textId="6F7DC7E6" w:rsidR="00862E1C" w:rsidRPr="00862E1C" w:rsidRDefault="00862E1C" w:rsidP="00862E1C">
      <w:pPr>
        <w:pStyle w:val="af3"/>
        <w:spacing w:after="0" w:line="360" w:lineRule="auto"/>
        <w:rPr>
          <w:sz w:val="27"/>
          <w:szCs w:val="27"/>
          <w:rtl/>
        </w:rPr>
      </w:pPr>
      <w:r w:rsidRPr="00862E1C">
        <w:rPr>
          <w:rFonts w:hint="cs"/>
          <w:sz w:val="27"/>
          <w:szCs w:val="27"/>
          <w:rtl/>
        </w:rPr>
        <w:t xml:space="preserve">הרה"ת ר' </w:t>
      </w:r>
      <w:r w:rsidRPr="00862E1C">
        <w:rPr>
          <w:rFonts w:hint="cs"/>
          <w:b/>
          <w:bCs/>
          <w:sz w:val="27"/>
          <w:szCs w:val="27"/>
          <w:rtl/>
        </w:rPr>
        <w:t>נתן נטע</w:t>
      </w:r>
      <w:r w:rsidRPr="00862E1C">
        <w:rPr>
          <w:rFonts w:hint="cs"/>
          <w:sz w:val="27"/>
          <w:szCs w:val="27"/>
          <w:rtl/>
        </w:rPr>
        <w:t xml:space="preserve"> וזוגתו מרת </w:t>
      </w:r>
      <w:r w:rsidRPr="00862E1C">
        <w:rPr>
          <w:rFonts w:hint="cs"/>
          <w:b/>
          <w:bCs/>
          <w:sz w:val="27"/>
          <w:szCs w:val="27"/>
          <w:rtl/>
        </w:rPr>
        <w:t>שטערנא</w:t>
      </w:r>
      <w:r w:rsidRPr="00862E1C">
        <w:rPr>
          <w:rFonts w:hint="cs"/>
          <w:sz w:val="27"/>
          <w:szCs w:val="27"/>
          <w:rtl/>
        </w:rPr>
        <w:t xml:space="preserve"> שיחיו </w:t>
      </w:r>
    </w:p>
    <w:p w14:paraId="280BD01F" w14:textId="77777777" w:rsidR="00862E1C" w:rsidRPr="00862E1C" w:rsidRDefault="00862E1C" w:rsidP="00862E1C">
      <w:pPr>
        <w:pStyle w:val="af3"/>
        <w:spacing w:after="0" w:line="360" w:lineRule="auto"/>
        <w:rPr>
          <w:b/>
          <w:bCs/>
          <w:sz w:val="27"/>
          <w:szCs w:val="27"/>
          <w:rtl/>
        </w:rPr>
      </w:pPr>
      <w:r w:rsidRPr="00862E1C">
        <w:rPr>
          <w:rFonts w:hint="cs"/>
          <w:b/>
          <w:bCs/>
          <w:sz w:val="27"/>
          <w:szCs w:val="27"/>
          <w:rtl/>
        </w:rPr>
        <w:t>בלומעס</w:t>
      </w:r>
    </w:p>
    <w:p w14:paraId="683BF459" w14:textId="3E2D6B65" w:rsidR="00862E1C" w:rsidRPr="00862E1C" w:rsidRDefault="00862E1C" w:rsidP="00862E1C">
      <w:pPr>
        <w:pStyle w:val="af3"/>
        <w:spacing w:after="0" w:line="276" w:lineRule="auto"/>
        <w:rPr>
          <w:sz w:val="27"/>
          <w:szCs w:val="27"/>
          <w:rtl/>
        </w:rPr>
      </w:pPr>
      <w:r w:rsidRPr="00862E1C">
        <w:rPr>
          <w:rFonts w:hint="cs"/>
          <w:sz w:val="27"/>
          <w:szCs w:val="27"/>
          <w:rtl/>
        </w:rPr>
        <w:t xml:space="preserve">והרה"ת ר' </w:t>
      </w:r>
      <w:r w:rsidRPr="00862E1C">
        <w:rPr>
          <w:rFonts w:hint="cs"/>
          <w:b/>
          <w:bCs/>
          <w:sz w:val="27"/>
          <w:szCs w:val="27"/>
          <w:rtl/>
        </w:rPr>
        <w:t>אליעזר גרשון</w:t>
      </w:r>
      <w:r w:rsidRPr="00862E1C">
        <w:rPr>
          <w:rFonts w:hint="cs"/>
          <w:sz w:val="27"/>
          <w:szCs w:val="27"/>
          <w:rtl/>
        </w:rPr>
        <w:t xml:space="preserve"> וזוגתו מרת </w:t>
      </w:r>
      <w:r w:rsidRPr="00862E1C">
        <w:rPr>
          <w:rFonts w:hint="cs"/>
          <w:b/>
          <w:bCs/>
          <w:sz w:val="27"/>
          <w:szCs w:val="27"/>
          <w:rtl/>
        </w:rPr>
        <w:t xml:space="preserve">קיילא רחל </w:t>
      </w:r>
      <w:r w:rsidRPr="00862E1C">
        <w:rPr>
          <w:rFonts w:hint="cs"/>
          <w:sz w:val="27"/>
          <w:szCs w:val="27"/>
          <w:rtl/>
        </w:rPr>
        <w:t xml:space="preserve">שיחיו </w:t>
      </w:r>
    </w:p>
    <w:p w14:paraId="5F19F849" w14:textId="77777777" w:rsidR="00862E1C" w:rsidRPr="00862E1C" w:rsidRDefault="00862E1C" w:rsidP="00862E1C">
      <w:pPr>
        <w:pStyle w:val="af3"/>
        <w:spacing w:after="0" w:line="276" w:lineRule="auto"/>
        <w:rPr>
          <w:b/>
          <w:bCs/>
          <w:sz w:val="27"/>
          <w:szCs w:val="27"/>
          <w:rtl/>
        </w:rPr>
      </w:pPr>
      <w:r w:rsidRPr="00862E1C">
        <w:rPr>
          <w:rFonts w:hint="cs"/>
          <w:b/>
          <w:bCs/>
          <w:sz w:val="27"/>
          <w:szCs w:val="27"/>
          <w:rtl/>
        </w:rPr>
        <w:t>שם טוב</w:t>
      </w:r>
    </w:p>
    <w:p w14:paraId="0256EF53" w14:textId="77777777" w:rsidR="00862E1C" w:rsidRDefault="00862E1C" w:rsidP="00862E1C"/>
    <w:p w14:paraId="5A53AD64" w14:textId="77777777" w:rsidR="00862E1C" w:rsidRDefault="000D5AE0" w:rsidP="00862E1C">
      <w:pPr>
        <w:bidi/>
        <w:jc w:val="center"/>
        <w:rPr>
          <w:sz w:val="24"/>
          <w:szCs w:val="24"/>
          <w:rtl/>
        </w:rPr>
      </w:pPr>
      <w:r>
        <w:rPr>
          <w:sz w:val="24"/>
          <w:szCs w:val="24"/>
          <w:rtl/>
        </w:rPr>
        <w:br w:type="page"/>
      </w:r>
    </w:p>
    <w:p w14:paraId="5F6AA7BC" w14:textId="77777777" w:rsidR="00862E1C" w:rsidRDefault="00862E1C" w:rsidP="00862E1C">
      <w:pPr>
        <w:bidi/>
        <w:jc w:val="center"/>
        <w:rPr>
          <w:sz w:val="24"/>
          <w:szCs w:val="24"/>
          <w:rtl/>
        </w:rPr>
      </w:pPr>
    </w:p>
    <w:p w14:paraId="19B1BD47" w14:textId="77777777" w:rsidR="00862E1C" w:rsidRDefault="00862E1C" w:rsidP="00862E1C">
      <w:pPr>
        <w:bidi/>
        <w:jc w:val="center"/>
        <w:rPr>
          <w:sz w:val="24"/>
          <w:szCs w:val="24"/>
          <w:rtl/>
        </w:rPr>
      </w:pPr>
    </w:p>
    <w:p w14:paraId="469CA771" w14:textId="77777777" w:rsidR="000D5AE0" w:rsidRDefault="000D5AE0" w:rsidP="000D5AE0">
      <w:pPr>
        <w:pStyle w:val="af3"/>
        <w:spacing w:after="0" w:line="360" w:lineRule="auto"/>
        <w:jc w:val="left"/>
        <w:rPr>
          <w:sz w:val="24"/>
          <w:szCs w:val="24"/>
          <w:rtl/>
        </w:rPr>
      </w:pPr>
    </w:p>
    <w:p w14:paraId="57AC89A8" w14:textId="77777777" w:rsidR="002A3A9E" w:rsidRDefault="002A3A9E" w:rsidP="000D5AE0">
      <w:pPr>
        <w:pStyle w:val="af3"/>
        <w:spacing w:after="0" w:line="360" w:lineRule="auto"/>
        <w:jc w:val="left"/>
        <w:rPr>
          <w:sz w:val="24"/>
          <w:szCs w:val="24"/>
          <w:rtl/>
        </w:rPr>
      </w:pPr>
    </w:p>
    <w:p w14:paraId="1129C9ED" w14:textId="77777777" w:rsidR="002A3A9E" w:rsidRDefault="002A3A9E" w:rsidP="000D5AE0">
      <w:pPr>
        <w:pStyle w:val="af3"/>
        <w:spacing w:after="0" w:line="360" w:lineRule="auto"/>
        <w:jc w:val="left"/>
        <w:rPr>
          <w:sz w:val="24"/>
          <w:szCs w:val="24"/>
          <w:rtl/>
        </w:rPr>
      </w:pPr>
    </w:p>
    <w:p w14:paraId="7ED8B2E3" w14:textId="77777777" w:rsidR="00862E1C" w:rsidRDefault="00862E1C" w:rsidP="00862E1C">
      <w:pPr>
        <w:pStyle w:val="af3"/>
        <w:bidi w:val="0"/>
        <w:spacing w:after="0" w:line="360" w:lineRule="auto"/>
        <w:rPr>
          <w:sz w:val="27"/>
          <w:szCs w:val="27"/>
          <w:rtl/>
        </w:rPr>
      </w:pPr>
    </w:p>
    <w:p w14:paraId="5413E9A0" w14:textId="1AF68854" w:rsidR="00862E1C" w:rsidRPr="000D5AE0" w:rsidRDefault="000D5AE0" w:rsidP="00862E1C">
      <w:pPr>
        <w:pStyle w:val="af3"/>
        <w:bidi w:val="0"/>
        <w:spacing w:after="0" w:line="360" w:lineRule="auto"/>
        <w:rPr>
          <w:sz w:val="27"/>
          <w:szCs w:val="27"/>
          <w:rtl/>
        </w:rPr>
      </w:pPr>
      <w:r w:rsidRPr="000D5AE0">
        <w:rPr>
          <w:sz w:val="27"/>
          <w:szCs w:val="27"/>
          <w:rtl/>
        </w:rPr>
        <w:t xml:space="preserve">לזכות הילדה </w:t>
      </w:r>
      <w:r w:rsidRPr="000D5AE0">
        <w:rPr>
          <w:b/>
          <w:bCs/>
          <w:sz w:val="27"/>
          <w:szCs w:val="27"/>
          <w:rtl/>
        </w:rPr>
        <w:t>אסתר צביה</w:t>
      </w:r>
      <w:r w:rsidRPr="000D5AE0">
        <w:rPr>
          <w:sz w:val="27"/>
          <w:szCs w:val="27"/>
          <w:rtl/>
        </w:rPr>
        <w:t xml:space="preserve"> תחי'</w:t>
      </w:r>
    </w:p>
    <w:p w14:paraId="4FD5332E" w14:textId="77777777" w:rsidR="000D5AE0" w:rsidRPr="000D5AE0" w:rsidRDefault="000D5AE0" w:rsidP="000D5AE0">
      <w:pPr>
        <w:pStyle w:val="af3"/>
        <w:bidi w:val="0"/>
        <w:spacing w:after="0" w:line="360" w:lineRule="auto"/>
        <w:rPr>
          <w:sz w:val="27"/>
          <w:szCs w:val="27"/>
          <w:rtl/>
        </w:rPr>
      </w:pPr>
      <w:r w:rsidRPr="000D5AE0">
        <w:rPr>
          <w:sz w:val="27"/>
          <w:szCs w:val="27"/>
          <w:rtl/>
        </w:rPr>
        <w:t>בקשר ליום ההולדת שלה ביום י' אדר</w:t>
      </w:r>
    </w:p>
    <w:p w14:paraId="41194D7E" w14:textId="77777777" w:rsidR="000D5AE0" w:rsidRPr="000D5AE0" w:rsidRDefault="000D5AE0" w:rsidP="000D5AE0">
      <w:pPr>
        <w:pStyle w:val="af3"/>
        <w:bidi w:val="0"/>
        <w:spacing w:after="0" w:line="360" w:lineRule="auto"/>
        <w:rPr>
          <w:sz w:val="27"/>
          <w:szCs w:val="27"/>
          <w:rtl/>
        </w:rPr>
      </w:pPr>
      <w:r w:rsidRPr="000D5AE0">
        <w:rPr>
          <w:sz w:val="27"/>
          <w:szCs w:val="27"/>
          <w:rtl/>
        </w:rPr>
        <w:t>יהי רצון שיגדלוה לתורה ולחופה ולמעשים טובים</w:t>
      </w:r>
    </w:p>
    <w:p w14:paraId="02BEB631" w14:textId="77777777" w:rsidR="000D5AE0" w:rsidRPr="000D5AE0" w:rsidRDefault="000D5AE0" w:rsidP="000D5AE0">
      <w:pPr>
        <w:pStyle w:val="af3"/>
        <w:bidi w:val="0"/>
        <w:spacing w:after="0" w:line="360" w:lineRule="auto"/>
        <w:rPr>
          <w:sz w:val="27"/>
          <w:szCs w:val="27"/>
          <w:rtl/>
        </w:rPr>
      </w:pPr>
      <w:r w:rsidRPr="000D5AE0">
        <w:rPr>
          <w:sz w:val="27"/>
          <w:szCs w:val="27"/>
          <w:rtl/>
        </w:rPr>
        <w:t>וירוו ממנה הרבה נחת ועונג לאורך ימים ושנים טובות</w:t>
      </w:r>
      <w:r w:rsidRPr="000D5AE0">
        <w:rPr>
          <w:rFonts w:hint="cs"/>
          <w:sz w:val="27"/>
          <w:szCs w:val="27"/>
          <w:rtl/>
        </w:rPr>
        <w:t>.</w:t>
      </w:r>
    </w:p>
    <w:p w14:paraId="696019FD" w14:textId="77777777" w:rsidR="000D5AE0" w:rsidRPr="000D5AE0" w:rsidRDefault="000D5AE0" w:rsidP="000D5AE0">
      <w:pPr>
        <w:pStyle w:val="af3"/>
        <w:bidi w:val="0"/>
        <w:spacing w:after="0" w:line="360" w:lineRule="auto"/>
        <w:rPr>
          <w:sz w:val="27"/>
          <w:szCs w:val="27"/>
          <w:rtl/>
        </w:rPr>
      </w:pPr>
    </w:p>
    <w:p w14:paraId="26D1F4DA" w14:textId="2AA8EEE1" w:rsidR="000D5AE0" w:rsidRPr="000D5AE0" w:rsidRDefault="000D5AE0" w:rsidP="0085267C">
      <w:pPr>
        <w:pStyle w:val="af3"/>
        <w:bidi w:val="0"/>
        <w:spacing w:after="0" w:line="360" w:lineRule="auto"/>
        <w:rPr>
          <w:sz w:val="27"/>
          <w:szCs w:val="27"/>
          <w:rtl/>
        </w:rPr>
      </w:pPr>
      <w:r w:rsidRPr="000D5AE0">
        <w:rPr>
          <w:sz w:val="27"/>
          <w:szCs w:val="27"/>
          <w:rtl/>
        </w:rPr>
        <w:t xml:space="preserve">ולזכות הוריה </w:t>
      </w:r>
      <w:r w:rsidR="0085267C">
        <w:rPr>
          <w:rFonts w:hint="cs"/>
          <w:sz w:val="27"/>
          <w:szCs w:val="27"/>
          <w:rtl/>
        </w:rPr>
        <w:t>הנעלים ו</w:t>
      </w:r>
      <w:r w:rsidRPr="000D5AE0">
        <w:rPr>
          <w:sz w:val="27"/>
          <w:szCs w:val="27"/>
          <w:rtl/>
        </w:rPr>
        <w:t>החשובים שלוחי רבינו נשיאנו</w:t>
      </w:r>
    </w:p>
    <w:p w14:paraId="5FAB15ED" w14:textId="77777777" w:rsidR="000D5AE0" w:rsidRPr="000D5AE0" w:rsidRDefault="000D5AE0" w:rsidP="000D5AE0">
      <w:pPr>
        <w:pStyle w:val="af3"/>
        <w:bidi w:val="0"/>
        <w:spacing w:after="0" w:line="360" w:lineRule="auto"/>
        <w:rPr>
          <w:b/>
          <w:bCs/>
          <w:sz w:val="27"/>
          <w:szCs w:val="27"/>
          <w:rtl/>
        </w:rPr>
      </w:pPr>
      <w:r w:rsidRPr="000D5AE0">
        <w:rPr>
          <w:sz w:val="27"/>
          <w:szCs w:val="27"/>
          <w:rtl/>
        </w:rPr>
        <w:t xml:space="preserve">הרה"ת הנעלה והחשוב </w:t>
      </w:r>
      <w:r w:rsidRPr="000D5AE0">
        <w:rPr>
          <w:b/>
          <w:bCs/>
          <w:sz w:val="27"/>
          <w:szCs w:val="27"/>
          <w:rtl/>
        </w:rPr>
        <w:t>ר' שניאור זלמן שי' גאלדבערג</w:t>
      </w:r>
    </w:p>
    <w:p w14:paraId="417510EB" w14:textId="77777777" w:rsidR="000D5AE0" w:rsidRPr="000D5AE0" w:rsidRDefault="000D5AE0" w:rsidP="000D5AE0">
      <w:pPr>
        <w:pStyle w:val="af3"/>
        <w:bidi w:val="0"/>
        <w:spacing w:after="0" w:line="360" w:lineRule="auto"/>
        <w:rPr>
          <w:b/>
          <w:bCs/>
          <w:sz w:val="27"/>
          <w:szCs w:val="27"/>
          <w:rtl/>
        </w:rPr>
      </w:pPr>
      <w:r w:rsidRPr="000D5AE0">
        <w:rPr>
          <w:sz w:val="27"/>
          <w:szCs w:val="27"/>
          <w:rtl/>
        </w:rPr>
        <w:t xml:space="preserve">והאשה החשובה והמהוללה מרת </w:t>
      </w:r>
      <w:r w:rsidRPr="000D5AE0">
        <w:rPr>
          <w:b/>
          <w:bCs/>
          <w:sz w:val="27"/>
          <w:szCs w:val="27"/>
          <w:rtl/>
        </w:rPr>
        <w:t>חי' מושקא תחי'</w:t>
      </w:r>
    </w:p>
    <w:p w14:paraId="4316EFD2" w14:textId="77777777" w:rsidR="000D5AE0" w:rsidRPr="000D5AE0" w:rsidRDefault="000D5AE0" w:rsidP="000D5AE0">
      <w:pPr>
        <w:pStyle w:val="af3"/>
        <w:bidi w:val="0"/>
        <w:spacing w:after="0" w:line="360" w:lineRule="auto"/>
        <w:rPr>
          <w:sz w:val="27"/>
          <w:szCs w:val="27"/>
          <w:rtl/>
        </w:rPr>
      </w:pPr>
      <w:r w:rsidRPr="000D5AE0">
        <w:rPr>
          <w:sz w:val="27"/>
          <w:szCs w:val="27"/>
          <w:rtl/>
        </w:rPr>
        <w:t>שימלא ה' כל משאלות לבבם לטובה ולברכה בגו"ר</w:t>
      </w:r>
    </w:p>
    <w:p w14:paraId="61FB2D12" w14:textId="77777777" w:rsidR="000D5AE0" w:rsidRPr="000D5AE0" w:rsidRDefault="000D5AE0" w:rsidP="000D5AE0">
      <w:pPr>
        <w:pStyle w:val="af3"/>
        <w:bidi w:val="0"/>
        <w:spacing w:after="0" w:line="360" w:lineRule="auto"/>
        <w:rPr>
          <w:sz w:val="27"/>
          <w:szCs w:val="27"/>
          <w:rtl/>
        </w:rPr>
      </w:pPr>
      <w:r w:rsidRPr="000D5AE0">
        <w:rPr>
          <w:sz w:val="27"/>
          <w:szCs w:val="27"/>
          <w:rtl/>
        </w:rPr>
        <w:t>מתוך אושר ושמחה תמיד כל הימים</w:t>
      </w:r>
    </w:p>
    <w:p w14:paraId="447763B7" w14:textId="77777777" w:rsidR="000D5AE0" w:rsidRPr="00552D8B" w:rsidRDefault="000D5AE0" w:rsidP="000D5AE0">
      <w:pPr>
        <w:pStyle w:val="af3"/>
        <w:spacing w:after="0" w:line="360" w:lineRule="auto"/>
        <w:rPr>
          <w:sz w:val="24"/>
          <w:szCs w:val="24"/>
          <w:rtl/>
        </w:rPr>
      </w:pPr>
      <w:r w:rsidRPr="00552D8B">
        <w:rPr>
          <w:sz w:val="24"/>
          <w:szCs w:val="24"/>
        </w:rPr>
        <w:sym w:font="Wingdings 2" w:char="F0B2"/>
      </w:r>
    </w:p>
    <w:p w14:paraId="3034E932" w14:textId="77777777" w:rsidR="000D5AE0" w:rsidRPr="000D5AE0" w:rsidRDefault="000D5AE0" w:rsidP="000D5AE0">
      <w:pPr>
        <w:pStyle w:val="af3"/>
        <w:bidi w:val="0"/>
        <w:spacing w:after="0" w:line="360" w:lineRule="auto"/>
        <w:rPr>
          <w:sz w:val="27"/>
          <w:szCs w:val="27"/>
          <w:rtl/>
        </w:rPr>
      </w:pPr>
      <w:r w:rsidRPr="000D5AE0">
        <w:rPr>
          <w:sz w:val="27"/>
          <w:szCs w:val="27"/>
          <w:rtl/>
        </w:rPr>
        <w:t>נדפס ע"י</w:t>
      </w:r>
      <w:r w:rsidRPr="000D5AE0">
        <w:rPr>
          <w:rFonts w:hint="cs"/>
          <w:sz w:val="27"/>
          <w:szCs w:val="27"/>
          <w:rtl/>
        </w:rPr>
        <w:t xml:space="preserve"> זקנה, חמיו ואביה</w:t>
      </w:r>
    </w:p>
    <w:p w14:paraId="78E2F2CF" w14:textId="77777777" w:rsidR="000D5AE0" w:rsidRPr="000D5AE0" w:rsidRDefault="000D5AE0" w:rsidP="000D5AE0">
      <w:pPr>
        <w:pStyle w:val="af3"/>
        <w:bidi w:val="0"/>
        <w:spacing w:after="0" w:line="360" w:lineRule="auto"/>
        <w:rPr>
          <w:sz w:val="27"/>
          <w:szCs w:val="27"/>
          <w:rtl/>
        </w:rPr>
      </w:pPr>
      <w:r w:rsidRPr="000D5AE0">
        <w:rPr>
          <w:sz w:val="27"/>
          <w:szCs w:val="27"/>
          <w:rtl/>
        </w:rPr>
        <w:t xml:space="preserve">הרה"ת הרה"ח </w:t>
      </w:r>
      <w:r w:rsidRPr="000D5AE0">
        <w:rPr>
          <w:rFonts w:hint="cs"/>
          <w:sz w:val="27"/>
          <w:szCs w:val="27"/>
          <w:rtl/>
        </w:rPr>
        <w:t xml:space="preserve">הנעלה והנכבד </w:t>
      </w:r>
      <w:r w:rsidRPr="000D5AE0">
        <w:rPr>
          <w:sz w:val="27"/>
          <w:szCs w:val="27"/>
          <w:rtl/>
        </w:rPr>
        <w:t>המהולל ברוב התשבחות</w:t>
      </w:r>
    </w:p>
    <w:p w14:paraId="3589F2A0" w14:textId="77777777" w:rsidR="000D5AE0" w:rsidRPr="000D5AE0" w:rsidRDefault="000D5AE0" w:rsidP="000D5AE0">
      <w:pPr>
        <w:pStyle w:val="af3"/>
        <w:bidi w:val="0"/>
        <w:spacing w:after="0" w:line="360" w:lineRule="auto"/>
        <w:rPr>
          <w:sz w:val="27"/>
          <w:szCs w:val="27"/>
          <w:rtl/>
        </w:rPr>
      </w:pPr>
      <w:r w:rsidRPr="000D5AE0">
        <w:rPr>
          <w:sz w:val="27"/>
          <w:szCs w:val="27"/>
          <w:rtl/>
        </w:rPr>
        <w:t>ממייסדי המוסד ד"הערות וביאורים"</w:t>
      </w:r>
    </w:p>
    <w:p w14:paraId="5040D3B0" w14:textId="082DAEAF" w:rsidR="00C8154B" w:rsidRPr="000D5AE0" w:rsidRDefault="000D5AE0" w:rsidP="000D5AE0">
      <w:pPr>
        <w:pStyle w:val="af3"/>
        <w:spacing w:after="0" w:line="360" w:lineRule="auto"/>
        <w:rPr>
          <w:sz w:val="27"/>
          <w:szCs w:val="27"/>
          <w:rtl/>
        </w:rPr>
      </w:pPr>
      <w:r w:rsidRPr="000D5AE0">
        <w:rPr>
          <w:rFonts w:hint="cs"/>
          <w:b/>
          <w:bCs/>
          <w:sz w:val="27"/>
          <w:szCs w:val="27"/>
          <w:rtl/>
        </w:rPr>
        <w:t>ר' שמעון שי' מאצקין</w:t>
      </w:r>
    </w:p>
    <w:p w14:paraId="3CD11695" w14:textId="50F69027" w:rsidR="00655967" w:rsidRPr="00676319" w:rsidRDefault="00655967" w:rsidP="00655967">
      <w:pPr>
        <w:pStyle w:val="af3"/>
      </w:pPr>
    </w:p>
    <w:p w14:paraId="6A499438" w14:textId="4C47A864" w:rsidR="00C8154B" w:rsidRPr="00C8154B" w:rsidRDefault="00C8154B" w:rsidP="00C8154B">
      <w:pPr>
        <w:pStyle w:val="af3"/>
        <w:spacing w:after="0" w:line="360" w:lineRule="auto"/>
        <w:rPr>
          <w:sz w:val="24"/>
          <w:szCs w:val="24"/>
          <w:rtl/>
        </w:rPr>
      </w:pPr>
    </w:p>
    <w:sectPr w:rsidR="00C8154B" w:rsidRPr="00C8154B" w:rsidSect="00E65DD5">
      <w:headerReference w:type="even" r:id="rId70"/>
      <w:headerReference w:type="default" r:id="rId7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E15FB0" w:rsidRDefault="00E15FB0" w:rsidP="001D6A1B">
      <w:pPr>
        <w:spacing w:after="0" w:line="240" w:lineRule="auto"/>
      </w:pPr>
      <w:r>
        <w:separator/>
      </w:r>
    </w:p>
  </w:endnote>
  <w:endnote w:type="continuationSeparator" w:id="0">
    <w:p w14:paraId="0A292635" w14:textId="77777777" w:rsidR="00E15FB0" w:rsidRDefault="00E15FB0" w:rsidP="001D6A1B">
      <w:pPr>
        <w:spacing w:after="0" w:line="240" w:lineRule="auto"/>
      </w:pPr>
      <w:r>
        <w:continuationSeparator/>
      </w:r>
    </w:p>
  </w:endnote>
  <w:endnote w:type="continuationNotice" w:id="1">
    <w:p w14:paraId="3A84FD44" w14:textId="77777777" w:rsidR="00E15FB0" w:rsidRDefault="00E15F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Guttman Frank">
    <w:panose1 w:val="00000000000000000000"/>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E15FB0" w:rsidRDefault="00E15FB0" w:rsidP="00724B87">
      <w:pPr>
        <w:bidi/>
        <w:spacing w:after="0" w:line="240" w:lineRule="auto"/>
      </w:pPr>
      <w:r>
        <w:separator/>
      </w:r>
    </w:p>
  </w:footnote>
  <w:footnote w:type="continuationSeparator" w:id="0">
    <w:p w14:paraId="63EBBE18" w14:textId="77777777" w:rsidR="00E15FB0" w:rsidRDefault="00E15FB0" w:rsidP="001D6A1B">
      <w:pPr>
        <w:spacing w:after="0" w:line="240" w:lineRule="auto"/>
      </w:pPr>
      <w:r>
        <w:continuationSeparator/>
      </w:r>
    </w:p>
  </w:footnote>
  <w:footnote w:type="continuationNotice" w:id="1">
    <w:p w14:paraId="256DF4B4" w14:textId="77777777" w:rsidR="00E15FB0" w:rsidRDefault="00E15FB0">
      <w:pPr>
        <w:spacing w:after="0" w:line="240" w:lineRule="auto"/>
      </w:pPr>
    </w:p>
  </w:footnote>
  <w:footnote w:id="2">
    <w:p w14:paraId="476B4350" w14:textId="232AB1B9" w:rsidR="00E15FB0" w:rsidRPr="00FE3F65" w:rsidRDefault="00E15FB0" w:rsidP="00FE3F65">
      <w:pPr>
        <w:pStyle w:val="FootnoteText"/>
      </w:pPr>
      <w:r w:rsidRPr="00FE3F65">
        <w:rPr>
          <w:rStyle w:val="FootnoteReference"/>
          <w:vertAlign w:val="baseline"/>
        </w:rPr>
        <w:footnoteRef/>
      </w:r>
      <w:r>
        <w:rPr>
          <w:rFonts w:hint="cs"/>
          <w:rtl/>
        </w:rPr>
        <w:t>)</w:t>
      </w:r>
      <w:r w:rsidRPr="00FE3F65">
        <w:rPr>
          <w:rtl/>
        </w:rPr>
        <w:t xml:space="preserve"> </w:t>
      </w:r>
      <w:r w:rsidRPr="00FE3F65">
        <w:rPr>
          <w:rFonts w:hint="cs"/>
          <w:rtl/>
        </w:rPr>
        <w:t>הג"ר עקיבא</w:t>
      </w:r>
      <w:r>
        <w:rPr>
          <w:rFonts w:hint="cs"/>
          <w:rtl/>
        </w:rPr>
        <w:t xml:space="preserve"> </w:t>
      </w:r>
      <w:r w:rsidRPr="00FE3F65">
        <w:rPr>
          <w:rFonts w:hint="cs"/>
          <w:rtl/>
        </w:rPr>
        <w:t>שי' וואגנער בהערות וביאורים גליון תקצ"ט (יוהכ"פ תשנ"ב).</w:t>
      </w:r>
    </w:p>
  </w:footnote>
  <w:footnote w:id="3">
    <w:p w14:paraId="79023F35" w14:textId="58F6E065" w:rsidR="00E15FB0" w:rsidRPr="00FE3F65" w:rsidRDefault="00E15FB0" w:rsidP="00FE3F65">
      <w:pPr>
        <w:pStyle w:val="FootnoteText"/>
      </w:pPr>
      <w:r w:rsidRPr="00FE3F65">
        <w:rPr>
          <w:rStyle w:val="FootnoteReference"/>
          <w:vertAlign w:val="baseline"/>
        </w:rPr>
        <w:footnoteRef/>
      </w:r>
      <w:r>
        <w:rPr>
          <w:rFonts w:hint="cs"/>
          <w:rtl/>
        </w:rPr>
        <w:t>)</w:t>
      </w:r>
      <w:r w:rsidRPr="00FE3F65">
        <w:rPr>
          <w:rtl/>
        </w:rPr>
        <w:t xml:space="preserve"> </w:t>
      </w:r>
      <w:r w:rsidRPr="00FE3F65">
        <w:rPr>
          <w:rFonts w:hint="cs"/>
          <w:rtl/>
        </w:rPr>
        <w:t>וראה בזה בס' ימות המשיח בהלכה ח"א סי' ט'.</w:t>
      </w:r>
    </w:p>
  </w:footnote>
  <w:footnote w:id="4">
    <w:p w14:paraId="663FCAB7" w14:textId="64012B74" w:rsidR="00E15FB0" w:rsidRPr="00FE3F65" w:rsidRDefault="00E15FB0" w:rsidP="00FE3F65">
      <w:pPr>
        <w:pStyle w:val="FootnoteText"/>
        <w:rPr>
          <w:rtl/>
        </w:rPr>
      </w:pPr>
      <w:r w:rsidRPr="00FE3F65">
        <w:rPr>
          <w:rStyle w:val="FootnoteReference"/>
          <w:vertAlign w:val="baseline"/>
        </w:rPr>
        <w:footnoteRef/>
      </w:r>
      <w:r>
        <w:rPr>
          <w:rFonts w:hint="cs"/>
          <w:rtl/>
        </w:rPr>
        <w:t>)</w:t>
      </w:r>
      <w:r w:rsidRPr="00FE3F65">
        <w:rPr>
          <w:rtl/>
        </w:rPr>
        <w:t xml:space="preserve"> ברכות </w:t>
      </w:r>
      <w:r w:rsidRPr="00FE3F65">
        <w:rPr>
          <w:rFonts w:hint="cs"/>
          <w:rtl/>
        </w:rPr>
        <w:t xml:space="preserve">שם </w:t>
      </w:r>
      <w:r w:rsidRPr="00FE3F65">
        <w:rPr>
          <w:rtl/>
        </w:rPr>
        <w:t>נד</w:t>
      </w:r>
      <w:r w:rsidRPr="00FE3F65">
        <w:rPr>
          <w:rFonts w:hint="cs"/>
          <w:rtl/>
        </w:rPr>
        <w:t>,</w:t>
      </w:r>
      <w:r w:rsidRPr="00FE3F65">
        <w:rPr>
          <w:rtl/>
        </w:rPr>
        <w:t xml:space="preserve"> ב</w:t>
      </w:r>
      <w:r w:rsidRPr="00FE3F65">
        <w:rPr>
          <w:rFonts w:hint="cs"/>
          <w:rtl/>
        </w:rPr>
        <w:t xml:space="preserve">: </w:t>
      </w:r>
      <w:r w:rsidRPr="00FE3F65">
        <w:rPr>
          <w:rtl/>
        </w:rPr>
        <w:t>רב יהודה חלש ואתפח, על לגביה רב חנא בגדתאה ורבנן, אמרי ליה: בריך רחמנא דיהבך ניהלן ולא יהבך לעפרא</w:t>
      </w:r>
      <w:r w:rsidRPr="00FE3F65">
        <w:rPr>
          <w:rFonts w:hint="cs"/>
          <w:rtl/>
        </w:rPr>
        <w:t>"</w:t>
      </w:r>
      <w:r w:rsidRPr="00FE3F65">
        <w:rPr>
          <w:rtl/>
        </w:rPr>
        <w:t>.</w:t>
      </w:r>
    </w:p>
  </w:footnote>
  <w:footnote w:id="5">
    <w:p w14:paraId="0A58D7D3" w14:textId="25C8F100" w:rsidR="00E15FB0" w:rsidRDefault="00E15FB0" w:rsidP="00AA4666">
      <w:pPr>
        <w:pStyle w:val="FootnoteText"/>
      </w:pPr>
      <w:r w:rsidRPr="00FE3F65">
        <w:rPr>
          <w:rStyle w:val="FootnoteReference"/>
          <w:vertAlign w:val="baseline"/>
        </w:rPr>
        <w:footnoteRef/>
      </w:r>
      <w:r>
        <w:rPr>
          <w:rFonts w:hint="cs"/>
          <w:rtl/>
        </w:rPr>
        <w:t>)</w:t>
      </w:r>
      <w:r w:rsidRPr="00FE3F65">
        <w:rPr>
          <w:rtl/>
        </w:rPr>
        <w:t xml:space="preserve"> </w:t>
      </w:r>
      <w:r w:rsidRPr="00FE3F65">
        <w:rPr>
          <w:rFonts w:hint="cs"/>
          <w:rtl/>
        </w:rPr>
        <w:t xml:space="preserve">וראה </w:t>
      </w:r>
      <w:r w:rsidRPr="00FE3F65">
        <w:rPr>
          <w:rtl/>
        </w:rPr>
        <w:t xml:space="preserve">ביאור הלכה </w:t>
      </w:r>
      <w:r w:rsidRPr="00FE3F65">
        <w:rPr>
          <w:rFonts w:hint="cs"/>
          <w:rtl/>
        </w:rPr>
        <w:t xml:space="preserve">שם </w:t>
      </w:r>
      <w:r w:rsidRPr="00FE3F65">
        <w:rPr>
          <w:rtl/>
        </w:rPr>
        <w:t>סימן ריט</w:t>
      </w:r>
      <w:r w:rsidRPr="00FE3F65">
        <w:rPr>
          <w:rFonts w:hint="cs"/>
          <w:rtl/>
        </w:rPr>
        <w:t xml:space="preserve"> שפירש דבריו: "</w:t>
      </w:r>
      <w:r w:rsidRPr="00FE3F65">
        <w:rPr>
          <w:rtl/>
        </w:rPr>
        <w:t>ר"ל דזה הוי כמו שאר צרכי בני האדם שמברך האדם ע"ז בבוקר בכל יום כמו מלביש ערומים ומתיר אסורים וכה"ג</w:t>
      </w:r>
      <w:r w:rsidRPr="00FE3F65">
        <w:rPr>
          <w:rFonts w:hint="cs"/>
          <w:rtl/>
        </w:rPr>
        <w:t>,</w:t>
      </w:r>
      <w:r w:rsidRPr="00FE3F65">
        <w:rPr>
          <w:rtl/>
        </w:rPr>
        <w:t xml:space="preserve"> היתכן שתלמידו או בנו יצטרך לברך על שיש לאביו מלבוש וכה"ג</w:t>
      </w:r>
      <w:r w:rsidRPr="00FE3F65">
        <w:rPr>
          <w:rFonts w:hint="cs"/>
          <w:rtl/>
        </w:rPr>
        <w:t>,</w:t>
      </w:r>
      <w:r w:rsidRPr="00FE3F65">
        <w:rPr>
          <w:rtl/>
        </w:rPr>
        <w:t xml:space="preserve"> ואף </w:t>
      </w:r>
      <w:r w:rsidRPr="00FE3F65">
        <w:rPr>
          <w:rFonts w:hint="cs"/>
          <w:rtl/>
        </w:rPr>
        <w:t>ד</w:t>
      </w:r>
      <w:r w:rsidRPr="00FE3F65">
        <w:rPr>
          <w:rtl/>
        </w:rPr>
        <w:t>אם רצו לברך רשאים היינו שמכניסים עצמם נמי בהודאה זו להחסד שעשה להם הקב"ה וסיפק צרכיהם במה שלא בטל תורתו מינייהו מיהו</w:t>
      </w:r>
      <w:r w:rsidRPr="00FE3F65">
        <w:rPr>
          <w:rFonts w:hint="cs"/>
          <w:rtl/>
        </w:rPr>
        <w:t xml:space="preserve"> </w:t>
      </w:r>
      <w:r w:rsidRPr="00FE3F65">
        <w:rPr>
          <w:rtl/>
        </w:rPr>
        <w:t>אין זה עליהם חוב עיי"ש משא"כ בנעשה לו נס גמור צריך בנו ותלמידו לברך ע"ז</w:t>
      </w:r>
      <w:r w:rsidRPr="00FE3F65">
        <w:rPr>
          <w:rFonts w:hint="cs"/>
          <w:rtl/>
        </w:rPr>
        <w:t>"</w:t>
      </w:r>
      <w:r>
        <w:rPr>
          <w:rFonts w:hint="cs"/>
          <w:rtl/>
        </w:rPr>
        <w:t>.</w:t>
      </w:r>
    </w:p>
  </w:footnote>
  <w:footnote w:id="6">
    <w:p w14:paraId="253379DB" w14:textId="296C3C1C" w:rsidR="00E15FB0" w:rsidRPr="004865C9" w:rsidRDefault="00E15FB0" w:rsidP="004865C9">
      <w:pPr>
        <w:pStyle w:val="FootnoteText"/>
      </w:pPr>
      <w:r w:rsidRPr="004865C9">
        <w:footnoteRef/>
      </w:r>
      <w:r>
        <w:rPr>
          <w:rFonts w:hint="cs"/>
          <w:rtl/>
        </w:rPr>
        <w:t>)</w:t>
      </w:r>
      <w:r w:rsidRPr="004865C9">
        <w:rPr>
          <w:rtl/>
        </w:rPr>
        <w:t xml:space="preserve"> פני יהושע ד"ה בגמרא ת"ר יכול, אור חדש ת"ר יכול, צל"ח ד"ה מאי טעמא, חתם סופר ד"ה מאי טעמא.</w:t>
      </w:r>
      <w:r>
        <w:rPr>
          <w:rtl/>
        </w:rPr>
        <w:t xml:space="preserve"> </w:t>
      </w:r>
    </w:p>
  </w:footnote>
  <w:footnote w:id="7">
    <w:p w14:paraId="42D694DC" w14:textId="5067221F" w:rsidR="00E15FB0" w:rsidRPr="004865C9" w:rsidRDefault="00E15FB0" w:rsidP="004865C9">
      <w:pPr>
        <w:pStyle w:val="FootnoteText"/>
      </w:pPr>
      <w:r w:rsidRPr="004865C9">
        <w:footnoteRef/>
      </w:r>
      <w:r>
        <w:rPr>
          <w:rFonts w:hint="cs"/>
          <w:rtl/>
        </w:rPr>
        <w:t>)</w:t>
      </w:r>
      <w:r w:rsidRPr="004865C9">
        <w:rPr>
          <w:rtl/>
        </w:rPr>
        <w:t xml:space="preserve"> ועיי"ש מה שתירצו.</w:t>
      </w:r>
    </w:p>
    <w:p w14:paraId="3D198EA5" w14:textId="77777777" w:rsidR="00E15FB0" w:rsidRDefault="00E15FB0" w:rsidP="004865C9">
      <w:pPr>
        <w:bidi/>
        <w:spacing w:line="240" w:lineRule="auto"/>
        <w:rPr>
          <w:sz w:val="20"/>
          <w:szCs w:val="20"/>
        </w:rPr>
      </w:pPr>
    </w:p>
  </w:footnote>
  <w:footnote w:id="8">
    <w:p w14:paraId="51D7CE5E" w14:textId="591A3EC5" w:rsidR="00E15FB0" w:rsidRPr="004865C9" w:rsidRDefault="00E15FB0" w:rsidP="004865C9">
      <w:pPr>
        <w:pStyle w:val="FootnoteText"/>
      </w:pPr>
      <w:r w:rsidRPr="004865C9">
        <w:footnoteRef/>
      </w:r>
      <w:r>
        <w:rPr>
          <w:rFonts w:hint="cs"/>
          <w:rtl/>
        </w:rPr>
        <w:t>)</w:t>
      </w:r>
      <w:r w:rsidRPr="004865C9">
        <w:rPr>
          <w:rtl/>
        </w:rPr>
        <w:t xml:space="preserve"> ועיי"ש בתוד"ה עוני קרינן ביה, ובחידושי הר"ן ד"ה מי קרינן.</w:t>
      </w:r>
    </w:p>
  </w:footnote>
  <w:footnote w:id="9">
    <w:p w14:paraId="5F14BD25" w14:textId="5EE6F0CB" w:rsidR="00E15FB0" w:rsidRDefault="00E15FB0" w:rsidP="004865C9">
      <w:pPr>
        <w:pStyle w:val="FootnoteText"/>
      </w:pPr>
      <w:r w:rsidRPr="004865C9">
        <w:footnoteRef/>
      </w:r>
      <w:r>
        <w:rPr>
          <w:rFonts w:hint="cs"/>
          <w:rtl/>
        </w:rPr>
        <w:t>)</w:t>
      </w:r>
      <w:r w:rsidRPr="004865C9">
        <w:rPr>
          <w:rtl/>
        </w:rPr>
        <w:t xml:space="preserve"> מהר"ם חלאוה ד"ה ורבי עקיבא, וחתם סופר ד"ה מאי טעמא. </w:t>
      </w:r>
    </w:p>
  </w:footnote>
  <w:footnote w:id="10">
    <w:p w14:paraId="3AC60527" w14:textId="17DF6704" w:rsidR="00E15FB0" w:rsidRPr="009B3863" w:rsidRDefault="00E15FB0" w:rsidP="009B3863">
      <w:pPr>
        <w:pStyle w:val="FootnoteText"/>
        <w:rPr>
          <w:rtl/>
        </w:rPr>
      </w:pPr>
      <w:r w:rsidRPr="009B3863">
        <w:rPr>
          <w:rStyle w:val="FootnoteReference"/>
          <w:vertAlign w:val="baseline"/>
        </w:rPr>
        <w:footnoteRef/>
      </w:r>
      <w:r w:rsidRPr="009B3863">
        <w:t xml:space="preserve"> </w:t>
      </w:r>
      <w:r>
        <w:rPr>
          <w:rFonts w:hint="cs"/>
          <w:rtl/>
        </w:rPr>
        <w:t xml:space="preserve">) </w:t>
      </w:r>
      <w:r w:rsidRPr="009B3863">
        <w:rPr>
          <w:rFonts w:hint="cs"/>
          <w:rtl/>
        </w:rPr>
        <w:t>ואין</w:t>
      </w:r>
      <w:r w:rsidRPr="009B3863">
        <w:rPr>
          <w:rtl/>
        </w:rPr>
        <w:t xml:space="preserve"> </w:t>
      </w:r>
      <w:r w:rsidRPr="009B3863">
        <w:rPr>
          <w:rFonts w:hint="cs"/>
          <w:rtl/>
        </w:rPr>
        <w:t>לפרש</w:t>
      </w:r>
      <w:r w:rsidRPr="009B3863">
        <w:rPr>
          <w:rtl/>
        </w:rPr>
        <w:t xml:space="preserve"> </w:t>
      </w:r>
      <w:r w:rsidRPr="009B3863">
        <w:rPr>
          <w:rFonts w:hint="cs"/>
          <w:rtl/>
        </w:rPr>
        <w:t>שדברי</w:t>
      </w:r>
      <w:r w:rsidRPr="009B3863">
        <w:rPr>
          <w:rtl/>
        </w:rPr>
        <w:t xml:space="preserve"> </w:t>
      </w:r>
      <w:r w:rsidRPr="009B3863">
        <w:rPr>
          <w:rFonts w:hint="cs"/>
          <w:rtl/>
        </w:rPr>
        <w:t>הב</w:t>
      </w:r>
      <w:r w:rsidRPr="009B3863">
        <w:rPr>
          <w:rtl/>
        </w:rPr>
        <w:t>"</w:t>
      </w:r>
      <w:r w:rsidRPr="009B3863">
        <w:rPr>
          <w:rFonts w:hint="cs"/>
          <w:rtl/>
        </w:rPr>
        <w:t>י</w:t>
      </w:r>
      <w:r w:rsidRPr="009B3863">
        <w:rPr>
          <w:rtl/>
        </w:rPr>
        <w:t xml:space="preserve"> </w:t>
      </w:r>
      <w:r w:rsidRPr="009B3863">
        <w:rPr>
          <w:rFonts w:hint="cs"/>
          <w:rtl/>
        </w:rPr>
        <w:t>קאי</w:t>
      </w:r>
      <w:r w:rsidRPr="009B3863">
        <w:rPr>
          <w:rtl/>
        </w:rPr>
        <w:t xml:space="preserve"> </w:t>
      </w:r>
      <w:r w:rsidRPr="009B3863">
        <w:rPr>
          <w:rFonts w:hint="cs"/>
          <w:rtl/>
        </w:rPr>
        <w:t>על</w:t>
      </w:r>
      <w:r w:rsidRPr="009B3863">
        <w:rPr>
          <w:rtl/>
        </w:rPr>
        <w:t xml:space="preserve"> </w:t>
      </w:r>
      <w:r w:rsidRPr="009B3863">
        <w:rPr>
          <w:rFonts w:hint="cs"/>
          <w:rtl/>
        </w:rPr>
        <w:t>שאר</w:t>
      </w:r>
      <w:r w:rsidRPr="009B3863">
        <w:rPr>
          <w:rtl/>
        </w:rPr>
        <w:t xml:space="preserve"> </w:t>
      </w:r>
      <w:r w:rsidRPr="009B3863">
        <w:rPr>
          <w:rFonts w:hint="cs"/>
          <w:rtl/>
        </w:rPr>
        <w:t>מצוות</w:t>
      </w:r>
      <w:r w:rsidRPr="009B3863">
        <w:rPr>
          <w:rtl/>
        </w:rPr>
        <w:t xml:space="preserve"> (</w:t>
      </w:r>
      <w:r w:rsidRPr="009B3863">
        <w:rPr>
          <w:rFonts w:hint="cs"/>
          <w:rtl/>
        </w:rPr>
        <w:t>כגון</w:t>
      </w:r>
      <w:r w:rsidRPr="009B3863">
        <w:rPr>
          <w:rtl/>
        </w:rPr>
        <w:t xml:space="preserve"> </w:t>
      </w:r>
      <w:r w:rsidRPr="009B3863">
        <w:rPr>
          <w:rFonts w:hint="cs"/>
          <w:rtl/>
        </w:rPr>
        <w:t>הלל</w:t>
      </w:r>
      <w:r w:rsidRPr="009B3863">
        <w:rPr>
          <w:rtl/>
        </w:rPr>
        <w:t xml:space="preserve"> </w:t>
      </w:r>
      <w:r w:rsidRPr="009B3863">
        <w:rPr>
          <w:rFonts w:hint="cs"/>
          <w:rtl/>
        </w:rPr>
        <w:t>וסיפור</w:t>
      </w:r>
      <w:r w:rsidRPr="009B3863">
        <w:rPr>
          <w:rtl/>
        </w:rPr>
        <w:t xml:space="preserve"> </w:t>
      </w:r>
      <w:r w:rsidRPr="009B3863">
        <w:rPr>
          <w:rFonts w:hint="cs"/>
          <w:rtl/>
        </w:rPr>
        <w:t>יצי</w:t>
      </w:r>
      <w:r w:rsidRPr="009B3863">
        <w:rPr>
          <w:rtl/>
        </w:rPr>
        <w:t>"</w:t>
      </w:r>
      <w:r w:rsidRPr="009B3863">
        <w:rPr>
          <w:rFonts w:hint="cs"/>
          <w:rtl/>
        </w:rPr>
        <w:t>מ</w:t>
      </w:r>
      <w:r w:rsidRPr="009B3863">
        <w:rPr>
          <w:rtl/>
        </w:rPr>
        <w:t xml:space="preserve">) </w:t>
      </w:r>
      <w:r w:rsidRPr="009B3863">
        <w:rPr>
          <w:rFonts w:hint="cs"/>
          <w:rtl/>
        </w:rPr>
        <w:t>אבל</w:t>
      </w:r>
      <w:r w:rsidRPr="009B3863">
        <w:rPr>
          <w:rtl/>
        </w:rPr>
        <w:t xml:space="preserve"> </w:t>
      </w:r>
      <w:r w:rsidRPr="009B3863">
        <w:rPr>
          <w:rFonts w:hint="cs"/>
          <w:rtl/>
        </w:rPr>
        <w:t>לא</w:t>
      </w:r>
      <w:r w:rsidRPr="009B3863">
        <w:rPr>
          <w:rtl/>
        </w:rPr>
        <w:t xml:space="preserve"> </w:t>
      </w:r>
      <w:r w:rsidRPr="009B3863">
        <w:rPr>
          <w:rFonts w:hint="cs"/>
          <w:rtl/>
        </w:rPr>
        <w:t>על</w:t>
      </w:r>
      <w:r w:rsidRPr="009B3863">
        <w:rPr>
          <w:rtl/>
        </w:rPr>
        <w:t xml:space="preserve"> </w:t>
      </w:r>
      <w:r w:rsidRPr="009B3863">
        <w:rPr>
          <w:rFonts w:hint="cs"/>
          <w:rtl/>
        </w:rPr>
        <w:t>מצה</w:t>
      </w:r>
      <w:r w:rsidRPr="009B3863">
        <w:rPr>
          <w:rtl/>
        </w:rPr>
        <w:t xml:space="preserve">, </w:t>
      </w:r>
      <w:r w:rsidRPr="009B3863">
        <w:rPr>
          <w:rFonts w:hint="cs"/>
          <w:rtl/>
        </w:rPr>
        <w:t>לפי</w:t>
      </w:r>
      <w:r w:rsidRPr="009B3863">
        <w:rPr>
          <w:rtl/>
        </w:rPr>
        <w:t xml:space="preserve"> </w:t>
      </w:r>
      <w:r w:rsidRPr="009B3863">
        <w:rPr>
          <w:rFonts w:hint="cs"/>
          <w:rtl/>
        </w:rPr>
        <w:t>שהטור</w:t>
      </w:r>
      <w:r w:rsidRPr="009B3863">
        <w:rPr>
          <w:rtl/>
        </w:rPr>
        <w:t xml:space="preserve"> </w:t>
      </w:r>
      <w:r w:rsidRPr="009B3863">
        <w:rPr>
          <w:rFonts w:hint="cs"/>
          <w:rtl/>
        </w:rPr>
        <w:t>כתב</w:t>
      </w:r>
      <w:r w:rsidRPr="009B3863">
        <w:rPr>
          <w:rtl/>
        </w:rPr>
        <w:t xml:space="preserve"> </w:t>
      </w:r>
      <w:r w:rsidRPr="009B3863">
        <w:rPr>
          <w:rFonts w:hint="cs"/>
          <w:rtl/>
        </w:rPr>
        <w:t>בפירוש "(ובכל מצוות הנוהגות באותו לילה) כגון מצה ומרור".</w:t>
      </w:r>
    </w:p>
  </w:footnote>
  <w:footnote w:id="11">
    <w:p w14:paraId="3A5EFF93" w14:textId="0DA5CE77" w:rsidR="00E15FB0" w:rsidRPr="0044589B" w:rsidRDefault="00E15FB0" w:rsidP="0044589B">
      <w:pPr>
        <w:pStyle w:val="FootnoteText"/>
      </w:pPr>
      <w:r w:rsidRPr="0044589B">
        <w:footnoteRef/>
      </w:r>
      <w:r>
        <w:rPr>
          <w:rFonts w:hint="cs"/>
          <w:rtl/>
        </w:rPr>
        <w:t>)</w:t>
      </w:r>
      <w:r w:rsidRPr="0044589B">
        <w:rPr>
          <w:rtl/>
        </w:rPr>
        <w:t xml:space="preserve"> נדפס ה'תקג.</w:t>
      </w:r>
    </w:p>
  </w:footnote>
  <w:footnote w:id="12">
    <w:p w14:paraId="697F86DD" w14:textId="3758AE29" w:rsidR="00E15FB0" w:rsidRPr="0044589B" w:rsidRDefault="00E15FB0" w:rsidP="00933637">
      <w:pPr>
        <w:pStyle w:val="FootnoteText"/>
      </w:pPr>
      <w:r w:rsidRPr="0044589B">
        <w:footnoteRef/>
      </w:r>
      <w:r>
        <w:rPr>
          <w:rFonts w:hint="cs"/>
          <w:rtl/>
        </w:rPr>
        <w:t xml:space="preserve">) </w:t>
      </w:r>
      <w:r w:rsidRPr="0044589B">
        <w:rPr>
          <w:rtl/>
        </w:rPr>
        <w:t>מ"ש בשדי חמד "פרי תואר" צריך לתקנו ל"פתחי תשובה". [ואולי טעה המדפיס בפענוח ר"ת פ"ת].</w:t>
      </w:r>
    </w:p>
  </w:footnote>
  <w:footnote w:id="13">
    <w:p w14:paraId="5C65ABAB" w14:textId="27B89A82" w:rsidR="00E15FB0" w:rsidRDefault="00E15FB0" w:rsidP="0044589B">
      <w:pPr>
        <w:pStyle w:val="FootnoteText"/>
        <w:rPr>
          <w:rFonts w:cs="David Libre"/>
        </w:rPr>
      </w:pPr>
      <w:r w:rsidRPr="0044589B">
        <w:footnoteRef/>
      </w:r>
      <w:r>
        <w:rPr>
          <w:rFonts w:hint="cs"/>
          <w:rtl/>
        </w:rPr>
        <w:t>)</w:t>
      </w:r>
      <w:r w:rsidRPr="0044589B">
        <w:rPr>
          <w:rtl/>
        </w:rPr>
        <w:t xml:space="preserve"> ומה שנקט ימי שנת החמה עי' מ"ש בעל הפלאה לכתובות דף ס' ע"א.</w:t>
      </w:r>
      <w:r>
        <w:rPr>
          <w:rtl/>
        </w:rPr>
        <w:t xml:space="preserve"> </w:t>
      </w:r>
    </w:p>
  </w:footnote>
  <w:footnote w:id="14">
    <w:p w14:paraId="4377A1BA" w14:textId="42156051" w:rsidR="00E15FB0" w:rsidRPr="0044589B" w:rsidRDefault="00E15FB0" w:rsidP="0044589B">
      <w:pPr>
        <w:pStyle w:val="FootnoteText"/>
      </w:pPr>
      <w:r w:rsidRPr="0044589B">
        <w:footnoteRef/>
      </w:r>
      <w:r w:rsidRPr="0044589B">
        <w:rPr>
          <w:rFonts w:hint="cs"/>
          <w:rtl/>
        </w:rPr>
        <w:t xml:space="preserve">) </w:t>
      </w:r>
      <w:r w:rsidRPr="0044589B">
        <w:rPr>
          <w:rtl/>
        </w:rPr>
        <w:t>כמ"ש השדי חמד לפרש דברי הפלא יועץ "זמן הרבה</w:t>
      </w:r>
      <w:r w:rsidRPr="0044589B">
        <w:rPr>
          <w:rFonts w:hint="cs"/>
          <w:rtl/>
        </w:rPr>
        <w:t>".</w:t>
      </w:r>
      <w:r w:rsidRPr="0044589B">
        <w:t xml:space="preserve"> </w:t>
      </w:r>
    </w:p>
  </w:footnote>
  <w:footnote w:id="15">
    <w:p w14:paraId="0B162DA1" w14:textId="41D15C0F" w:rsidR="00E15FB0" w:rsidRDefault="00E15FB0" w:rsidP="0044589B">
      <w:pPr>
        <w:pStyle w:val="FootnoteText"/>
        <w:rPr>
          <w:rFonts w:cs="David Libre"/>
        </w:rPr>
      </w:pPr>
      <w:r w:rsidRPr="0044589B">
        <w:footnoteRef/>
      </w:r>
      <w:r w:rsidRPr="0044589B">
        <w:rPr>
          <w:rFonts w:hint="cs"/>
          <w:rtl/>
        </w:rPr>
        <w:t>)</w:t>
      </w:r>
      <w:r w:rsidRPr="0044589B">
        <w:rPr>
          <w:rtl/>
        </w:rPr>
        <w:t xml:space="preserve"> והזמן משתנה לפי מ"ש השדי חמד שם בהמשך "הנה ראיתי שבספר רופא הילדים סימן קכ כתב אזהרה זו מטעם אחר וזה לשונו . . תניק עד שתצמח לו ששה או שמונה שיניים דאז הוא כאלו רמז לנו הטבע שאינו צריך עוד לחלב אמו והעת הזאת היא מחדש העשירי עד החדש ששה עשר לחיי הילד לכן אין להניקו יותר מחמשת רבעי שנה כי ברבוי זמן ההנקה יתאוה הילד שמן בבשרו ויהיה עלול לתחלואים רבים עכ"ל ועיי"ש שהביא ש"בשו"ת צמח צדק החדש להגאון מליובאוויץ ב[אבה"ע] סימן מ"ה . . עשה מזה סניף לנדונו".</w:t>
      </w:r>
      <w:r>
        <w:rPr>
          <w:rtl/>
        </w:rPr>
        <w:t xml:space="preserve"> </w:t>
      </w:r>
    </w:p>
  </w:footnote>
  <w:footnote w:id="16">
    <w:p w14:paraId="217C4D8F" w14:textId="2DEEAECD" w:rsidR="00E15FB0" w:rsidRPr="000C7032" w:rsidRDefault="00E15FB0" w:rsidP="000C7032">
      <w:pPr>
        <w:pStyle w:val="FootnoteText"/>
        <w:rPr>
          <w:rFonts w:asciiTheme="minorHAnsi" w:hAnsiTheme="minorHAnsi"/>
          <w:lang w:val="ru-RU"/>
        </w:rPr>
      </w:pPr>
      <w:r w:rsidRPr="000C7032">
        <w:t>(</w:t>
      </w:r>
      <w:r w:rsidRPr="000C7032">
        <w:sym w:font="Symbol" w:char="F02A"/>
      </w:r>
      <w:r>
        <w:rPr>
          <w:rtl/>
        </w:rPr>
        <w:t xml:space="preserve"> </w:t>
      </w:r>
      <w:r w:rsidRPr="005A072D">
        <w:rPr>
          <w:rFonts w:hint="cs"/>
          <w:rtl/>
        </w:rPr>
        <w:t xml:space="preserve">לע"נ הבחור שניאור זלמן ע"ה בן אחי הרב יוסף מנחם מענדל שליט"א, נלב"ע בן עשרים שנה, ביום כ"ג אדר ראשון ה'תשע"ט. </w:t>
      </w:r>
      <w:r w:rsidRPr="005A072D">
        <w:rPr>
          <w:rFonts w:hint="cs"/>
          <w:b/>
          <w:bCs/>
          <w:rtl/>
        </w:rPr>
        <w:t>ת.נ.צ.ב.ה.</w:t>
      </w:r>
    </w:p>
  </w:footnote>
  <w:footnote w:id="17">
    <w:p w14:paraId="5B8E243F" w14:textId="7D173009" w:rsidR="00E15FB0" w:rsidRPr="008D64A3" w:rsidRDefault="00E15FB0" w:rsidP="00EB5208">
      <w:pPr>
        <w:pStyle w:val="FootnoteText"/>
      </w:pPr>
      <w:r w:rsidRPr="00EB5208">
        <w:rPr>
          <w:rFonts w:hint="cs"/>
        </w:rPr>
        <w:footnoteRef/>
      </w:r>
      <w:r>
        <w:rPr>
          <w:rFonts w:hint="cs"/>
          <w:rtl/>
        </w:rPr>
        <w:t>)</w:t>
      </w:r>
      <w:r w:rsidRPr="008D64A3">
        <w:rPr>
          <w:rFonts w:hint="cs"/>
          <w:rtl/>
        </w:rPr>
        <w:t xml:space="preserve"> </w:t>
      </w:r>
      <w:r>
        <w:rPr>
          <w:rFonts w:hint="cs"/>
          <w:rtl/>
        </w:rPr>
        <w:t xml:space="preserve">להעיר </w:t>
      </w:r>
      <w:r w:rsidRPr="008D64A3">
        <w:rPr>
          <w:rFonts w:hint="cs"/>
          <w:rtl/>
        </w:rPr>
        <w:t xml:space="preserve">גם </w:t>
      </w:r>
      <w:r>
        <w:rPr>
          <w:rFonts w:hint="cs"/>
          <w:rtl/>
        </w:rPr>
        <w:t>מ</w:t>
      </w:r>
      <w:r w:rsidRPr="008D64A3">
        <w:rPr>
          <w:rFonts w:hint="cs"/>
          <w:rtl/>
        </w:rPr>
        <w:t>פי' הרמב"ן עה"ת (דברים כה, יז):</w:t>
      </w:r>
      <w:r w:rsidRPr="008D64A3">
        <w:rPr>
          <w:rFonts w:hint="cs"/>
        </w:rPr>
        <w:t xml:space="preserve"> </w:t>
      </w:r>
      <w:r w:rsidRPr="008D64A3">
        <w:rPr>
          <w:rFonts w:hint="cs"/>
          <w:rtl/>
        </w:rPr>
        <w:t xml:space="preserve">"והנכון בעיני שהוא לומר </w:t>
      </w:r>
      <w:r w:rsidRPr="008D64A3">
        <w:rPr>
          <w:rFonts w:hint="cs"/>
          <w:b/>
          <w:bCs/>
          <w:rtl/>
        </w:rPr>
        <w:t>שלא תשכח</w:t>
      </w:r>
      <w:r w:rsidRPr="008D64A3">
        <w:rPr>
          <w:rFonts w:hint="cs"/>
          <w:rtl/>
        </w:rPr>
        <w:t xml:space="preserve"> מה שעשה לנו עמלק </w:t>
      </w:r>
      <w:r w:rsidRPr="008D64A3">
        <w:rPr>
          <w:rFonts w:hint="cs"/>
          <w:b/>
          <w:bCs/>
          <w:rtl/>
        </w:rPr>
        <w:t>עד שנמחה את שמו</w:t>
      </w:r>
      <w:r w:rsidRPr="008D64A3">
        <w:rPr>
          <w:rFonts w:hint="cs"/>
          <w:rtl/>
        </w:rPr>
        <w:t xml:space="preserve"> מתחת השמים, ונספר זה לבנינו כו' כך עשה לנו הרשע ולכך נצטוינו למחות את שמו". ולהעיר גם מספהמ"צ להרמב"ם מ"ע קפט (מהדורת קאפח): "הציווי שנצטוינו לזכור את אשר עשה לנו עמלק כו', ונעורר את הנפשות בדברים </w:t>
      </w:r>
      <w:r w:rsidRPr="008D64A3">
        <w:rPr>
          <w:rFonts w:hint="cs"/>
          <w:b/>
          <w:bCs/>
          <w:rtl/>
        </w:rPr>
        <w:t>להלחם בו</w:t>
      </w:r>
      <w:r w:rsidRPr="008D64A3">
        <w:rPr>
          <w:rFonts w:hint="cs"/>
          <w:rtl/>
        </w:rPr>
        <w:t xml:space="preserve">" [אבל המשיך] "ונקרא את בני אדם </w:t>
      </w:r>
      <w:r w:rsidRPr="008D64A3">
        <w:rPr>
          <w:rFonts w:hint="cs"/>
          <w:b/>
          <w:bCs/>
          <w:rtl/>
        </w:rPr>
        <w:t>לשנאו</w:t>
      </w:r>
      <w:r w:rsidRPr="008D64A3">
        <w:rPr>
          <w:rFonts w:hint="cs"/>
          <w:rtl/>
        </w:rPr>
        <w:t>, כדי שלא ישתכח הדבר, ולא תחלש שנאתו ותמעט מן הנפשות במשך הזמן".</w:t>
      </w:r>
      <w:r>
        <w:rPr>
          <w:rFonts w:hint="cs"/>
          <w:rtl/>
        </w:rPr>
        <w:t xml:space="preserve"> ועצ"ע. </w:t>
      </w:r>
    </w:p>
  </w:footnote>
  <w:footnote w:id="18">
    <w:p w14:paraId="77117B58" w14:textId="7D9AB6BD" w:rsidR="00E15FB0" w:rsidRPr="008D64A3" w:rsidRDefault="00E15FB0" w:rsidP="00EB5208">
      <w:pPr>
        <w:pStyle w:val="FootnoteText"/>
      </w:pPr>
      <w:r w:rsidRPr="00EB5208">
        <w:rPr>
          <w:rFonts w:hint="cs"/>
        </w:rPr>
        <w:footnoteRef/>
      </w:r>
      <w:r>
        <w:rPr>
          <w:rFonts w:hint="cs"/>
          <w:rtl/>
        </w:rPr>
        <w:t>)</w:t>
      </w:r>
      <w:r w:rsidRPr="00EB5208">
        <w:rPr>
          <w:rFonts w:hint="cs"/>
          <w:rtl/>
        </w:rPr>
        <w:t xml:space="preserve"> </w:t>
      </w:r>
      <w:r w:rsidRPr="008D64A3">
        <w:rPr>
          <w:rFonts w:hint="cs"/>
          <w:rtl/>
        </w:rPr>
        <w:t>וכבר העירו מאי שנא מצות מחיית עמלק ממצות הריגת שבעה עממין שכתב בספר החינוך (מצוה תכה)</w:t>
      </w:r>
      <w:r w:rsidRPr="008D64A3">
        <w:rPr>
          <w:rFonts w:hint="cs"/>
        </w:rPr>
        <w:t xml:space="preserve"> </w:t>
      </w:r>
      <w:r w:rsidRPr="008D64A3">
        <w:rPr>
          <w:rFonts w:hint="cs"/>
          <w:rtl/>
        </w:rPr>
        <w:t xml:space="preserve">ש"נוהגת מצוה זו בזכרים ונקבות". </w:t>
      </w:r>
      <w:r w:rsidRPr="008D64A3">
        <w:rPr>
          <w:rFonts w:hint="cs"/>
          <w:b/>
          <w:bCs/>
          <w:rtl/>
        </w:rPr>
        <w:t>ואכ"מ</w:t>
      </w:r>
      <w:r w:rsidRPr="008D64A3">
        <w:rPr>
          <w:rFonts w:hint="cs"/>
          <w:rtl/>
        </w:rPr>
        <w:t xml:space="preserve">.  </w:t>
      </w:r>
    </w:p>
  </w:footnote>
  <w:footnote w:id="19">
    <w:p w14:paraId="74B5E5D6" w14:textId="38A18929" w:rsidR="00E15FB0" w:rsidRPr="008D64A3" w:rsidRDefault="00E15FB0" w:rsidP="00EB5208">
      <w:pPr>
        <w:pStyle w:val="FootnoteText"/>
      </w:pPr>
      <w:r w:rsidRPr="00EB5208">
        <w:rPr>
          <w:rFonts w:hint="cs"/>
        </w:rPr>
        <w:footnoteRef/>
      </w:r>
      <w:r>
        <w:rPr>
          <w:rFonts w:hint="cs"/>
          <w:rtl/>
        </w:rPr>
        <w:t>)</w:t>
      </w:r>
      <w:r w:rsidRPr="008D64A3">
        <w:rPr>
          <w:rFonts w:hint="cs"/>
          <w:rtl/>
        </w:rPr>
        <w:t xml:space="preserve"> </w:t>
      </w:r>
      <w:r>
        <w:rPr>
          <w:rFonts w:hint="cs"/>
          <w:rtl/>
        </w:rPr>
        <w:t>ראה גם ב</w:t>
      </w:r>
      <w:r w:rsidRPr="008D64A3">
        <w:rPr>
          <w:rFonts w:hint="cs"/>
          <w:rtl/>
        </w:rPr>
        <w:t xml:space="preserve">יאור </w:t>
      </w:r>
      <w:r>
        <w:rPr>
          <w:rFonts w:hint="cs"/>
          <w:rtl/>
        </w:rPr>
        <w:t xml:space="preserve">הגרי"פ </w:t>
      </w:r>
      <w:r w:rsidRPr="008D64A3">
        <w:rPr>
          <w:rFonts w:hint="cs"/>
          <w:rtl/>
        </w:rPr>
        <w:t>על ספהמ</w:t>
      </w:r>
      <w:r>
        <w:rPr>
          <w:rFonts w:hint="cs"/>
          <w:rtl/>
        </w:rPr>
        <w:t>"</w:t>
      </w:r>
      <w:r w:rsidRPr="008D64A3">
        <w:rPr>
          <w:rFonts w:hint="cs"/>
          <w:rtl/>
        </w:rPr>
        <w:t>צ ל</w:t>
      </w:r>
      <w:r>
        <w:rPr>
          <w:rFonts w:hint="cs"/>
          <w:rtl/>
        </w:rPr>
        <w:t>ה</w:t>
      </w:r>
      <w:r w:rsidRPr="008D64A3">
        <w:rPr>
          <w:rFonts w:hint="cs"/>
          <w:rtl/>
        </w:rPr>
        <w:t xml:space="preserve">רס"ג </w:t>
      </w:r>
      <w:r>
        <w:rPr>
          <w:rFonts w:hint="cs"/>
          <w:rtl/>
        </w:rPr>
        <w:t>(</w:t>
      </w:r>
      <w:r w:rsidRPr="008D64A3">
        <w:rPr>
          <w:rFonts w:hint="cs"/>
          <w:rtl/>
        </w:rPr>
        <w:t>עשין נט</w:t>
      </w:r>
      <w:r>
        <w:rPr>
          <w:rFonts w:hint="cs"/>
          <w:rtl/>
        </w:rPr>
        <w:t>,</w:t>
      </w:r>
      <w:r w:rsidRPr="008D64A3">
        <w:rPr>
          <w:rFonts w:hint="cs"/>
          <w:rtl/>
        </w:rPr>
        <w:t xml:space="preserve"> ס</w:t>
      </w:r>
      <w:r>
        <w:rPr>
          <w:rFonts w:hint="cs"/>
          <w:rtl/>
        </w:rPr>
        <w:t>):</w:t>
      </w:r>
      <w:r>
        <w:rPr>
          <w:rFonts w:hint="cs"/>
        </w:rPr>
        <w:t xml:space="preserve"> </w:t>
      </w:r>
      <w:r w:rsidRPr="008D64A3">
        <w:rPr>
          <w:rFonts w:hint="cs"/>
          <w:rtl/>
        </w:rPr>
        <w:t>ונראה ברור דס"ל דזכירה אינה מצוה בפ"ע אלא גם היא בכלל עשה דמחי' היא דענין הזכירה הוא לזכור החובה למחות זרעו וכל אשר לו</w:t>
      </w:r>
      <w:r>
        <w:rPr>
          <w:rFonts w:hint="cs"/>
          <w:rtl/>
        </w:rPr>
        <w:t xml:space="preserve">". </w:t>
      </w:r>
      <w:r w:rsidRPr="008D64A3">
        <w:rPr>
          <w:rFonts w:hint="cs"/>
          <w:rtl/>
        </w:rPr>
        <w:t xml:space="preserve"> </w:t>
      </w:r>
    </w:p>
  </w:footnote>
  <w:footnote w:id="20">
    <w:p w14:paraId="013F4126" w14:textId="50EB26FC" w:rsidR="00E15FB0" w:rsidRPr="008D64A3" w:rsidRDefault="00E15FB0" w:rsidP="00EB5208">
      <w:pPr>
        <w:pStyle w:val="FootnoteText"/>
      </w:pPr>
      <w:r w:rsidRPr="00EB5208">
        <w:rPr>
          <w:rFonts w:hint="cs"/>
        </w:rPr>
        <w:footnoteRef/>
      </w:r>
      <w:r>
        <w:rPr>
          <w:rFonts w:hint="cs"/>
          <w:rtl/>
        </w:rPr>
        <w:t>)</w:t>
      </w:r>
      <w:r w:rsidRPr="00EB5208">
        <w:rPr>
          <w:rFonts w:hint="cs"/>
          <w:rtl/>
        </w:rPr>
        <w:t xml:space="preserve"> ראה גם</w:t>
      </w:r>
      <w:r w:rsidRPr="008D64A3">
        <w:rPr>
          <w:rFonts w:hint="cs"/>
          <w:rtl/>
        </w:rPr>
        <w:t xml:space="preserve"> שו"ת בנין ציון החדשות (סי' ח)</w:t>
      </w:r>
      <w:r w:rsidRPr="008D64A3">
        <w:rPr>
          <w:rFonts w:hint="cs"/>
          <w:b/>
          <w:bCs/>
          <w:rtl/>
        </w:rPr>
        <w:t>:</w:t>
      </w:r>
      <w:r w:rsidRPr="008D64A3">
        <w:rPr>
          <w:rFonts w:hint="cs"/>
        </w:rPr>
        <w:t xml:space="preserve"> </w:t>
      </w:r>
      <w:r w:rsidRPr="008D64A3">
        <w:rPr>
          <w:rFonts w:hint="cs"/>
          <w:rtl/>
        </w:rPr>
        <w:t>"קבלתי מאדמו"ר הגאון ר' אברהם בינג זצ"ל, הגאב"ד דק"ק ווירצבורג, בשם רבו החסיד שבכהונה הגאון מו"ה נתן אדלער זצ"ל, שהנשים חייבות ושהקפיד שאפילו משרתת שלו הוצרכה לשמוע פרשת זכור וכן נהגתי אחריו. וטעמו נלע"ד מפני שאינה מ"ע שהז"ג, שאין קפידא באיזו זמן שתקרא, כמ"ש המג"א (סי' תרפ"ה) רק שיקרא פ"א בשנה, ולכן הוי כשאר מ"ע שאין הז"ג שנשים חייבות בהן".</w:t>
      </w:r>
    </w:p>
  </w:footnote>
  <w:footnote w:id="21">
    <w:p w14:paraId="72B312C3" w14:textId="614C6F12" w:rsidR="00E15FB0" w:rsidRDefault="00E15FB0" w:rsidP="00EB5208">
      <w:pPr>
        <w:pStyle w:val="FootnoteText"/>
        <w:rPr>
          <w:rtl/>
        </w:rPr>
      </w:pPr>
      <w:r w:rsidRPr="00EB5208">
        <w:rPr>
          <w:rFonts w:hint="cs"/>
        </w:rPr>
        <w:footnoteRef/>
      </w:r>
      <w:r>
        <w:rPr>
          <w:rFonts w:hint="cs"/>
          <w:rtl/>
        </w:rPr>
        <w:t>)</w:t>
      </w:r>
      <w:r w:rsidRPr="00EB5208">
        <w:rPr>
          <w:rFonts w:hint="cs"/>
          <w:rtl/>
        </w:rPr>
        <w:t xml:space="preserve"> בסמ"ק (מצו</w:t>
      </w:r>
      <w:r w:rsidRPr="008D64A3">
        <w:rPr>
          <w:rFonts w:hint="cs"/>
          <w:rtl/>
        </w:rPr>
        <w:t>ה כג) מצינו שני טעמים למצוה זו</w:t>
      </w:r>
      <w:r w:rsidRPr="008D64A3">
        <w:rPr>
          <w:rFonts w:hint="cs"/>
        </w:rPr>
        <w:t xml:space="preserve"> </w:t>
      </w:r>
      <w:r w:rsidRPr="008D64A3">
        <w:rPr>
          <w:rFonts w:hint="cs"/>
          <w:rtl/>
        </w:rPr>
        <w:t>["שלא לשכוח מעשה עמלק" – "פי' שהקב"ה הצילנו מידו"]: (א) "בעבור זה תהי' יראתו על פנינו לבלתי נחטא"; (ב)</w:t>
      </w:r>
      <w:r w:rsidRPr="008D64A3">
        <w:rPr>
          <w:rFonts w:hint="cs"/>
        </w:rPr>
        <w:t xml:space="preserve"> </w:t>
      </w:r>
      <w:r w:rsidRPr="008D64A3">
        <w:rPr>
          <w:rFonts w:hint="cs"/>
          <w:rtl/>
        </w:rPr>
        <w:t xml:space="preserve">"בזה יתן לנו כח להנקם ממנו". </w:t>
      </w:r>
    </w:p>
    <w:p w14:paraId="5AE3B960" w14:textId="77777777" w:rsidR="00E15FB0" w:rsidRPr="008D64A3" w:rsidRDefault="00E15FB0" w:rsidP="00EB5208">
      <w:pPr>
        <w:pStyle w:val="FootnoteText"/>
      </w:pPr>
      <w:r w:rsidRPr="008D64A3">
        <w:rPr>
          <w:rFonts w:hint="cs"/>
          <w:rtl/>
        </w:rPr>
        <w:t>וראה גם פי' מלאכת שלמה על המשנה (מגילה פ"ג מ"ד)</w:t>
      </w:r>
      <w:r w:rsidRPr="008D64A3">
        <w:rPr>
          <w:rFonts w:hint="cs"/>
        </w:rPr>
        <w:t xml:space="preserve"> </w:t>
      </w:r>
      <w:r w:rsidRPr="008D64A3">
        <w:rPr>
          <w:rFonts w:hint="cs"/>
          <w:rtl/>
        </w:rPr>
        <w:t>בשם ספר חן טוב, וז"ל: ובזה נתרץ למה אנחנו בגלותינו מצווין לקרות פ' זכור בצבור מה"ת כיון שאין אנו יכולין לעשות עמו רעה, אמנם הכוונה היא לזכור הגורם שהוא העון, ונשוב לה', שהרי גם בבוא משיח צדקנו תשאר מצות זכור קיימת, שהיא אחת מתרי"ג מצות, והרי נמחה עמלק מהעולם, א"כ מה לנו לזוכרו עוד, אלא ודאי הוא כמ"ש לזכור את הגורם ביאת עמלק כו' שלא בא על ישראל אלא ע"י תביעת עון כמו ברפידים ע"י רפיון תורה ומריבה ביניהם. עכ"ל.</w:t>
      </w:r>
      <w:r>
        <w:rPr>
          <w:rFonts w:hint="cs"/>
          <w:rtl/>
        </w:rPr>
        <w:t xml:space="preserve"> וראה גם </w:t>
      </w:r>
      <w:r w:rsidRPr="00CA6497">
        <w:rPr>
          <w:rtl/>
        </w:rPr>
        <w:t xml:space="preserve">ספר חרדים </w:t>
      </w:r>
      <w:r>
        <w:rPr>
          <w:rFonts w:hint="cs"/>
          <w:rtl/>
        </w:rPr>
        <w:t>(</w:t>
      </w:r>
      <w:r w:rsidRPr="00CA6497">
        <w:rPr>
          <w:rtl/>
        </w:rPr>
        <w:t>מצות התלויות בא</w:t>
      </w:r>
      <w:r>
        <w:rPr>
          <w:rFonts w:hint="cs"/>
          <w:rtl/>
        </w:rPr>
        <w:t>"</w:t>
      </w:r>
      <w:r w:rsidRPr="00CA6497">
        <w:rPr>
          <w:rtl/>
        </w:rPr>
        <w:t>י פ</w:t>
      </w:r>
      <w:r>
        <w:rPr>
          <w:rFonts w:hint="cs"/>
          <w:rtl/>
        </w:rPr>
        <w:t>"</w:t>
      </w:r>
      <w:r w:rsidRPr="00CA6497">
        <w:rPr>
          <w:rtl/>
        </w:rPr>
        <w:t>ב</w:t>
      </w:r>
      <w:r>
        <w:rPr>
          <w:rFonts w:hint="cs"/>
          <w:rtl/>
        </w:rPr>
        <w:t>).</w:t>
      </w:r>
      <w:r w:rsidRPr="008D64A3">
        <w:rPr>
          <w:rFonts w:hint="cs"/>
          <w:rtl/>
        </w:rPr>
        <w:t xml:space="preserve"> </w:t>
      </w:r>
    </w:p>
  </w:footnote>
  <w:footnote w:id="22">
    <w:p w14:paraId="6D4B8AE3" w14:textId="562F70FD" w:rsidR="00E15FB0" w:rsidRPr="00EB5208" w:rsidRDefault="00E15FB0"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תיב"ע (עה"כ דברים כה, יט): "ואפילו ליומי מלכא משיחא לא תתנשי". וראה גם מלאכת שלמה שבהערה הקודמת. </w:t>
      </w:r>
    </w:p>
  </w:footnote>
  <w:footnote w:id="23">
    <w:p w14:paraId="061C1FB4" w14:textId="750E8102" w:rsidR="00E15FB0" w:rsidRPr="00EB5208" w:rsidRDefault="00E15FB0"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ובשו"ת בנין ציון (הנ"ל הערה 4)</w:t>
      </w:r>
      <w:r w:rsidRPr="00EB5208">
        <w:rPr>
          <w:rFonts w:hint="cs"/>
        </w:rPr>
        <w:t xml:space="preserve"> </w:t>
      </w:r>
      <w:r w:rsidRPr="00EB5208">
        <w:rPr>
          <w:rFonts w:hint="cs"/>
          <w:rtl/>
        </w:rPr>
        <w:t>הקשה ד"אף שלא בנות מלחמה נינהו עכ"ז אפשר שזכירת השנאה תהי' תועלת למחייתו, ומעשה אסתר יוכיח, וכן נס חנוכה ע"י יהודית, שבשנאתה לאויב בא על ידה תשועה לישראל וביעל כתיב (שופטים ה, כד)</w:t>
      </w:r>
      <w:r w:rsidRPr="00EB5208">
        <w:rPr>
          <w:rFonts w:hint="cs"/>
        </w:rPr>
        <w:t xml:space="preserve"> </w:t>
      </w:r>
      <w:r w:rsidRPr="00EB5208">
        <w:rPr>
          <w:rFonts w:hint="cs"/>
          <w:rtl/>
        </w:rPr>
        <w:t>תבורך מנשים יעל מנשים באהל תבורך כו', ולמה לא תהי' זכירת מעשה עמלק לעורר השנאה גם בנשים לתועלת מצות מחייתו".</w:t>
      </w:r>
    </w:p>
  </w:footnote>
  <w:footnote w:id="24">
    <w:p w14:paraId="7FF8EBF7" w14:textId="18E9D21D" w:rsidR="00E15FB0" w:rsidRPr="00EB5208" w:rsidRDefault="00E15FB0"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פסיקתא רבתי פיב, ד [פ' זכור]: "זכור הוו זכורים לו למחות את שמו מן העולם, זכור את אשר עשה לך עמלק [וגו'] תמחה את זכר עמלק".</w:t>
      </w:r>
    </w:p>
  </w:footnote>
  <w:footnote w:id="25">
    <w:p w14:paraId="0B81700C" w14:textId="5D2E60A6" w:rsidR="00E15FB0" w:rsidRPr="008D64A3" w:rsidRDefault="00E15FB0"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גם שו"ת ערוגת הבושם (או"ח סי' רה): "וצ"ע מנא לי' למידרש טעמא דקראי". </w:t>
      </w:r>
    </w:p>
  </w:footnote>
  <w:footnote w:id="26">
    <w:p w14:paraId="7FB44603" w14:textId="444D7479" w:rsidR="00E15FB0" w:rsidRPr="00EB5208" w:rsidRDefault="00E15FB0" w:rsidP="00EB5208">
      <w:pPr>
        <w:pStyle w:val="FootnoteText"/>
      </w:pPr>
      <w:r w:rsidRPr="00EB5208">
        <w:rPr>
          <w:rStyle w:val="FootnoteReference"/>
          <w:rFonts w:hint="cs"/>
          <w:vertAlign w:val="baseline"/>
        </w:rPr>
        <w:footnoteRef/>
      </w:r>
      <w:r w:rsidRPr="00EB5208">
        <w:rPr>
          <w:rFonts w:hint="cs"/>
        </w:rPr>
        <w:t xml:space="preserve"> </w:t>
      </w:r>
      <w:r>
        <w:rPr>
          <w:rFonts w:hint="cs"/>
          <w:rtl/>
        </w:rPr>
        <w:t>)</w:t>
      </w:r>
      <w:r w:rsidRPr="00EB5208">
        <w:rPr>
          <w:rFonts w:hint="cs"/>
          <w:rtl/>
        </w:rPr>
        <w:t xml:space="preserve"> וראה מ"ש בהקדמה לספר החינוך בסופה:</w:t>
      </w:r>
      <w:r w:rsidRPr="00EB5208">
        <w:rPr>
          <w:rFonts w:hint="cs"/>
        </w:rPr>
        <w:t xml:space="preserve"> </w:t>
      </w:r>
      <w:r w:rsidRPr="00EB5208">
        <w:rPr>
          <w:rFonts w:hint="cs"/>
          <w:rtl/>
        </w:rPr>
        <w:t>"ודעתי לכתו</w:t>
      </w:r>
      <w:r>
        <w:rPr>
          <w:rFonts w:hint="cs"/>
          <w:rtl/>
        </w:rPr>
        <w:t>ב על כל אחת רמז אחד משרשי המצוה.</w:t>
      </w:r>
      <w:r w:rsidRPr="00EB5208">
        <w:rPr>
          <w:rFonts w:hint="cs"/>
          <w:rtl/>
        </w:rPr>
        <w:t xml:space="preserve">. ואינני חושב וגוזר להגיע אל האמת עכ"פ, כי מי כמוני תולעת ולא איש . . להרים יד במה שלא השיגו חכמים מחוכמים . . אלא שרוב חשקי לטבול קצה המטה ביערת דבש המצות דחקני ליכנס ביער שאין לו תחומין, עם דעתי שהרבה גדולים נכנסו שם והוציאו פחמין, אך אמרתי, מי יתן ותהי מחשבתי נטרדת בזה כל הימים", ע"ש בארוכה. </w:t>
      </w:r>
    </w:p>
  </w:footnote>
  <w:footnote w:id="27">
    <w:p w14:paraId="41EED022" w14:textId="1B0208B5" w:rsidR="00E15FB0" w:rsidRPr="008D64A3" w:rsidRDefault="00E15FB0" w:rsidP="00EB5208">
      <w:pPr>
        <w:pStyle w:val="FootnoteText"/>
      </w:pPr>
      <w:r w:rsidRPr="00EB5208">
        <w:rPr>
          <w:rStyle w:val="FootnoteReference"/>
          <w:rFonts w:hint="cs"/>
          <w:vertAlign w:val="baseline"/>
        </w:rPr>
        <w:footnoteRef/>
      </w:r>
      <w:r w:rsidRPr="00EB5208">
        <w:rPr>
          <w:rFonts w:hint="cs"/>
        </w:rPr>
        <w:t xml:space="preserve"> </w:t>
      </w:r>
      <w:r>
        <w:rPr>
          <w:rFonts w:hint="cs"/>
          <w:rtl/>
        </w:rPr>
        <w:t>)</w:t>
      </w:r>
      <w:r w:rsidRPr="00EB5208">
        <w:rPr>
          <w:rFonts w:hint="cs"/>
          <w:rtl/>
        </w:rPr>
        <w:t xml:space="preserve"> בשו"ת הרשב"א (ח"א סי' צד): "אף המצוות שיראה מפשוטי הטעמים שנתנה בהם התורה שהטעמים ההם הם תכלית הכונה בהם, אינה תכלית. אלא הטעם ההוא אמת, אך הוא כנקודה מתועלותי' ומכונותי', והדברים הנעלמים הרמוזים בתוכה כו' אין להם תכלה". ובאגה"ק לאדמו"ר הזקן (פי"ט): "טעמי מצות לא נתגלו כו' וגם באיזהו מקומן שנתגלה ונתפרש איזה טעם המובן לנו לכאורה, אין זה הטעם המובן לנו לבדו תכלית </w:t>
      </w:r>
      <w:r w:rsidRPr="008D64A3">
        <w:rPr>
          <w:rFonts w:hint="cs"/>
          <w:rtl/>
        </w:rPr>
        <w:t xml:space="preserve">הטעם וגבולו אלא בתוכו מלובש פנימיות ותעלומות חכמה שלמעלה מהשכל וההבנה". ולפי זה צ"ל דאף שיש טעמים נוספים שנעלמו מאתנו, מ"מ כל חילוקי דינים היוצאים מהטעם הנגלה ה"ה מתאימים גם לטעמים שאינם גלויים לנו, דאלה"כ איך נדרוש טעמא דקרא לר"ש כדאיתי לי' ולרבנן כדאית להו. ע"כ כתבתי "שהטעם בא לבאר הכוונה והמטרה של המצוה", כי בארבע אמותי' של ההלכה, הדברים יציבים ונכונים. </w:t>
      </w:r>
      <w:r w:rsidRPr="008D64A3">
        <w:rPr>
          <w:rFonts w:hint="cs"/>
          <w:b/>
          <w:bCs/>
          <w:rtl/>
        </w:rPr>
        <w:t>וד"ל</w:t>
      </w:r>
      <w:r w:rsidRPr="008D64A3">
        <w:rPr>
          <w:rFonts w:hint="cs"/>
          <w:rtl/>
        </w:rPr>
        <w:t xml:space="preserve">.         </w:t>
      </w:r>
    </w:p>
  </w:footnote>
  <w:footnote w:id="28">
    <w:p w14:paraId="01B389B0" w14:textId="6A7A13BB" w:rsidR="00E15FB0" w:rsidRDefault="00E15FB0" w:rsidP="00EB5208">
      <w:pPr>
        <w:pStyle w:val="FootnoteText"/>
        <w:rPr>
          <w:rtl/>
        </w:rPr>
      </w:pPr>
      <w:r w:rsidRPr="00EB5208">
        <w:rPr>
          <w:rFonts w:hint="cs"/>
        </w:rPr>
        <w:footnoteRef/>
      </w:r>
      <w:r>
        <w:rPr>
          <w:rFonts w:hint="cs"/>
          <w:rtl/>
        </w:rPr>
        <w:t>)</w:t>
      </w:r>
      <w:r w:rsidRPr="00EB5208">
        <w:rPr>
          <w:rFonts w:hint="cs"/>
          <w:rtl/>
        </w:rPr>
        <w:t xml:space="preserve"> ולהעיר שגם בדברי חז"ל מצינו שנתנו טעמים ע"ד הדרש, וע"ד הטעמים (נדה לא, ב) לחיוב הרחקת נדה מבעלה ול</w:t>
      </w:r>
      <w:r w:rsidRPr="008D64A3">
        <w:rPr>
          <w:rFonts w:hint="cs"/>
          <w:rtl/>
        </w:rPr>
        <w:t>מצות מילה בשמיני שעליהם כתב התרה</w:t>
      </w:r>
      <w:r>
        <w:rPr>
          <w:rFonts w:hint="cs"/>
          <w:rtl/>
        </w:rPr>
        <w:t>"</w:t>
      </w:r>
      <w:r w:rsidRPr="008D64A3">
        <w:rPr>
          <w:rFonts w:hint="cs"/>
          <w:rtl/>
        </w:rPr>
        <w:t>ד (פסקים וכתבים סי' קח) שלא נאמרו הטעמים אלא "דרך אגדה בעלמא ולא מחלקינן משום אותו טעם", "וכאלה רבות בתלמוד". ובספר החינוך (מצוה צה) הגדיר הדברים: דמ"ש חז"ל (סוטה יד, א)</w:t>
      </w:r>
      <w:r w:rsidRPr="008D64A3">
        <w:rPr>
          <w:rFonts w:hint="cs"/>
        </w:rPr>
        <w:t xml:space="preserve"> </w:t>
      </w:r>
      <w:r w:rsidRPr="008D64A3">
        <w:rPr>
          <w:rFonts w:hint="cs"/>
          <w:rtl/>
        </w:rPr>
        <w:t xml:space="preserve">"בקרבן סוטה, היא עשתה מעשה בהמה לפיכך תקריב שעורים, ובקרבן מצורע (ערכין טז, ב), הוא עשה מעשה פטיט יקריב צפרים, וכדומה לזה אמרו ז"ל בענין הנדה, מפני מה אמרה תורה לישב שבעה נקיים, שתהא חביבה עליו ביותר", הנה "באמת שאין כל זה לדעתם </w:t>
      </w:r>
      <w:r w:rsidRPr="008D64A3">
        <w:rPr>
          <w:rFonts w:hint="cs"/>
          <w:b/>
          <w:bCs/>
          <w:rtl/>
        </w:rPr>
        <w:t>תכלית הכוונה</w:t>
      </w:r>
      <w:r w:rsidRPr="008D64A3">
        <w:rPr>
          <w:rFonts w:hint="cs"/>
          <w:rtl/>
        </w:rPr>
        <w:t xml:space="preserve"> בדברים, רק להודיע כי ענין המצוה </w:t>
      </w:r>
      <w:r w:rsidRPr="008D64A3">
        <w:rPr>
          <w:rFonts w:hint="cs"/>
          <w:b/>
          <w:bCs/>
          <w:rtl/>
        </w:rPr>
        <w:t>יסבול הרבה רמזים</w:t>
      </w:r>
      <w:r w:rsidRPr="008D64A3">
        <w:rPr>
          <w:rFonts w:hint="cs"/>
          <w:rtl/>
        </w:rPr>
        <w:t xml:space="preserve"> מלבד עיקרים גדולים וחזקים". </w:t>
      </w:r>
    </w:p>
    <w:p w14:paraId="5FB5D68A" w14:textId="77777777" w:rsidR="00E15FB0" w:rsidRPr="008D64A3" w:rsidRDefault="00E15FB0" w:rsidP="00EB5208">
      <w:pPr>
        <w:pStyle w:val="FootnoteText"/>
      </w:pPr>
      <w:r w:rsidRPr="008D64A3">
        <w:rPr>
          <w:rFonts w:hint="cs"/>
          <w:rtl/>
        </w:rPr>
        <w:t>[וראה גם שו"ת אג"מ (יו"ד ח"ד סי' יד): "ברור ופשוט שטעם דר"מ [</w:t>
      </w:r>
      <w:r w:rsidRPr="008D64A3">
        <w:rPr>
          <w:rFonts w:hint="cs"/>
          <w:color w:val="000000"/>
          <w:rtl/>
        </w:rPr>
        <w:t>מפני מה אמרה תורה נדה לשבעה כו']</w:t>
      </w:r>
      <w:r w:rsidRPr="008D64A3">
        <w:rPr>
          <w:rFonts w:hint="cs"/>
          <w:rtl/>
        </w:rPr>
        <w:t xml:space="preserve"> אינו כלום לדינא, שכל הטעמים שנאמרו במצוות לא שייכים לדינא, אלא שגם טעם זה יש בהמצוה"].</w:t>
      </w:r>
    </w:p>
  </w:footnote>
  <w:footnote w:id="29">
    <w:p w14:paraId="5DF44F6A" w14:textId="052BE5EA" w:rsidR="00E15FB0" w:rsidRPr="008D64A3" w:rsidRDefault="00E15FB0" w:rsidP="00EB5208">
      <w:pPr>
        <w:pStyle w:val="FootnoteText"/>
      </w:pPr>
      <w:r w:rsidRPr="00EB5208">
        <w:rPr>
          <w:rFonts w:hint="cs"/>
        </w:rPr>
        <w:footnoteRef/>
      </w:r>
      <w:r w:rsidRPr="00EB5208">
        <w:rPr>
          <w:rFonts w:hint="cs"/>
        </w:rPr>
        <w:t xml:space="preserve"> </w:t>
      </w:r>
      <w:r>
        <w:rPr>
          <w:rFonts w:hint="cs"/>
          <w:rtl/>
        </w:rPr>
        <w:t xml:space="preserve">) </w:t>
      </w:r>
      <w:r w:rsidRPr="00EB5208">
        <w:rPr>
          <w:rFonts w:hint="cs"/>
          <w:rtl/>
        </w:rPr>
        <w:t>ובספהמ"צ להרמ</w:t>
      </w:r>
      <w:r w:rsidRPr="008D64A3">
        <w:rPr>
          <w:rFonts w:hint="cs"/>
          <w:rtl/>
        </w:rPr>
        <w:t xml:space="preserve">ב"ם (מל"ת מג): "הזהירנו מהעביר שער הצדעים כו' </w:t>
      </w:r>
      <w:r w:rsidRPr="008D64A3">
        <w:rPr>
          <w:rFonts w:hint="cs"/>
          <w:b/>
          <w:bCs/>
          <w:rtl/>
        </w:rPr>
        <w:t>כדי</w:t>
      </w:r>
      <w:r w:rsidRPr="008D64A3">
        <w:rPr>
          <w:rFonts w:hint="cs"/>
          <w:rtl/>
        </w:rPr>
        <w:t xml:space="preserve"> שלא נתדמה לעוע"ז, כי כן היו עושים כומרי ע"ז שהיו מגלחים שער הצדעים לבד. ולכן הוצרכו שיבארו במסכת יבמות (ה, א) ואמרו הקפת כל הראש שמה הקפה, </w:t>
      </w:r>
      <w:r w:rsidRPr="008D64A3">
        <w:rPr>
          <w:rFonts w:hint="cs"/>
          <w:b/>
          <w:bCs/>
          <w:rtl/>
        </w:rPr>
        <w:t>כדי שלא תאמר</w:t>
      </w:r>
      <w:r w:rsidRPr="008D64A3">
        <w:rPr>
          <w:rFonts w:hint="cs"/>
          <w:rtl/>
        </w:rPr>
        <w:t xml:space="preserve"> כי תכלית מה שיישמר הוא גילוח הצדעים והניח שאר השער כמו שיעשו כומרי ע"ז, אמנם כשיגלח הכל אין בזה דמיון בהם". וראה גם ספר החינוך מצוה רנא.</w:t>
      </w:r>
    </w:p>
  </w:footnote>
  <w:footnote w:id="30">
    <w:p w14:paraId="009779D7" w14:textId="66CB7430" w:rsidR="00E15FB0" w:rsidRPr="008D64A3" w:rsidRDefault="00E15FB0" w:rsidP="00EB5208">
      <w:pPr>
        <w:pStyle w:val="FootnoteText"/>
      </w:pPr>
      <w:r w:rsidRPr="00EB5208">
        <w:rPr>
          <w:rFonts w:hint="cs"/>
        </w:rPr>
        <w:footnoteRef/>
      </w:r>
      <w:r w:rsidRPr="00EB5208">
        <w:rPr>
          <w:rFonts w:hint="cs"/>
        </w:rPr>
        <w:t xml:space="preserve"> </w:t>
      </w:r>
      <w:r>
        <w:rPr>
          <w:rFonts w:hint="cs"/>
          <w:rtl/>
        </w:rPr>
        <w:t xml:space="preserve">) </w:t>
      </w:r>
      <w:r w:rsidRPr="00EB5208">
        <w:rPr>
          <w:rFonts w:hint="cs"/>
          <w:rtl/>
        </w:rPr>
        <w:t>ובשו"ת פ</w:t>
      </w:r>
      <w:r w:rsidRPr="008D64A3">
        <w:rPr>
          <w:rFonts w:hint="cs"/>
          <w:rtl/>
        </w:rPr>
        <w:t>נים מאירות (ח"ב סי' עט) כתב: "חלילה לומר כן לדעת הרמב"ם . . מה שמפורש בתורה לאיסור אף שהטעם מפני חוק כותים מ"מ חל מצוה זו על כל ישראל . . חלילה לומר לדעת הרמב"ם להתיר לקרובים למלכות לאו דלא תקיפו". וראה גם מנ"ח (מצוה רנא סק"א) שהשיג על הט"ז בזה. וראה שו"ת בית אב חמישאי (להגרא"א יודעלאוויץ, ניו יארק תרע"ט, סי' רלא) שהאריך לבאר ש"הצדק עם הט"ז ודלא כהפנים מאירות, אלא שלהלכה קיי"ל כהטושו"ע [ודלא כהרמב"ם] "והפורש מהם כפורש מן החיים וע"ז אמרו באבות (פ"ג מ"ד) דהמהלך בדרך יחידי היינו דהפוסקים לא פסקו כוותי' הר"ז מתחייב בנפשו". וראה מ"ש כ"ק אדמו"ר זי"ע באג"ק שלו (ח"א עמ' ט). ואכ"מ.</w:t>
      </w:r>
    </w:p>
  </w:footnote>
  <w:footnote w:id="31">
    <w:p w14:paraId="4E29E8E6" w14:textId="0EB78CD3" w:rsidR="00E15FB0" w:rsidRPr="008D64A3" w:rsidRDefault="00E15FB0" w:rsidP="00EB5208">
      <w:pPr>
        <w:pStyle w:val="FootnoteText"/>
      </w:pPr>
      <w:r w:rsidRPr="00EB5208">
        <w:rPr>
          <w:rFonts w:hint="cs"/>
        </w:rPr>
        <w:footnoteRef/>
      </w:r>
      <w:r>
        <w:rPr>
          <w:rFonts w:hint="cs"/>
          <w:rtl/>
        </w:rPr>
        <w:t>)</w:t>
      </w:r>
      <w:r w:rsidRPr="00EB5208">
        <w:rPr>
          <w:rFonts w:hint="cs"/>
          <w:rtl/>
        </w:rPr>
        <w:t xml:space="preserve"> וידועי</w:t>
      </w:r>
      <w:r>
        <w:rPr>
          <w:rFonts w:hint="cs"/>
          <w:rtl/>
        </w:rPr>
        <w:t xml:space="preserve">ם דברי </w:t>
      </w:r>
      <w:r w:rsidRPr="008D64A3">
        <w:rPr>
          <w:rFonts w:hint="cs"/>
          <w:rtl/>
        </w:rPr>
        <w:t>הב"ח בדעת הטור (או"ח סי' ח; שם סי' תרכה) ע"פ הכתובים (שמות יג, ט; ויקרא כג, מג; במדבר טו, מ) ש'דרש' ממ"ש "למען" ש"עיקר המצוה וקיומה תלוי' בכונתה כו' משא"כ שאר מצות דיוצא יד"ח אע"פ שלא יכוין בה דבר".</w:t>
      </w:r>
    </w:p>
  </w:footnote>
  <w:footnote w:id="32">
    <w:p w14:paraId="38D89773" w14:textId="12311AD1" w:rsidR="00E15FB0" w:rsidRPr="008D64A3" w:rsidRDefault="00E15FB0" w:rsidP="00EB5208">
      <w:pPr>
        <w:pStyle w:val="FootnoteText"/>
      </w:pPr>
      <w:r w:rsidRPr="00EB5208">
        <w:rPr>
          <w:rFonts w:hint="cs"/>
        </w:rPr>
        <w:footnoteRef/>
      </w:r>
      <w:r>
        <w:rPr>
          <w:rFonts w:hint="cs"/>
          <w:rtl/>
        </w:rPr>
        <w:t>)</w:t>
      </w:r>
      <w:r w:rsidRPr="00EB5208">
        <w:rPr>
          <w:rFonts w:hint="cs"/>
          <w:rtl/>
        </w:rPr>
        <w:t xml:space="preserve"> וראה</w:t>
      </w:r>
      <w:r w:rsidRPr="008D64A3">
        <w:rPr>
          <w:rFonts w:hint="cs"/>
          <w:rtl/>
        </w:rPr>
        <w:t xml:space="preserve"> גם לקוטי שיחות חי"ד עמ' 91. ואולי יש לבאר שזה מבואר גם ממ"ש רש"י בפירושו עה"כ (שמות יז, יד)</w:t>
      </w:r>
      <w:r w:rsidRPr="008D64A3">
        <w:rPr>
          <w:rFonts w:hint="cs"/>
        </w:rPr>
        <w:t xml:space="preserve"> </w:t>
      </w:r>
      <w:r w:rsidRPr="008D64A3">
        <w:rPr>
          <w:rFonts w:hint="cs"/>
          <w:rtl/>
        </w:rPr>
        <w:t xml:space="preserve">"כתוב זאת זכרון בספר ושים באזני יהושע כי מחה אמחה את  זכר עמלק", ופירש רש"י "כתב זאת זכרון שבא עמלק להזדווג לישראל קודם לכל האומות, ושים באזני יהושע המכניס את ישראל לארץ, שיצוה את ישראל לשלם לו את גמולו כו' כי מחה אמחה לכך אני מזהירך כן, כי חפץ אני למחותו", דמ"ש "אני מזהירך </w:t>
      </w:r>
      <w:r w:rsidRPr="008D64A3">
        <w:rPr>
          <w:rFonts w:hint="cs"/>
          <w:b/>
          <w:bCs/>
          <w:rtl/>
        </w:rPr>
        <w:t>כן</w:t>
      </w:r>
      <w:r w:rsidRPr="008D64A3">
        <w:rPr>
          <w:rFonts w:hint="cs"/>
          <w:rtl/>
        </w:rPr>
        <w:t>" קאי על הזכרון בספר וה"ה להזכרון בפה. ועצ"ע.</w:t>
      </w:r>
    </w:p>
  </w:footnote>
  <w:footnote w:id="33">
    <w:p w14:paraId="29B61F8C" w14:textId="77777777" w:rsidR="00E15FB0" w:rsidRPr="00097CCE" w:rsidRDefault="00E15FB0" w:rsidP="00097CCE">
      <w:pPr>
        <w:pStyle w:val="FootnoteText"/>
        <w:rPr>
          <w:rtl/>
        </w:rPr>
      </w:pPr>
      <w:r w:rsidRPr="00097CCE">
        <w:rPr>
          <w:rStyle w:val="FootnoteReference"/>
          <w:vertAlign w:val="baseline"/>
        </w:rPr>
        <w:sym w:font="Symbol" w:char="F02A"/>
      </w:r>
      <w:r w:rsidRPr="00097CCE">
        <w:t xml:space="preserve"> </w:t>
      </w:r>
      <w:r w:rsidRPr="00097CCE">
        <w:rPr>
          <w:rFonts w:hint="cs"/>
          <w:rtl/>
        </w:rPr>
        <w:t>)</w:t>
      </w:r>
      <w:r w:rsidRPr="00097CCE">
        <w:rPr>
          <w:rtl/>
        </w:rPr>
        <w:t xml:space="preserve"> מובן ופשוט שכל הנכתב כאן אינו אלא לפלפולא בעלמא ולהגדיל תורה ולהאדירה, אבל בנוגע לפועל מובן שכל שאולת כגון זה שייכים לרבנים פוסקי ומורי הוראות בישראל, כהוראת כ"ק אדמו"ר בכגון דא.</w:t>
      </w:r>
    </w:p>
  </w:footnote>
  <w:footnote w:id="34">
    <w:p w14:paraId="4AE506B0" w14:textId="77777777" w:rsidR="00E15FB0" w:rsidRPr="00097CCE" w:rsidRDefault="00E15FB0"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אסתר פרק ט, פסוקים יט וכב.</w:t>
      </w:r>
    </w:p>
  </w:footnote>
  <w:footnote w:id="35">
    <w:p w14:paraId="4F3E7D0E" w14:textId="77777777" w:rsidR="00E15FB0" w:rsidRPr="00097CCE" w:rsidRDefault="00E15FB0"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לשון הריטב"א בחידושיו (מגילה דף ז' ע"א), וכן הוא בחידושי הר"ן (שם), ועי' בהגהות רבינו יהונתן מלוניל על הרי"ף (שם), ובפתח עינים (על הגמרא שם) בשם הרמב"ן. וע"ע בתשובות והנהגות (חלק ג' סימן רל"ז) וז"ל "האחרונים דנו במצות משלוח מנות אם הוא בגדר מצות צדקה רק דבזה המצוה לשלוח לכל אחד, ואף לעשיר יש בזה תוספת, או שאינה כצדקה אלא שכל אחד מראה בזה ריעות לחבירו, ולע"ד נראה דאף שעיקרו לצדקה מ"מ כדי שלא לבייש את העניים תיקנו חז"ל בעיקר התקנה שגם העשירים יקבלו משלוח מנות אוכל, שהרי לקבל אוכל מחבירו נראה בזיון שהוא כ"כ אביון שצריך לקבל אוכל, ע"כ שפיר תיקנו המצוה מדברי קבלה לשלוח לכל אחד מנות אוכל אפילו עשיר", עכ"ל, ואכ"מ.</w:t>
      </w:r>
    </w:p>
  </w:footnote>
  <w:footnote w:id="36">
    <w:p w14:paraId="2B506A3D" w14:textId="320AE3AB" w:rsidR="00E15FB0" w:rsidRPr="00097CCE" w:rsidRDefault="00E15FB0"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לשון הרמב"ם הלכות מגילה (פרק ב' הלכה ט"ו), הובא להלכה בשו"ע (סימן תרצ"ה סעיף ד').</w:t>
      </w:r>
      <w:r>
        <w:rPr>
          <w:rFonts w:hint="cs"/>
          <w:rtl/>
        </w:rPr>
        <w:t xml:space="preserve"> </w:t>
      </w:r>
      <w:r w:rsidRPr="00097CCE">
        <w:rPr>
          <w:rtl/>
        </w:rPr>
        <w:t>[ועי' בספר המנהגים – חב"ד (עמ' 74) שאדמור"י חב"ד נהגו לשלוח משלוח מנות לשלושה אנשים]</w:t>
      </w:r>
    </w:p>
    <w:p w14:paraId="47086C11" w14:textId="77777777" w:rsidR="00E15FB0" w:rsidRPr="00267B89" w:rsidRDefault="00E15FB0" w:rsidP="00097CCE">
      <w:pPr>
        <w:pStyle w:val="FootnoteText"/>
        <w:rPr>
          <w:rtl/>
        </w:rPr>
      </w:pPr>
      <w:r w:rsidRPr="00097CCE">
        <w:rPr>
          <w:rtl/>
        </w:rPr>
        <w:t>והנה בנוגע למקור דברי הרמב"ם ש"כל המרבה לשלוח לריעים משובח", ראוי להעיר למש"כ כתר המלך (על הרמב"ם שם), וז"ל "וכבוד מו"ח הגאון ז"ל הביא מקור לזה דכל המרבה ה"ז משובח מהא דאיתא בגמ' דמגילה (דף ז' ע"ב) הדר שלח ליה איהו ביד אביי מלא טסקא דזנגבילא וכו' והנה כיון דמחויב לשלוח שתי מנות של בשר או של ב' מיני אוכלין ואיך יצא מרי במשלוח מנות בזה דלא הוה רק תבלין לבשם את האוכלין וצריך לומר דמרי כבר קיים מצות משלוח מנות תחלה במיני אוכלין ואח"כ להרבות ריעות בזה שלח הני דברים דסגי בזה ולהכי שפיר מסיק אביי כי נפיק וכו' כי אתי לבי מרי קריבי לי שיתין צעי דשיתין מיני קדירה ואכלה מיניה פלגא ולמאי אתי לאשמועינן אלא אתי לומר דלא נימא דמרי שלח הני דברים לרבה שלא היה לו מיני מאכל לשלוח ולהכי אמר דבעת שבא מצא שיתין צעי של מיני מאכל ורק באשר כבר יצא ידי חובת משלוח מנות ורק למען להרבות דהרי זה משובח בזה די בהני דברים המשמחים אף דלא הוי מיני מאכל ודו</w:t>
      </w:r>
      <w:r w:rsidRPr="00097CCE">
        <w:rPr>
          <w:rFonts w:hint="cs"/>
          <w:rtl/>
        </w:rPr>
        <w:t>"</w:t>
      </w:r>
      <w:r w:rsidRPr="00097CCE">
        <w:rPr>
          <w:rtl/>
        </w:rPr>
        <w:t>ק</w:t>
      </w:r>
      <w:r w:rsidRPr="00097CCE">
        <w:rPr>
          <w:rFonts w:hint="cs"/>
          <w:rtl/>
        </w:rPr>
        <w:t>"</w:t>
      </w:r>
      <w:r w:rsidRPr="00097CCE">
        <w:rPr>
          <w:rtl/>
        </w:rPr>
        <w:t>, עכ"ל.</w:t>
      </w:r>
    </w:p>
  </w:footnote>
  <w:footnote w:id="37">
    <w:p w14:paraId="2926B413"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מרדכי שבועות סי' תשס"ז, ב"מ סי' רמ"א, מהר"ם ב"ב תפ"ו ח"ב סי' ק"ל.</w:t>
      </w:r>
    </w:p>
  </w:footnote>
  <w:footnote w:id="38">
    <w:p w14:paraId="4CD705F5"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או"ז ח"ג ב"מ י"א, ב', רא"ש פ"ב דקידושין סוף סי' ל"א. וע"ע באנציקלופדיה תלמודית חלק י"ט, (סוף עמוד קב ואילך).</w:t>
      </w:r>
    </w:p>
  </w:footnote>
  <w:footnote w:id="39">
    <w:p w14:paraId="7AA838B0" w14:textId="77777777" w:rsidR="00E15FB0" w:rsidRPr="005D6004" w:rsidRDefault="00E15FB0" w:rsidP="001F4F7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מנחות פ"ב, א'.</w:t>
      </w:r>
    </w:p>
  </w:footnote>
  <w:footnote w:id="40">
    <w:p w14:paraId="26A5068C"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ע"ש בסימן נ"ד.</w:t>
      </w:r>
    </w:p>
  </w:footnote>
  <w:footnote w:id="41">
    <w:p w14:paraId="23F8EFF8" w14:textId="77777777" w:rsidR="00E15FB0" w:rsidRPr="00267B89"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קידושין ל"ב, א'.</w:t>
      </w:r>
    </w:p>
  </w:footnote>
  <w:footnote w:id="42">
    <w:p w14:paraId="201ABF08"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ודלא כמ"ש בבאר הגולה (אחר אות ה') שהעיר על דברי הרמ"א וז"ל "פירוש, שבלאו הכי מחויב על כל פנים לעשות מצוה זו ורוצה לפטור ממנה במעשר, אינו רשאי. אבל אי רוצה לעשות בו מצוה שאינו כבר מחויב, ר</w:t>
      </w:r>
      <w:r w:rsidRPr="005D6004">
        <w:rPr>
          <w:rFonts w:hint="cs"/>
          <w:rtl/>
        </w:rPr>
        <w:t>ש</w:t>
      </w:r>
      <w:r w:rsidRPr="005D6004">
        <w:rPr>
          <w:rtl/>
        </w:rPr>
        <w:t xml:space="preserve">אי" עכ"ל. </w:t>
      </w:r>
    </w:p>
    <w:p w14:paraId="3D1F69C0" w14:textId="77777777" w:rsidR="00E15FB0" w:rsidRPr="005D6004" w:rsidRDefault="00E15FB0" w:rsidP="005D6004">
      <w:pPr>
        <w:pStyle w:val="FootnoteText"/>
        <w:rPr>
          <w:rtl/>
        </w:rPr>
      </w:pPr>
      <w:r w:rsidRPr="005D6004">
        <w:rPr>
          <w:rtl/>
        </w:rPr>
        <w:t>היינו שכוון בזה לעשות שלו</w:t>
      </w:r>
      <w:r w:rsidRPr="005D6004">
        <w:rPr>
          <w:rFonts w:hint="cs"/>
          <w:rtl/>
        </w:rPr>
        <w:t>ם</w:t>
      </w:r>
      <w:r w:rsidRPr="005D6004">
        <w:rPr>
          <w:rtl/>
        </w:rPr>
        <w:t xml:space="preserve"> בפמליא של מעלה בין המהרי"ל והמהר"ם, אשר נראים לכאורה דפליגו אהדדי, ועי"ז שמחלקים בין מצוה שחייב בלאו הכי או לא, יש להשוות שניהם דלא פליגו.</w:t>
      </w:r>
    </w:p>
    <w:p w14:paraId="7928CE67" w14:textId="77777777" w:rsidR="00E15FB0" w:rsidRPr="005D6004" w:rsidRDefault="00E15FB0" w:rsidP="005D6004">
      <w:pPr>
        <w:pStyle w:val="FootnoteText"/>
        <w:rPr>
          <w:rtl/>
        </w:rPr>
      </w:pPr>
      <w:r w:rsidRPr="005D6004">
        <w:rPr>
          <w:rtl/>
        </w:rPr>
        <w:t>דעי' בשו"ת חתם סופר (חלק ב' יו"ד סימן רל"א) דהשיג על הבאר הגולה וז"ל "במח"כ שגה ברואה דבמהרי"ל הל' ר"ה ובתשובה סי' נ"ו כ' להדיא הטעם משום דמעשר שייך לעניים ואיך יכול ליקח נרות בה"כ ממעות עני' אפי' לא יהי' חייב בהם בלא"ה מ"מ איך יכול לגזול עניים ולו אין לו בהמעות אלא טובת הנאה ולא יותר ואפי' למ"ד דבר שבחובה באה ממע"ש עיי' מנחות פ"ד היינו לגבוה דמע"ש ממון גבוה יכול להביא תורתו ג"כ לגבוה ממעות מע"ש אבל מעשר עניים לא עלה על דעת אדם מעולם שיעשה מצוה במעות עניי'", עכ"ל, וע"ע בדברי נכדו בשו"ת שבט סופר (יו"ד סימן פ"ד השני).</w:t>
      </w:r>
    </w:p>
    <w:p w14:paraId="2D833596" w14:textId="77777777" w:rsidR="00E15FB0" w:rsidRPr="005D6004" w:rsidRDefault="00E15FB0" w:rsidP="005D6004">
      <w:pPr>
        <w:pStyle w:val="FootnoteText"/>
        <w:rPr>
          <w:rtl/>
        </w:rPr>
      </w:pPr>
      <w:r w:rsidRPr="005D6004">
        <w:rPr>
          <w:rtl/>
        </w:rPr>
        <w:t>[אבל עי' בשו"ת מהר"ם ברודא סימן י"ד שהקשה על דברי הח"ס, וקיים דברי הבאר הגולה וע"ע בתשו' ערוגת הבושם (חיו"ד סי' ר"כ) שכתב גם הוא להגן בעד ב</w:t>
      </w:r>
      <w:r w:rsidRPr="005D6004">
        <w:rPr>
          <w:rFonts w:hint="cs"/>
          <w:rtl/>
        </w:rPr>
        <w:t>א</w:t>
      </w:r>
      <w:r w:rsidRPr="005D6004">
        <w:rPr>
          <w:rtl/>
        </w:rPr>
        <w:t>ר הגולה,</w:t>
      </w:r>
      <w:r w:rsidRPr="005D6004">
        <w:rPr>
          <w:rFonts w:hint="cs"/>
          <w:rtl/>
        </w:rPr>
        <w:t xml:space="preserve"> </w:t>
      </w:r>
      <w:r w:rsidRPr="005D6004">
        <w:rPr>
          <w:rtl/>
        </w:rPr>
        <w:t>ואכ"מ.]</w:t>
      </w:r>
    </w:p>
    <w:p w14:paraId="1DAB9230" w14:textId="66CCF3CE" w:rsidR="00E15FB0" w:rsidRPr="005D6004" w:rsidRDefault="00E15FB0" w:rsidP="005D6004">
      <w:pPr>
        <w:pStyle w:val="FootnoteText"/>
        <w:rPr>
          <w:rtl/>
        </w:rPr>
      </w:pPr>
      <w:r w:rsidRPr="005D6004">
        <w:rPr>
          <w:rtl/>
        </w:rPr>
        <w:t>וע"ע בשו"ת חת"ס (שם) שכתב לעשות שלום בין המהרי"ל והמהר"ם באו"א, הובא דבריו לקמן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Ref3097411 \h</w:instrText>
      </w:r>
      <w:r w:rsidRPr="005D6004">
        <w:rPr>
          <w:rtl/>
        </w:rPr>
        <w:instrText xml:space="preserve"> </w:instrText>
      </w:r>
      <w:r w:rsidRPr="005D6004">
        <w:rPr>
          <w:rtl/>
        </w:rPr>
      </w:r>
      <w:r w:rsidRPr="005D6004">
        <w:rPr>
          <w:rtl/>
        </w:rPr>
        <w:instrText xml:space="preserve"> \* </w:instrText>
      </w:r>
      <w:r w:rsidRPr="005D6004">
        <w:instrText>MERGEFORMAT</w:instrText>
      </w:r>
      <w:r w:rsidRPr="005D6004">
        <w:rPr>
          <w:rtl/>
        </w:rPr>
        <w:instrText xml:space="preserve"> </w:instrText>
      </w:r>
      <w:r w:rsidRPr="005D6004">
        <w:rPr>
          <w:rtl/>
        </w:rPr>
        <w:fldChar w:fldCharType="separate"/>
      </w:r>
      <w:r>
        <w:t>24</w:t>
      </w:r>
      <w:r w:rsidRPr="005D6004">
        <w:rPr>
          <w:rtl/>
        </w:rPr>
        <w:fldChar w:fldCharType="end"/>
      </w:r>
      <w:r w:rsidRPr="005D6004">
        <w:rPr>
          <w:rtl/>
        </w:rPr>
        <w:t>).</w:t>
      </w:r>
    </w:p>
  </w:footnote>
  <w:footnote w:id="43">
    <w:p w14:paraId="5A13F4FB"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לשון מהר"ם מרוטנבורג בשו"ת שלו (דפוס פראג סימן ע"ד).</w:t>
      </w:r>
    </w:p>
  </w:footnote>
  <w:footnote w:id="44">
    <w:p w14:paraId="4AAA2E34" w14:textId="5FB21A1F" w:rsidR="00E15FB0" w:rsidRPr="00267B89"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 xml:space="preserve">וכן מבואר להדיא בשו"ת כתב סופר (אורח חיים סימן קל"ט, וסימן קמ"א), דמהרי"ל לא מיירי רק לענין מתנות לאביונים, (אבל בנוגע למש"כ שם להתיר לצאת אף חיוב משלוח מנות ממעות מעשר עי' לקמן הערה </w:t>
      </w:r>
      <w:r w:rsidRPr="005D6004">
        <w:rPr>
          <w:rtl/>
        </w:rPr>
        <w:fldChar w:fldCharType="begin"/>
      </w:r>
      <w:r w:rsidRPr="005D6004">
        <w:instrText xml:space="preserve"> NOTEREF _Ref2766661 \h </w:instrText>
      </w:r>
      <w:r w:rsidRPr="005D6004">
        <w:rPr>
          <w:rtl/>
        </w:rPr>
      </w:r>
      <w:r w:rsidRPr="005D6004">
        <w:rPr>
          <w:rtl/>
        </w:rPr>
        <w:instrText xml:space="preserve"> \* </w:instrText>
      </w:r>
      <w:r w:rsidRPr="005D6004">
        <w:instrText>MERGEFORMAT</w:instrText>
      </w:r>
      <w:r w:rsidRPr="005D6004">
        <w:rPr>
          <w:rtl/>
        </w:rPr>
        <w:instrText xml:space="preserve"> </w:instrText>
      </w:r>
      <w:r w:rsidRPr="005D6004">
        <w:rPr>
          <w:rtl/>
        </w:rPr>
        <w:fldChar w:fldCharType="separate"/>
      </w:r>
      <w:r>
        <w:t>22</w:t>
      </w:r>
      <w:r w:rsidRPr="005D6004">
        <w:rPr>
          <w:rtl/>
        </w:rPr>
        <w:fldChar w:fldCharType="end"/>
      </w:r>
      <w:r w:rsidRPr="005D6004">
        <w:rPr>
          <w:rtl/>
        </w:rPr>
        <w:t>).</w:t>
      </w:r>
    </w:p>
  </w:footnote>
  <w:footnote w:id="45">
    <w:p w14:paraId="7DBB65BE"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וכן כתב בשו"ת להורות נתן (חלק ב' סימן נ"ד) וז"ל "ברם נלע"ד דעיקר כוונת השל"ה ז"ל רק לאפוקי שלא יוציא למשלוח מנות ממעות מעשר, ורצונו שלא יוציא ממעות מעשר אלא לצרכי עניים בלבד ולא צרכי שאר מצוה וכו', דעיקר מעות מעשר הוא כשנותנו לעניים ולא לשאר מצוות", עכ"ל.</w:t>
      </w:r>
    </w:p>
  </w:footnote>
  <w:footnote w:id="46">
    <w:p w14:paraId="193B1699"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אות כ"ט, וע"ע באנציקלופדיה תלמודית (חלק כ"ה עמ' ר"ג). </w:t>
      </w:r>
    </w:p>
  </w:footnote>
  <w:footnote w:id="47">
    <w:p w14:paraId="0ADEA6B4" w14:textId="77777777" w:rsidR="00E15FB0" w:rsidRPr="005D6004" w:rsidRDefault="00E15FB0" w:rsidP="005D6004">
      <w:pPr>
        <w:pStyle w:val="FootnoteText"/>
      </w:pPr>
      <w:r w:rsidRPr="005D6004">
        <w:rPr>
          <w:rStyle w:val="FootnoteReference"/>
          <w:vertAlign w:val="baseline"/>
        </w:rPr>
        <w:footnoteRef/>
      </w:r>
      <w:r w:rsidRPr="005D6004">
        <w:rPr>
          <w:rFonts w:hint="cs"/>
          <w:rtl/>
        </w:rPr>
        <w:t>)</w:t>
      </w:r>
      <w:r w:rsidRPr="005D6004">
        <w:rPr>
          <w:rtl/>
        </w:rPr>
        <w:t xml:space="preserve"> והנה אף שהביא השל"ה (שם אות ל"ז) הביא תשובות המהר"ם מעיל צדק (ע"ע לעיל אות </w:t>
      </w:r>
      <w:r w:rsidRPr="005D6004">
        <w:rPr>
          <w:rFonts w:hint="cs"/>
          <w:rtl/>
        </w:rPr>
        <w:t>ג'</w:t>
      </w:r>
      <w:r w:rsidRPr="005D6004">
        <w:rPr>
          <w:rtl/>
        </w:rPr>
        <w:t xml:space="preserve">), שלכאורה חולק על המהרי"ל, י"ל דס"ל דלא פליגי המהרי"ל והמרש"ל אהדדי, ויש לפרש דבריו ע"ד מש"כ בשו"ת ציץ אליעזר (חלק ט' סימן א' פרק ב' אות ד') וז"ל "ומכיון שבאנו לכך תו נקל לנבון להוסיף לומר שממילא אין סתירה מזה להאמור במהר"מ, כי בשם המדובר בכגון מצוה כזו אשר כסף המעשר שיוציא עליה ילך עכ"פ לעניים נצרכים, כגון לתתו לבעל ברית או לחתן וכלה נצרכים, אלא שהוא יהנה גם שיכבדוהו לבעל ברית ולהכניס החתן וכלה לחופה, וזה שהוא שהמדובר למעשה במהר"מ שם, וכן בכל בכדומה לזה. </w:t>
      </w:r>
    </w:p>
    <w:p w14:paraId="066D9F32" w14:textId="77777777" w:rsidR="00E15FB0" w:rsidRDefault="00E15FB0" w:rsidP="005D6004">
      <w:pPr>
        <w:pStyle w:val="FootnoteText"/>
        <w:rPr>
          <w:rtl/>
        </w:rPr>
      </w:pPr>
      <w:r w:rsidRPr="005D6004">
        <w:rPr>
          <w:rtl/>
        </w:rPr>
        <w:t>וזה שמתיר במהר"ם שם לקנות מהכסף גם ספרים ללמוד בהם ולהשאילן לאחרים, יש לומר דהוא זה גם כן מפני שישאילם לנצרכים ללמוד בהם שכל הנצרך להם עני הוא בחסר לו זה והר"ז כמספק לו מזון רוחני שאין זה גרוע ממספק מזון גשמי לחסר לו, אבל לעשות מצוה כזאת שהכסף לא ילך למזון גשמי או רוחני למי שחסר לו מזה יודה שפיר גם המהר"מ שאין לעשותה בכסף מעשר, וראי' להאמור יש להביא מדברי ספר בית דינו של שלמה חיו"ד סי' א' שכותב דאבל לקנות ספרים לבני עניים זה ודאי דבא מן המעשר, שכ"כ הרב שכה"ג עיין שם. והיינו מפני שהמצאת מזון רוחני לעניים ג"כ לנתינת צדקה תחשב, עכ"ל, ושו"ר עד"ז בשו"ת אמרי יושר (להגר"מ אריק, ח"ב סימן קל"ו אות א'), (וע"ע בשו"ת קנה בשם חלק א</w:t>
      </w:r>
      <w:r w:rsidRPr="005D6004">
        <w:rPr>
          <w:rFonts w:hint="cs"/>
          <w:rtl/>
        </w:rPr>
        <w:t>'</w:t>
      </w:r>
      <w:r w:rsidRPr="005D6004">
        <w:rPr>
          <w:rtl/>
        </w:rPr>
        <w:t xml:space="preserve"> סימן קי</w:t>
      </w:r>
      <w:r w:rsidRPr="005D6004">
        <w:rPr>
          <w:rFonts w:hint="cs"/>
          <w:rtl/>
        </w:rPr>
        <w:t>"</w:t>
      </w:r>
      <w:r w:rsidRPr="005D6004">
        <w:rPr>
          <w:rtl/>
        </w:rPr>
        <w:t>ג, ושו"ת יד הלוי ח"א יו"ד סימן קל"ז, ולעיל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Ref3097249 \h</w:instrText>
      </w:r>
      <w:r w:rsidRPr="005D6004">
        <w:rPr>
          <w:rtl/>
        </w:rPr>
        <w:instrText xml:space="preserve"> </w:instrText>
      </w:r>
      <w:r w:rsidRPr="005D6004">
        <w:rPr>
          <w:rtl/>
        </w:rPr>
      </w:r>
      <w:r w:rsidRPr="005D6004">
        <w:rPr>
          <w:rtl/>
        </w:rPr>
        <w:instrText xml:space="preserve"> \* </w:instrText>
      </w:r>
      <w:r w:rsidRPr="005D6004">
        <w:instrText>MERGEFORMAT</w:instrText>
      </w:r>
      <w:r w:rsidRPr="005D6004">
        <w:rPr>
          <w:rtl/>
        </w:rPr>
        <w:instrText xml:space="preserve"> </w:instrText>
      </w:r>
      <w:r w:rsidRPr="005D6004">
        <w:rPr>
          <w:rtl/>
        </w:rPr>
        <w:fldChar w:fldCharType="separate"/>
      </w:r>
      <w:r>
        <w:t>23</w:t>
      </w:r>
      <w:r w:rsidRPr="005D6004">
        <w:rPr>
          <w:rtl/>
        </w:rPr>
        <w:fldChar w:fldCharType="end"/>
      </w:r>
      <w:r w:rsidRPr="005D6004">
        <w:rPr>
          <w:rtl/>
        </w:rPr>
        <w:t>).</w:t>
      </w:r>
    </w:p>
    <w:p w14:paraId="214CB380" w14:textId="3680F624" w:rsidR="00E15FB0" w:rsidRPr="005D6004" w:rsidRDefault="00E15FB0" w:rsidP="005D6004">
      <w:pPr>
        <w:pStyle w:val="FootnoteText"/>
        <w:rPr>
          <w:rtl/>
        </w:rPr>
      </w:pPr>
      <w:r w:rsidRPr="005D6004">
        <w:rPr>
          <w:rtl/>
        </w:rPr>
        <w:t>אבל א"א לומר כביאור של החת"ס (הובא לקמן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Ref3097411 \h</w:instrText>
      </w:r>
      <w:r w:rsidRPr="005D6004">
        <w:rPr>
          <w:rtl/>
        </w:rPr>
        <w:instrText xml:space="preserve"> </w:instrText>
      </w:r>
      <w:r w:rsidRPr="005D6004">
        <w:rPr>
          <w:rtl/>
        </w:rPr>
      </w:r>
      <w:r w:rsidRPr="005D6004">
        <w:rPr>
          <w:rtl/>
        </w:rPr>
        <w:instrText xml:space="preserve"> \* </w:instrText>
      </w:r>
      <w:r w:rsidRPr="005D6004">
        <w:instrText>MERGEFORMAT</w:instrText>
      </w:r>
      <w:r w:rsidRPr="005D6004">
        <w:rPr>
          <w:rtl/>
        </w:rPr>
        <w:instrText xml:space="preserve"> </w:instrText>
      </w:r>
      <w:r w:rsidRPr="005D6004">
        <w:rPr>
          <w:rtl/>
        </w:rPr>
        <w:fldChar w:fldCharType="separate"/>
      </w:r>
      <w:r>
        <w:t>24</w:t>
      </w:r>
      <w:r w:rsidRPr="005D6004">
        <w:rPr>
          <w:rtl/>
        </w:rPr>
        <w:fldChar w:fldCharType="end"/>
      </w:r>
      <w:r w:rsidRPr="005D6004">
        <w:rPr>
          <w:rtl/>
        </w:rPr>
        <w:t>), דא"כ איך סתם השל"ה ש"המעשר הוא של העניים וזוכים בה גבאי צדקה שהם יד העניים", הלא יכול להיות שאביהם התנה שיוכלו להשתמש עם המעשר לכל דבר מצוה, וק"ל.</w:t>
      </w:r>
    </w:p>
    <w:p w14:paraId="168F0394" w14:textId="77777777" w:rsidR="00E15FB0" w:rsidRPr="005D6004" w:rsidRDefault="00E15FB0" w:rsidP="005D6004">
      <w:pPr>
        <w:pStyle w:val="FootnoteText"/>
        <w:rPr>
          <w:rtl/>
        </w:rPr>
      </w:pPr>
      <w:r w:rsidRPr="005D6004">
        <w:rPr>
          <w:rtl/>
        </w:rPr>
        <w:t xml:space="preserve">[והנה לפי המ"ד שמעות מעשר כספים אינו מיעוד לעניים דוקא, א"כ </w:t>
      </w:r>
      <w:r w:rsidRPr="005D6004">
        <w:rPr>
          <w:rFonts w:hint="cs"/>
          <w:rtl/>
        </w:rPr>
        <w:t>אף אי נימא שטובת הנאה אינו ממון, מ"מ</w:t>
      </w:r>
      <w:r w:rsidRPr="005D6004">
        <w:rPr>
          <w:rtl/>
        </w:rPr>
        <w:t xml:space="preserve"> אינו נופל בדרך ממילא לידי הגבאי צדקה, וע"כ נראה כמש"כ בשו"ת שבט הלוי (חלק י' סימן קס"ו אות ה') שמעשר כספים אחיזתו בו עוד עדיפא ואלימא בעלותו עליה יותר מכל כספי צדקה, כיון שנהוג היום שהרבה מצרכי הצאותיו שהם בגדר מצוה עושין מכספי מעשר, ולכאורה אינו מובן מש"כ מר אביו</w:t>
      </w:r>
      <w:r w:rsidRPr="005D6004">
        <w:rPr>
          <w:rFonts w:hint="cs"/>
          <w:rtl/>
        </w:rPr>
        <w:t xml:space="preserve"> </w:t>
      </w:r>
      <w:r w:rsidRPr="005D6004">
        <w:rPr>
          <w:rtl/>
        </w:rPr>
        <w:t xml:space="preserve">(בעל שבט הלוי) ז"ל שם לדחות סברה זו כי "מעשר כספים הוא ממון עניים כמ"ש במהרי"ל ובפוסקים שהם בכלל כספי צדקה לעניים", ובפרט דפסק הוא ז"ל בעצמו (שם סימן קס"ה אות ז') וז"ל "בענין כספי מעשר כידוע יש מחלוקת המהרי"ל ושאר פוסקים אם אפשר גם לשאר מצות שאין אדם מחויב בלא"ה, ומנהג להקל בזה אם אי אפשר להתקיים המצוה רק אם לוקחים בכסף מעשר כספים", ועצ"ע.] </w:t>
      </w:r>
    </w:p>
  </w:footnote>
  <w:footnote w:id="48">
    <w:p w14:paraId="07890296"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והנה כן נראה שגם המטה משה ס"ל ג"כ כהמהרי"ל בהא שפשיטא ליה שהחזן הוא עני</w:t>
      </w:r>
      <w:r w:rsidRPr="005D6004">
        <w:rPr>
          <w:rFonts w:hint="cs"/>
          <w:rtl/>
        </w:rPr>
        <w:t xml:space="preserve"> דוקא</w:t>
      </w:r>
      <w:r w:rsidRPr="005D6004">
        <w:rPr>
          <w:rtl/>
        </w:rPr>
        <w:t>.</w:t>
      </w:r>
    </w:p>
  </w:footnote>
  <w:footnote w:id="49">
    <w:p w14:paraId="2E34E25A"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 xml:space="preserve">אבל עי' בבאר היטב (שם ס"ק ב') וז"ל "וכתב של"ה דמחצית השקל וכל שכן מתנות לאביונים ומשלוח מנות אין בא ממעות מעשר. ואם בא להוסיף מוסיף משל מעשר, מהרי"ל בתשובה סימן נ"ו. </w:t>
      </w:r>
    </w:p>
    <w:p w14:paraId="3DDC5077" w14:textId="7A77C70A" w:rsidR="00E15FB0" w:rsidRPr="005D6004" w:rsidRDefault="00E15FB0" w:rsidP="005D6004">
      <w:pPr>
        <w:pStyle w:val="FootnoteText"/>
        <w:rPr>
          <w:rtl/>
        </w:rPr>
      </w:pPr>
      <w:r w:rsidRPr="005D6004">
        <w:rPr>
          <w:rtl/>
        </w:rPr>
        <w:t>הרי ע"י שקיצר בדבריו ישנו משמעות שגם בנוגע למשלוח מנות ס"ל להמהרי"ל והשל"ה "אם בא להוסיף מוסיף משל מעשר", אבל כנ"ל שזה אינו, ואפשר שמכאן מקור טעתו של הנט"ג.</w:t>
      </w:r>
      <w:r>
        <w:rPr>
          <w:rtl/>
        </w:rPr>
        <w:t xml:space="preserve"> </w:t>
      </w:r>
    </w:p>
  </w:footnote>
  <w:footnote w:id="50">
    <w:p w14:paraId="4807C0CB"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להרה"ג שלמה זלמן מירקש ז"ל, "והוא הלכה פסוקה בקיצור משולחן ערוך"</w:t>
      </w:r>
      <w:r w:rsidRPr="005D6004">
        <w:rPr>
          <w:rFonts w:hint="cs"/>
          <w:rtl/>
        </w:rPr>
        <w:t xml:space="preserve"> (לשון דף השער)</w:t>
      </w:r>
      <w:r w:rsidRPr="005D6004">
        <w:rPr>
          <w:rtl/>
        </w:rPr>
        <w:t>.</w:t>
      </w:r>
    </w:p>
  </w:footnote>
  <w:footnote w:id="51">
    <w:p w14:paraId="6C7C043C" w14:textId="270E6254"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Pr>
          <w:rtl/>
        </w:rPr>
        <w:t>בהגה</w:t>
      </w:r>
      <w:r w:rsidRPr="005D6004">
        <w:rPr>
          <w:rtl/>
        </w:rPr>
        <w:t>ותיו לטור סימן רנו, ובקיצור בסי' רמז.</w:t>
      </w:r>
    </w:p>
  </w:footnote>
  <w:footnote w:id="52">
    <w:p w14:paraId="6CBB5F7D"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אות א' ד"ה אשר.</w:t>
      </w:r>
    </w:p>
  </w:footnote>
  <w:footnote w:id="53">
    <w:p w14:paraId="6B4B3B9D" w14:textId="77777777" w:rsidR="00E15FB0" w:rsidRPr="005D6004" w:rsidRDefault="00E15FB0" w:rsidP="005D6004">
      <w:pPr>
        <w:pStyle w:val="FootnoteText"/>
      </w:pPr>
      <w:r w:rsidRPr="005D6004">
        <w:rPr>
          <w:rStyle w:val="FootnoteReference"/>
          <w:vertAlign w:val="baseline"/>
        </w:rPr>
        <w:footnoteRef/>
      </w:r>
      <w:r w:rsidRPr="005D6004">
        <w:rPr>
          <w:rFonts w:hint="cs"/>
          <w:rtl/>
        </w:rPr>
        <w:t>)</w:t>
      </w:r>
      <w:r w:rsidRPr="005D6004">
        <w:t xml:space="preserve"> </w:t>
      </w:r>
      <w:r w:rsidRPr="005D6004">
        <w:rPr>
          <w:rtl/>
        </w:rPr>
        <w:t>וכן כתב בלוח ברכת הנהנין פרק י"א הלכה כ"ה.</w:t>
      </w:r>
    </w:p>
  </w:footnote>
  <w:footnote w:id="54">
    <w:p w14:paraId="403AE3F5"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לקו"ש חלק ט' עמ' 346, ובתורת מנחם חלק ל"ד עמ' 272, וע"ע בהלכות ת"ת משו"ע אדה"ז עם הערות וציונים (פרק א' סעיף ז' הערה 45</w:t>
      </w:r>
      <w:r w:rsidRPr="005D6004">
        <w:t>/</w:t>
      </w:r>
      <w:r w:rsidRPr="005D6004">
        <w:rPr>
          <w:rtl/>
        </w:rPr>
        <w:t>א אות ב').</w:t>
      </w:r>
    </w:p>
  </w:footnote>
  <w:footnote w:id="55">
    <w:p w14:paraId="2E47F377"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כמ"ש באר הגולה (ע"ע לעיל הערה </w:t>
      </w:r>
      <w:r w:rsidRPr="005D6004">
        <w:rPr>
          <w:rtl/>
        </w:rPr>
        <w:fldChar w:fldCharType="begin"/>
      </w:r>
      <w:r w:rsidRPr="005D6004">
        <w:instrText xml:space="preserve"> NOTEREF _Ref2765869 \h  \* MERGEFORMAT </w:instrText>
      </w:r>
      <w:r w:rsidRPr="005D6004">
        <w:rPr>
          <w:rtl/>
        </w:rPr>
      </w:r>
      <w:r w:rsidRPr="005D6004">
        <w:rPr>
          <w:rtl/>
        </w:rPr>
        <w:fldChar w:fldCharType="separate"/>
      </w:r>
      <w:r>
        <w:t>9</w:t>
      </w:r>
      <w:r w:rsidRPr="005D6004">
        <w:rPr>
          <w:rtl/>
        </w:rPr>
        <w:fldChar w:fldCharType="end"/>
      </w:r>
      <w:r w:rsidRPr="005D6004">
        <w:rPr>
          <w:rtl/>
        </w:rPr>
        <w:t xml:space="preserve"> - ולא כמ"ש בשו"ת כתב סופר (עי' לעיל הערה </w:t>
      </w:r>
      <w:r w:rsidRPr="005D6004">
        <w:rPr>
          <w:rtl/>
        </w:rPr>
        <w:fldChar w:fldCharType="begin"/>
      </w:r>
      <w:r w:rsidRPr="005D6004">
        <w:instrText xml:space="preserve"> NOTEREF _Ref2702008 \h  \* MERGEFORMAT </w:instrText>
      </w:r>
      <w:r w:rsidRPr="005D6004">
        <w:rPr>
          <w:rtl/>
        </w:rPr>
      </w:r>
      <w:r w:rsidRPr="005D6004">
        <w:rPr>
          <w:rtl/>
        </w:rPr>
        <w:fldChar w:fldCharType="separate"/>
      </w:r>
      <w:r>
        <w:t>11</w:t>
      </w:r>
      <w:r w:rsidRPr="005D6004">
        <w:rPr>
          <w:rtl/>
        </w:rPr>
        <w:fldChar w:fldCharType="end"/>
      </w:r>
      <w:r w:rsidRPr="005D6004">
        <w:rPr>
          <w:rtl/>
        </w:rPr>
        <w:t>), שגבי מצות מ</w:t>
      </w:r>
      <w:r w:rsidRPr="005D6004">
        <w:rPr>
          <w:rFonts w:hint="cs"/>
          <w:rtl/>
        </w:rPr>
        <w:t>ש</w:t>
      </w:r>
      <w:r w:rsidRPr="005D6004">
        <w:rPr>
          <w:rtl/>
        </w:rPr>
        <w:t>לוח מצות וכל כיו"ב אין אומרים הכלל שכל דבר שבחובה אינו בא אלא מן החולין), וע"ע בהלכות ת"ת משו"ע אדה"ז עם הערות וציונים (פרק א' סעיף ז' הערה 50</w:t>
      </w:r>
      <w:r w:rsidRPr="005D6004">
        <w:t>/</w:t>
      </w:r>
      <w:r w:rsidRPr="005D6004">
        <w:rPr>
          <w:rtl/>
        </w:rPr>
        <w:t>ב, - אבל ע"ע שם בסוף הערה 47</w:t>
      </w:r>
      <w:r w:rsidRPr="005D6004">
        <w:t>/</w:t>
      </w:r>
      <w:r w:rsidRPr="005D6004">
        <w:rPr>
          <w:rtl/>
        </w:rPr>
        <w:t>ה דצ"ע אי ס"ל לאדה"ז ממש"כ בשו"ת ב"ד של שלמה (יו"ד ס"א (נ"א ע"ב)) שכשלא נזדמנו לו עניים יכול להוציא המעשר גם לקנות מצוה שהן חוב עליו בלא"ה).</w:t>
      </w:r>
    </w:p>
  </w:footnote>
  <w:footnote w:id="56">
    <w:p w14:paraId="1953DE52"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והנה אף שיש מהאחרונים שברצונם להשוות ולקרב דעת המהרי"ל ודעת מהר"ם מעיל צדק זה אל זה, כתבו שלא התיר המרה"ם כ"א באופן שהמעות שמשלם עבור המצוה מגיע בסופו של דבר לעניים, (עי' המצויין לעיל הערה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Ref2702040 \h</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t>14</w:t>
      </w:r>
      <w:r w:rsidRPr="005D6004">
        <w:rPr>
          <w:rtl/>
        </w:rPr>
        <w:fldChar w:fldCharType="end"/>
      </w:r>
      <w:r w:rsidRPr="005D6004">
        <w:rPr>
          <w:rtl/>
        </w:rPr>
        <w:t>), מ"מ מסתימת לשון אדה"ז שהובא בסמוך משמע דס"ל לבאר דברי המ</w:t>
      </w:r>
      <w:r w:rsidRPr="005D6004">
        <w:rPr>
          <w:rFonts w:hint="cs"/>
          <w:rtl/>
        </w:rPr>
        <w:t>ה</w:t>
      </w:r>
      <w:r w:rsidRPr="005D6004">
        <w:rPr>
          <w:rtl/>
        </w:rPr>
        <w:t>ר"ם כפשוטו, דבכל גווני, אף שהמעות אינו בא לידי העניים, מותר</w:t>
      </w:r>
      <w:r w:rsidRPr="005D6004">
        <w:rPr>
          <w:rFonts w:hint="cs"/>
          <w:rtl/>
        </w:rPr>
        <w:t>, וכן בהדיא בדברי כ"ק אדמו"ר שם</w:t>
      </w:r>
      <w:r w:rsidRPr="005D6004">
        <w:rPr>
          <w:rtl/>
        </w:rPr>
        <w:t>.</w:t>
      </w:r>
    </w:p>
  </w:footnote>
  <w:footnote w:id="57">
    <w:p w14:paraId="4184AB35"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תורת מנחם שם (עמ' 273), וע"ע הלכות ת"ת משו"ע אדה"ז עם הערות וציונים (בהערה 48</w:t>
      </w:r>
      <w:r w:rsidRPr="005D6004">
        <w:t>/</w:t>
      </w:r>
      <w:r w:rsidRPr="005D6004">
        <w:rPr>
          <w:rtl/>
        </w:rPr>
        <w:t xml:space="preserve">ה) שדייק מלשון אדה"ז שסבירה ליה ממש"כ בשו"ת חת"ס דאם התנהג ג' פעמים להפריש מעשר ולתתו לעניים ולא התנה שיכול לעשות מהמעשר כל דבר מצוה, שוב כל מה שיפרוש מעשר הוה ממילא לעניים ולא כל כמיני' לקנות מהם נר לבהכנ"ס אע"פ שאינו חייב בזה. </w:t>
      </w:r>
    </w:p>
    <w:p w14:paraId="19A8EBAB" w14:textId="77777777" w:rsidR="00E15FB0" w:rsidRPr="005D6004" w:rsidRDefault="00E15FB0" w:rsidP="005D6004">
      <w:pPr>
        <w:pStyle w:val="FootnoteText"/>
        <w:rPr>
          <w:rtl/>
        </w:rPr>
      </w:pPr>
      <w:r w:rsidRPr="005D6004">
        <w:rPr>
          <w:rtl/>
        </w:rPr>
        <w:t>ו</w:t>
      </w:r>
      <w:r w:rsidRPr="005D6004">
        <w:rPr>
          <w:rFonts w:hint="cs"/>
          <w:rtl/>
        </w:rPr>
        <w:t>אין להקשות מסתימת אדה"ז בזה</w:t>
      </w:r>
      <w:r w:rsidRPr="005D6004">
        <w:rPr>
          <w:rtl/>
        </w:rPr>
        <w:t>, (</w:t>
      </w:r>
      <w:r w:rsidRPr="005D6004">
        <w:rPr>
          <w:rFonts w:hint="cs"/>
          <w:rtl/>
        </w:rPr>
        <w:t>כאן</w:t>
      </w:r>
      <w:r w:rsidRPr="005D6004">
        <w:rPr>
          <w:rtl/>
        </w:rPr>
        <w:t xml:space="preserve"> </w:t>
      </w:r>
      <w:r w:rsidRPr="005D6004">
        <w:rPr>
          <w:rFonts w:hint="cs"/>
          <w:rtl/>
        </w:rPr>
        <w:t>ו</w:t>
      </w:r>
      <w:r w:rsidRPr="005D6004">
        <w:rPr>
          <w:rtl/>
        </w:rPr>
        <w:t xml:space="preserve">בסדר (ולוח) ברכה"נ) די"ל בפשטות, דלאו מקומו הוא שם, אלא בהלכות נדרים, וע"ע בשו"ת בצל החכמה (חלק ד' סימן קס"א אות ה') המבאר שחידושו של החת"ס הוא שאפילו אם לא הי' בדעתו לנהוג כן לעולם, מ"מ לאחר ג' פעמים שוב כל מה שיפרוש מעשר הוה ממילא לעניים, אבל אם בשעה שהתחיל לנהוג כן הי' דעתו בפירוש לנהוג כן לעולם, ונהג כן אפילו פעם אחת בלבד, צריך התרה (כמ"ש בשו"ע יו"ד סימן רי"ד סעיף א'). – וע"כ הא שחידש כ"ק אדמו"ר </w:t>
      </w:r>
      <w:r w:rsidRPr="005D6004">
        <w:rPr>
          <w:rFonts w:hint="cs"/>
          <w:rtl/>
        </w:rPr>
        <w:t xml:space="preserve">(שם) </w:t>
      </w:r>
      <w:r w:rsidRPr="005D6004">
        <w:rPr>
          <w:rtl/>
        </w:rPr>
        <w:t>בדעת אדה"ז דלא ס"ל שיש חילוק בין אם כבר הפריש מעות מעשר או שלא הפרישם עדיין, היינו דוקא קודם שלשה פעמים וכשלא היה דעתו בפירוש לנהוג כן לעולם, וק"ל.</w:t>
      </w:r>
    </w:p>
  </w:footnote>
  <w:footnote w:id="58">
    <w:p w14:paraId="0065C9AE" w14:textId="77777777" w:rsidR="00E15FB0" w:rsidRPr="005D6004" w:rsidRDefault="00E15FB0"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בהלכות ת"ת משו"ע אדה"ז עם הערות וציונים (שם, הערה 49/א סוף אות ב'), אבל ע"ע שם (הערה 47</w:t>
      </w:r>
      <w:r w:rsidRPr="005D6004">
        <w:t>/</w:t>
      </w:r>
      <w:r w:rsidRPr="005D6004">
        <w:rPr>
          <w:rtl/>
        </w:rPr>
        <w:t>ו), דיתכן שס"ל לאדה"ז שמצוה שיוצא מרשותו לגמרי, מותר להשתמש במעות מעשר אפילו כשידו משגת, ואכ"מ.</w:t>
      </w:r>
    </w:p>
    <w:p w14:paraId="5BF6C16C" w14:textId="77777777" w:rsidR="00E15FB0" w:rsidRPr="00267B89" w:rsidRDefault="00E15FB0" w:rsidP="005D6004">
      <w:pPr>
        <w:pStyle w:val="FootnoteText"/>
      </w:pPr>
      <w:r w:rsidRPr="005D6004">
        <w:rPr>
          <w:rtl/>
        </w:rPr>
        <w:t>[והנה צ"ע, אם קנה המנות קודם פורים והם מונחים בביתו, אי צריך לכתוב עליהם שנקנו מן המעשר, למען ידעו בניו דבר זה ולא יחזיקוהו להם, כמו שכתב הט"ז, או דלא חיישינין לזמן מועט כזו, ועצ"ע.]</w:t>
      </w:r>
    </w:p>
  </w:footnote>
  <w:footnote w:id="59">
    <w:p w14:paraId="1CCA966B" w14:textId="0AFB9740"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ומידי דברי בשלילת החידוש של מכירו (דוקא), ומפני הטעם</w:t>
      </w:r>
      <w:r w:rsidRPr="00F8255E">
        <w:rPr>
          <w:rFonts w:hint="cs"/>
          <w:rtl/>
        </w:rPr>
        <w:t xml:space="preserve"> שכתבתי</w:t>
      </w:r>
      <w:r w:rsidRPr="00F8255E">
        <w:rPr>
          <w:rtl/>
        </w:rPr>
        <w:t xml:space="preserve"> </w:t>
      </w:r>
      <w:r w:rsidRPr="00F8255E">
        <w:rPr>
          <w:rFonts w:hint="cs"/>
          <w:rtl/>
        </w:rPr>
        <w:t>ש</w:t>
      </w:r>
      <w:r w:rsidRPr="00F8255E">
        <w:rPr>
          <w:rtl/>
        </w:rPr>
        <w:t>א״כ לא הו״ל לסתום אלא לפרש, יש להעיר מחידוש דומה של הערוה״ש ברמב״ם הלכות בכורות פ״ב ה״ו. ברמב״ם שם איתא שבספק בכור אם תפסו כהן אין מוציאין מידו.</w:t>
      </w:r>
    </w:p>
    <w:p w14:paraId="22F93840" w14:textId="77777777" w:rsidR="00E15FB0" w:rsidRPr="00F8255E" w:rsidRDefault="00E15FB0" w:rsidP="00F8255E">
      <w:pPr>
        <w:pStyle w:val="FootnoteText"/>
        <w:rPr>
          <w:rtl/>
        </w:rPr>
      </w:pPr>
      <w:r w:rsidRPr="00F8255E">
        <w:rPr>
          <w:rtl/>
        </w:rPr>
        <w:t>וברמב״ם הערוך שם כתב בשם הש״ך (יו״ד שטו סק״ג) בנקודות הכסף (שם) דצריך הכהן לשלם לישראל דמי טובת הנאה (דהרי אפילו אם הוא בכור יש לישראל זכות טובת הנאה ליתנו לכל כהן שירצה), ושהרמב״ם הולך לשיטתו (בהל׳ גניבה פ״ב ה״ה) דטובת הנאה אינה ממון.</w:t>
      </w:r>
    </w:p>
    <w:p w14:paraId="4DEFBDA0" w14:textId="77777777" w:rsidR="00E15FB0" w:rsidRPr="00F8255E" w:rsidRDefault="00E15FB0" w:rsidP="00F8255E">
      <w:pPr>
        <w:pStyle w:val="FootnoteText"/>
        <w:rPr>
          <w:rtl/>
        </w:rPr>
      </w:pPr>
      <w:r w:rsidRPr="00F8255E">
        <w:rPr>
          <w:rtl/>
        </w:rPr>
        <w:t>ויש להעיר:</w:t>
      </w:r>
    </w:p>
    <w:p w14:paraId="014A7CD1" w14:textId="23C016D2" w:rsidR="00E15FB0" w:rsidRPr="00F8255E" w:rsidRDefault="00E15FB0" w:rsidP="00F8255E">
      <w:pPr>
        <w:pStyle w:val="FootnoteText"/>
      </w:pPr>
      <w:r w:rsidRPr="00F8255E">
        <w:rPr>
          <w:rtl/>
        </w:rPr>
        <w:t>גם הש״ך (חו״מ סי׳ שנ) סובר דטובת הנאה אינה ממון.</w:t>
      </w:r>
      <w:r>
        <w:rPr>
          <w:rtl/>
        </w:rPr>
        <w:t xml:space="preserve"> </w:t>
      </w:r>
    </w:p>
    <w:p w14:paraId="21A321AA" w14:textId="77777777" w:rsidR="00E15FB0" w:rsidRPr="00F8255E" w:rsidRDefault="00E15FB0" w:rsidP="00F8255E">
      <w:pPr>
        <w:pStyle w:val="FootnoteText"/>
      </w:pPr>
      <w:r w:rsidRPr="00F8255E">
        <w:rPr>
          <w:rtl/>
        </w:rPr>
        <w:t>הש״ך לא כתב שצריך לשלם לו הטובת הנאה אלא למאן דס״ל שטובת הנאה ממון, ואיהו לא ס״ל הכי.</w:t>
      </w:r>
    </w:p>
    <w:p w14:paraId="1B3F0F86" w14:textId="0A0D84C4" w:rsidR="00E15FB0" w:rsidRPr="00F8255E" w:rsidRDefault="00E15FB0" w:rsidP="00F8255E">
      <w:pPr>
        <w:pStyle w:val="FootnoteText"/>
        <w:rPr>
          <w:rtl/>
        </w:rPr>
      </w:pPr>
      <w:r w:rsidRPr="00F8255E">
        <w:rPr>
          <w:rtl/>
        </w:rPr>
        <w:t xml:space="preserve">לדעת הש״ך (והלבוש) מחלוקת הפוסקים על הרמב״ם היא דאפי׳ אי נימא בשארי מקומות אין מוציאין הכא מוציאין הספק בכור מידו. דכיון שהישראל יש לו טובת הנאה ליתנו לכל כהן שירצה, ממילא הוא מוחזק תמיד. ובערוה״ש מוסיף דאפשר דגם הרמב״ם לא אמרה אלא במכירי כהונה (שבוודאי בכור בוודאי הי׳ נותן לו). </w:t>
      </w:r>
      <w:r w:rsidRPr="00F8255E">
        <w:rPr>
          <w:rFonts w:hint="cs"/>
          <w:rtl/>
        </w:rPr>
        <w:t xml:space="preserve">וקשה (כנ״ל בפנים), דא״כ לא הו״ל לסתום אלא לפרש. </w:t>
      </w:r>
      <w:r w:rsidRPr="00F8255E">
        <w:rPr>
          <w:rtl/>
        </w:rPr>
        <w:t>[</w:t>
      </w:r>
      <w:r w:rsidRPr="00F8255E">
        <w:rPr>
          <w:rFonts w:hint="cs"/>
          <w:rtl/>
        </w:rPr>
        <w:t>ויש להקשות גם</w:t>
      </w:r>
      <w:r w:rsidRPr="00F8255E">
        <w:rPr>
          <w:rtl/>
        </w:rPr>
        <w:t xml:space="preserve"> על הביאור שבערוה״ש שם שהרמב״ם חולק על סברא זו וסובר שמ״מ אין הכהן צריך להחזירו כיון שהרמב״ם ״הולך לשיטתו דטובת הנאה אינה ממון״, דקשה להולמו שהרי גם הש״ך פסק שאינה ממון ומ״מ פסק שצריך להחזירו כיון שהוא ״מוחזק״ תמיד כנ״ל.]</w:t>
      </w:r>
    </w:p>
  </w:footnote>
  <w:footnote w:id="60">
    <w:p w14:paraId="5D4342C2" w14:textId="35795062"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ולהעיר מלק״ש חל״ו עמ׳ 70 הע׳ 2.</w:t>
      </w:r>
    </w:p>
  </w:footnote>
  <w:footnote w:id="61">
    <w:p w14:paraId="78650213" w14:textId="162FDC71"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ד</w:t>
      </w:r>
      <w:r w:rsidRPr="00F8255E">
        <w:rPr>
          <w:rFonts w:hint="cs"/>
          <w:rtl/>
        </w:rPr>
        <w:t xml:space="preserve">בפשטות </w:t>
      </w:r>
      <w:r w:rsidRPr="00F8255E">
        <w:rPr>
          <w:rtl/>
        </w:rPr>
        <w:t>כשאומר לו בדרך סיפור בעלמא (משא״כ כשמרמז לו באצבע) לכאורה אין שליחות מעיקרא, ולא שצריך ״לבטל השליחות״ ע״י קבלנות וטובת הנאה.</w:t>
      </w:r>
    </w:p>
  </w:footnote>
  <w:footnote w:id="62">
    <w:p w14:paraId="560D8325" w14:textId="440133E6"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ובגמרא שם לא הוזכר שיש איסור ״שליחות״ גם כשלא אמר לו הישראל כלום, או כשאמר לו בדרך סיפור שלא בדרך ציווי.</w:t>
      </w:r>
    </w:p>
  </w:footnote>
  <w:footnote w:id="63">
    <w:p w14:paraId="5F6D002D" w14:textId="567FE5A3"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b/>
          <w:bCs/>
          <w:rtl/>
        </w:rPr>
        <w:t>ו</w:t>
      </w:r>
      <w:r w:rsidRPr="00F8255E">
        <w:rPr>
          <w:rFonts w:hint="cs"/>
          <w:b/>
          <w:bCs/>
          <w:rtl/>
        </w:rPr>
        <w:t>ע״ד</w:t>
      </w:r>
      <w:r w:rsidRPr="00F8255E">
        <w:rPr>
          <w:rFonts w:hint="cs"/>
          <w:rtl/>
        </w:rPr>
        <w:t xml:space="preserve"> </w:t>
      </w:r>
      <w:r w:rsidRPr="00F8255E">
        <w:rPr>
          <w:rtl/>
        </w:rPr>
        <w:t>מ״ש הצ״צ שם שמ״ש במשנה שאם בשביל ישראל אסור הכוונה היא דדעת איכא אע״ג ששליחות ליכא, כיון דישראל לא ציווה לו כלל.</w:t>
      </w:r>
    </w:p>
  </w:footnote>
  <w:footnote w:id="64">
    <w:p w14:paraId="73ACA11A" w14:textId="33F567DC" w:rsidR="00E15FB0" w:rsidRPr="00F8255E"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בשוע"ר סי' שלד סכ"ז: "בדליקה התירו לומר בפני הנכרי כל המכבה אינו מפסיד. ואם אינו כאן יכול לקרותו לכאן ולומר כן בפניו".</w:t>
      </w:r>
    </w:p>
  </w:footnote>
  <w:footnote w:id="65">
    <w:p w14:paraId="40AD4BB8" w14:textId="1782AE0D" w:rsidR="00E15FB0" w:rsidRDefault="00E15FB0"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כמ״ש שם הצ״צ וז״ל: ״והא שבדליקה התירו לומר כל המכבה אינו מפסיד אע״ג דודאי זכות הוא לו (אע״ג שעושה לקבל שכר [ולקמן מבואר שכשעושה לקבל שכר אינו זכות גמור], ודאי מ״מ זכות הוא לו. כ״ה בצ״צ שם ס״ה), י״ל שם התירו ולא חשו למחזי כשלוחו. ועוד דה״ל משאצ״ל.״</w:t>
      </w:r>
    </w:p>
  </w:footnote>
  <w:footnote w:id="66">
    <w:p w14:paraId="642C140A" w14:textId="2F7D7E8B" w:rsidR="00E15FB0" w:rsidRPr="005E6E84" w:rsidRDefault="00E15FB0" w:rsidP="005E6E84">
      <w:pPr>
        <w:pStyle w:val="FootnoteText"/>
        <w:rPr>
          <w:rtl/>
        </w:rPr>
      </w:pPr>
      <w:r w:rsidRPr="005E6E84">
        <w:rPr>
          <w:rStyle w:val="FootnoteReference"/>
          <w:vertAlign w:val="baseline"/>
        </w:rPr>
        <w:footnoteRef/>
      </w:r>
      <w:r>
        <w:rPr>
          <w:rFonts w:hint="cs"/>
          <w:rtl/>
        </w:rPr>
        <w:t>)</w:t>
      </w:r>
      <w:r w:rsidRPr="005E6E84">
        <w:rPr>
          <w:rtl/>
        </w:rPr>
        <w:t xml:space="preserve"> צ"ע למה מקדים (כאן וכן בשו"ת) השאלה "הבמחנים אם במבצרים", שהיא מאוחרות יותר, לשאלה "הטובה היא אם רעה" הכתובה לפניה. ולהעיר שגם בפירושו על התורה מפרש תחילה "הבמחנים" ורק אח"כ "הטובה היא", אלא ששם זה בגלל שמקשר "הבמחנים אם במבצרים" ל"החזק הוא הרפה". </w:t>
      </w:r>
    </w:p>
  </w:footnote>
  <w:footnote w:id="67">
    <w:p w14:paraId="0A09B142" w14:textId="4794B8AC" w:rsidR="00E15FB0" w:rsidRPr="005E6E84" w:rsidRDefault="00E15FB0" w:rsidP="005E6E84">
      <w:pPr>
        <w:pStyle w:val="FootnoteText"/>
        <w:rPr>
          <w:rtl/>
        </w:rPr>
      </w:pPr>
      <w:r w:rsidRPr="005E6E84">
        <w:rPr>
          <w:rStyle w:val="FootnoteReference"/>
          <w:vertAlign w:val="baseline"/>
        </w:rPr>
        <w:footnoteRef/>
      </w:r>
      <w:r>
        <w:rPr>
          <w:rFonts w:hint="cs"/>
          <w:rtl/>
        </w:rPr>
        <w:t>)</w:t>
      </w:r>
      <w:r w:rsidRPr="005E6E84">
        <w:rPr>
          <w:rtl/>
        </w:rPr>
        <w:t xml:space="preserve"> ועל דרך שכתוב שם פסוק יח "החזק הוא </w:t>
      </w:r>
      <w:r w:rsidRPr="005E6E84">
        <w:rPr>
          <w:b/>
          <w:bCs/>
          <w:rtl/>
        </w:rPr>
        <w:t>הרפה</w:t>
      </w:r>
      <w:r w:rsidRPr="005E6E84">
        <w:rPr>
          <w:rtl/>
        </w:rPr>
        <w:t xml:space="preserve">" (ובתרגום אונקלוס שם "התקיף הוא </w:t>
      </w:r>
      <w:r w:rsidRPr="005E6E84">
        <w:rPr>
          <w:b/>
          <w:bCs/>
          <w:rtl/>
        </w:rPr>
        <w:t>אם</w:t>
      </w:r>
      <w:r w:rsidRPr="005E6E84">
        <w:rPr>
          <w:rtl/>
        </w:rPr>
        <w:t xml:space="preserve"> חלש").</w:t>
      </w:r>
    </w:p>
  </w:footnote>
  <w:footnote w:id="68">
    <w:p w14:paraId="30E1DA7D" w14:textId="6BC86E0C" w:rsidR="00E15FB0" w:rsidRPr="00CB5EFF" w:rsidRDefault="00E15FB0" w:rsidP="005E6E84">
      <w:pPr>
        <w:pStyle w:val="FootnoteText"/>
      </w:pPr>
      <w:r w:rsidRPr="005E6E84">
        <w:rPr>
          <w:rStyle w:val="FootnoteReference"/>
          <w:vertAlign w:val="baseline"/>
        </w:rPr>
        <w:footnoteRef/>
      </w:r>
      <w:r>
        <w:rPr>
          <w:rFonts w:hint="cs"/>
          <w:rtl/>
        </w:rPr>
        <w:t>)</w:t>
      </w:r>
      <w:r w:rsidRPr="005E6E84">
        <w:rPr>
          <w:rtl/>
        </w:rPr>
        <w:t xml:space="preserve"> וצ"ע למה ברש"י על התורה לא פירש כלום במשמעות תיבת "אם" בתמיהה כפולה.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61FCC4D4" w14:textId="77777777" w:rsidTr="0097105B">
      <w:trPr>
        <w:trHeight w:val="80"/>
      </w:trPr>
      <w:tc>
        <w:tcPr>
          <w:tcW w:w="1008" w:type="dxa"/>
          <w:vAlign w:val="center"/>
        </w:tcPr>
        <w:p w14:paraId="16D4376A"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665E9507"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881E3C"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917DB79" w14:textId="77777777" w:rsidR="00E15FB0" w:rsidRDefault="00E15FB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290D0BFE" w14:textId="77777777" w:rsidTr="0097105B">
      <w:trPr>
        <w:trHeight w:val="80"/>
      </w:trPr>
      <w:tc>
        <w:tcPr>
          <w:tcW w:w="1008" w:type="dxa"/>
        </w:tcPr>
        <w:p w14:paraId="623B5B3F"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1A287933" w14:textId="5B847722"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DBE4FED"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7491E164" w14:textId="77777777" w:rsidR="00E15FB0" w:rsidRDefault="00E15FB0"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76D3C46C" w14:textId="77777777" w:rsidTr="0097105B">
      <w:trPr>
        <w:trHeight w:val="80"/>
      </w:trPr>
      <w:tc>
        <w:tcPr>
          <w:tcW w:w="1008" w:type="dxa"/>
          <w:vAlign w:val="center"/>
        </w:tcPr>
        <w:p w14:paraId="57644209"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14</w:t>
          </w:r>
          <w:r w:rsidRPr="002F63A9">
            <w:rPr>
              <w:rFonts w:ascii="Calibri Light" w:hAnsi="Calibri Light" w:cs="AAd_LivornaB4"/>
              <w:noProof/>
              <w:szCs w:val="28"/>
            </w:rPr>
            <w:fldChar w:fldCharType="end"/>
          </w:r>
        </w:p>
      </w:tc>
      <w:tc>
        <w:tcPr>
          <w:tcW w:w="4176" w:type="dxa"/>
          <w:vAlign w:val="center"/>
        </w:tcPr>
        <w:p w14:paraId="3C463234"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C00D40C"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5234B03" w14:textId="77777777" w:rsidR="00E15FB0" w:rsidRDefault="00E15FB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6ACE7B6" w14:textId="77777777" w:rsidTr="0097105B">
      <w:trPr>
        <w:trHeight w:val="80"/>
      </w:trPr>
      <w:tc>
        <w:tcPr>
          <w:tcW w:w="1008" w:type="dxa"/>
        </w:tcPr>
        <w:p w14:paraId="21EF5754"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75F5F493" w14:textId="77777777"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w:t>
          </w:r>
          <w:r w:rsidRPr="00D25874">
            <w:rPr>
              <w:rFonts w:ascii="FbSfaradi Medium" w:hAnsi="FbSfaradi Medium" w:cs="AAd_LivornaB4" w:hint="cs"/>
              <w:b/>
              <w:bCs/>
              <w:sz w:val="28"/>
              <w:szCs w:val="28"/>
              <w:rtl/>
            </w:rPr>
            <w:t>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7B49B0B"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12420E8E" w14:textId="77777777" w:rsidR="00E15FB0" w:rsidRDefault="00E15FB0"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61FB8DC2" w14:textId="77777777" w:rsidTr="0097105B">
      <w:trPr>
        <w:trHeight w:val="80"/>
      </w:trPr>
      <w:tc>
        <w:tcPr>
          <w:tcW w:w="1008" w:type="dxa"/>
          <w:vAlign w:val="center"/>
        </w:tcPr>
        <w:p w14:paraId="36853E48"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14</w:t>
          </w:r>
          <w:r w:rsidRPr="002F63A9">
            <w:rPr>
              <w:rFonts w:ascii="Calibri Light" w:hAnsi="Calibri Light" w:cs="AAd_LivornaB4"/>
              <w:noProof/>
              <w:szCs w:val="28"/>
            </w:rPr>
            <w:fldChar w:fldCharType="end"/>
          </w:r>
        </w:p>
      </w:tc>
      <w:tc>
        <w:tcPr>
          <w:tcW w:w="4176" w:type="dxa"/>
          <w:vAlign w:val="center"/>
        </w:tcPr>
        <w:p w14:paraId="30B3256D"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3AF9532"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A7A2937" w14:textId="77777777" w:rsidR="00E15FB0" w:rsidRDefault="00E15FB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6AB9420" w14:textId="77777777" w:rsidTr="0097105B">
      <w:trPr>
        <w:trHeight w:val="80"/>
      </w:trPr>
      <w:tc>
        <w:tcPr>
          <w:tcW w:w="1008" w:type="dxa"/>
        </w:tcPr>
        <w:p w14:paraId="100528CA"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30FA88BA" w14:textId="77777777"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65C1C04"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5F5E8530" w14:textId="77777777" w:rsidR="00E15FB0" w:rsidRDefault="00E15FB0"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79C97660" w14:textId="77777777" w:rsidTr="0097105B">
      <w:trPr>
        <w:trHeight w:val="80"/>
      </w:trPr>
      <w:tc>
        <w:tcPr>
          <w:tcW w:w="1008" w:type="dxa"/>
          <w:vAlign w:val="center"/>
        </w:tcPr>
        <w:p w14:paraId="4773165C"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252DAFB9"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BB200D"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0CF310B" w14:textId="77777777" w:rsidR="00E15FB0" w:rsidRDefault="00E15FB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1C5ADC8" w14:textId="77777777" w:rsidTr="0097105B">
      <w:trPr>
        <w:trHeight w:val="80"/>
      </w:trPr>
      <w:tc>
        <w:tcPr>
          <w:tcW w:w="1008" w:type="dxa"/>
        </w:tcPr>
        <w:p w14:paraId="7EACC4D8"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5087F7D" w14:textId="77777777"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20FC356"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77A8AF17" w14:textId="77777777" w:rsidR="00E15FB0" w:rsidRDefault="00E15FB0"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DE62BBE" w14:textId="77777777" w:rsidTr="0097105B">
      <w:trPr>
        <w:trHeight w:val="80"/>
      </w:trPr>
      <w:tc>
        <w:tcPr>
          <w:tcW w:w="1008" w:type="dxa"/>
          <w:vAlign w:val="center"/>
        </w:tcPr>
        <w:p w14:paraId="67D0605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400DB889"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96D370F"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228E414" w14:textId="77777777" w:rsidR="00E15FB0" w:rsidRDefault="00E15FB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69813D2" w14:textId="77777777" w:rsidTr="0097105B">
      <w:trPr>
        <w:trHeight w:val="80"/>
      </w:trPr>
      <w:tc>
        <w:tcPr>
          <w:tcW w:w="1008" w:type="dxa"/>
        </w:tcPr>
        <w:p w14:paraId="64D18082"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43BF79B" w14:textId="446972EF"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B96E33B"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17</w:t>
          </w:r>
          <w:r w:rsidRPr="00425748">
            <w:rPr>
              <w:rFonts w:ascii="FbSfaradi Medium" w:hAnsi="FbSfaradi Medium" w:cs="AAd_LivornaB4"/>
              <w:szCs w:val="28"/>
            </w:rPr>
            <w:fldChar w:fldCharType="end"/>
          </w:r>
        </w:p>
      </w:tc>
    </w:tr>
  </w:tbl>
  <w:p w14:paraId="133D1A69" w14:textId="77777777" w:rsidR="00E15FB0" w:rsidRDefault="00E15FB0"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77C91AB4" w14:textId="77777777" w:rsidTr="0097105B">
      <w:trPr>
        <w:trHeight w:val="80"/>
      </w:trPr>
      <w:tc>
        <w:tcPr>
          <w:tcW w:w="1008" w:type="dxa"/>
          <w:vAlign w:val="center"/>
        </w:tcPr>
        <w:p w14:paraId="74F35B6F"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370794AE"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8DFABA8"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91260F3" w14:textId="77777777" w:rsidR="00E15FB0" w:rsidRDefault="00E15FB0"/>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14F13BA9" w14:textId="77777777" w:rsidTr="0097105B">
      <w:trPr>
        <w:trHeight w:val="80"/>
      </w:trPr>
      <w:tc>
        <w:tcPr>
          <w:tcW w:w="1008" w:type="dxa"/>
        </w:tcPr>
        <w:p w14:paraId="121662B1"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7FD4E289" w14:textId="649DFB69" w:rsidR="00E15FB0" w:rsidRPr="00D25874" w:rsidRDefault="00E15FB0" w:rsidP="0093363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503917D"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058A6E4E" w14:textId="77777777" w:rsidR="00E15FB0" w:rsidRDefault="00E15FB0"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403B2702" w14:textId="77777777" w:rsidTr="0097105B">
      <w:trPr>
        <w:trHeight w:val="80"/>
      </w:trPr>
      <w:tc>
        <w:tcPr>
          <w:tcW w:w="1008" w:type="dxa"/>
          <w:vAlign w:val="center"/>
        </w:tcPr>
        <w:p w14:paraId="665A17CF"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29505D7B"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B1F0623"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8545DB4" w14:textId="77777777" w:rsidR="00E15FB0" w:rsidRDefault="00E15FB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1964B2A" w14:textId="77777777" w:rsidTr="0097105B">
      <w:trPr>
        <w:trHeight w:val="80"/>
      </w:trPr>
      <w:tc>
        <w:tcPr>
          <w:tcW w:w="1008" w:type="dxa"/>
        </w:tcPr>
        <w:p w14:paraId="48FEA702"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6C59DC47" w14:textId="05AA2309"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E6486DA"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14:paraId="7DCE484C" w14:textId="77777777" w:rsidR="00E15FB0" w:rsidRDefault="00E15FB0"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32B819A6" w14:textId="77777777" w:rsidTr="0097105B">
      <w:trPr>
        <w:trHeight w:val="80"/>
      </w:trPr>
      <w:tc>
        <w:tcPr>
          <w:tcW w:w="1008" w:type="dxa"/>
          <w:vAlign w:val="center"/>
        </w:tcPr>
        <w:p w14:paraId="12D1E06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26</w:t>
          </w:r>
          <w:r w:rsidRPr="002F63A9">
            <w:rPr>
              <w:rFonts w:ascii="Calibri Light" w:hAnsi="Calibri Light" w:cs="AAd_LivornaB4"/>
              <w:noProof/>
              <w:szCs w:val="28"/>
            </w:rPr>
            <w:fldChar w:fldCharType="end"/>
          </w:r>
        </w:p>
      </w:tc>
      <w:tc>
        <w:tcPr>
          <w:tcW w:w="4176" w:type="dxa"/>
          <w:vAlign w:val="center"/>
        </w:tcPr>
        <w:p w14:paraId="189B5E36"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B7A0254"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BBCB392" w14:textId="77777777" w:rsidR="00E15FB0" w:rsidRDefault="00E15FB0"/>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7EB33994" w14:textId="77777777" w:rsidTr="0097105B">
      <w:trPr>
        <w:trHeight w:val="80"/>
      </w:trPr>
      <w:tc>
        <w:tcPr>
          <w:tcW w:w="1008" w:type="dxa"/>
        </w:tcPr>
        <w:p w14:paraId="02644A2A"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C7DE4C7" w14:textId="4C41CEBC" w:rsidR="00E15FB0" w:rsidRPr="00D25874" w:rsidRDefault="00E15FB0" w:rsidP="0093363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4BE96FC"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14:paraId="3CB4E285" w14:textId="77777777" w:rsidR="00E15FB0" w:rsidRDefault="00E15FB0"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2047E67D" w14:textId="77777777" w:rsidTr="0097105B">
      <w:trPr>
        <w:trHeight w:val="80"/>
      </w:trPr>
      <w:tc>
        <w:tcPr>
          <w:tcW w:w="1008" w:type="dxa"/>
          <w:vAlign w:val="center"/>
        </w:tcPr>
        <w:p w14:paraId="72B8276F"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28</w:t>
          </w:r>
          <w:r w:rsidRPr="002F63A9">
            <w:rPr>
              <w:rFonts w:ascii="Calibri Light" w:hAnsi="Calibri Light" w:cs="AAd_LivornaB4"/>
              <w:noProof/>
              <w:szCs w:val="28"/>
            </w:rPr>
            <w:fldChar w:fldCharType="end"/>
          </w:r>
        </w:p>
      </w:tc>
      <w:tc>
        <w:tcPr>
          <w:tcW w:w="4176" w:type="dxa"/>
          <w:vAlign w:val="center"/>
        </w:tcPr>
        <w:p w14:paraId="1DCDC2BD"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49869"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1620415" w14:textId="77777777" w:rsidR="00E15FB0" w:rsidRDefault="00E15FB0"/>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5A3EC74" w14:textId="77777777" w:rsidTr="0097105B">
      <w:trPr>
        <w:trHeight w:val="80"/>
      </w:trPr>
      <w:tc>
        <w:tcPr>
          <w:tcW w:w="1008" w:type="dxa"/>
        </w:tcPr>
        <w:p w14:paraId="3A3C679C"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3A5FA300" w14:textId="446F7DAB"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1FD1890"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27</w:t>
          </w:r>
          <w:r w:rsidRPr="00425748">
            <w:rPr>
              <w:rFonts w:ascii="FbSfaradi Medium" w:hAnsi="FbSfaradi Medium" w:cs="AAd_LivornaB4"/>
              <w:szCs w:val="28"/>
            </w:rPr>
            <w:fldChar w:fldCharType="end"/>
          </w:r>
        </w:p>
      </w:tc>
    </w:tr>
  </w:tbl>
  <w:p w14:paraId="5CB31B6C" w14:textId="77777777" w:rsidR="00E15FB0" w:rsidRDefault="00E15FB0"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506B791D" w14:textId="77777777" w:rsidTr="0097105B">
      <w:trPr>
        <w:trHeight w:val="80"/>
      </w:trPr>
      <w:tc>
        <w:tcPr>
          <w:tcW w:w="1008" w:type="dxa"/>
          <w:vAlign w:val="center"/>
        </w:tcPr>
        <w:p w14:paraId="600E55B2"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20FA8660"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601DC41"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6121CA9" w14:textId="77777777" w:rsidR="00E15FB0" w:rsidRDefault="00E15FB0"/>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43358942" w14:textId="77777777" w:rsidTr="0097105B">
      <w:trPr>
        <w:trHeight w:val="80"/>
      </w:trPr>
      <w:tc>
        <w:tcPr>
          <w:tcW w:w="1008" w:type="dxa"/>
        </w:tcPr>
        <w:p w14:paraId="687230E2"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7FCA337A" w14:textId="69A04477"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25C64F"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29</w:t>
          </w:r>
          <w:r w:rsidRPr="00425748">
            <w:rPr>
              <w:rFonts w:ascii="FbSfaradi Medium" w:hAnsi="FbSfaradi Medium" w:cs="AAd_LivornaB4"/>
              <w:szCs w:val="28"/>
            </w:rPr>
            <w:fldChar w:fldCharType="end"/>
          </w:r>
        </w:p>
      </w:tc>
    </w:tr>
  </w:tbl>
  <w:p w14:paraId="77DF8A88" w14:textId="77777777" w:rsidR="00E15FB0" w:rsidRDefault="00E15FB0" w:rsidP="00BC356B">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74B307BA" w14:textId="77777777" w:rsidTr="0097105B">
      <w:trPr>
        <w:trHeight w:val="80"/>
      </w:trPr>
      <w:tc>
        <w:tcPr>
          <w:tcW w:w="1008" w:type="dxa"/>
          <w:vAlign w:val="center"/>
        </w:tcPr>
        <w:p w14:paraId="0F14C8FA"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vAlign w:val="center"/>
        </w:tcPr>
        <w:p w14:paraId="2B6ECC01"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4950A25"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33C660E" w14:textId="77777777" w:rsidR="00E15FB0" w:rsidRDefault="00E15FB0"/>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12209F14" w14:textId="77777777" w:rsidTr="0097105B">
      <w:trPr>
        <w:trHeight w:val="80"/>
      </w:trPr>
      <w:tc>
        <w:tcPr>
          <w:tcW w:w="1008" w:type="dxa"/>
        </w:tcPr>
        <w:p w14:paraId="6F7E8138"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633044B1" w14:textId="2F546493" w:rsidR="00E15FB0" w:rsidRPr="00D25874" w:rsidRDefault="00E15FB0" w:rsidP="00E15FB0">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DC8242D"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088375BF" w14:textId="77777777" w:rsidR="00E15FB0" w:rsidRDefault="00E15FB0"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46F8683B" w14:textId="77777777" w:rsidTr="0097105B">
      <w:trPr>
        <w:trHeight w:val="80"/>
      </w:trPr>
      <w:tc>
        <w:tcPr>
          <w:tcW w:w="1008" w:type="dxa"/>
          <w:vAlign w:val="center"/>
        </w:tcPr>
        <w:p w14:paraId="5A3081F8"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11F6FE9C"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B924F48"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92245FA" w14:textId="77777777" w:rsidR="00E15FB0" w:rsidRDefault="00E15FB0"/>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BE25AAC" w14:textId="77777777" w:rsidTr="0097105B">
      <w:trPr>
        <w:trHeight w:val="80"/>
      </w:trPr>
      <w:tc>
        <w:tcPr>
          <w:tcW w:w="1008" w:type="dxa"/>
        </w:tcPr>
        <w:p w14:paraId="5BBB3537"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37F56CC0" w14:textId="28434BDE"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D59DF8F"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608D4573" w14:textId="77777777" w:rsidR="00E15FB0" w:rsidRDefault="00E15FB0"/>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366E50FB" w14:textId="77777777" w:rsidTr="0097105B">
      <w:trPr>
        <w:trHeight w:val="80"/>
      </w:trPr>
      <w:tc>
        <w:tcPr>
          <w:tcW w:w="1008" w:type="dxa"/>
          <w:vAlign w:val="center"/>
        </w:tcPr>
        <w:p w14:paraId="7F609452"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vAlign w:val="center"/>
        </w:tcPr>
        <w:p w14:paraId="3726FC4F"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DAA398A"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1256BC0" w14:textId="77777777" w:rsidR="00E15FB0" w:rsidRDefault="00E15FB0"/>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16EF3B9E" w14:textId="77777777" w:rsidTr="0097105B">
      <w:trPr>
        <w:trHeight w:val="80"/>
      </w:trPr>
      <w:tc>
        <w:tcPr>
          <w:tcW w:w="1008" w:type="dxa"/>
        </w:tcPr>
        <w:p w14:paraId="40566E62"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ED584E9" w14:textId="77777777" w:rsidR="00E15FB0" w:rsidRPr="00D25874" w:rsidRDefault="00E15FB0" w:rsidP="00C8154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 פורים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058BA47"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33</w:t>
          </w:r>
          <w:r w:rsidRPr="00425748">
            <w:rPr>
              <w:rFonts w:ascii="FbSfaradi Medium" w:hAnsi="FbSfaradi Medium" w:cs="AAd_LivornaB4"/>
              <w:szCs w:val="28"/>
            </w:rPr>
            <w:fldChar w:fldCharType="end"/>
          </w:r>
        </w:p>
      </w:tc>
    </w:tr>
  </w:tbl>
  <w:p w14:paraId="72CEDFC2" w14:textId="77777777" w:rsidR="00E15FB0" w:rsidRDefault="00E15FB0"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64A9BE9A" w14:textId="77777777" w:rsidTr="0097105B">
      <w:trPr>
        <w:trHeight w:val="80"/>
      </w:trPr>
      <w:tc>
        <w:tcPr>
          <w:tcW w:w="1008" w:type="dxa"/>
          <w:vAlign w:val="center"/>
        </w:tcPr>
        <w:p w14:paraId="08B13C4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14:paraId="1263045B"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AADB3D"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F01F522" w14:textId="77777777" w:rsidR="00E15FB0" w:rsidRDefault="00E15FB0"/>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1406B626" w14:textId="77777777" w:rsidTr="0097105B">
      <w:trPr>
        <w:trHeight w:val="80"/>
      </w:trPr>
      <w:tc>
        <w:tcPr>
          <w:tcW w:w="1008" w:type="dxa"/>
        </w:tcPr>
        <w:p w14:paraId="7042CCB8"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DB4AA2D" w14:textId="26087E9F"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6F15997"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14:paraId="60867D6F" w14:textId="77777777" w:rsidR="00E15FB0" w:rsidRDefault="00E15FB0"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EC2A5F7" w14:textId="77777777" w:rsidTr="0097105B">
      <w:trPr>
        <w:trHeight w:val="80"/>
      </w:trPr>
      <w:tc>
        <w:tcPr>
          <w:tcW w:w="1008" w:type="dxa"/>
          <w:vAlign w:val="center"/>
        </w:tcPr>
        <w:p w14:paraId="71A27CE4"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44</w:t>
          </w:r>
          <w:r w:rsidRPr="002F63A9">
            <w:rPr>
              <w:rFonts w:ascii="Calibri Light" w:hAnsi="Calibri Light" w:cs="AAd_LivornaB4"/>
              <w:noProof/>
              <w:szCs w:val="28"/>
            </w:rPr>
            <w:fldChar w:fldCharType="end"/>
          </w:r>
        </w:p>
      </w:tc>
      <w:tc>
        <w:tcPr>
          <w:tcW w:w="4176" w:type="dxa"/>
          <w:vAlign w:val="center"/>
        </w:tcPr>
        <w:p w14:paraId="019E3456"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D4A844F"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C65BCDA" w14:textId="77777777" w:rsidR="00E15FB0" w:rsidRDefault="00E15FB0"/>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93B8F7C" w14:textId="77777777" w:rsidTr="0097105B">
      <w:trPr>
        <w:trHeight w:val="80"/>
      </w:trPr>
      <w:tc>
        <w:tcPr>
          <w:tcW w:w="1008" w:type="dxa"/>
        </w:tcPr>
        <w:p w14:paraId="7426B45D"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0BE23C8A" w14:textId="2EEE57E1"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1392B37"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43</w:t>
          </w:r>
          <w:r w:rsidRPr="00425748">
            <w:rPr>
              <w:rFonts w:ascii="FbSfaradi Medium" w:hAnsi="FbSfaradi Medium" w:cs="AAd_LivornaB4"/>
              <w:szCs w:val="28"/>
            </w:rPr>
            <w:fldChar w:fldCharType="end"/>
          </w:r>
        </w:p>
      </w:tc>
    </w:tr>
  </w:tbl>
  <w:p w14:paraId="4CFC4BDC" w14:textId="77777777" w:rsidR="00E15FB0" w:rsidRDefault="00E15FB0"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51D68220" w14:textId="77777777" w:rsidTr="0097105B">
      <w:trPr>
        <w:trHeight w:val="80"/>
      </w:trPr>
      <w:tc>
        <w:tcPr>
          <w:tcW w:w="1008" w:type="dxa"/>
          <w:vAlign w:val="center"/>
        </w:tcPr>
        <w:p w14:paraId="5B614C65"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50</w:t>
          </w:r>
          <w:r w:rsidRPr="002F63A9">
            <w:rPr>
              <w:rFonts w:ascii="Calibri Light" w:hAnsi="Calibri Light" w:cs="AAd_LivornaB4"/>
              <w:noProof/>
              <w:szCs w:val="28"/>
            </w:rPr>
            <w:fldChar w:fldCharType="end"/>
          </w:r>
        </w:p>
      </w:tc>
      <w:tc>
        <w:tcPr>
          <w:tcW w:w="4176" w:type="dxa"/>
          <w:vAlign w:val="center"/>
        </w:tcPr>
        <w:p w14:paraId="3EBC9994"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5CA944"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D4AD919" w14:textId="77777777" w:rsidR="00E15FB0" w:rsidRDefault="00E15FB0"/>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7B60320" w14:textId="77777777" w:rsidTr="0097105B">
      <w:trPr>
        <w:trHeight w:val="80"/>
      </w:trPr>
      <w:tc>
        <w:tcPr>
          <w:tcW w:w="1008" w:type="dxa"/>
        </w:tcPr>
        <w:p w14:paraId="1C00B39B"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61F6EFB0" w14:textId="08AE1C79"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561D7C"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49</w:t>
          </w:r>
          <w:r w:rsidRPr="00425748">
            <w:rPr>
              <w:rFonts w:ascii="FbSfaradi Medium" w:hAnsi="FbSfaradi Medium" w:cs="AAd_LivornaB4"/>
              <w:szCs w:val="28"/>
            </w:rPr>
            <w:fldChar w:fldCharType="end"/>
          </w:r>
        </w:p>
      </w:tc>
    </w:tr>
  </w:tbl>
  <w:p w14:paraId="7CA2BDBC" w14:textId="77777777" w:rsidR="00E15FB0" w:rsidRDefault="00E15FB0"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7019B1F9" w14:textId="77777777" w:rsidTr="0097105B">
      <w:trPr>
        <w:trHeight w:val="80"/>
      </w:trPr>
      <w:tc>
        <w:tcPr>
          <w:tcW w:w="1008" w:type="dxa"/>
          <w:vAlign w:val="center"/>
        </w:tcPr>
        <w:p w14:paraId="50AEE620"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52</w:t>
          </w:r>
          <w:r w:rsidRPr="002F63A9">
            <w:rPr>
              <w:rFonts w:ascii="Calibri Light" w:hAnsi="Calibri Light" w:cs="AAd_LivornaB4"/>
              <w:noProof/>
              <w:szCs w:val="28"/>
            </w:rPr>
            <w:fldChar w:fldCharType="end"/>
          </w:r>
        </w:p>
      </w:tc>
      <w:tc>
        <w:tcPr>
          <w:tcW w:w="4176" w:type="dxa"/>
          <w:vAlign w:val="center"/>
        </w:tcPr>
        <w:p w14:paraId="60BF4AFD"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5ACC54C"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4CD9498" w14:textId="77777777" w:rsidR="00E15FB0" w:rsidRDefault="00E15FB0"/>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32D5E94E" w14:textId="77777777" w:rsidTr="0097105B">
      <w:trPr>
        <w:trHeight w:val="80"/>
      </w:trPr>
      <w:tc>
        <w:tcPr>
          <w:tcW w:w="1008" w:type="dxa"/>
        </w:tcPr>
        <w:p w14:paraId="577FCE89"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D23434C" w14:textId="1A86F73F"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CD9992C"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14:paraId="53641147" w14:textId="77777777" w:rsidR="00E15FB0" w:rsidRDefault="00E15FB0"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944EC2A" w14:textId="77777777" w:rsidTr="0097105B">
      <w:trPr>
        <w:trHeight w:val="80"/>
      </w:trPr>
      <w:tc>
        <w:tcPr>
          <w:tcW w:w="1008" w:type="dxa"/>
          <w:vAlign w:val="center"/>
        </w:tcPr>
        <w:p w14:paraId="73CE6275"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48</w:t>
          </w:r>
          <w:r w:rsidRPr="002F63A9">
            <w:rPr>
              <w:rFonts w:ascii="Calibri Light" w:hAnsi="Calibri Light" w:cs="AAd_LivornaB4"/>
              <w:noProof/>
              <w:szCs w:val="28"/>
            </w:rPr>
            <w:fldChar w:fldCharType="end"/>
          </w:r>
        </w:p>
      </w:tc>
      <w:tc>
        <w:tcPr>
          <w:tcW w:w="4176" w:type="dxa"/>
          <w:vAlign w:val="center"/>
        </w:tcPr>
        <w:p w14:paraId="4FA4136C"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89E5E2"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424D1AA" w14:textId="77777777" w:rsidR="00E15FB0" w:rsidRDefault="00E15FB0"/>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E82F56C" w14:textId="77777777" w:rsidTr="0097105B">
      <w:trPr>
        <w:trHeight w:val="80"/>
      </w:trPr>
      <w:tc>
        <w:tcPr>
          <w:tcW w:w="1008" w:type="dxa"/>
        </w:tcPr>
        <w:p w14:paraId="02F68908"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6F39F52" w14:textId="77777777" w:rsidR="00E15FB0" w:rsidRPr="00D25874" w:rsidRDefault="00E15FB0" w:rsidP="00C8154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 פורים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33D51A"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14:paraId="610E2C2A" w14:textId="77777777" w:rsidR="00E15FB0" w:rsidRDefault="00E15FB0"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4F181064" w14:textId="77777777" w:rsidTr="0097105B">
      <w:trPr>
        <w:trHeight w:val="80"/>
      </w:trPr>
      <w:tc>
        <w:tcPr>
          <w:tcW w:w="1008" w:type="dxa"/>
          <w:vAlign w:val="center"/>
        </w:tcPr>
        <w:p w14:paraId="18C4FC9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54</w:t>
          </w:r>
          <w:r w:rsidRPr="002F63A9">
            <w:rPr>
              <w:rFonts w:ascii="Calibri Light" w:hAnsi="Calibri Light" w:cs="AAd_LivornaB4"/>
              <w:noProof/>
              <w:szCs w:val="28"/>
            </w:rPr>
            <w:fldChar w:fldCharType="end"/>
          </w:r>
        </w:p>
      </w:tc>
      <w:tc>
        <w:tcPr>
          <w:tcW w:w="4176" w:type="dxa"/>
          <w:vAlign w:val="center"/>
        </w:tcPr>
        <w:p w14:paraId="581BD472"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EB20935"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939B9DF" w14:textId="77777777" w:rsidR="00E15FB0" w:rsidRDefault="00E15FB0"/>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B0B1B35" w14:textId="77777777" w:rsidTr="0097105B">
      <w:trPr>
        <w:trHeight w:val="80"/>
      </w:trPr>
      <w:tc>
        <w:tcPr>
          <w:tcW w:w="1008" w:type="dxa"/>
        </w:tcPr>
        <w:p w14:paraId="1F318CE2"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AF677C4" w14:textId="46C7E296"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C5D86D9"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55</w:t>
          </w:r>
          <w:r w:rsidRPr="00425748">
            <w:rPr>
              <w:rFonts w:ascii="FbSfaradi Medium" w:hAnsi="FbSfaradi Medium" w:cs="AAd_LivornaB4"/>
              <w:szCs w:val="28"/>
            </w:rPr>
            <w:fldChar w:fldCharType="end"/>
          </w:r>
        </w:p>
      </w:tc>
    </w:tr>
  </w:tbl>
  <w:p w14:paraId="541F9B24" w14:textId="77777777" w:rsidR="00E15FB0" w:rsidRDefault="00E15FB0" w:rsidP="00BC356B">
    <w:pPr>
      <w:tabs>
        <w:tab w:val="left" w:pos="1327"/>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EFCE573" w14:textId="77777777" w:rsidTr="0097105B">
      <w:trPr>
        <w:trHeight w:val="80"/>
      </w:trPr>
      <w:tc>
        <w:tcPr>
          <w:tcW w:w="1008" w:type="dxa"/>
          <w:vAlign w:val="center"/>
        </w:tcPr>
        <w:p w14:paraId="7F8CA63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56</w:t>
          </w:r>
          <w:r w:rsidRPr="002F63A9">
            <w:rPr>
              <w:rFonts w:ascii="Calibri Light" w:hAnsi="Calibri Light" w:cs="AAd_LivornaB4"/>
              <w:noProof/>
              <w:szCs w:val="28"/>
            </w:rPr>
            <w:fldChar w:fldCharType="end"/>
          </w:r>
        </w:p>
      </w:tc>
      <w:tc>
        <w:tcPr>
          <w:tcW w:w="4176" w:type="dxa"/>
          <w:vAlign w:val="center"/>
        </w:tcPr>
        <w:p w14:paraId="51D269AC"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02CBA89"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6FB31C9" w14:textId="77777777" w:rsidR="00E15FB0" w:rsidRDefault="00E15FB0"/>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3A2FB54A" w14:textId="77777777" w:rsidTr="0097105B">
      <w:trPr>
        <w:trHeight w:val="80"/>
      </w:trPr>
      <w:tc>
        <w:tcPr>
          <w:tcW w:w="1008" w:type="dxa"/>
        </w:tcPr>
        <w:p w14:paraId="39ACA753"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2F9BF451" w14:textId="7D4C5EE4"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CF8A71D"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57</w:t>
          </w:r>
          <w:r w:rsidRPr="00425748">
            <w:rPr>
              <w:rFonts w:ascii="FbSfaradi Medium" w:hAnsi="FbSfaradi Medium" w:cs="AAd_LivornaB4"/>
              <w:szCs w:val="28"/>
            </w:rPr>
            <w:fldChar w:fldCharType="end"/>
          </w:r>
        </w:p>
      </w:tc>
    </w:tr>
  </w:tbl>
  <w:p w14:paraId="534AA2BC" w14:textId="77777777" w:rsidR="00E15FB0" w:rsidRDefault="00E15FB0" w:rsidP="00BC356B">
    <w:pPr>
      <w:tabs>
        <w:tab w:val="left" w:pos="1327"/>
      </w:tabs>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E5D776F" w14:textId="77777777" w:rsidTr="0097105B">
      <w:trPr>
        <w:trHeight w:val="80"/>
      </w:trPr>
      <w:tc>
        <w:tcPr>
          <w:tcW w:w="1008" w:type="dxa"/>
          <w:vAlign w:val="center"/>
        </w:tcPr>
        <w:p w14:paraId="229562B6"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57F8AABF"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B37ED"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2BBAC61" w14:textId="77777777" w:rsidR="00E15FB0" w:rsidRDefault="00E15FB0"/>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D1EB8CB" w14:textId="77777777" w:rsidTr="0097105B">
      <w:trPr>
        <w:trHeight w:val="80"/>
      </w:trPr>
      <w:tc>
        <w:tcPr>
          <w:tcW w:w="1008" w:type="dxa"/>
        </w:tcPr>
        <w:p w14:paraId="042BCE9A"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1FA1993A" w14:textId="75E15F30"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5801127"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59</w:t>
          </w:r>
          <w:r w:rsidRPr="00425748">
            <w:rPr>
              <w:rFonts w:ascii="FbSfaradi Medium" w:hAnsi="FbSfaradi Medium" w:cs="AAd_LivornaB4"/>
              <w:szCs w:val="28"/>
            </w:rPr>
            <w:fldChar w:fldCharType="end"/>
          </w:r>
        </w:p>
      </w:tc>
    </w:tr>
  </w:tbl>
  <w:p w14:paraId="4EA4235B" w14:textId="77777777" w:rsidR="00E15FB0" w:rsidRDefault="00E15FB0" w:rsidP="00BC356B">
    <w:pPr>
      <w:tabs>
        <w:tab w:val="left" w:pos="1327"/>
      </w:tabs>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252DC8F2" w14:textId="77777777" w:rsidTr="0097105B">
      <w:trPr>
        <w:trHeight w:val="80"/>
      </w:trPr>
      <w:tc>
        <w:tcPr>
          <w:tcW w:w="1008" w:type="dxa"/>
          <w:vAlign w:val="center"/>
        </w:tcPr>
        <w:p w14:paraId="78694C8B"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66</w:t>
          </w:r>
          <w:r w:rsidRPr="002F63A9">
            <w:rPr>
              <w:rFonts w:ascii="Calibri Light" w:hAnsi="Calibri Light" w:cs="AAd_LivornaB4"/>
              <w:noProof/>
              <w:szCs w:val="28"/>
            </w:rPr>
            <w:fldChar w:fldCharType="end"/>
          </w:r>
        </w:p>
      </w:tc>
      <w:tc>
        <w:tcPr>
          <w:tcW w:w="4176" w:type="dxa"/>
          <w:vAlign w:val="center"/>
        </w:tcPr>
        <w:p w14:paraId="7AAA6C46"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708BC54"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882AB14" w14:textId="77777777" w:rsidR="00E15FB0" w:rsidRDefault="00E15FB0"/>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1E623E1" w14:textId="77777777" w:rsidTr="0097105B">
      <w:trPr>
        <w:trHeight w:val="80"/>
      </w:trPr>
      <w:tc>
        <w:tcPr>
          <w:tcW w:w="1008" w:type="dxa"/>
        </w:tcPr>
        <w:p w14:paraId="66950D55"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7F2D5842" w14:textId="620DB922"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99FC8C7"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67</w:t>
          </w:r>
          <w:r w:rsidRPr="00425748">
            <w:rPr>
              <w:rFonts w:ascii="FbSfaradi Medium" w:hAnsi="FbSfaradi Medium" w:cs="AAd_LivornaB4"/>
              <w:szCs w:val="28"/>
            </w:rPr>
            <w:fldChar w:fldCharType="end"/>
          </w:r>
        </w:p>
      </w:tc>
    </w:tr>
  </w:tbl>
  <w:p w14:paraId="04FB4150" w14:textId="77777777" w:rsidR="00E15FB0" w:rsidRDefault="00E15FB0" w:rsidP="00BC356B">
    <w:pPr>
      <w:tabs>
        <w:tab w:val="left" w:pos="1327"/>
      </w:tabs>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5E682CB1" w14:textId="77777777" w:rsidTr="0097105B">
      <w:trPr>
        <w:trHeight w:val="80"/>
      </w:trPr>
      <w:tc>
        <w:tcPr>
          <w:tcW w:w="1008" w:type="dxa"/>
          <w:vAlign w:val="center"/>
        </w:tcPr>
        <w:p w14:paraId="0C277EC5"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76</w:t>
          </w:r>
          <w:r w:rsidRPr="002F63A9">
            <w:rPr>
              <w:rFonts w:ascii="Calibri Light" w:hAnsi="Calibri Light" w:cs="AAd_LivornaB4"/>
              <w:noProof/>
              <w:szCs w:val="28"/>
            </w:rPr>
            <w:fldChar w:fldCharType="end"/>
          </w:r>
        </w:p>
      </w:tc>
      <w:tc>
        <w:tcPr>
          <w:tcW w:w="4176" w:type="dxa"/>
          <w:vAlign w:val="center"/>
        </w:tcPr>
        <w:p w14:paraId="6236F8BF"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1F1A587"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D877DDB" w14:textId="77777777" w:rsidR="00E15FB0" w:rsidRDefault="00E15FB0"/>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3960DF8" w14:textId="77777777" w:rsidTr="0097105B">
      <w:trPr>
        <w:trHeight w:val="80"/>
      </w:trPr>
      <w:tc>
        <w:tcPr>
          <w:tcW w:w="1008" w:type="dxa"/>
        </w:tcPr>
        <w:p w14:paraId="7EC49BEF"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79F238C" w14:textId="43844191" w:rsidR="00E15FB0" w:rsidRPr="00D25874" w:rsidRDefault="00E15FB0"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F23984A"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75</w:t>
          </w:r>
          <w:r w:rsidRPr="00425748">
            <w:rPr>
              <w:rFonts w:ascii="FbSfaradi Medium" w:hAnsi="FbSfaradi Medium" w:cs="AAd_LivornaB4"/>
              <w:szCs w:val="28"/>
            </w:rPr>
            <w:fldChar w:fldCharType="end"/>
          </w:r>
        </w:p>
      </w:tc>
    </w:tr>
  </w:tbl>
  <w:p w14:paraId="0EA2E10D" w14:textId="77777777" w:rsidR="00E15FB0" w:rsidRDefault="00E15FB0" w:rsidP="00BC356B">
    <w:pPr>
      <w:tabs>
        <w:tab w:val="left" w:pos="1327"/>
      </w:tabs>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6AE3E977" w14:textId="77777777" w:rsidTr="0097105B">
      <w:trPr>
        <w:trHeight w:val="80"/>
      </w:trPr>
      <w:tc>
        <w:tcPr>
          <w:tcW w:w="1008" w:type="dxa"/>
          <w:vAlign w:val="center"/>
        </w:tcPr>
        <w:p w14:paraId="5459F814"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vAlign w:val="center"/>
        </w:tcPr>
        <w:p w14:paraId="1A8EF860"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DB3DEF"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4806CF2" w14:textId="77777777" w:rsidR="00E15FB0" w:rsidRDefault="00E15FB0"/>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27657DD9" w14:textId="77777777" w:rsidTr="0097105B">
      <w:trPr>
        <w:trHeight w:val="80"/>
      </w:trPr>
      <w:tc>
        <w:tcPr>
          <w:tcW w:w="1008" w:type="dxa"/>
        </w:tcPr>
        <w:p w14:paraId="736A0C93"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46715D29" w14:textId="77777777" w:rsidR="00E15FB0" w:rsidRPr="00D25874" w:rsidRDefault="00E15FB0"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60FCE2E"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14:paraId="7B99BE14" w14:textId="77777777" w:rsidR="00E15FB0" w:rsidRDefault="00E15FB0" w:rsidP="00BC356B">
    <w:pPr>
      <w:tabs>
        <w:tab w:val="left" w:pos="1327"/>
      </w:tabs>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5BCFBEE5" w14:textId="77777777" w:rsidTr="0097105B">
      <w:trPr>
        <w:trHeight w:val="80"/>
      </w:trPr>
      <w:tc>
        <w:tcPr>
          <w:tcW w:w="1008" w:type="dxa"/>
          <w:vAlign w:val="center"/>
        </w:tcPr>
        <w:p w14:paraId="752B6B2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1DBB855A"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DF785AB"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DB45DC" w14:textId="77777777" w:rsidR="00E15FB0" w:rsidRDefault="00E15FB0"/>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9C6E17B" w14:textId="77777777" w:rsidTr="0097105B">
      <w:trPr>
        <w:trHeight w:val="80"/>
      </w:trPr>
      <w:tc>
        <w:tcPr>
          <w:tcW w:w="1008" w:type="dxa"/>
        </w:tcPr>
        <w:p w14:paraId="358FF1C3"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6E3A891F" w14:textId="34C7FE04" w:rsidR="00E15FB0" w:rsidRPr="00D25874" w:rsidRDefault="00E15FB0" w:rsidP="002A3A9E">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6AB6ECF"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85</w:t>
          </w:r>
          <w:r w:rsidRPr="00425748">
            <w:rPr>
              <w:rFonts w:ascii="FbSfaradi Medium" w:hAnsi="FbSfaradi Medium" w:cs="AAd_LivornaB4"/>
              <w:szCs w:val="28"/>
            </w:rPr>
            <w:fldChar w:fldCharType="end"/>
          </w:r>
        </w:p>
      </w:tc>
    </w:tr>
  </w:tbl>
  <w:p w14:paraId="2DC4DCD7" w14:textId="77777777" w:rsidR="00E15FB0" w:rsidRDefault="00E15FB0" w:rsidP="00BC356B">
    <w:pPr>
      <w:tabs>
        <w:tab w:val="left" w:pos="1327"/>
      </w:tabs>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3ACE8472" w14:textId="77777777" w:rsidTr="0097105B">
      <w:trPr>
        <w:trHeight w:val="80"/>
      </w:trPr>
      <w:tc>
        <w:tcPr>
          <w:tcW w:w="1008" w:type="dxa"/>
          <w:vAlign w:val="center"/>
        </w:tcPr>
        <w:p w14:paraId="1ABDF4A5"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045F2906"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1B57ECE"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BBDA90" w14:textId="77777777" w:rsidR="00E15FB0" w:rsidRDefault="00E15FB0"/>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6208C308" w14:textId="77777777" w:rsidTr="0097105B">
      <w:trPr>
        <w:trHeight w:val="80"/>
      </w:trPr>
      <w:tc>
        <w:tcPr>
          <w:tcW w:w="1008" w:type="dxa"/>
        </w:tcPr>
        <w:p w14:paraId="51B7FC97"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1A621C5A" w14:textId="28986277" w:rsidR="00E15FB0" w:rsidRPr="00D25874" w:rsidRDefault="00E15FB0" w:rsidP="002A3A9E">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0E666F6"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052EF7AE" w14:textId="77777777" w:rsidR="00E15FB0" w:rsidRDefault="00E15FB0" w:rsidP="00BC356B">
    <w:pPr>
      <w:tabs>
        <w:tab w:val="left" w:pos="1327"/>
      </w:tabs>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4E8EDA9E" w14:textId="77777777" w:rsidTr="0097105B">
      <w:trPr>
        <w:trHeight w:val="80"/>
      </w:trPr>
      <w:tc>
        <w:tcPr>
          <w:tcW w:w="1008" w:type="dxa"/>
          <w:vAlign w:val="center"/>
        </w:tcPr>
        <w:p w14:paraId="0D338CDE"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90</w:t>
          </w:r>
          <w:r w:rsidRPr="002F63A9">
            <w:rPr>
              <w:rFonts w:ascii="Calibri Light" w:hAnsi="Calibri Light" w:cs="AAd_LivornaB4"/>
              <w:noProof/>
              <w:szCs w:val="28"/>
            </w:rPr>
            <w:fldChar w:fldCharType="end"/>
          </w:r>
        </w:p>
      </w:tc>
      <w:tc>
        <w:tcPr>
          <w:tcW w:w="4176" w:type="dxa"/>
          <w:vAlign w:val="center"/>
        </w:tcPr>
        <w:p w14:paraId="0DAFC8BD"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BB4B4F5"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965C167" w14:textId="77777777" w:rsidR="00E15FB0" w:rsidRDefault="00E15FB0"/>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C949B3A" w14:textId="77777777" w:rsidTr="0097105B">
      <w:trPr>
        <w:trHeight w:val="80"/>
      </w:trPr>
      <w:tc>
        <w:tcPr>
          <w:tcW w:w="1008" w:type="dxa"/>
        </w:tcPr>
        <w:p w14:paraId="79F31CD9"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7EA6A7E4" w14:textId="77777777" w:rsidR="00E15FB0" w:rsidRPr="00D25874" w:rsidRDefault="00E15FB0"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A83C7CB"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89</w:t>
          </w:r>
          <w:r w:rsidRPr="00425748">
            <w:rPr>
              <w:rFonts w:ascii="FbSfaradi Medium" w:hAnsi="FbSfaradi Medium" w:cs="AAd_LivornaB4"/>
              <w:szCs w:val="28"/>
            </w:rPr>
            <w:fldChar w:fldCharType="end"/>
          </w:r>
        </w:p>
      </w:tc>
    </w:tr>
  </w:tbl>
  <w:p w14:paraId="3C13C9CD" w14:textId="77777777" w:rsidR="00E15FB0" w:rsidRDefault="00E15FB0" w:rsidP="00BC356B">
    <w:pPr>
      <w:tabs>
        <w:tab w:val="left" w:pos="1327"/>
      </w:tabs>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1C60D110" w14:textId="77777777" w:rsidTr="0097105B">
      <w:trPr>
        <w:trHeight w:val="80"/>
      </w:trPr>
      <w:tc>
        <w:tcPr>
          <w:tcW w:w="1008" w:type="dxa"/>
          <w:vAlign w:val="center"/>
        </w:tcPr>
        <w:p w14:paraId="73A50BCC"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1DC293B6"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CA977AC"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941028B" w14:textId="77777777" w:rsidR="00E15FB0" w:rsidRDefault="00E15FB0"/>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5B85CDEE" w14:textId="77777777" w:rsidTr="0097105B">
      <w:trPr>
        <w:trHeight w:val="80"/>
      </w:trPr>
      <w:tc>
        <w:tcPr>
          <w:tcW w:w="1008" w:type="dxa"/>
        </w:tcPr>
        <w:p w14:paraId="74FC7070"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137280E9" w14:textId="794602D6" w:rsidR="00E15FB0" w:rsidRPr="00D25874" w:rsidRDefault="00E15FB0"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AC826D0"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373A1188" w14:textId="77777777" w:rsidR="00E15FB0" w:rsidRDefault="00E15FB0" w:rsidP="00BC356B">
    <w:pPr>
      <w:tabs>
        <w:tab w:val="left" w:pos="1327"/>
      </w:tabs>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3BF2120E" w14:textId="77777777" w:rsidTr="0097105B">
      <w:trPr>
        <w:trHeight w:val="80"/>
      </w:trPr>
      <w:tc>
        <w:tcPr>
          <w:tcW w:w="1008" w:type="dxa"/>
          <w:vAlign w:val="center"/>
        </w:tcPr>
        <w:p w14:paraId="1AE656E0"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119F9FA0"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3BB8535"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AB67B8" w14:textId="77777777" w:rsidR="00E15FB0" w:rsidRDefault="00E15FB0"/>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08E6B1E5" w14:textId="77777777" w:rsidTr="0097105B">
      <w:trPr>
        <w:trHeight w:val="80"/>
      </w:trPr>
      <w:tc>
        <w:tcPr>
          <w:tcW w:w="1008" w:type="dxa"/>
        </w:tcPr>
        <w:p w14:paraId="35B08CE6"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11A2AD8" w14:textId="1679D38C" w:rsidR="00E15FB0" w:rsidRPr="00D25874" w:rsidRDefault="00E15FB0"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3EA91C2"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15435FC2" w14:textId="77777777" w:rsidR="00E15FB0" w:rsidRDefault="00E15FB0" w:rsidP="00BC356B">
    <w:pPr>
      <w:tabs>
        <w:tab w:val="left" w:pos="1327"/>
      </w:tabs>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34ABD890" w14:textId="77777777" w:rsidTr="0097105B">
      <w:trPr>
        <w:trHeight w:val="80"/>
      </w:trPr>
      <w:tc>
        <w:tcPr>
          <w:tcW w:w="1008" w:type="dxa"/>
          <w:vAlign w:val="center"/>
        </w:tcPr>
        <w:p w14:paraId="28355FFD"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2B027F5"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AF99A93"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9FDA03" w14:textId="77777777" w:rsidR="00E15FB0" w:rsidRDefault="00E15FB0"/>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247ABE4F" w14:textId="77777777" w:rsidTr="0097105B">
      <w:trPr>
        <w:trHeight w:val="80"/>
      </w:trPr>
      <w:tc>
        <w:tcPr>
          <w:tcW w:w="1008" w:type="dxa"/>
        </w:tcPr>
        <w:p w14:paraId="08D50A36"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6FF57196" w14:textId="77777777" w:rsidR="00E15FB0" w:rsidRPr="00D25874" w:rsidRDefault="00E15FB0"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6137BA2"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13E3A8FB" w14:textId="77777777" w:rsidR="00E15FB0" w:rsidRDefault="00E15FB0" w:rsidP="00BC356B">
    <w:pPr>
      <w:tabs>
        <w:tab w:val="left" w:pos="1327"/>
      </w:tabs>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15FB0" w:rsidRPr="00425748" w14:paraId="62931624" w14:textId="77777777" w:rsidTr="0097105B">
      <w:trPr>
        <w:trHeight w:val="80"/>
      </w:trPr>
      <w:tc>
        <w:tcPr>
          <w:tcW w:w="1008" w:type="dxa"/>
          <w:vAlign w:val="center"/>
        </w:tcPr>
        <w:p w14:paraId="02F06EA4" w14:textId="77777777" w:rsidR="00E15FB0" w:rsidRPr="002F63A9" w:rsidRDefault="00E15FB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47300E">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5CD12C6B" w14:textId="77777777" w:rsidR="00E15FB0" w:rsidRPr="00D25874" w:rsidRDefault="00E15FB0"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E15FB0" w:rsidRPr="00425748" w:rsidRDefault="00E15FB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E15FB0" w:rsidRDefault="00E15FB0"/>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15FB0" w:rsidRPr="00425748" w14:paraId="3E572288" w14:textId="77777777" w:rsidTr="0097105B">
      <w:trPr>
        <w:trHeight w:val="80"/>
      </w:trPr>
      <w:tc>
        <w:tcPr>
          <w:tcW w:w="1008" w:type="dxa"/>
        </w:tcPr>
        <w:p w14:paraId="2D41EBFD" w14:textId="77777777" w:rsidR="00E15FB0" w:rsidRPr="00425748" w:rsidRDefault="00E15FB0" w:rsidP="007F107E">
          <w:pPr>
            <w:tabs>
              <w:tab w:val="center" w:pos="4680"/>
              <w:tab w:val="right" w:pos="9360"/>
            </w:tabs>
            <w:rPr>
              <w:rFonts w:ascii="FbSfaradi Medium" w:hAnsi="FbSfaradi Medium" w:cs="FbSfaradi Medium"/>
              <w:sz w:val="36"/>
              <w:szCs w:val="32"/>
              <w:rtl/>
            </w:rPr>
          </w:pPr>
        </w:p>
      </w:tc>
      <w:tc>
        <w:tcPr>
          <w:tcW w:w="4176" w:type="dxa"/>
        </w:tcPr>
        <w:p w14:paraId="5507029B" w14:textId="5AB5630C" w:rsidR="00E15FB0" w:rsidRPr="00D25874" w:rsidRDefault="00E15FB0"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77777777" w:rsidR="00E15FB0" w:rsidRPr="00425748" w:rsidRDefault="00E15FB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47300E">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2FD4825D" w14:textId="77777777" w:rsidR="00E15FB0" w:rsidRDefault="00E15FB0"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16"/>
  </w:num>
  <w:num w:numId="3">
    <w:abstractNumId w:val="6"/>
  </w:num>
  <w:num w:numId="4">
    <w:abstractNumId w:val="7"/>
  </w:num>
  <w:num w:numId="5">
    <w:abstractNumId w:val="9"/>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2"/>
  </w:num>
  <w:num w:numId="11">
    <w:abstractNumId w:val="10"/>
  </w:num>
  <w:num w:numId="12">
    <w:abstractNumId w:val="5"/>
  </w:num>
  <w:num w:numId="13">
    <w:abstractNumId w:val="11"/>
  </w:num>
  <w:num w:numId="14">
    <w:abstractNumId w:val="15"/>
  </w:num>
  <w:num w:numId="15">
    <w:abstractNumId w:val="3"/>
  </w:num>
  <w:num w:numId="16">
    <w:abstractNumId w:val="0"/>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14"/>
  <w:evenAndOddHeaders/>
  <w:characterSpacingControl w:val="doNotCompress"/>
  <w:hdrShapeDefaults>
    <o:shapedefaults v:ext="edit" spidmax="3481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8FD"/>
    <w:rsid w:val="00047AF0"/>
    <w:rsid w:val="00050834"/>
    <w:rsid w:val="0005147E"/>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C7032"/>
    <w:rsid w:val="000D0F11"/>
    <w:rsid w:val="000D13A0"/>
    <w:rsid w:val="000D2F9E"/>
    <w:rsid w:val="000D3572"/>
    <w:rsid w:val="000D41BD"/>
    <w:rsid w:val="000D5AE0"/>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992"/>
    <w:rsid w:val="001E2234"/>
    <w:rsid w:val="001E3C45"/>
    <w:rsid w:val="001E3F79"/>
    <w:rsid w:val="001E45BB"/>
    <w:rsid w:val="001E4863"/>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4F74"/>
    <w:rsid w:val="001F5328"/>
    <w:rsid w:val="001F565F"/>
    <w:rsid w:val="001F6B34"/>
    <w:rsid w:val="00200124"/>
    <w:rsid w:val="002008A5"/>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5C9"/>
    <w:rsid w:val="00486E18"/>
    <w:rsid w:val="004874FD"/>
    <w:rsid w:val="00487CCC"/>
    <w:rsid w:val="00490DD3"/>
    <w:rsid w:val="00491131"/>
    <w:rsid w:val="004911E1"/>
    <w:rsid w:val="004924B0"/>
    <w:rsid w:val="004927E0"/>
    <w:rsid w:val="0049322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6F3D"/>
    <w:rsid w:val="00510DF9"/>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9D2"/>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AF0"/>
    <w:rsid w:val="00595B0A"/>
    <w:rsid w:val="0059756D"/>
    <w:rsid w:val="005A086F"/>
    <w:rsid w:val="005A281A"/>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E04"/>
    <w:rsid w:val="00743E29"/>
    <w:rsid w:val="00743FA6"/>
    <w:rsid w:val="00744193"/>
    <w:rsid w:val="00744449"/>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417B"/>
    <w:rsid w:val="00785526"/>
    <w:rsid w:val="00785EE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1710"/>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369B"/>
    <w:rsid w:val="009A3E7A"/>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CF5"/>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83F"/>
    <w:rsid w:val="00A73D84"/>
    <w:rsid w:val="00A75AB7"/>
    <w:rsid w:val="00A75F2E"/>
    <w:rsid w:val="00A77976"/>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666"/>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6FE"/>
    <w:rsid w:val="00BF2CFC"/>
    <w:rsid w:val="00BF33C4"/>
    <w:rsid w:val="00BF3802"/>
    <w:rsid w:val="00BF39E5"/>
    <w:rsid w:val="00BF5D69"/>
    <w:rsid w:val="00BF7897"/>
    <w:rsid w:val="00C02908"/>
    <w:rsid w:val="00C03306"/>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67FA"/>
    <w:rsid w:val="00D17C44"/>
    <w:rsid w:val="00D20867"/>
    <w:rsid w:val="00D21C30"/>
    <w:rsid w:val="00D22FBE"/>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8F"/>
    <w:rsid w:val="00D83823"/>
    <w:rsid w:val="00D841B3"/>
    <w:rsid w:val="00D844CF"/>
    <w:rsid w:val="00D849A8"/>
    <w:rsid w:val="00D850DE"/>
    <w:rsid w:val="00D85B19"/>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EC9"/>
    <w:rsid w:val="00DA6C3B"/>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2089"/>
    <w:rsid w:val="00E32490"/>
    <w:rsid w:val="00E33A19"/>
    <w:rsid w:val="00E34DBE"/>
    <w:rsid w:val="00E356F5"/>
    <w:rsid w:val="00E358DA"/>
    <w:rsid w:val="00E36D1A"/>
    <w:rsid w:val="00E40610"/>
    <w:rsid w:val="00E40CB5"/>
    <w:rsid w:val="00E40D02"/>
    <w:rsid w:val="00E4173B"/>
    <w:rsid w:val="00E41976"/>
    <w:rsid w:val="00E42001"/>
    <w:rsid w:val="00E432D9"/>
    <w:rsid w:val="00E43731"/>
    <w:rsid w:val="00E438DA"/>
    <w:rsid w:val="00E43EA0"/>
    <w:rsid w:val="00E44318"/>
    <w:rsid w:val="00E44625"/>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208"/>
    <w:rsid w:val="00EB549C"/>
    <w:rsid w:val="00EB5CE2"/>
    <w:rsid w:val="00EB6A22"/>
    <w:rsid w:val="00EB71EB"/>
    <w:rsid w:val="00EB73AF"/>
    <w:rsid w:val="00EB7B9A"/>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0" w:unhideWhenUsed="1"/>
    <w:lsdException w:name="heading 5" w:semiHidden="1" w:uiPriority="9" w:unhideWhenUsed="1"/>
    <w:lsdException w:name="heading 6" w:semiHidden="1" w:uiPriority="9"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C40187"/>
    <w:pPr>
      <w:keepNext/>
      <w:keepLines/>
      <w:tabs>
        <w:tab w:val="left" w:pos="1895"/>
        <w:tab w:val="center" w:pos="3096"/>
        <w:tab w:val="left" w:pos="4086"/>
        <w:tab w:val="right" w:pos="6192"/>
      </w:tabs>
      <w:bidi/>
      <w:spacing w:before="240"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C40187"/>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F8255E"/>
    <w:pPr>
      <w:widowControl w:val="0"/>
      <w:bidi/>
      <w:spacing w:before="240"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F8255E"/>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E6E84"/>
    <w:pPr>
      <w:tabs>
        <w:tab w:val="left" w:pos="2171"/>
        <w:tab w:val="center" w:pos="3096"/>
      </w:tabs>
      <w:bidi/>
      <w:spacing w:after="0" w:line="360" w:lineRule="auto"/>
      <w:jc w:val="center"/>
    </w:pPr>
    <w:rPr>
      <w:rFonts w:ascii="Nymphette" w:eastAsia="Times New Roman" w:hAnsi="Nymphette" w:cs="Nymphette"/>
      <w:sz w:val="44"/>
      <w:szCs w:val="44"/>
    </w:rPr>
  </w:style>
  <w:style w:type="character" w:customStyle="1" w:styleId="Char4">
    <w:name w:val="שמיטשיק Char"/>
    <w:basedOn w:val="DefaultParagraphFont"/>
    <w:link w:val="a4"/>
    <w:rsid w:val="005E6E84"/>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7.xml"/><Relationship Id="rId21" Type="http://schemas.openxmlformats.org/officeDocument/2006/relationships/header" Target="header12.xml"/><Relationship Id="rId42" Type="http://schemas.openxmlformats.org/officeDocument/2006/relationships/header" Target="header33.xml"/><Relationship Id="rId47" Type="http://schemas.openxmlformats.org/officeDocument/2006/relationships/header" Target="header38.xml"/><Relationship Id="rId63" Type="http://schemas.openxmlformats.org/officeDocument/2006/relationships/header" Target="header54.xml"/><Relationship Id="rId68" Type="http://schemas.openxmlformats.org/officeDocument/2006/relationships/header" Target="header59.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eader" Target="header31.xml"/><Relationship Id="rId45" Type="http://schemas.openxmlformats.org/officeDocument/2006/relationships/header" Target="header36.xml"/><Relationship Id="rId53" Type="http://schemas.openxmlformats.org/officeDocument/2006/relationships/header" Target="header44.xml"/><Relationship Id="rId58" Type="http://schemas.openxmlformats.org/officeDocument/2006/relationships/header" Target="header49.xml"/><Relationship Id="rId66" Type="http://schemas.openxmlformats.org/officeDocument/2006/relationships/header" Target="header57.xml"/><Relationship Id="rId5" Type="http://schemas.openxmlformats.org/officeDocument/2006/relationships/webSettings" Target="webSettings.xml"/><Relationship Id="rId61" Type="http://schemas.openxmlformats.org/officeDocument/2006/relationships/header" Target="header52.xml"/><Relationship Id="rId19" Type="http://schemas.openxmlformats.org/officeDocument/2006/relationships/header" Target="header10.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4.xml"/><Relationship Id="rId48" Type="http://schemas.openxmlformats.org/officeDocument/2006/relationships/header" Target="header39.xml"/><Relationship Id="rId56" Type="http://schemas.openxmlformats.org/officeDocument/2006/relationships/header" Target="header47.xml"/><Relationship Id="rId64" Type="http://schemas.openxmlformats.org/officeDocument/2006/relationships/header" Target="header55.xml"/><Relationship Id="rId69" Type="http://schemas.openxmlformats.org/officeDocument/2006/relationships/header" Target="header60.xml"/><Relationship Id="rId8" Type="http://schemas.openxmlformats.org/officeDocument/2006/relationships/hyperlink" Target="mailto:haoros@haoros.com" TargetMode="External"/><Relationship Id="rId51" Type="http://schemas.openxmlformats.org/officeDocument/2006/relationships/header" Target="header42.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eader" Target="header37.xml"/><Relationship Id="rId59" Type="http://schemas.openxmlformats.org/officeDocument/2006/relationships/header" Target="header50.xml"/><Relationship Id="rId67" Type="http://schemas.openxmlformats.org/officeDocument/2006/relationships/header" Target="header58.xml"/><Relationship Id="rId20" Type="http://schemas.openxmlformats.org/officeDocument/2006/relationships/header" Target="header11.xml"/><Relationship Id="rId41" Type="http://schemas.openxmlformats.org/officeDocument/2006/relationships/header" Target="header32.xml"/><Relationship Id="rId54" Type="http://schemas.openxmlformats.org/officeDocument/2006/relationships/header" Target="header45.xml"/><Relationship Id="rId62" Type="http://schemas.openxmlformats.org/officeDocument/2006/relationships/header" Target="header53.xml"/><Relationship Id="rId70" Type="http://schemas.openxmlformats.org/officeDocument/2006/relationships/header" Target="header6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40.xml"/><Relationship Id="rId57" Type="http://schemas.openxmlformats.org/officeDocument/2006/relationships/header" Target="header48.xml"/><Relationship Id="rId10" Type="http://schemas.openxmlformats.org/officeDocument/2006/relationships/header" Target="header1.xml"/><Relationship Id="rId31" Type="http://schemas.openxmlformats.org/officeDocument/2006/relationships/header" Target="header22.xml"/><Relationship Id="rId44" Type="http://schemas.openxmlformats.org/officeDocument/2006/relationships/header" Target="header35.xml"/><Relationship Id="rId52" Type="http://schemas.openxmlformats.org/officeDocument/2006/relationships/header" Target="header43.xml"/><Relationship Id="rId60" Type="http://schemas.openxmlformats.org/officeDocument/2006/relationships/header" Target="header51.xml"/><Relationship Id="rId65" Type="http://schemas.openxmlformats.org/officeDocument/2006/relationships/header" Target="header56.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30.xml"/><Relationship Id="rId34" Type="http://schemas.openxmlformats.org/officeDocument/2006/relationships/header" Target="header25.xml"/><Relationship Id="rId50" Type="http://schemas.openxmlformats.org/officeDocument/2006/relationships/header" Target="header41.xml"/><Relationship Id="rId55" Type="http://schemas.openxmlformats.org/officeDocument/2006/relationships/header" Target="header46.xml"/><Relationship Id="rId7" Type="http://schemas.openxmlformats.org/officeDocument/2006/relationships/endnotes" Target="endnotes.xml"/><Relationship Id="rId71" Type="http://schemas.openxmlformats.org/officeDocument/2006/relationships/header" Target="header6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C9650-AE31-4A2A-A3B9-D6FE78761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4296</TotalTime>
  <Pages>96</Pages>
  <Words>21221</Words>
  <Characters>120964</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316</cp:revision>
  <cp:lastPrinted>2019-03-15T05:18:00Z</cp:lastPrinted>
  <dcterms:created xsi:type="dcterms:W3CDTF">2018-10-26T18:49:00Z</dcterms:created>
  <dcterms:modified xsi:type="dcterms:W3CDTF">2019-03-15T08:16:00Z</dcterms:modified>
</cp:coreProperties>
</file>