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0DB7" w:rsidRPr="00760DB7" w:rsidRDefault="00C74526" w:rsidP="00760DB7">
      <w:pPr>
        <w:rPr>
          <w:rFonts w:ascii="FbFRealBelet Bold" w:hAnsi="FbFRealBelet Bold" w:cs="FbFRealBelet Bold"/>
          <w:b/>
          <w:bCs/>
          <w:sz w:val="32"/>
          <w:szCs w:val="32"/>
          <w:rtl/>
        </w:rPr>
      </w:pPr>
      <w:bookmarkStart w:id="0" w:name="_Toc356231478"/>
      <w:bookmarkStart w:id="1" w:name="_Toc356263223"/>
      <w:bookmarkStart w:id="2" w:name="_Toc356267836"/>
      <w:bookmarkStart w:id="3" w:name="_Toc360638210"/>
      <w:bookmarkStart w:id="4" w:name="_Toc360648934"/>
      <w:bookmarkStart w:id="5" w:name="_Toc360669361"/>
      <w:bookmarkStart w:id="6" w:name="_Toc363077990"/>
      <w:bookmarkStart w:id="7" w:name="_Toc363086366"/>
      <w:bookmarkStart w:id="8" w:name="_Toc363092111"/>
      <w:bookmarkStart w:id="9" w:name="_Toc367141017"/>
      <w:bookmarkStart w:id="10" w:name="_Toc367148661"/>
      <w:bookmarkStart w:id="11" w:name="_Toc367157884"/>
      <w:bookmarkStart w:id="12" w:name="_Toc369235633"/>
      <w:bookmarkStart w:id="13" w:name="_Toc370439543"/>
      <w:bookmarkStart w:id="14" w:name="_Toc370446230"/>
      <w:bookmarkStart w:id="15" w:name="_Toc371642937"/>
      <w:bookmarkStart w:id="16" w:name="_Toc371643229"/>
      <w:bookmarkStart w:id="17" w:name="_Toc371653951"/>
      <w:bookmarkStart w:id="18" w:name="_Toc372861001"/>
      <w:bookmarkStart w:id="19" w:name="_Toc379508672"/>
      <w:bookmarkStart w:id="20" w:name="_Toc379510900"/>
      <w:bookmarkStart w:id="21" w:name="_Toc379513741"/>
      <w:bookmarkStart w:id="22" w:name="_Toc380716861"/>
      <w:bookmarkStart w:id="23" w:name="_Toc380716990"/>
      <w:bookmarkStart w:id="24" w:name="_Toc380717406"/>
      <w:bookmarkStart w:id="25" w:name="_Toc380719475"/>
      <w:bookmarkStart w:id="26" w:name="_Toc387369093"/>
      <w:bookmarkStart w:id="27" w:name="_Toc387373636"/>
      <w:bookmarkStart w:id="28" w:name="_Toc387375095"/>
      <w:bookmarkStart w:id="29" w:name="_Toc402299611"/>
      <w:bookmarkStart w:id="30" w:name="_Toc402473890"/>
      <w:bookmarkStart w:id="31" w:name="_Toc402490252"/>
      <w:bookmarkStart w:id="32" w:name="_Toc403698990"/>
      <w:bookmarkStart w:id="33" w:name="_Toc405513653"/>
      <w:bookmarkStart w:id="34" w:name="_Toc408433551"/>
      <w:bookmarkStart w:id="35" w:name="_Toc429704652"/>
      <w:bookmarkStart w:id="36" w:name="_Toc429708088"/>
      <w:bookmarkStart w:id="37" w:name="_Toc462880818"/>
      <w:bookmarkStart w:id="38" w:name="_Toc464186415"/>
      <w:bookmarkStart w:id="39" w:name="_Toc471434485"/>
      <w:bookmarkStart w:id="40" w:name="_Toc471440811"/>
      <w:bookmarkStart w:id="41" w:name="_Toc472647787"/>
      <w:bookmarkStart w:id="42" w:name="_Toc472647880"/>
      <w:bookmarkStart w:id="43" w:name="_Toc475667484"/>
      <w:bookmarkStart w:id="44" w:name="_Toc481103957"/>
      <w:bookmarkStart w:id="45" w:name="_Toc481113396"/>
      <w:bookmarkStart w:id="46" w:name="_Toc481113581"/>
      <w:bookmarkStart w:id="47" w:name="_Toc481114158"/>
      <w:bookmarkStart w:id="48" w:name="_Toc481117642"/>
      <w:bookmarkStart w:id="49" w:name="_Toc482323274"/>
      <w:bookmarkStart w:id="50" w:name="_Toc482324113"/>
      <w:bookmarkStart w:id="51" w:name="_Toc482326781"/>
      <w:bookmarkStart w:id="52" w:name="_Toc482328673"/>
      <w:bookmarkStart w:id="53" w:name="_Toc494757150"/>
      <w:bookmarkStart w:id="54" w:name="_Toc497360924"/>
      <w:bookmarkStart w:id="55" w:name="_Toc497361036"/>
      <w:bookmarkStart w:id="56" w:name="_Toc498646854"/>
      <w:bookmarkStart w:id="57" w:name="_Toc498647444"/>
      <w:bookmarkStart w:id="58" w:name="_Toc498652665"/>
      <w:bookmarkStart w:id="59" w:name="_Toc499864125"/>
      <w:bookmarkStart w:id="60" w:name="_Toc499864634"/>
      <w:bookmarkStart w:id="61" w:name="_Toc501076750"/>
      <w:bookmarkStart w:id="62" w:name="_Toc503488638"/>
      <w:bookmarkStart w:id="63" w:name="_Toc504475481"/>
      <w:bookmarkStart w:id="64" w:name="_Toc504529693"/>
      <w:bookmarkStart w:id="65" w:name="_Toc504566203"/>
      <w:bookmarkStart w:id="66" w:name="_Toc505904614"/>
      <w:bookmarkStart w:id="67" w:name="_Toc505904793"/>
      <w:bookmarkStart w:id="68" w:name="_Toc505910035"/>
      <w:bookmarkStart w:id="69" w:name="_Toc505910279"/>
      <w:bookmarkStart w:id="70" w:name="_Toc505910606"/>
      <w:bookmarkStart w:id="71" w:name="_Toc505910715"/>
      <w:bookmarkStart w:id="72" w:name="_Toc427197011"/>
      <w:r w:rsidRPr="00760DB7">
        <w:rPr>
          <w:rFonts w:ascii="Times New Roman" w:hAnsi="Times New Roman" w:cs="Times New Roman"/>
          <w:noProof/>
          <w:sz w:val="24"/>
          <w:szCs w:val="24"/>
        </w:rPr>
        <mc:AlternateContent>
          <mc:Choice Requires="wps">
            <w:drawing>
              <wp:anchor distT="36576" distB="36576" distL="36576" distR="36576" simplePos="0" relativeHeight="251661312" behindDoc="0" locked="0" layoutInCell="1" allowOverlap="1" wp14:anchorId="21EBBB28" wp14:editId="6B77A5CD">
                <wp:simplePos x="0" y="0"/>
                <wp:positionH relativeFrom="margin">
                  <wp:posOffset>-60325</wp:posOffset>
                </wp:positionH>
                <wp:positionV relativeFrom="margin">
                  <wp:posOffset>3992245</wp:posOffset>
                </wp:positionV>
                <wp:extent cx="3032760" cy="1377950"/>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2760" cy="13779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4C3605" w:rsidRPr="008A2DB0" w:rsidRDefault="004C3605" w:rsidP="00760DB7">
                            <w:pPr>
                              <w:pStyle w:val="NoParagraphStyle"/>
                              <w:spacing w:line="276" w:lineRule="auto"/>
                              <w:jc w:val="right"/>
                              <w:rPr>
                                <w:rFonts w:ascii="FbSfaradi Bold" w:hAnsi="FbSfaradi Bold" w:cs="PFT_Vilna"/>
                                <w:b/>
                                <w:bCs/>
                                <w:sz w:val="32"/>
                                <w:szCs w:val="32"/>
                              </w:rPr>
                            </w:pPr>
                            <w:r w:rsidRPr="008A2DB0">
                              <w:rPr>
                                <w:rFonts w:ascii="FbSfaradi Bold" w:hAnsi="FbSfaradi Bold" w:cs="PFT_Vilna" w:hint="cs"/>
                                <w:b/>
                                <w:bCs/>
                                <w:sz w:val="28"/>
                                <w:szCs w:val="28"/>
                                <w:rtl/>
                              </w:rPr>
                              <w:t>ארבעים</w:t>
                            </w:r>
                            <w:r>
                              <w:rPr>
                                <w:rFonts w:ascii="FbSfaradi Bold" w:hAnsi="FbSfaradi Bold" w:cs="PFT_Vilna" w:hint="cs"/>
                                <w:b/>
                                <w:bCs/>
                                <w:sz w:val="28"/>
                                <w:szCs w:val="28"/>
                                <w:rtl/>
                              </w:rPr>
                              <w:t xml:space="preserve"> שנה</w:t>
                            </w:r>
                          </w:p>
                          <w:p w:rsidR="004C3605" w:rsidRPr="008A2DB0" w:rsidRDefault="004C3605" w:rsidP="00760DB7">
                            <w:pPr>
                              <w:pStyle w:val="NoParagraphStyle"/>
                              <w:spacing w:line="276" w:lineRule="auto"/>
                              <w:jc w:val="right"/>
                              <w:rPr>
                                <w:rFonts w:ascii="FbSfaradi Regular" w:hAnsi="FbSfaradi Regular" w:cs="PFT_Vilna"/>
                                <w:sz w:val="28"/>
                                <w:szCs w:val="28"/>
                                <w:rtl/>
                              </w:rPr>
                            </w:pPr>
                            <w:r w:rsidRPr="008A2DB0">
                              <w:rPr>
                                <w:rFonts w:ascii="FbSfaradi Regular" w:hAnsi="FbSfaradi Regular" w:cs="PFT_Vilna"/>
                                <w:sz w:val="28"/>
                                <w:szCs w:val="28"/>
                                <w:rtl/>
                              </w:rPr>
                              <w:t xml:space="preserve">גליון </w:t>
                            </w:r>
                            <w:r>
                              <w:rPr>
                                <w:rFonts w:ascii="FbSfaradi Regular" w:hAnsi="FbSfaradi Regular" w:cs="PFT_Vilna" w:hint="cs"/>
                                <w:sz w:val="28"/>
                                <w:szCs w:val="28"/>
                                <w:rtl/>
                              </w:rPr>
                              <w:t xml:space="preserve">י </w:t>
                            </w:r>
                            <w:r w:rsidRPr="008A2DB0">
                              <w:rPr>
                                <w:rFonts w:ascii="FbSfaradi Regular" w:hAnsi="FbSfaradi Regular" w:cs="PFT_Vilna"/>
                                <w:sz w:val="28"/>
                                <w:szCs w:val="28"/>
                                <w:rtl/>
                              </w:rPr>
                              <w:t>[אלף-</w:t>
                            </w:r>
                            <w:r w:rsidRPr="008A2DB0">
                              <w:rPr>
                                <w:rFonts w:ascii="FbSfaradi Regular" w:hAnsi="FbSfaradi Regular" w:cs="PFT_Vilna" w:hint="cs"/>
                                <w:sz w:val="28"/>
                                <w:szCs w:val="28"/>
                                <w:rtl/>
                              </w:rPr>
                              <w:t>ק</w:t>
                            </w:r>
                            <w:r>
                              <w:rPr>
                                <w:rFonts w:ascii="FbSfaradi Regular" w:hAnsi="FbSfaradi Regular" w:cs="PFT_Vilna" w:hint="cs"/>
                                <w:sz w:val="28"/>
                                <w:szCs w:val="28"/>
                                <w:rtl/>
                              </w:rPr>
                              <w:t>ע"ח</w:t>
                            </w:r>
                            <w:r w:rsidRPr="008A2DB0">
                              <w:rPr>
                                <w:rFonts w:ascii="FbSfaradi Regular" w:hAnsi="FbSfaradi Regular" w:cs="PFT_Vilna"/>
                                <w:sz w:val="28"/>
                                <w:szCs w:val="28"/>
                                <w:rtl/>
                              </w:rPr>
                              <w:t>]</w:t>
                            </w:r>
                          </w:p>
                          <w:p w:rsidR="004C3605" w:rsidRDefault="004C3605" w:rsidP="00760DB7">
                            <w:pPr>
                              <w:pStyle w:val="NoParagraphStyle"/>
                              <w:spacing w:line="276" w:lineRule="auto"/>
                              <w:jc w:val="right"/>
                              <w:rPr>
                                <w:rFonts w:ascii="FbSfaradi Bold" w:hAnsi="FbSfaradi Bold" w:cs="PFT_Vilna"/>
                                <w:sz w:val="28"/>
                                <w:szCs w:val="28"/>
                                <w:rtl/>
                              </w:rPr>
                            </w:pPr>
                            <w:r>
                              <w:rPr>
                                <w:rFonts w:ascii="FbSfaradi Bold" w:hAnsi="FbSfaradi Bold" w:cs="PFT_Vilna" w:hint="cs"/>
                                <w:sz w:val="28"/>
                                <w:szCs w:val="28"/>
                                <w:rtl/>
                              </w:rPr>
                              <w:t>י"ג אייר</w:t>
                            </w:r>
                          </w:p>
                          <w:p w:rsidR="004C3605" w:rsidRDefault="004C3605" w:rsidP="00760DB7">
                            <w:pPr>
                              <w:pStyle w:val="NoParagraphStyle"/>
                              <w:spacing w:line="276" w:lineRule="auto"/>
                              <w:jc w:val="right"/>
                              <w:rPr>
                                <w:rFonts w:ascii="FbSfaradi Bold" w:hAnsi="FbSfaradi Bold" w:cs="PFT_Vilna"/>
                                <w:sz w:val="28"/>
                                <w:szCs w:val="28"/>
                                <w:rtl/>
                              </w:rPr>
                            </w:pPr>
                            <w:r>
                              <w:rPr>
                                <w:rFonts w:ascii="FbSfaradi Bold" w:hAnsi="FbSfaradi Bold" w:cs="PFT_Vilna" w:hint="cs"/>
                                <w:sz w:val="28"/>
                                <w:szCs w:val="28"/>
                                <w:rtl/>
                              </w:rPr>
                              <w:t>פסח שני</w:t>
                            </w:r>
                          </w:p>
                          <w:p w:rsidR="004C3605" w:rsidRDefault="004C3605" w:rsidP="00760DB7">
                            <w:pPr>
                              <w:pStyle w:val="NoParagraphStyle"/>
                              <w:spacing w:line="276" w:lineRule="auto"/>
                              <w:jc w:val="right"/>
                              <w:rPr>
                                <w:rFonts w:ascii="FbSfaradi Bold" w:hAnsi="FbSfaradi Bold" w:cs="PFT_Vilna"/>
                                <w:sz w:val="28"/>
                                <w:szCs w:val="28"/>
                                <w:rtl/>
                              </w:rPr>
                            </w:pPr>
                            <w:r>
                              <w:rPr>
                                <w:rFonts w:ascii="FbSfaradi Bold" w:hAnsi="FbSfaradi Bold" w:cs="PFT_Vilna" w:hint="cs"/>
                                <w:sz w:val="28"/>
                                <w:szCs w:val="28"/>
                                <w:rtl/>
                              </w:rPr>
                              <w:t>ש"פ אמור</w:t>
                            </w:r>
                          </w:p>
                          <w:p w:rsidR="004C3605" w:rsidRDefault="004C3605" w:rsidP="00760DB7">
                            <w:pPr>
                              <w:pStyle w:val="NoParagraphStyle"/>
                              <w:spacing w:line="276" w:lineRule="auto"/>
                              <w:jc w:val="right"/>
                              <w:rPr>
                                <w:rFonts w:ascii="FbSfaradi Bold" w:hAnsi="FbSfaradi Bold" w:cs="PFT_Vilna"/>
                                <w:sz w:val="28"/>
                                <w:szCs w:val="28"/>
                                <w:rtl/>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EBBB28" id="_x0000_t202" coordsize="21600,21600" o:spt="202" path="m,l,21600r21600,l21600,xe">
                <v:stroke joinstyle="miter"/>
                <v:path gradientshapeok="t" o:connecttype="rect"/>
              </v:shapetype>
              <v:shape id="Text Box 3" o:spid="_x0000_s1026" type="#_x0000_t202" style="position:absolute;margin-left:-4.75pt;margin-top:314.35pt;width:238.8pt;height:108.5pt;z-index:251661312;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" filled="f" stroked="f" strokecolor="black [0]" insetpen="t">
                <v:textbox inset="2.88pt,2.88pt,2.88pt,2.88pt">
                  <w:txbxContent>
                    <w:p w:rsidR="004C3605" w:rsidRPr="008A2DB0" w:rsidRDefault="004C3605" w:rsidP="00760DB7">
                      <w:pPr>
                        <w:pStyle w:val="NoParagraphStyle"/>
                        <w:spacing w:line="276" w:lineRule="auto"/>
                        <w:jc w:val="right"/>
                        <w:rPr>
                          <w:rFonts w:ascii="FbSfaradi Bold" w:hAnsi="FbSfaradi Bold" w:cs="PFT_Vilna"/>
                          <w:b/>
                          <w:bCs/>
                          <w:sz w:val="32"/>
                          <w:szCs w:val="32"/>
                        </w:rPr>
                      </w:pPr>
                      <w:r w:rsidRPr="008A2DB0">
                        <w:rPr>
                          <w:rFonts w:ascii="FbSfaradi Bold" w:hAnsi="FbSfaradi Bold" w:cs="PFT_Vilna" w:hint="cs"/>
                          <w:b/>
                          <w:bCs/>
                          <w:sz w:val="28"/>
                          <w:szCs w:val="28"/>
                          <w:rtl/>
                        </w:rPr>
                        <w:t>ארבעים</w:t>
                      </w:r>
                      <w:r>
                        <w:rPr>
                          <w:rFonts w:ascii="FbSfaradi Bold" w:hAnsi="FbSfaradi Bold" w:cs="PFT_Vilna" w:hint="cs"/>
                          <w:b/>
                          <w:bCs/>
                          <w:sz w:val="28"/>
                          <w:szCs w:val="28"/>
                          <w:rtl/>
                        </w:rPr>
                        <w:t xml:space="preserve"> שנה</w:t>
                      </w:r>
                    </w:p>
                    <w:p w:rsidR="004C3605" w:rsidRPr="008A2DB0" w:rsidRDefault="004C3605" w:rsidP="00760DB7">
                      <w:pPr>
                        <w:pStyle w:val="NoParagraphStyle"/>
                        <w:spacing w:line="276" w:lineRule="auto"/>
                        <w:jc w:val="right"/>
                        <w:rPr>
                          <w:rFonts w:ascii="FbSfaradi Regular" w:hAnsi="FbSfaradi Regular" w:cs="PFT_Vilna"/>
                          <w:sz w:val="28"/>
                          <w:szCs w:val="28"/>
                          <w:rtl/>
                        </w:rPr>
                      </w:pPr>
                      <w:r w:rsidRPr="008A2DB0">
                        <w:rPr>
                          <w:rFonts w:ascii="FbSfaradi Regular" w:hAnsi="FbSfaradi Regular" w:cs="PFT_Vilna"/>
                          <w:sz w:val="28"/>
                          <w:szCs w:val="28"/>
                          <w:rtl/>
                        </w:rPr>
                        <w:t xml:space="preserve">גליון </w:t>
                      </w:r>
                      <w:r>
                        <w:rPr>
                          <w:rFonts w:ascii="FbSfaradi Regular" w:hAnsi="FbSfaradi Regular" w:cs="PFT_Vilna" w:hint="cs"/>
                          <w:sz w:val="28"/>
                          <w:szCs w:val="28"/>
                          <w:rtl/>
                        </w:rPr>
                        <w:t xml:space="preserve">י </w:t>
                      </w:r>
                      <w:r w:rsidRPr="008A2DB0">
                        <w:rPr>
                          <w:rFonts w:ascii="FbSfaradi Regular" w:hAnsi="FbSfaradi Regular" w:cs="PFT_Vilna"/>
                          <w:sz w:val="28"/>
                          <w:szCs w:val="28"/>
                          <w:rtl/>
                        </w:rPr>
                        <w:t>[אלף-</w:t>
                      </w:r>
                      <w:r w:rsidRPr="008A2DB0">
                        <w:rPr>
                          <w:rFonts w:ascii="FbSfaradi Regular" w:hAnsi="FbSfaradi Regular" w:cs="PFT_Vilna" w:hint="cs"/>
                          <w:sz w:val="28"/>
                          <w:szCs w:val="28"/>
                          <w:rtl/>
                        </w:rPr>
                        <w:t>ק</w:t>
                      </w:r>
                      <w:r>
                        <w:rPr>
                          <w:rFonts w:ascii="FbSfaradi Regular" w:hAnsi="FbSfaradi Regular" w:cs="PFT_Vilna" w:hint="cs"/>
                          <w:sz w:val="28"/>
                          <w:szCs w:val="28"/>
                          <w:rtl/>
                        </w:rPr>
                        <w:t>ע"ח</w:t>
                      </w:r>
                      <w:r w:rsidRPr="008A2DB0">
                        <w:rPr>
                          <w:rFonts w:ascii="FbSfaradi Regular" w:hAnsi="FbSfaradi Regular" w:cs="PFT_Vilna"/>
                          <w:sz w:val="28"/>
                          <w:szCs w:val="28"/>
                          <w:rtl/>
                        </w:rPr>
                        <w:t>]</w:t>
                      </w:r>
                    </w:p>
                    <w:p w:rsidR="004C3605" w:rsidRDefault="004C3605" w:rsidP="00760DB7">
                      <w:pPr>
                        <w:pStyle w:val="NoParagraphStyle"/>
                        <w:spacing w:line="276" w:lineRule="auto"/>
                        <w:jc w:val="right"/>
                        <w:rPr>
                          <w:rFonts w:ascii="FbSfaradi Bold" w:hAnsi="FbSfaradi Bold" w:cs="PFT_Vilna"/>
                          <w:sz w:val="28"/>
                          <w:szCs w:val="28"/>
                          <w:rtl/>
                        </w:rPr>
                      </w:pPr>
                      <w:r>
                        <w:rPr>
                          <w:rFonts w:ascii="FbSfaradi Bold" w:hAnsi="FbSfaradi Bold" w:cs="PFT_Vilna" w:hint="cs"/>
                          <w:sz w:val="28"/>
                          <w:szCs w:val="28"/>
                          <w:rtl/>
                        </w:rPr>
                        <w:t>י"ג אייר</w:t>
                      </w:r>
                    </w:p>
                    <w:p w:rsidR="004C3605" w:rsidRDefault="004C3605" w:rsidP="00760DB7">
                      <w:pPr>
                        <w:pStyle w:val="NoParagraphStyle"/>
                        <w:spacing w:line="276" w:lineRule="auto"/>
                        <w:jc w:val="right"/>
                        <w:rPr>
                          <w:rFonts w:ascii="FbSfaradi Bold" w:hAnsi="FbSfaradi Bold" w:cs="PFT_Vilna"/>
                          <w:sz w:val="28"/>
                          <w:szCs w:val="28"/>
                          <w:rtl/>
                        </w:rPr>
                      </w:pPr>
                      <w:r>
                        <w:rPr>
                          <w:rFonts w:ascii="FbSfaradi Bold" w:hAnsi="FbSfaradi Bold" w:cs="PFT_Vilna" w:hint="cs"/>
                          <w:sz w:val="28"/>
                          <w:szCs w:val="28"/>
                          <w:rtl/>
                        </w:rPr>
                        <w:t>פסח שני</w:t>
                      </w:r>
                    </w:p>
                    <w:p w:rsidR="004C3605" w:rsidRDefault="004C3605" w:rsidP="00760DB7">
                      <w:pPr>
                        <w:pStyle w:val="NoParagraphStyle"/>
                        <w:spacing w:line="276" w:lineRule="auto"/>
                        <w:jc w:val="right"/>
                        <w:rPr>
                          <w:rFonts w:ascii="FbSfaradi Bold" w:hAnsi="FbSfaradi Bold" w:cs="PFT_Vilna"/>
                          <w:sz w:val="28"/>
                          <w:szCs w:val="28"/>
                          <w:rtl/>
                        </w:rPr>
                      </w:pPr>
                      <w:r>
                        <w:rPr>
                          <w:rFonts w:ascii="FbSfaradi Bold" w:hAnsi="FbSfaradi Bold" w:cs="PFT_Vilna" w:hint="cs"/>
                          <w:sz w:val="28"/>
                          <w:szCs w:val="28"/>
                          <w:rtl/>
                        </w:rPr>
                        <w:t>ש"פ אמור</w:t>
                      </w:r>
                    </w:p>
                    <w:p w:rsidR="004C3605" w:rsidRDefault="004C3605" w:rsidP="00760DB7">
                      <w:pPr>
                        <w:pStyle w:val="NoParagraphStyle"/>
                        <w:spacing w:line="276" w:lineRule="auto"/>
                        <w:jc w:val="right"/>
                        <w:rPr>
                          <w:rFonts w:ascii="FbSfaradi Bold" w:hAnsi="FbSfaradi Bold" w:cs="PFT_Vilna"/>
                          <w:sz w:val="28"/>
                          <w:szCs w:val="28"/>
                          <w:rtl/>
                        </w:rPr>
                      </w:pPr>
                    </w:p>
                  </w:txbxContent>
                </v:textbox>
                <w10:wrap type="square" anchorx="margin" anchory="margin"/>
              </v:shape>
            </w:pict>
          </mc:Fallback>
        </mc:AlternateContent>
      </w:r>
      <w:r w:rsidR="00760DB7" w:rsidRPr="00760DB7">
        <w:rPr>
          <w:rFonts w:ascii="Times New Roman" w:hAnsi="Times New Roman" w:cs="Times New Roman"/>
          <w:noProof/>
          <w:sz w:val="24"/>
          <w:szCs w:val="24"/>
        </w:rPr>
        <mc:AlternateContent>
          <mc:Choice Requires="wps">
            <w:drawing>
              <wp:anchor distT="36576" distB="36576" distL="36576" distR="36576" simplePos="0" relativeHeight="251659264" behindDoc="0" locked="0" layoutInCell="1" allowOverlap="1" wp14:anchorId="66373CC8" wp14:editId="7023A131">
                <wp:simplePos x="0" y="0"/>
                <wp:positionH relativeFrom="margin">
                  <wp:posOffset>-6713</wp:posOffset>
                </wp:positionH>
                <wp:positionV relativeFrom="margin">
                  <wp:posOffset>-302260</wp:posOffset>
                </wp:positionV>
                <wp:extent cx="3859530" cy="3547745"/>
                <wp:effectExtent l="0" t="0" r="7620" b="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9530" cy="35477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4C3605" w:rsidRDefault="004C3605" w:rsidP="00760DB7">
                            <w:pPr>
                              <w:widowControl w:val="0"/>
                              <w:bidi/>
                              <w:spacing w:line="156" w:lineRule="auto"/>
                              <w:jc w:val="center"/>
                              <w:rPr>
                                <w:rFonts w:ascii="FbSfaradi Regular" w:hAnsi="FbSfaradi Regular" w:cs="FbSfaradi Regular"/>
                                <w:sz w:val="26"/>
                                <w:szCs w:val="26"/>
                                <w:rtl/>
                              </w:rPr>
                            </w:pPr>
                          </w:p>
                          <w:p w:rsidR="004C3605" w:rsidRPr="00827182" w:rsidRDefault="004C3605" w:rsidP="00760DB7">
                            <w:pPr>
                              <w:widowControl w:val="0"/>
                              <w:bidi/>
                              <w:spacing w:line="240" w:lineRule="auto"/>
                              <w:jc w:val="center"/>
                              <w:rPr>
                                <w:rFonts w:ascii="FbSfaradi Regular" w:hAnsi="FbSfaradi Regular" w:cs="FbSfaradi Regular"/>
                                <w:sz w:val="26"/>
                                <w:szCs w:val="26"/>
                              </w:rPr>
                            </w:pPr>
                            <w:r w:rsidRPr="004E6CD8">
                              <w:rPr>
                                <w:rFonts w:ascii="FbSfaradi Regular" w:hAnsi="FbSfaradi Regular" w:cs="FbSfaradi Regular" w:hint="cs"/>
                                <w:sz w:val="26"/>
                                <w:szCs w:val="26"/>
                                <w:rtl/>
                              </w:rPr>
                              <w:t>ב"ה</w:t>
                            </w:r>
                          </w:p>
                          <w:p w:rsidR="004C3605" w:rsidRPr="00E967C0" w:rsidRDefault="004C3605" w:rsidP="00760DB7">
                            <w:pPr>
                              <w:widowControl w:val="0"/>
                              <w:bidi/>
                              <w:spacing w:line="240" w:lineRule="auto"/>
                              <w:jc w:val="center"/>
                              <w:rPr>
                                <w:rFonts w:ascii="FbSfaradi Regular" w:hAnsi="FbSfaradi Regular" w:cs="FbSfaradi Regular"/>
                                <w:sz w:val="2"/>
                                <w:szCs w:val="2"/>
                                <w:rtl/>
                              </w:rPr>
                            </w:pPr>
                          </w:p>
                          <w:p w:rsidR="004C3605" w:rsidRPr="0041359D" w:rsidRDefault="004C3605" w:rsidP="00760DB7">
                            <w:pPr>
                              <w:widowControl w:val="0"/>
                              <w:bidi/>
                              <w:spacing w:line="192" w:lineRule="auto"/>
                              <w:jc w:val="right"/>
                              <w:rPr>
                                <w:rFonts w:ascii="FbSfaradi Regular" w:hAnsi="FbSfaradi Regular" w:cs="AAd_Ashcnazi"/>
                                <w:sz w:val="84"/>
                                <w:szCs w:val="84"/>
                              </w:rPr>
                            </w:pPr>
                            <w:r w:rsidRPr="0041359D">
                              <w:rPr>
                                <w:rFonts w:ascii="FbSfaradi Regular" w:hAnsi="FbSfaradi Regular" w:cs="AAd_Ashcnazi"/>
                                <w:sz w:val="56"/>
                                <w:szCs w:val="56"/>
                                <w:rtl/>
                              </w:rPr>
                              <w:t>קובץ</w:t>
                            </w:r>
                          </w:p>
                          <w:p w:rsidR="004C3605" w:rsidRPr="0041359D" w:rsidRDefault="004C3605" w:rsidP="00760DB7">
                            <w:pPr>
                              <w:widowControl w:val="0"/>
                              <w:bidi/>
                              <w:spacing w:before="240" w:line="192" w:lineRule="auto"/>
                              <w:jc w:val="right"/>
                              <w:rPr>
                                <w:rFonts w:ascii="FbSfaradi Bold" w:hAnsi="FbSfaradi Bold" w:cs="AAd_Ashcnazi"/>
                                <w:sz w:val="146"/>
                                <w:szCs w:val="146"/>
                                <w:rtl/>
                              </w:rPr>
                            </w:pPr>
                            <w:r w:rsidRPr="0041359D">
                              <w:rPr>
                                <w:rFonts w:ascii="FbSfaradi Bold" w:hAnsi="FbSfaradi Bold" w:cs="AAd_Ashcnazi"/>
                                <w:sz w:val="146"/>
                                <w:szCs w:val="146"/>
                                <w:rtl/>
                              </w:rPr>
                              <w:t>הערות וביאורים</w:t>
                            </w:r>
                          </w:p>
                          <w:p w:rsidR="004C3605" w:rsidRPr="00827182" w:rsidRDefault="004C3605" w:rsidP="00760DB7">
                            <w:pPr>
                              <w:pStyle w:val="NoParagraphStyle"/>
                              <w:spacing w:line="240" w:lineRule="auto"/>
                              <w:jc w:val="right"/>
                              <w:rPr>
                                <w:rFonts w:ascii="FbSfaradi Regular" w:hAnsi="FbSfaradi Regular" w:cs="AAd_Ashcnazi"/>
                                <w:spacing w:val="-1"/>
                                <w:sz w:val="30"/>
                                <w:szCs w:val="30"/>
                                <w:rtl/>
                              </w:rPr>
                            </w:pPr>
                            <w:r w:rsidRPr="00827182">
                              <w:rPr>
                                <w:rFonts w:ascii="FbSfaradi Regular" w:hAnsi="FbSfaradi Regular" w:cs="AAd_Ashcnazi"/>
                                <w:spacing w:val="-1"/>
                                <w:sz w:val="30"/>
                                <w:szCs w:val="30"/>
                                <w:rtl/>
                              </w:rPr>
                              <w:t>בתורת כ"ק אדמו"ר נשיא דורנו</w:t>
                            </w:r>
                          </w:p>
                          <w:p w:rsidR="004C3605" w:rsidRPr="0041359D" w:rsidRDefault="004C3605" w:rsidP="00760DB7">
                            <w:pPr>
                              <w:pStyle w:val="NoParagraphStyle"/>
                              <w:spacing w:line="240" w:lineRule="auto"/>
                              <w:jc w:val="right"/>
                              <w:rPr>
                                <w:rFonts w:ascii="FbSfaradi Regular" w:hAnsi="FbSfaradi Regular" w:cs="AAd_Ashcnazi"/>
                                <w:spacing w:val="-1"/>
                                <w:w w:val="92"/>
                                <w:sz w:val="30"/>
                                <w:szCs w:val="30"/>
                                <w:rtl/>
                              </w:rPr>
                            </w:pPr>
                            <w:r w:rsidRPr="00827182">
                              <w:rPr>
                                <w:rFonts w:ascii="FbSfaradi Regular" w:hAnsi="FbSfaradi Regular" w:cs="AAd_Ashcnazi"/>
                                <w:spacing w:val="-1"/>
                                <w:sz w:val="30"/>
                                <w:szCs w:val="30"/>
                                <w:rtl/>
                              </w:rPr>
                              <w:t>ובעניני גאולה ומשיח, פשש"מ, רמב"ם, נגלה וחסידות</w:t>
                            </w:r>
                            <w:r w:rsidRPr="0041359D">
                              <w:rPr>
                                <w:rFonts w:ascii="FbSfaradi Regular" w:hAnsi="FbSfaradi Regular" w:cs="AAd_Ashcnazi"/>
                                <w:b/>
                                <w:bCs/>
                                <w:spacing w:val="-1"/>
                                <w:sz w:val="30"/>
                                <w:szCs w:val="30"/>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373CC8" id="Text Box 5" o:spid="_x0000_s1027" type="#_x0000_t202" style="position:absolute;margin-left:-.55pt;margin-top:-23.8pt;width:303.9pt;height:279.35pt;z-index:25165926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" filled="f" stroked="f" strokecolor="black [0]" insetpen="t">
                <v:textbox inset="2.88pt,2.88pt,2.88pt,2.88pt">
                  <w:txbxContent>
                    <w:p w:rsidR="004C3605" w:rsidRDefault="004C3605" w:rsidP="00760DB7">
                      <w:pPr>
                        <w:widowControl w:val="0"/>
                        <w:bidi/>
                        <w:spacing w:line="156" w:lineRule="auto"/>
                        <w:jc w:val="center"/>
                        <w:rPr>
                          <w:rFonts w:ascii="FbSfaradi Regular" w:hAnsi="FbSfaradi Regular" w:cs="FbSfaradi Regular"/>
                          <w:sz w:val="26"/>
                          <w:szCs w:val="26"/>
                          <w:rtl/>
                        </w:rPr>
                      </w:pPr>
                    </w:p>
                    <w:p w:rsidR="004C3605" w:rsidRPr="00827182" w:rsidRDefault="004C3605" w:rsidP="00760DB7">
                      <w:pPr>
                        <w:widowControl w:val="0"/>
                        <w:bidi/>
                        <w:spacing w:line="240" w:lineRule="auto"/>
                        <w:jc w:val="center"/>
                        <w:rPr>
                          <w:rFonts w:ascii="FbSfaradi Regular" w:hAnsi="FbSfaradi Regular" w:cs="FbSfaradi Regular"/>
                          <w:sz w:val="26"/>
                          <w:szCs w:val="26"/>
                        </w:rPr>
                      </w:pPr>
                      <w:r w:rsidRPr="004E6CD8">
                        <w:rPr>
                          <w:rFonts w:ascii="FbSfaradi Regular" w:hAnsi="FbSfaradi Regular" w:cs="FbSfaradi Regular" w:hint="cs"/>
                          <w:sz w:val="26"/>
                          <w:szCs w:val="26"/>
                          <w:rtl/>
                        </w:rPr>
                        <w:t>ב"ה</w:t>
                      </w:r>
                    </w:p>
                    <w:p w:rsidR="004C3605" w:rsidRPr="00E967C0" w:rsidRDefault="004C3605" w:rsidP="00760DB7">
                      <w:pPr>
                        <w:widowControl w:val="0"/>
                        <w:bidi/>
                        <w:spacing w:line="240" w:lineRule="auto"/>
                        <w:jc w:val="center"/>
                        <w:rPr>
                          <w:rFonts w:ascii="FbSfaradi Regular" w:hAnsi="FbSfaradi Regular" w:cs="FbSfaradi Regular"/>
                          <w:sz w:val="2"/>
                          <w:szCs w:val="2"/>
                          <w:rtl/>
                        </w:rPr>
                      </w:pPr>
                    </w:p>
                    <w:p w:rsidR="004C3605" w:rsidRPr="0041359D" w:rsidRDefault="004C3605" w:rsidP="00760DB7">
                      <w:pPr>
                        <w:widowControl w:val="0"/>
                        <w:bidi/>
                        <w:spacing w:line="192" w:lineRule="auto"/>
                        <w:jc w:val="right"/>
                        <w:rPr>
                          <w:rFonts w:ascii="FbSfaradi Regular" w:hAnsi="FbSfaradi Regular" w:cs="AAd_Ashcnazi"/>
                          <w:sz w:val="84"/>
                          <w:szCs w:val="84"/>
                        </w:rPr>
                      </w:pPr>
                      <w:r w:rsidRPr="0041359D">
                        <w:rPr>
                          <w:rFonts w:ascii="FbSfaradi Regular" w:hAnsi="FbSfaradi Regular" w:cs="AAd_Ashcnazi"/>
                          <w:sz w:val="56"/>
                          <w:szCs w:val="56"/>
                          <w:rtl/>
                        </w:rPr>
                        <w:t>קובץ</w:t>
                      </w:r>
                    </w:p>
                    <w:p w:rsidR="004C3605" w:rsidRPr="0041359D" w:rsidRDefault="004C3605" w:rsidP="00760DB7">
                      <w:pPr>
                        <w:widowControl w:val="0"/>
                        <w:bidi/>
                        <w:spacing w:before="240" w:line="192" w:lineRule="auto"/>
                        <w:jc w:val="right"/>
                        <w:rPr>
                          <w:rFonts w:ascii="FbSfaradi Bold" w:hAnsi="FbSfaradi Bold" w:cs="AAd_Ashcnazi"/>
                          <w:sz w:val="146"/>
                          <w:szCs w:val="146"/>
                          <w:rtl/>
                        </w:rPr>
                      </w:pPr>
                      <w:r w:rsidRPr="0041359D">
                        <w:rPr>
                          <w:rFonts w:ascii="FbSfaradi Bold" w:hAnsi="FbSfaradi Bold" w:cs="AAd_Ashcnazi"/>
                          <w:sz w:val="146"/>
                          <w:szCs w:val="146"/>
                          <w:rtl/>
                        </w:rPr>
                        <w:t>הערות וביאורים</w:t>
                      </w:r>
                    </w:p>
                    <w:p w:rsidR="004C3605" w:rsidRPr="00827182" w:rsidRDefault="004C3605" w:rsidP="00760DB7">
                      <w:pPr>
                        <w:pStyle w:val="NoParagraphStyle"/>
                        <w:spacing w:line="240" w:lineRule="auto"/>
                        <w:jc w:val="right"/>
                        <w:rPr>
                          <w:rFonts w:ascii="FbSfaradi Regular" w:hAnsi="FbSfaradi Regular" w:cs="AAd_Ashcnazi"/>
                          <w:spacing w:val="-1"/>
                          <w:sz w:val="30"/>
                          <w:szCs w:val="30"/>
                          <w:rtl/>
                        </w:rPr>
                      </w:pPr>
                      <w:r w:rsidRPr="00827182">
                        <w:rPr>
                          <w:rFonts w:ascii="FbSfaradi Regular" w:hAnsi="FbSfaradi Regular" w:cs="AAd_Ashcnazi"/>
                          <w:spacing w:val="-1"/>
                          <w:sz w:val="30"/>
                          <w:szCs w:val="30"/>
                          <w:rtl/>
                        </w:rPr>
                        <w:t>בתורת כ"ק אדמו"ר נשיא דורנו</w:t>
                      </w:r>
                    </w:p>
                    <w:p w:rsidR="004C3605" w:rsidRPr="0041359D" w:rsidRDefault="004C3605" w:rsidP="00760DB7">
                      <w:pPr>
                        <w:pStyle w:val="NoParagraphStyle"/>
                        <w:spacing w:line="240" w:lineRule="auto"/>
                        <w:jc w:val="right"/>
                        <w:rPr>
                          <w:rFonts w:ascii="FbSfaradi Regular" w:hAnsi="FbSfaradi Regular" w:cs="AAd_Ashcnazi"/>
                          <w:spacing w:val="-1"/>
                          <w:w w:val="92"/>
                          <w:sz w:val="30"/>
                          <w:szCs w:val="30"/>
                          <w:rtl/>
                        </w:rPr>
                      </w:pPr>
                      <w:r w:rsidRPr="00827182">
                        <w:rPr>
                          <w:rFonts w:ascii="FbSfaradi Regular" w:hAnsi="FbSfaradi Regular" w:cs="AAd_Ashcnazi"/>
                          <w:spacing w:val="-1"/>
                          <w:sz w:val="30"/>
                          <w:szCs w:val="30"/>
                          <w:rtl/>
                        </w:rPr>
                        <w:t>ובעניני גאולה ומשיח, פשש"מ, רמב"ם, נגלה וחסידות</w:t>
                      </w:r>
                      <w:r w:rsidRPr="0041359D">
                        <w:rPr>
                          <w:rFonts w:ascii="FbSfaradi Regular" w:hAnsi="FbSfaradi Regular" w:cs="AAd_Ashcnazi"/>
                          <w:b/>
                          <w:bCs/>
                          <w:spacing w:val="-1"/>
                          <w:sz w:val="30"/>
                          <w:szCs w:val="30"/>
                          <w:rtl/>
                        </w:rPr>
                        <w:t xml:space="preserve"> </w:t>
                      </w:r>
                    </w:p>
                  </w:txbxContent>
                </v:textbox>
                <w10:wrap type="square" anchorx="margin" anchory="margin"/>
              </v:shape>
            </w:pict>
          </mc:Fallback>
        </mc:AlternateContent>
      </w:r>
      <w:r w:rsidR="00760DB7" w:rsidRPr="00760DB7">
        <w:rPr>
          <w:rFonts w:ascii="Times New Roman" w:hAnsi="Times New Roman" w:cs="Times New Roman"/>
          <w:noProof/>
          <w:sz w:val="24"/>
          <w:szCs w:val="24"/>
        </w:rPr>
        <mc:AlternateContent>
          <mc:Choice Requires="wps">
            <w:drawing>
              <wp:anchor distT="36576" distB="36576" distL="36576" distR="36576" simplePos="0" relativeHeight="251660288" behindDoc="0" locked="0" layoutInCell="1" allowOverlap="1" wp14:anchorId="6820931F" wp14:editId="44B8EA99">
                <wp:simplePos x="0" y="0"/>
                <wp:positionH relativeFrom="margin">
                  <wp:posOffset>0</wp:posOffset>
                </wp:positionH>
                <wp:positionV relativeFrom="margin">
                  <wp:posOffset>3163406</wp:posOffset>
                </wp:positionV>
                <wp:extent cx="2598420" cy="46164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8420" cy="4616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4C3605" w:rsidRPr="00880CC5" w:rsidRDefault="004C3605" w:rsidP="00760DB7">
                            <w:pPr>
                              <w:pStyle w:val="NoParagraphStyle"/>
                              <w:spacing w:line="182" w:lineRule="auto"/>
                              <w:jc w:val="right"/>
                              <w:rPr>
                                <w:rFonts w:ascii="FbFrankReal" w:hAnsi="FbFrankReal" w:cs="PFT_Vilna"/>
                                <w:color w:val="auto"/>
                                <w:sz w:val="32"/>
                                <w:szCs w:val="32"/>
                              </w:rPr>
                            </w:pPr>
                            <w:r w:rsidRPr="00880CC5">
                              <w:rPr>
                                <w:rFonts w:ascii="FbFrankReal" w:hAnsi="FbFrankReal" w:cs="PFT_Vilna"/>
                                <w:color w:val="auto"/>
                                <w:sz w:val="22"/>
                                <w:szCs w:val="22"/>
                                <w:rtl/>
                              </w:rPr>
                              <w:t>נוסד בחודש תשרי ה'תש"מ</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20931F" id="Text Box 2" o:spid="_x0000_s1028" type="#_x0000_t202" style="position:absolute;margin-left:0;margin-top:249.1pt;width:204.6pt;height:36.35pt;z-index:25166028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" filled="f" stroked="f" strokecolor="black [0]" insetpen="t">
                <v:textbox inset="2.88pt,2.88pt,2.88pt,2.88pt">
                  <w:txbxContent>
                    <w:p w:rsidR="004C3605" w:rsidRPr="00880CC5" w:rsidRDefault="004C3605" w:rsidP="00760DB7">
                      <w:pPr>
                        <w:pStyle w:val="NoParagraphStyle"/>
                        <w:spacing w:line="182" w:lineRule="auto"/>
                        <w:jc w:val="right"/>
                        <w:rPr>
                          <w:rFonts w:ascii="FbFrankReal" w:hAnsi="FbFrankReal" w:cs="PFT_Vilna"/>
                          <w:color w:val="auto"/>
                          <w:sz w:val="32"/>
                          <w:szCs w:val="32"/>
                        </w:rPr>
                      </w:pPr>
                      <w:r w:rsidRPr="00880CC5">
                        <w:rPr>
                          <w:rFonts w:ascii="FbFrankReal" w:hAnsi="FbFrankReal" w:cs="PFT_Vilna"/>
                          <w:color w:val="auto"/>
                          <w:sz w:val="22"/>
                          <w:szCs w:val="22"/>
                          <w:rtl/>
                        </w:rPr>
                        <w:t>נוסד בחודש תשרי ה'תש"מ</w:t>
                      </w:r>
                    </w:p>
                  </w:txbxContent>
                </v:textbox>
                <w10:wrap type="square" anchorx="margin" anchory="margin"/>
              </v:shape>
            </w:pict>
          </mc:Fallback>
        </mc:AlternateContent>
      </w:r>
      <w:r w:rsidR="00760DB7" w:rsidRPr="00760DB7">
        <w:rPr>
          <w:rFonts w:ascii="Times New Roman" w:hAnsi="Times New Roman" w:cs="Times New Roman"/>
          <w:noProof/>
          <w:sz w:val="24"/>
          <w:szCs w:val="24"/>
        </w:rPr>
        <mc:AlternateContent>
          <mc:Choice Requires="wps">
            <w:drawing>
              <wp:anchor distT="36576" distB="36576" distL="36576" distR="36576" simplePos="0" relativeHeight="251662336" behindDoc="0" locked="0" layoutInCell="1" allowOverlap="1" wp14:anchorId="050CBD5D" wp14:editId="54C93ABA">
                <wp:simplePos x="0" y="0"/>
                <wp:positionH relativeFrom="margin">
                  <wp:posOffset>0</wp:posOffset>
                </wp:positionH>
                <wp:positionV relativeFrom="margin">
                  <wp:posOffset>5790647</wp:posOffset>
                </wp:positionV>
                <wp:extent cx="3383915" cy="1341120"/>
                <wp:effectExtent l="0" t="0" r="6985"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3915" cy="13411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4C3605" w:rsidRPr="00A85094" w:rsidRDefault="004C3605" w:rsidP="00760DB7">
                            <w:pPr>
                              <w:pStyle w:val="NoParagraphStyle"/>
                              <w:jc w:val="right"/>
                              <w:rPr>
                                <w:rFonts w:ascii="FbSfaradi Regular" w:hAnsi="FbSfaradi Regular" w:cs="PFT_Vilna"/>
                                <w:spacing w:val="-5"/>
                                <w:sz w:val="19"/>
                                <w:szCs w:val="19"/>
                              </w:rPr>
                            </w:pPr>
                            <w:r w:rsidRPr="00A85094">
                              <w:rPr>
                                <w:rFonts w:ascii="FbSfaradi Regular" w:hAnsi="FbSfaradi Regular" w:cs="PFT_Vilna"/>
                                <w:spacing w:val="-5"/>
                                <w:sz w:val="19"/>
                                <w:szCs w:val="19"/>
                                <w:rtl/>
                              </w:rPr>
                              <w:t>יוצא לאור על ידי</w:t>
                            </w:r>
                          </w:p>
                          <w:p w:rsidR="004C3605" w:rsidRPr="00A85094" w:rsidRDefault="004C3605" w:rsidP="00760DB7">
                            <w:pPr>
                              <w:pStyle w:val="NoParagraphStyle"/>
                              <w:spacing w:line="213" w:lineRule="auto"/>
                              <w:jc w:val="right"/>
                              <w:rPr>
                                <w:rFonts w:ascii="FbSfaradi Bold" w:hAnsi="FbSfaradi Bold" w:cs="PFT_Vilna"/>
                                <w:b/>
                                <w:bCs/>
                                <w:spacing w:val="-5"/>
                                <w:sz w:val="25"/>
                                <w:szCs w:val="25"/>
                                <w:rtl/>
                              </w:rPr>
                            </w:pPr>
                            <w:r w:rsidRPr="00A85094">
                              <w:rPr>
                                <w:rFonts w:ascii="FbSfaradi Bold" w:hAnsi="FbSfaradi Bold" w:cs="PFT_Vilna"/>
                                <w:b/>
                                <w:bCs/>
                                <w:spacing w:val="-5"/>
                                <w:sz w:val="25"/>
                                <w:szCs w:val="25"/>
                                <w:rtl/>
                              </w:rPr>
                              <w:t>תלמידי ביהמ"ד דמוסד חינוך אהלי תורה</w:t>
                            </w:r>
                          </w:p>
                          <w:p w:rsidR="004C3605" w:rsidRPr="00A85094" w:rsidRDefault="004C3605" w:rsidP="00760DB7">
                            <w:pPr>
                              <w:pStyle w:val="NoParagraphStyle"/>
                              <w:spacing w:line="213" w:lineRule="auto"/>
                              <w:jc w:val="right"/>
                              <w:rPr>
                                <w:rFonts w:ascii="FbSfaradi Regular" w:hAnsi="FbSfaradi Regular" w:cs="PFT_Vilna"/>
                                <w:spacing w:val="-5"/>
                                <w:sz w:val="19"/>
                                <w:szCs w:val="19"/>
                                <w:rtl/>
                              </w:rPr>
                            </w:pPr>
                            <w:r w:rsidRPr="00A85094">
                              <w:rPr>
                                <w:rFonts w:ascii="FbSfaradi Regular" w:hAnsi="FbSfaradi Regular" w:cs="PFT_Vilna"/>
                                <w:spacing w:val="-5"/>
                                <w:sz w:val="19"/>
                                <w:szCs w:val="19"/>
                                <w:rtl/>
                              </w:rPr>
                              <w:t xml:space="preserve"> 667 איסטערן פארקוויי, ברוקלין, ניו יארק</w:t>
                            </w:r>
                          </w:p>
                          <w:p w:rsidR="004C3605" w:rsidRDefault="004C3605" w:rsidP="00760DB7">
                            <w:pPr>
                              <w:pStyle w:val="NoParagraphStyle"/>
                              <w:jc w:val="right"/>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rsidR="004C3605" w:rsidRPr="00A85094" w:rsidRDefault="004C3605" w:rsidP="00760DB7">
                            <w:pPr>
                              <w:pStyle w:val="NoParagraphStyle"/>
                              <w:spacing w:line="240" w:lineRule="auto"/>
                              <w:jc w:val="right"/>
                              <w:rPr>
                                <w:rFonts w:ascii="FbSfaradi Regular" w:hAnsi="FbSfaradi Regular" w:cs="PFT_Vilna"/>
                                <w:sz w:val="19"/>
                                <w:szCs w:val="19"/>
                                <w:rtl/>
                              </w:rPr>
                            </w:pPr>
                            <w:r w:rsidRPr="00A85094">
                              <w:rPr>
                                <w:rFonts w:ascii="FbSfaradi Bold" w:hAnsi="FbSfaradi Bold" w:cs="PFT_Vilna"/>
                                <w:spacing w:val="-5"/>
                                <w:sz w:val="19"/>
                                <w:szCs w:val="19"/>
                                <w:rtl/>
                              </w:rPr>
                              <w:t xml:space="preserve">שנת חמשת אלפים שבע מאות </w:t>
                            </w:r>
                            <w:r>
                              <w:rPr>
                                <w:rFonts w:ascii="FbSfaradi Bold" w:hAnsi="FbSfaradi Bold" w:cs="PFT_Vilna" w:hint="cs"/>
                                <w:spacing w:val="-5"/>
                                <w:sz w:val="19"/>
                                <w:szCs w:val="19"/>
                                <w:rtl/>
                              </w:rPr>
                              <w:t>ושמונים</w:t>
                            </w:r>
                            <w:r w:rsidRPr="00A85094">
                              <w:rPr>
                                <w:rFonts w:ascii="FbSfaradi Bold" w:hAnsi="FbSfaradi Bold" w:cs="PFT_Vilna"/>
                                <w:spacing w:val="-5"/>
                                <w:sz w:val="19"/>
                                <w:szCs w:val="19"/>
                                <w:rtl/>
                              </w:rPr>
                              <w:t xml:space="preserve"> לבריאה</w:t>
                            </w:r>
                            <w:r w:rsidRPr="00A85094">
                              <w:rPr>
                                <w:rFonts w:ascii="FbSfaradi Regular" w:hAnsi="FbSfaradi Regular" w:cs="PFT_Vilna"/>
                                <w:spacing w:val="-5"/>
                                <w:sz w:val="19"/>
                                <w:szCs w:val="19"/>
                                <w:rtl/>
                              </w:rPr>
                              <w:br/>
                            </w:r>
                            <w:r w:rsidRPr="00A51B53">
                              <w:rPr>
                                <w:rFonts w:ascii="FbSfaradi Bold" w:hAnsi="FbSfaradi Bold" w:cs="PFT_Vilna"/>
                                <w:spacing w:val="-5"/>
                                <w:sz w:val="19"/>
                                <w:szCs w:val="19"/>
                                <w:rtl/>
                              </w:rPr>
                              <w:t>מאה ו</w:t>
                            </w:r>
                            <w:r>
                              <w:rPr>
                                <w:rFonts w:ascii="FbSfaradi Bold" w:hAnsi="FbSfaradi Bold" w:cs="PFT_Vilna" w:hint="cs"/>
                                <w:spacing w:val="-5"/>
                                <w:sz w:val="19"/>
                                <w:szCs w:val="19"/>
                                <w:rtl/>
                              </w:rPr>
                              <w:t>שמונה</w:t>
                            </w:r>
                            <w:r w:rsidRPr="00A51B53">
                              <w:rPr>
                                <w:rFonts w:ascii="FbSfaradi Bold" w:hAnsi="FbSfaradi Bold" w:cs="PFT_Vilna" w:hint="cs"/>
                                <w:spacing w:val="-5"/>
                                <w:sz w:val="19"/>
                                <w:szCs w:val="19"/>
                                <w:rtl/>
                              </w:rPr>
                              <w:t xml:space="preserve"> </w:t>
                            </w:r>
                            <w:r w:rsidRPr="00A51B53">
                              <w:rPr>
                                <w:rFonts w:ascii="FbSfaradi Bold" w:hAnsi="FbSfaradi Bold" w:cs="PFT_Vilna"/>
                                <w:spacing w:val="-5"/>
                                <w:sz w:val="19"/>
                                <w:szCs w:val="19"/>
                                <w:rtl/>
                              </w:rPr>
                              <w:t>עשר שנה להולדת כ”ק אדמו”ר</w:t>
                            </w:r>
                            <w:r w:rsidRPr="00A85094">
                              <w:rPr>
                                <w:rFonts w:ascii="FbSfaradi Bold" w:hAnsi="FbSfaradi Bold" w:cs="PFT_Vilna" w:hint="cs"/>
                                <w:spacing w:val="-5"/>
                                <w:sz w:val="19"/>
                                <w:szCs w:val="19"/>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0CBD5D" id="Text Box 4" o:spid="_x0000_s1029" type="#_x0000_t202" style="position:absolute;margin-left:0;margin-top:455.95pt;width:266.45pt;height:105.6pt;z-index:251662336;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" filled="f" stroked="f" strokecolor="black [0]" insetpen="t">
                <v:textbox inset="2.88pt,2.88pt,2.88pt,2.88pt">
                  <w:txbxContent>
                    <w:p w:rsidR="004C3605" w:rsidRPr="00A85094" w:rsidRDefault="004C3605" w:rsidP="00760DB7">
                      <w:pPr>
                        <w:pStyle w:val="NoParagraphStyle"/>
                        <w:jc w:val="right"/>
                        <w:rPr>
                          <w:rFonts w:ascii="FbSfaradi Regular" w:hAnsi="FbSfaradi Regular" w:cs="PFT_Vilna"/>
                          <w:spacing w:val="-5"/>
                          <w:sz w:val="19"/>
                          <w:szCs w:val="19"/>
                        </w:rPr>
                      </w:pPr>
                      <w:r w:rsidRPr="00A85094">
                        <w:rPr>
                          <w:rFonts w:ascii="FbSfaradi Regular" w:hAnsi="FbSfaradi Regular" w:cs="PFT_Vilna"/>
                          <w:spacing w:val="-5"/>
                          <w:sz w:val="19"/>
                          <w:szCs w:val="19"/>
                          <w:rtl/>
                        </w:rPr>
                        <w:t>יוצא לאור על ידי</w:t>
                      </w:r>
                    </w:p>
                    <w:p w:rsidR="004C3605" w:rsidRPr="00A85094" w:rsidRDefault="004C3605" w:rsidP="00760DB7">
                      <w:pPr>
                        <w:pStyle w:val="NoParagraphStyle"/>
                        <w:spacing w:line="213" w:lineRule="auto"/>
                        <w:jc w:val="right"/>
                        <w:rPr>
                          <w:rFonts w:ascii="FbSfaradi Bold" w:hAnsi="FbSfaradi Bold" w:cs="PFT_Vilna"/>
                          <w:b/>
                          <w:bCs/>
                          <w:spacing w:val="-5"/>
                          <w:sz w:val="25"/>
                          <w:szCs w:val="25"/>
                          <w:rtl/>
                        </w:rPr>
                      </w:pPr>
                      <w:r w:rsidRPr="00A85094">
                        <w:rPr>
                          <w:rFonts w:ascii="FbSfaradi Bold" w:hAnsi="FbSfaradi Bold" w:cs="PFT_Vilna"/>
                          <w:b/>
                          <w:bCs/>
                          <w:spacing w:val="-5"/>
                          <w:sz w:val="25"/>
                          <w:szCs w:val="25"/>
                          <w:rtl/>
                        </w:rPr>
                        <w:t>תלמידי ביהמ"ד דמוסד חינוך אהלי תורה</w:t>
                      </w:r>
                    </w:p>
                    <w:p w:rsidR="004C3605" w:rsidRPr="00A85094" w:rsidRDefault="004C3605" w:rsidP="00760DB7">
                      <w:pPr>
                        <w:pStyle w:val="NoParagraphStyle"/>
                        <w:spacing w:line="213" w:lineRule="auto"/>
                        <w:jc w:val="right"/>
                        <w:rPr>
                          <w:rFonts w:ascii="FbSfaradi Regular" w:hAnsi="FbSfaradi Regular" w:cs="PFT_Vilna"/>
                          <w:spacing w:val="-5"/>
                          <w:sz w:val="19"/>
                          <w:szCs w:val="19"/>
                          <w:rtl/>
                        </w:rPr>
                      </w:pPr>
                      <w:r w:rsidRPr="00A85094">
                        <w:rPr>
                          <w:rFonts w:ascii="FbSfaradi Regular" w:hAnsi="FbSfaradi Regular" w:cs="PFT_Vilna"/>
                          <w:spacing w:val="-5"/>
                          <w:sz w:val="19"/>
                          <w:szCs w:val="19"/>
                          <w:rtl/>
                        </w:rPr>
                        <w:t xml:space="preserve"> 667 איסטערן פארקוויי, ברוקלין, ניו יארק</w:t>
                      </w:r>
                    </w:p>
                    <w:p w:rsidR="004C3605" w:rsidRDefault="004C3605" w:rsidP="00760DB7">
                      <w:pPr>
                        <w:pStyle w:val="NoParagraphStyle"/>
                        <w:jc w:val="right"/>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rsidR="004C3605" w:rsidRPr="00A85094" w:rsidRDefault="004C3605" w:rsidP="00760DB7">
                      <w:pPr>
                        <w:pStyle w:val="NoParagraphStyle"/>
                        <w:spacing w:line="240" w:lineRule="auto"/>
                        <w:jc w:val="right"/>
                        <w:rPr>
                          <w:rFonts w:ascii="FbSfaradi Regular" w:hAnsi="FbSfaradi Regular" w:cs="PFT_Vilna"/>
                          <w:sz w:val="19"/>
                          <w:szCs w:val="19"/>
                          <w:rtl/>
                        </w:rPr>
                      </w:pPr>
                      <w:r w:rsidRPr="00A85094">
                        <w:rPr>
                          <w:rFonts w:ascii="FbSfaradi Bold" w:hAnsi="FbSfaradi Bold" w:cs="PFT_Vilna"/>
                          <w:spacing w:val="-5"/>
                          <w:sz w:val="19"/>
                          <w:szCs w:val="19"/>
                          <w:rtl/>
                        </w:rPr>
                        <w:t xml:space="preserve">שנת חמשת אלפים שבע מאות </w:t>
                      </w:r>
                      <w:r>
                        <w:rPr>
                          <w:rFonts w:ascii="FbSfaradi Bold" w:hAnsi="FbSfaradi Bold" w:cs="PFT_Vilna" w:hint="cs"/>
                          <w:spacing w:val="-5"/>
                          <w:sz w:val="19"/>
                          <w:szCs w:val="19"/>
                          <w:rtl/>
                        </w:rPr>
                        <w:t>ושמונים</w:t>
                      </w:r>
                      <w:r w:rsidRPr="00A85094">
                        <w:rPr>
                          <w:rFonts w:ascii="FbSfaradi Bold" w:hAnsi="FbSfaradi Bold" w:cs="PFT_Vilna"/>
                          <w:spacing w:val="-5"/>
                          <w:sz w:val="19"/>
                          <w:szCs w:val="19"/>
                          <w:rtl/>
                        </w:rPr>
                        <w:t xml:space="preserve"> לבריאה</w:t>
                      </w:r>
                      <w:r w:rsidRPr="00A85094">
                        <w:rPr>
                          <w:rFonts w:ascii="FbSfaradi Regular" w:hAnsi="FbSfaradi Regular" w:cs="PFT_Vilna"/>
                          <w:spacing w:val="-5"/>
                          <w:sz w:val="19"/>
                          <w:szCs w:val="19"/>
                          <w:rtl/>
                        </w:rPr>
                        <w:br/>
                      </w:r>
                      <w:r w:rsidRPr="00A51B53">
                        <w:rPr>
                          <w:rFonts w:ascii="FbSfaradi Bold" w:hAnsi="FbSfaradi Bold" w:cs="PFT_Vilna"/>
                          <w:spacing w:val="-5"/>
                          <w:sz w:val="19"/>
                          <w:szCs w:val="19"/>
                          <w:rtl/>
                        </w:rPr>
                        <w:t>מאה ו</w:t>
                      </w:r>
                      <w:r>
                        <w:rPr>
                          <w:rFonts w:ascii="FbSfaradi Bold" w:hAnsi="FbSfaradi Bold" w:cs="PFT_Vilna" w:hint="cs"/>
                          <w:spacing w:val="-5"/>
                          <w:sz w:val="19"/>
                          <w:szCs w:val="19"/>
                          <w:rtl/>
                        </w:rPr>
                        <w:t>שמונה</w:t>
                      </w:r>
                      <w:r w:rsidRPr="00A51B53">
                        <w:rPr>
                          <w:rFonts w:ascii="FbSfaradi Bold" w:hAnsi="FbSfaradi Bold" w:cs="PFT_Vilna" w:hint="cs"/>
                          <w:spacing w:val="-5"/>
                          <w:sz w:val="19"/>
                          <w:szCs w:val="19"/>
                          <w:rtl/>
                        </w:rPr>
                        <w:t xml:space="preserve"> </w:t>
                      </w:r>
                      <w:r w:rsidRPr="00A51B53">
                        <w:rPr>
                          <w:rFonts w:ascii="FbSfaradi Bold" w:hAnsi="FbSfaradi Bold" w:cs="PFT_Vilna"/>
                          <w:spacing w:val="-5"/>
                          <w:sz w:val="19"/>
                          <w:szCs w:val="19"/>
                          <w:rtl/>
                        </w:rPr>
                        <w:t>עשר שנה להולדת כ”ק אדמו”ר</w:t>
                      </w:r>
                      <w:r w:rsidRPr="00A85094">
                        <w:rPr>
                          <w:rFonts w:ascii="FbSfaradi Bold" w:hAnsi="FbSfaradi Bold" w:cs="PFT_Vilna" w:hint="cs"/>
                          <w:spacing w:val="-5"/>
                          <w:sz w:val="19"/>
                          <w:szCs w:val="19"/>
                          <w:rtl/>
                        </w:rPr>
                        <w:t xml:space="preserve"> </w:t>
                      </w:r>
                    </w:p>
                  </w:txbxContent>
                </v:textbox>
                <w10:wrap type="square" anchorx="margin" anchory="margin"/>
              </v:shape>
            </w:pict>
          </mc:Fallback>
        </mc:AlternateContent>
      </w:r>
      <w:r w:rsidR="00760DB7" w:rsidRPr="00760DB7">
        <w:rPr>
          <w:rFonts w:ascii="FbFRealBelet Bold" w:hAnsi="FbFRealBelet Bold" w:cs="FbFRealBelet Bold"/>
          <w:b/>
          <w:bCs/>
          <w:sz w:val="32"/>
          <w:szCs w:val="32"/>
          <w:rtl/>
        </w:rPr>
        <w:br w:type="page"/>
      </w:r>
    </w:p>
    <w:p w:rsidR="00760DB7" w:rsidRPr="00760DB7" w:rsidRDefault="00760DB7" w:rsidP="00760DB7">
      <w:pPr>
        <w:bidi/>
        <w:spacing w:after="100"/>
        <w:jc w:val="center"/>
        <w:rPr>
          <w:rFonts w:ascii="FbFRealBelet Bold" w:hAnsi="FbFRealBelet Bold" w:cs="FbFRealBelet Bold"/>
          <w:b/>
          <w:bCs/>
          <w:sz w:val="32"/>
          <w:szCs w:val="32"/>
          <w:rtl/>
        </w:rPr>
      </w:pPr>
      <w:r w:rsidRPr="00760DB7">
        <w:rPr>
          <w:rFonts w:ascii="FbFRealBelet Bold" w:hAnsi="FbFRealBelet Bold" w:cs="FbFRealBelet Bold" w:hint="cs"/>
          <w:b/>
          <w:bCs/>
          <w:sz w:val="32"/>
          <w:szCs w:val="32"/>
          <w:rtl/>
        </w:rPr>
        <w:lastRenderedPageBreak/>
        <w:t xml:space="preserve">י"ג אייר </w:t>
      </w:r>
      <w:r w:rsidRPr="00760DB7">
        <w:rPr>
          <w:rFonts w:ascii="FbFRealBelet Bold" w:hAnsi="FbFRealBelet Bold" w:cs="FbFRealBelet Bold"/>
          <w:b/>
          <w:bCs/>
          <w:sz w:val="32"/>
          <w:szCs w:val="32"/>
          <w:rtl/>
        </w:rPr>
        <w:t>–</w:t>
      </w:r>
      <w:r w:rsidR="00C74526">
        <w:rPr>
          <w:rFonts w:ascii="FbFRealBelet Bold" w:hAnsi="FbFRealBelet Bold" w:cs="FbFRealBelet Bold" w:hint="cs"/>
          <w:b/>
          <w:bCs/>
          <w:sz w:val="32"/>
          <w:szCs w:val="32"/>
          <w:rtl/>
        </w:rPr>
        <w:t xml:space="preserve"> </w:t>
      </w:r>
      <w:r w:rsidRPr="00760DB7">
        <w:rPr>
          <w:rFonts w:ascii="FbFRealBelet Bold" w:hAnsi="FbFRealBelet Bold" w:cs="FbFRealBelet Bold" w:hint="cs"/>
          <w:b/>
          <w:bCs/>
          <w:sz w:val="32"/>
          <w:szCs w:val="32"/>
          <w:rtl/>
        </w:rPr>
        <w:t>פסח שני</w:t>
      </w:r>
      <w:r w:rsidR="004C3605">
        <w:rPr>
          <w:rFonts w:ascii="FbFRealBelet Bold" w:hAnsi="FbFRealBelet Bold" w:cs="FbFRealBelet Bold" w:hint="cs"/>
          <w:b/>
          <w:bCs/>
          <w:sz w:val="32"/>
          <w:szCs w:val="32"/>
          <w:rtl/>
        </w:rPr>
        <w:t xml:space="preserve"> </w:t>
      </w:r>
      <w:r w:rsidR="00C74526">
        <w:rPr>
          <w:rFonts w:ascii="FbFRealBelet Bold" w:hAnsi="FbFRealBelet Bold" w:cs="FbFRealBelet Bold"/>
          <w:b/>
          <w:bCs/>
          <w:sz w:val="32"/>
          <w:szCs w:val="32"/>
          <w:rtl/>
        </w:rPr>
        <w:t>–</w:t>
      </w:r>
      <w:r w:rsidR="00C74526">
        <w:rPr>
          <w:rFonts w:ascii="FbFRealBelet Bold" w:hAnsi="FbFRealBelet Bold" w:cs="FbFRealBelet Bold" w:hint="cs"/>
          <w:b/>
          <w:bCs/>
          <w:sz w:val="32"/>
          <w:szCs w:val="32"/>
          <w:rtl/>
        </w:rPr>
        <w:t xml:space="preserve"> ש"פ אמור</w:t>
      </w:r>
      <w:r w:rsidRPr="00760DB7">
        <w:rPr>
          <w:rFonts w:ascii="FbFRealBelet Bold" w:hAnsi="FbFRealBelet Bold" w:cs="FbFRealBelet Bold"/>
          <w:b/>
          <w:bCs/>
          <w:sz w:val="32"/>
          <w:szCs w:val="32"/>
          <w:rtl/>
        </w:rPr>
        <w:br/>
        <w:t xml:space="preserve">גליון </w:t>
      </w:r>
      <w:r w:rsidRPr="00760DB7">
        <w:rPr>
          <w:rFonts w:ascii="FbFRealBelet Bold" w:hAnsi="FbFRealBelet Bold" w:cs="FbFRealBelet Bold" w:hint="cs"/>
          <w:b/>
          <w:bCs/>
          <w:sz w:val="32"/>
          <w:szCs w:val="32"/>
          <w:rtl/>
        </w:rPr>
        <w:t>י</w:t>
      </w:r>
      <w:r w:rsidRPr="00760DB7">
        <w:rPr>
          <w:rFonts w:ascii="FbFRealBelet Bold" w:hAnsi="FbFRealBelet Bold" w:cs="FbFRealBelet Bold"/>
          <w:b/>
          <w:bCs/>
          <w:sz w:val="32"/>
          <w:szCs w:val="32"/>
          <w:rtl/>
        </w:rPr>
        <w:t xml:space="preserve"> [אלף-ק</w:t>
      </w:r>
      <w:r w:rsidRPr="00760DB7">
        <w:rPr>
          <w:rFonts w:ascii="FbFRealBelet Bold" w:hAnsi="FbFRealBelet Bold" w:cs="FbFRealBelet Bold" w:hint="cs"/>
          <w:b/>
          <w:bCs/>
          <w:sz w:val="32"/>
          <w:szCs w:val="32"/>
          <w:rtl/>
        </w:rPr>
        <w:t>ע"ח</w:t>
      </w:r>
      <w:r w:rsidRPr="00760DB7">
        <w:rPr>
          <w:rFonts w:ascii="FbFRealBelet Bold" w:hAnsi="FbFRealBelet Bold" w:cs="FbFRealBelet Bold"/>
          <w:b/>
          <w:bCs/>
          <w:sz w:val="32"/>
          <w:szCs w:val="32"/>
          <w:rtl/>
        </w:rPr>
        <w:t>]</w:t>
      </w:r>
    </w:p>
    <w:p w:rsidR="00760DB7" w:rsidRPr="00760DB7" w:rsidRDefault="00760DB7" w:rsidP="00760DB7">
      <w:pPr>
        <w:keepNext/>
        <w:bidi/>
        <w:spacing w:after="100" w:line="240" w:lineRule="auto"/>
        <w:jc w:val="center"/>
        <w:rPr>
          <w:rFonts w:ascii="FbFrankReal" w:eastAsia="Times New Roman" w:hAnsi="FbFrankReal" w:cs="FbFrankReal"/>
          <w:bCs/>
          <w:rtl/>
          <w:lang w:val="en-GB"/>
        </w:rPr>
      </w:pPr>
      <w:bookmarkStart w:id="73" w:name="_Toc507117033"/>
      <w:bookmarkStart w:id="74" w:name="_Toc507117962"/>
      <w:bookmarkStart w:id="75" w:name="_Toc507121434"/>
      <w:bookmarkStart w:id="76" w:name="_Toc511954850"/>
      <w:bookmarkStart w:id="77" w:name="_Toc513163533"/>
      <w:bookmarkStart w:id="78" w:name="_Toc513170167"/>
      <w:bookmarkStart w:id="79" w:name="_Toc514375210"/>
      <w:bookmarkStart w:id="80" w:name="_Toc519734886"/>
      <w:bookmarkStart w:id="81" w:name="_Toc521627727"/>
      <w:bookmarkStart w:id="82" w:name="_Toc525270754"/>
      <w:bookmarkStart w:id="83" w:name="_Toc525270896"/>
      <w:bookmarkStart w:id="84" w:name="_Toc527044894"/>
      <w:bookmarkStart w:id="85" w:name="_Toc527086450"/>
      <w:bookmarkStart w:id="86" w:name="_Toc528301415"/>
      <w:bookmarkStart w:id="87" w:name="_Toc26498913"/>
      <w:bookmarkStart w:id="88" w:name="_Toc26502309"/>
      <w:r w:rsidRPr="00760DB7">
        <w:rPr>
          <w:rFonts w:ascii="FbTehilaMedium" w:eastAsia="Calibri" w:hAnsi="FbTehilaMedium" w:cs="FbTehilaMedium"/>
          <w:sz w:val="70"/>
          <w:szCs w:val="70"/>
          <w:rtl/>
          <w:lang w:val="en-GB"/>
        </w:rPr>
        <w:t>תוכן הענינים</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sdt>
      <w:sdtPr>
        <w:rPr>
          <w:rFonts w:ascii="FbFRealBelet Bold" w:eastAsiaTheme="majorEastAsia" w:hAnsi="FbFRealBelet Bold" w:cs="FbFRealBelet Bold"/>
          <w:noProof w:val="0"/>
          <w:color w:val="2E74B5" w:themeColor="accent1" w:themeShade="BF"/>
          <w:sz w:val="18"/>
          <w:szCs w:val="18"/>
          <w:rtl/>
          <w:lang w:val="en-GB" w:bidi="ar-SA"/>
        </w:rPr>
        <w:id w:val="-36669119"/>
        <w:docPartObj>
          <w:docPartGallery w:val="Table of Contents"/>
          <w:docPartUnique/>
        </w:docPartObj>
      </w:sdtPr>
      <w:sdtEndPr>
        <w:rPr>
          <w:rFonts w:ascii="FbSfaradi" w:eastAsiaTheme="minorHAnsi" w:hAnsi="FbSfaradi" w:cs="FbSfaradi"/>
          <w:color w:val="auto"/>
          <w:sz w:val="20"/>
          <w:szCs w:val="20"/>
          <w:lang w:bidi="he-IL"/>
        </w:rPr>
      </w:sdtEndPr>
      <w:sdtContent>
        <w:p w:rsidR="006660A0" w:rsidRDefault="00760DB7" w:rsidP="006660A0">
          <w:pPr>
            <w:pStyle w:val="TOC1"/>
            <w:rPr>
              <w:rFonts w:asciiTheme="minorHAnsi" w:eastAsiaTheme="minorEastAsia" w:hAnsiTheme="minorHAnsi" w:cstheme="minorBidi"/>
              <w:sz w:val="22"/>
              <w:szCs w:val="22"/>
            </w:rPr>
          </w:pPr>
          <w:r w:rsidRPr="00760DB7">
            <w:rPr>
              <w:rFonts w:ascii="FbFRealBelet Bold" w:hAnsi="FbFRealBelet Bold" w:cs="FbFRealBelet Bold"/>
              <w:sz w:val="220"/>
              <w:szCs w:val="220"/>
            </w:rPr>
            <w:fldChar w:fldCharType="begin"/>
          </w:r>
          <w:r w:rsidRPr="00760DB7">
            <w:rPr>
              <w:rFonts w:ascii="FbFRealBelet Bold" w:hAnsi="FbFRealBelet Bold" w:cs="FbFRealBelet Bold"/>
              <w:sz w:val="220"/>
              <w:szCs w:val="220"/>
            </w:rPr>
            <w:instrText xml:space="preserve"> TOC \o "1-2" \h \z \t "</w:instrText>
          </w:r>
          <w:r w:rsidRPr="00760DB7">
            <w:rPr>
              <w:rFonts w:ascii="FbFRealBelet Bold" w:hAnsi="FbFRealBelet Bold" w:cs="FbFRealBelet Bold"/>
              <w:sz w:val="220"/>
              <w:szCs w:val="220"/>
              <w:rtl/>
            </w:rPr>
            <w:instrText>שם,3</w:instrText>
          </w:r>
          <w:r w:rsidRPr="00760DB7">
            <w:rPr>
              <w:rFonts w:ascii="FbFRealBelet Bold" w:hAnsi="FbFRealBelet Bold" w:cs="FbFRealBelet Bold"/>
              <w:sz w:val="220"/>
              <w:szCs w:val="220"/>
            </w:rPr>
            <w:instrText xml:space="preserve">" </w:instrText>
          </w:r>
          <w:r w:rsidRPr="00760DB7">
            <w:rPr>
              <w:rFonts w:ascii="FbFRealBelet Bold" w:hAnsi="FbFRealBelet Bold" w:cs="FbFRealBelet Bold"/>
              <w:sz w:val="220"/>
              <w:szCs w:val="220"/>
            </w:rPr>
            <w:fldChar w:fldCharType="separate"/>
          </w:r>
          <w:hyperlink w:anchor="_Toc39817400" w:history="1">
            <w:r w:rsidR="006660A0" w:rsidRPr="00BF4140">
              <w:rPr>
                <w:rStyle w:val="Hyperlink"/>
                <w:rFonts w:hint="eastAsia"/>
                <w:rtl/>
              </w:rPr>
              <w:t>עניני</w:t>
            </w:r>
            <w:r w:rsidR="006660A0" w:rsidRPr="00BF4140">
              <w:rPr>
                <w:rStyle w:val="Hyperlink"/>
                <w:rtl/>
              </w:rPr>
              <w:t xml:space="preserve"> </w:t>
            </w:r>
            <w:r w:rsidR="006660A0" w:rsidRPr="00BF4140">
              <w:rPr>
                <w:rStyle w:val="Hyperlink"/>
                <w:rFonts w:hint="eastAsia"/>
                <w:rtl/>
              </w:rPr>
              <w:t>גאולה</w:t>
            </w:r>
            <w:r w:rsidR="006660A0" w:rsidRPr="00BF4140">
              <w:rPr>
                <w:rStyle w:val="Hyperlink"/>
                <w:rtl/>
              </w:rPr>
              <w:t xml:space="preserve"> </w:t>
            </w:r>
            <w:r w:rsidR="006660A0" w:rsidRPr="00BF4140">
              <w:rPr>
                <w:rStyle w:val="Hyperlink"/>
                <w:rFonts w:hint="eastAsia"/>
                <w:rtl/>
              </w:rPr>
              <w:t>ומשיח</w:t>
            </w:r>
          </w:hyperlink>
        </w:p>
        <w:p w:rsidR="006660A0" w:rsidRDefault="006660A0" w:rsidP="006660A0">
          <w:pPr>
            <w:pStyle w:val="TOC2"/>
            <w:rPr>
              <w:rFonts w:asciiTheme="minorHAnsi" w:eastAsiaTheme="minorEastAsia" w:hAnsiTheme="minorHAnsi" w:cstheme="minorBidi"/>
            </w:rPr>
          </w:pPr>
          <w:hyperlink w:anchor="_Toc39817401" w:history="1">
            <w:r w:rsidRPr="00BF4140">
              <w:rPr>
                <w:rStyle w:val="Hyperlink"/>
                <w:rFonts w:hint="eastAsia"/>
                <w:rtl/>
              </w:rPr>
              <w:t>בענין</w:t>
            </w:r>
            <w:r w:rsidRPr="00BF4140">
              <w:rPr>
                <w:rStyle w:val="Hyperlink"/>
                <w:rtl/>
              </w:rPr>
              <w:t xml:space="preserve"> </w:t>
            </w:r>
            <w:r w:rsidRPr="00BF4140">
              <w:rPr>
                <w:rStyle w:val="Hyperlink"/>
                <w:rFonts w:hint="eastAsia"/>
                <w:rtl/>
              </w:rPr>
              <w:t>תקופת</w:t>
            </w:r>
            <w:r w:rsidRPr="00BF4140">
              <w:rPr>
                <w:rStyle w:val="Hyperlink"/>
                <w:rtl/>
              </w:rPr>
              <w:t xml:space="preserve"> </w:t>
            </w:r>
            <w:r w:rsidRPr="00BF4140">
              <w:rPr>
                <w:rStyle w:val="Hyperlink"/>
                <w:rFonts w:hint="eastAsia"/>
                <w:rtl/>
              </w:rPr>
              <w:t>עקבתא</w:t>
            </w:r>
            <w:r w:rsidRPr="00BF4140">
              <w:rPr>
                <w:rStyle w:val="Hyperlink"/>
                <w:rtl/>
              </w:rPr>
              <w:t xml:space="preserve"> </w:t>
            </w:r>
            <w:r w:rsidRPr="00BF4140">
              <w:rPr>
                <w:rStyle w:val="Hyperlink"/>
                <w:rFonts w:hint="eastAsia"/>
                <w:rtl/>
              </w:rPr>
              <w:t>דמשיחא</w:t>
            </w:r>
            <w:r>
              <w:rPr>
                <w:webHidden/>
              </w:rPr>
              <w:tab/>
            </w:r>
            <w:r>
              <w:rPr>
                <w:webHidden/>
              </w:rPr>
              <w:fldChar w:fldCharType="begin"/>
            </w:r>
            <w:r>
              <w:rPr>
                <w:webHidden/>
              </w:rPr>
              <w:instrText xml:space="preserve"> PAGEREF _Toc39817401 \h </w:instrText>
            </w:r>
            <w:r>
              <w:rPr>
                <w:webHidden/>
              </w:rPr>
            </w:r>
            <w:r>
              <w:rPr>
                <w:webHidden/>
              </w:rPr>
              <w:fldChar w:fldCharType="separate"/>
            </w:r>
            <w:r>
              <w:rPr>
                <w:webHidden/>
              </w:rPr>
              <w:t>6</w:t>
            </w:r>
            <w:r>
              <w:rPr>
                <w:webHidden/>
              </w:rPr>
              <w:fldChar w:fldCharType="end"/>
            </w:r>
          </w:hyperlink>
        </w:p>
        <w:p w:rsidR="006660A0" w:rsidRDefault="006660A0" w:rsidP="006660A0">
          <w:pPr>
            <w:pStyle w:val="TOC3"/>
            <w:rPr>
              <w:rFonts w:asciiTheme="minorHAnsi" w:eastAsiaTheme="minorEastAsia" w:hAnsiTheme="minorHAnsi" w:cstheme="minorBidi"/>
              <w:sz w:val="22"/>
              <w:szCs w:val="22"/>
              <w:lang w:val="en-US"/>
            </w:rPr>
          </w:pPr>
          <w:hyperlink w:anchor="_Toc39817402" w:history="1">
            <w:r w:rsidRPr="00BF4140">
              <w:rPr>
                <w:rStyle w:val="Hyperlink"/>
                <w:rFonts w:hint="eastAsia"/>
                <w:rtl/>
              </w:rPr>
              <w:t>הרב</w:t>
            </w:r>
            <w:r w:rsidRPr="00BF4140">
              <w:rPr>
                <w:rStyle w:val="Hyperlink"/>
                <w:rtl/>
              </w:rPr>
              <w:t xml:space="preserve"> </w:t>
            </w:r>
            <w:r w:rsidRPr="00BF4140">
              <w:rPr>
                <w:rStyle w:val="Hyperlink"/>
                <w:rFonts w:hint="eastAsia"/>
                <w:rtl/>
              </w:rPr>
              <w:t>שלום</w:t>
            </w:r>
            <w:r w:rsidRPr="00BF4140">
              <w:rPr>
                <w:rStyle w:val="Hyperlink"/>
                <w:rtl/>
              </w:rPr>
              <w:t xml:space="preserve"> </w:t>
            </w:r>
            <w:r w:rsidRPr="00BF4140">
              <w:rPr>
                <w:rStyle w:val="Hyperlink"/>
                <w:rFonts w:hint="eastAsia"/>
                <w:rtl/>
              </w:rPr>
              <w:t>צירקינד</w:t>
            </w:r>
          </w:hyperlink>
        </w:p>
        <w:p w:rsidR="006660A0" w:rsidRDefault="006660A0" w:rsidP="006660A0">
          <w:pPr>
            <w:pStyle w:val="TOC2"/>
            <w:rPr>
              <w:rFonts w:asciiTheme="minorHAnsi" w:eastAsiaTheme="minorEastAsia" w:hAnsiTheme="minorHAnsi" w:cstheme="minorBidi"/>
            </w:rPr>
          </w:pPr>
          <w:hyperlink w:anchor="_Toc39817403" w:history="1">
            <w:r w:rsidRPr="00BF4140">
              <w:rPr>
                <w:rStyle w:val="Hyperlink"/>
                <w:rFonts w:eastAsia="David Libre" w:hint="eastAsia"/>
                <w:rtl/>
              </w:rPr>
              <w:t>שחיטת</w:t>
            </w:r>
            <w:r w:rsidRPr="00BF4140">
              <w:rPr>
                <w:rStyle w:val="Hyperlink"/>
                <w:rFonts w:eastAsia="David Libre"/>
                <w:rtl/>
              </w:rPr>
              <w:t xml:space="preserve"> </w:t>
            </w:r>
            <w:r w:rsidRPr="00BF4140">
              <w:rPr>
                <w:rStyle w:val="Hyperlink"/>
                <w:rFonts w:eastAsia="David Libre" w:hint="eastAsia"/>
                <w:rtl/>
              </w:rPr>
              <w:t>הפסח</w:t>
            </w:r>
            <w:r w:rsidRPr="00BF4140">
              <w:rPr>
                <w:rStyle w:val="Hyperlink"/>
                <w:rFonts w:eastAsia="David Libre"/>
                <w:rtl/>
              </w:rPr>
              <w:t xml:space="preserve"> </w:t>
            </w:r>
            <w:r w:rsidRPr="00BF4140">
              <w:rPr>
                <w:rStyle w:val="Hyperlink"/>
                <w:rFonts w:eastAsia="David Libre" w:hint="eastAsia"/>
                <w:rtl/>
              </w:rPr>
              <w:t>בג</w:t>
            </w:r>
            <w:r w:rsidRPr="00BF4140">
              <w:rPr>
                <w:rStyle w:val="Hyperlink"/>
                <w:rFonts w:eastAsia="David Libre"/>
                <w:rtl/>
              </w:rPr>
              <w:t xml:space="preserve">' </w:t>
            </w:r>
            <w:r w:rsidRPr="00BF4140">
              <w:rPr>
                <w:rStyle w:val="Hyperlink"/>
                <w:rFonts w:eastAsia="David Libre" w:hint="eastAsia"/>
                <w:rtl/>
              </w:rPr>
              <w:t>כתות</w:t>
            </w:r>
            <w:r w:rsidRPr="00BF4140">
              <w:rPr>
                <w:rStyle w:val="Hyperlink"/>
                <w:rFonts w:eastAsia="David Libre"/>
                <w:rtl/>
              </w:rPr>
              <w:t xml:space="preserve"> </w:t>
            </w:r>
            <w:r w:rsidRPr="00BF4140">
              <w:rPr>
                <w:rStyle w:val="Hyperlink"/>
                <w:rFonts w:eastAsia="David Libre" w:hint="eastAsia"/>
                <w:rtl/>
              </w:rPr>
              <w:t>לעתיד</w:t>
            </w:r>
            <w:r w:rsidRPr="00BF4140">
              <w:rPr>
                <w:rStyle w:val="Hyperlink"/>
                <w:rFonts w:eastAsia="David Libre"/>
                <w:rtl/>
              </w:rPr>
              <w:t xml:space="preserve"> </w:t>
            </w:r>
            <w:r w:rsidRPr="00BF4140">
              <w:rPr>
                <w:rStyle w:val="Hyperlink"/>
                <w:rFonts w:eastAsia="David Libre" w:hint="eastAsia"/>
                <w:rtl/>
              </w:rPr>
              <w:t>לבוא</w:t>
            </w:r>
            <w:r>
              <w:rPr>
                <w:webHidden/>
              </w:rPr>
              <w:tab/>
            </w:r>
            <w:r>
              <w:rPr>
                <w:webHidden/>
              </w:rPr>
              <w:fldChar w:fldCharType="begin"/>
            </w:r>
            <w:r>
              <w:rPr>
                <w:webHidden/>
              </w:rPr>
              <w:instrText xml:space="preserve"> PAGEREF _Toc39817403 \h </w:instrText>
            </w:r>
            <w:r>
              <w:rPr>
                <w:webHidden/>
              </w:rPr>
            </w:r>
            <w:r>
              <w:rPr>
                <w:webHidden/>
              </w:rPr>
              <w:fldChar w:fldCharType="separate"/>
            </w:r>
            <w:r>
              <w:rPr>
                <w:webHidden/>
              </w:rPr>
              <w:t>10</w:t>
            </w:r>
            <w:r>
              <w:rPr>
                <w:webHidden/>
              </w:rPr>
              <w:fldChar w:fldCharType="end"/>
            </w:r>
          </w:hyperlink>
        </w:p>
        <w:p w:rsidR="006660A0" w:rsidRDefault="006660A0" w:rsidP="006660A0">
          <w:pPr>
            <w:pStyle w:val="TOC3"/>
            <w:rPr>
              <w:rFonts w:asciiTheme="minorHAnsi" w:eastAsiaTheme="minorEastAsia" w:hAnsiTheme="minorHAnsi" w:cstheme="minorBidi"/>
              <w:sz w:val="22"/>
              <w:szCs w:val="22"/>
              <w:lang w:val="en-US"/>
            </w:rPr>
          </w:pPr>
          <w:hyperlink w:anchor="_Toc39817404" w:history="1">
            <w:r w:rsidRPr="00BF4140">
              <w:rPr>
                <w:rStyle w:val="Hyperlink"/>
                <w:rFonts w:hint="eastAsia"/>
                <w:rtl/>
              </w:rPr>
              <w:t>הרב</w:t>
            </w:r>
            <w:r w:rsidRPr="00BF4140">
              <w:rPr>
                <w:rStyle w:val="Hyperlink"/>
                <w:rtl/>
              </w:rPr>
              <w:t xml:space="preserve"> </w:t>
            </w:r>
            <w:r w:rsidRPr="00BF4140">
              <w:rPr>
                <w:rStyle w:val="Hyperlink"/>
                <w:rFonts w:hint="eastAsia"/>
                <w:rtl/>
              </w:rPr>
              <w:t>מרדכי</w:t>
            </w:r>
            <w:r w:rsidRPr="00BF4140">
              <w:rPr>
                <w:rStyle w:val="Hyperlink"/>
                <w:rtl/>
              </w:rPr>
              <w:t xml:space="preserve"> </w:t>
            </w:r>
            <w:r w:rsidRPr="00BF4140">
              <w:rPr>
                <w:rStyle w:val="Hyperlink"/>
                <w:rFonts w:hint="eastAsia"/>
                <w:rtl/>
              </w:rPr>
              <w:t>דובער</w:t>
            </w:r>
            <w:r w:rsidRPr="00BF4140">
              <w:rPr>
                <w:rStyle w:val="Hyperlink"/>
                <w:rtl/>
              </w:rPr>
              <w:t xml:space="preserve"> </w:t>
            </w:r>
            <w:r w:rsidRPr="00BF4140">
              <w:rPr>
                <w:rStyle w:val="Hyperlink"/>
                <w:rFonts w:hint="eastAsia"/>
                <w:rtl/>
              </w:rPr>
              <w:t>ווילהעלם</w:t>
            </w:r>
          </w:hyperlink>
        </w:p>
        <w:p w:rsidR="006660A0" w:rsidRDefault="006660A0" w:rsidP="006660A0">
          <w:pPr>
            <w:pStyle w:val="TOC1"/>
            <w:rPr>
              <w:rFonts w:asciiTheme="minorHAnsi" w:eastAsiaTheme="minorEastAsia" w:hAnsiTheme="minorHAnsi" w:cstheme="minorBidi"/>
              <w:sz w:val="22"/>
              <w:szCs w:val="22"/>
            </w:rPr>
          </w:pPr>
          <w:hyperlink w:anchor="_Toc39817405" w:history="1">
            <w:r w:rsidRPr="00BF4140">
              <w:rPr>
                <w:rStyle w:val="Hyperlink"/>
                <w:rFonts w:hint="eastAsia"/>
                <w:rtl/>
              </w:rPr>
              <w:t>תורת</w:t>
            </w:r>
            <w:r w:rsidRPr="00BF4140">
              <w:rPr>
                <w:rStyle w:val="Hyperlink"/>
                <w:rtl/>
              </w:rPr>
              <w:t xml:space="preserve"> </w:t>
            </w:r>
            <w:r w:rsidRPr="00BF4140">
              <w:rPr>
                <w:rStyle w:val="Hyperlink"/>
                <w:rFonts w:hint="eastAsia"/>
                <w:rtl/>
              </w:rPr>
              <w:t>רבינו</w:t>
            </w:r>
          </w:hyperlink>
        </w:p>
        <w:p w:rsidR="006660A0" w:rsidRDefault="006660A0" w:rsidP="006660A0">
          <w:pPr>
            <w:pStyle w:val="TOC2"/>
            <w:rPr>
              <w:rFonts w:asciiTheme="minorHAnsi" w:eastAsiaTheme="minorEastAsia" w:hAnsiTheme="minorHAnsi" w:cstheme="minorBidi"/>
            </w:rPr>
          </w:pPr>
          <w:hyperlink w:anchor="_Toc39817406" w:history="1">
            <w:r w:rsidRPr="00BF4140">
              <w:rPr>
                <w:rStyle w:val="Hyperlink"/>
                <w:rFonts w:hint="eastAsia"/>
                <w:rtl/>
              </w:rPr>
              <w:t>על</w:t>
            </w:r>
            <w:r w:rsidRPr="00BF4140">
              <w:rPr>
                <w:rStyle w:val="Hyperlink"/>
                <w:rtl/>
              </w:rPr>
              <w:t xml:space="preserve"> </w:t>
            </w:r>
            <w:r w:rsidRPr="00BF4140">
              <w:rPr>
                <w:rStyle w:val="Hyperlink"/>
                <w:rFonts w:hint="eastAsia"/>
                <w:rtl/>
              </w:rPr>
              <w:t>נוסח</w:t>
            </w:r>
            <w:r w:rsidRPr="00BF4140">
              <w:rPr>
                <w:rStyle w:val="Hyperlink"/>
                <w:rtl/>
              </w:rPr>
              <w:t xml:space="preserve"> </w:t>
            </w:r>
            <w:r w:rsidRPr="00BF4140">
              <w:rPr>
                <w:rStyle w:val="Hyperlink"/>
                <w:rFonts w:hint="eastAsia"/>
                <w:rtl/>
              </w:rPr>
              <w:t>ספירת</w:t>
            </w:r>
            <w:r w:rsidRPr="00BF4140">
              <w:rPr>
                <w:rStyle w:val="Hyperlink"/>
                <w:rtl/>
              </w:rPr>
              <w:t xml:space="preserve"> </w:t>
            </w:r>
            <w:r w:rsidRPr="00BF4140">
              <w:rPr>
                <w:rStyle w:val="Hyperlink"/>
                <w:rFonts w:hint="eastAsia"/>
                <w:rtl/>
              </w:rPr>
              <w:t>העומר</w:t>
            </w:r>
            <w:r w:rsidRPr="00BF4140">
              <w:rPr>
                <w:rStyle w:val="Hyperlink"/>
                <w:rtl/>
              </w:rPr>
              <w:t xml:space="preserve"> </w:t>
            </w:r>
            <w:r w:rsidRPr="00BF4140">
              <w:rPr>
                <w:rStyle w:val="Hyperlink"/>
                <w:rFonts w:hint="eastAsia"/>
                <w:rtl/>
              </w:rPr>
              <w:t>וברכתה</w:t>
            </w:r>
            <w:r>
              <w:rPr>
                <w:webHidden/>
              </w:rPr>
              <w:tab/>
            </w:r>
            <w:r>
              <w:rPr>
                <w:webHidden/>
              </w:rPr>
              <w:fldChar w:fldCharType="begin"/>
            </w:r>
            <w:r>
              <w:rPr>
                <w:webHidden/>
              </w:rPr>
              <w:instrText xml:space="preserve"> PAGEREF _Toc39817406 \h </w:instrText>
            </w:r>
            <w:r>
              <w:rPr>
                <w:webHidden/>
              </w:rPr>
            </w:r>
            <w:r>
              <w:rPr>
                <w:webHidden/>
              </w:rPr>
              <w:fldChar w:fldCharType="separate"/>
            </w:r>
            <w:r>
              <w:rPr>
                <w:webHidden/>
              </w:rPr>
              <w:t>11</w:t>
            </w:r>
            <w:r>
              <w:rPr>
                <w:webHidden/>
              </w:rPr>
              <w:fldChar w:fldCharType="end"/>
            </w:r>
          </w:hyperlink>
        </w:p>
        <w:p w:rsidR="006660A0" w:rsidRDefault="006660A0" w:rsidP="006660A0">
          <w:pPr>
            <w:pStyle w:val="TOC3"/>
            <w:rPr>
              <w:rFonts w:asciiTheme="minorHAnsi" w:eastAsiaTheme="minorEastAsia" w:hAnsiTheme="minorHAnsi" w:cstheme="minorBidi"/>
              <w:sz w:val="22"/>
              <w:szCs w:val="22"/>
              <w:lang w:val="en-US"/>
            </w:rPr>
          </w:pPr>
          <w:hyperlink w:anchor="_Toc39817407" w:history="1">
            <w:r w:rsidRPr="00BF4140">
              <w:rPr>
                <w:rStyle w:val="Hyperlink"/>
                <w:rFonts w:hint="eastAsia"/>
                <w:rtl/>
              </w:rPr>
              <w:t>הרב</w:t>
            </w:r>
            <w:r w:rsidRPr="00BF4140">
              <w:rPr>
                <w:rStyle w:val="Hyperlink"/>
                <w:rtl/>
              </w:rPr>
              <w:t xml:space="preserve"> </w:t>
            </w:r>
            <w:r w:rsidRPr="00BF4140">
              <w:rPr>
                <w:rStyle w:val="Hyperlink"/>
                <w:rFonts w:hint="eastAsia"/>
                <w:rtl/>
              </w:rPr>
              <w:t>חנניה</w:t>
            </w:r>
            <w:r w:rsidRPr="00BF4140">
              <w:rPr>
                <w:rStyle w:val="Hyperlink"/>
                <w:rtl/>
              </w:rPr>
              <w:t xml:space="preserve"> </w:t>
            </w:r>
            <w:r w:rsidRPr="00BF4140">
              <w:rPr>
                <w:rStyle w:val="Hyperlink"/>
                <w:rFonts w:hint="eastAsia"/>
                <w:rtl/>
              </w:rPr>
              <w:t>יוסף</w:t>
            </w:r>
            <w:r w:rsidRPr="00BF4140">
              <w:rPr>
                <w:rStyle w:val="Hyperlink"/>
                <w:rtl/>
              </w:rPr>
              <w:t xml:space="preserve"> </w:t>
            </w:r>
            <w:r w:rsidRPr="00BF4140">
              <w:rPr>
                <w:rStyle w:val="Hyperlink"/>
                <w:rFonts w:hint="eastAsia"/>
                <w:rtl/>
              </w:rPr>
              <w:t>אייזנבך</w:t>
            </w:r>
          </w:hyperlink>
        </w:p>
        <w:p w:rsidR="006660A0" w:rsidRDefault="006660A0" w:rsidP="006660A0">
          <w:pPr>
            <w:pStyle w:val="TOC2"/>
            <w:rPr>
              <w:rFonts w:asciiTheme="minorHAnsi" w:eastAsiaTheme="minorEastAsia" w:hAnsiTheme="minorHAnsi" w:cstheme="minorBidi"/>
            </w:rPr>
          </w:pPr>
          <w:hyperlink w:anchor="_Toc39817408" w:history="1">
            <w:r w:rsidRPr="00BF4140">
              <w:rPr>
                <w:rStyle w:val="Hyperlink"/>
                <w:rFonts w:hint="eastAsia"/>
                <w:rtl/>
              </w:rPr>
              <w:t>בענין</w:t>
            </w:r>
            <w:r w:rsidRPr="00BF4140">
              <w:rPr>
                <w:rStyle w:val="Hyperlink"/>
                <w:rtl/>
              </w:rPr>
              <w:t xml:space="preserve"> </w:t>
            </w:r>
            <w:r w:rsidRPr="00BF4140">
              <w:rPr>
                <w:rStyle w:val="Hyperlink"/>
                <w:rFonts w:hint="eastAsia"/>
                <w:rtl/>
              </w:rPr>
              <w:t>פסח</w:t>
            </w:r>
            <w:r w:rsidRPr="00BF4140">
              <w:rPr>
                <w:rStyle w:val="Hyperlink"/>
                <w:rtl/>
              </w:rPr>
              <w:t xml:space="preserve"> </w:t>
            </w:r>
            <w:r w:rsidRPr="00BF4140">
              <w:rPr>
                <w:rStyle w:val="Hyperlink"/>
                <w:rFonts w:hint="eastAsia"/>
                <w:rtl/>
              </w:rPr>
              <w:t>שני</w:t>
            </w:r>
            <w:r>
              <w:rPr>
                <w:webHidden/>
              </w:rPr>
              <w:tab/>
            </w:r>
            <w:r>
              <w:rPr>
                <w:webHidden/>
              </w:rPr>
              <w:fldChar w:fldCharType="begin"/>
            </w:r>
            <w:r>
              <w:rPr>
                <w:webHidden/>
              </w:rPr>
              <w:instrText xml:space="preserve"> PAGEREF _Toc39817408 \h </w:instrText>
            </w:r>
            <w:r>
              <w:rPr>
                <w:webHidden/>
              </w:rPr>
            </w:r>
            <w:r>
              <w:rPr>
                <w:webHidden/>
              </w:rPr>
              <w:fldChar w:fldCharType="separate"/>
            </w:r>
            <w:r>
              <w:rPr>
                <w:webHidden/>
              </w:rPr>
              <w:t>17</w:t>
            </w:r>
            <w:r>
              <w:rPr>
                <w:webHidden/>
              </w:rPr>
              <w:fldChar w:fldCharType="end"/>
            </w:r>
          </w:hyperlink>
        </w:p>
        <w:p w:rsidR="006660A0" w:rsidRDefault="006660A0" w:rsidP="006660A0">
          <w:pPr>
            <w:pStyle w:val="TOC3"/>
            <w:rPr>
              <w:rFonts w:asciiTheme="minorHAnsi" w:eastAsiaTheme="minorEastAsia" w:hAnsiTheme="minorHAnsi" w:cstheme="minorBidi"/>
              <w:sz w:val="22"/>
              <w:szCs w:val="22"/>
              <w:lang w:val="en-US"/>
            </w:rPr>
          </w:pPr>
          <w:hyperlink w:anchor="_Toc39817409" w:history="1">
            <w:r w:rsidRPr="00BF4140">
              <w:rPr>
                <w:rStyle w:val="Hyperlink"/>
                <w:rFonts w:hint="eastAsia"/>
                <w:rtl/>
              </w:rPr>
              <w:t>הרב</w:t>
            </w:r>
            <w:r w:rsidRPr="00BF4140">
              <w:rPr>
                <w:rStyle w:val="Hyperlink"/>
                <w:rtl/>
              </w:rPr>
              <w:t xml:space="preserve"> </w:t>
            </w:r>
            <w:r w:rsidRPr="00BF4140">
              <w:rPr>
                <w:rStyle w:val="Hyperlink"/>
                <w:rFonts w:hint="eastAsia"/>
                <w:rtl/>
              </w:rPr>
              <w:t>אברהם</w:t>
            </w:r>
            <w:r w:rsidRPr="00BF4140">
              <w:rPr>
                <w:rStyle w:val="Hyperlink"/>
                <w:rtl/>
              </w:rPr>
              <w:t xml:space="preserve"> </w:t>
            </w:r>
            <w:r w:rsidRPr="00BF4140">
              <w:rPr>
                <w:rStyle w:val="Hyperlink"/>
                <w:rFonts w:hint="eastAsia"/>
                <w:rtl/>
              </w:rPr>
              <w:t>יצחק</w:t>
            </w:r>
            <w:r w:rsidRPr="00BF4140">
              <w:rPr>
                <w:rStyle w:val="Hyperlink"/>
                <w:rtl/>
              </w:rPr>
              <w:t xml:space="preserve"> </w:t>
            </w:r>
            <w:r w:rsidRPr="00BF4140">
              <w:rPr>
                <w:rStyle w:val="Hyperlink"/>
                <w:rFonts w:hint="eastAsia"/>
                <w:rtl/>
              </w:rPr>
              <w:t>ברוך</w:t>
            </w:r>
            <w:r w:rsidRPr="00BF4140">
              <w:rPr>
                <w:rStyle w:val="Hyperlink"/>
                <w:rtl/>
              </w:rPr>
              <w:t xml:space="preserve"> </w:t>
            </w:r>
            <w:r w:rsidRPr="00BF4140">
              <w:rPr>
                <w:rStyle w:val="Hyperlink"/>
                <w:rFonts w:hint="eastAsia"/>
                <w:rtl/>
              </w:rPr>
              <w:t>גערליצקי</w:t>
            </w:r>
          </w:hyperlink>
        </w:p>
        <w:p w:rsidR="006660A0" w:rsidRDefault="006660A0" w:rsidP="006660A0">
          <w:pPr>
            <w:pStyle w:val="TOC2"/>
            <w:rPr>
              <w:rFonts w:asciiTheme="minorHAnsi" w:eastAsiaTheme="minorEastAsia" w:hAnsiTheme="minorHAnsi" w:cstheme="minorBidi"/>
            </w:rPr>
          </w:pPr>
          <w:hyperlink w:anchor="_Toc39817410" w:history="1">
            <w:r w:rsidRPr="00BF4140">
              <w:rPr>
                <w:rStyle w:val="Hyperlink"/>
                <w:rFonts w:hint="eastAsia"/>
                <w:rtl/>
              </w:rPr>
              <w:t>ניחום</w:t>
            </w:r>
            <w:r w:rsidRPr="00BF4140">
              <w:rPr>
                <w:rStyle w:val="Hyperlink"/>
                <w:rtl/>
              </w:rPr>
              <w:t xml:space="preserve"> </w:t>
            </w:r>
            <w:r w:rsidRPr="00BF4140">
              <w:rPr>
                <w:rStyle w:val="Hyperlink"/>
                <w:rFonts w:hint="eastAsia"/>
                <w:rtl/>
              </w:rPr>
              <w:t>אבלים</w:t>
            </w:r>
            <w:r w:rsidRPr="00BF4140">
              <w:rPr>
                <w:rStyle w:val="Hyperlink"/>
                <w:rtl/>
              </w:rPr>
              <w:t xml:space="preserve"> </w:t>
            </w:r>
            <w:r w:rsidRPr="00BF4140">
              <w:rPr>
                <w:rStyle w:val="Hyperlink"/>
                <w:rFonts w:hint="eastAsia"/>
                <w:rtl/>
              </w:rPr>
              <w:t>באבלים</w:t>
            </w:r>
            <w:r w:rsidRPr="00BF4140">
              <w:rPr>
                <w:rStyle w:val="Hyperlink"/>
                <w:rtl/>
              </w:rPr>
              <w:t xml:space="preserve"> </w:t>
            </w:r>
            <w:r w:rsidRPr="00BF4140">
              <w:rPr>
                <w:rStyle w:val="Hyperlink"/>
                <w:rFonts w:hint="eastAsia"/>
                <w:rtl/>
              </w:rPr>
              <w:t>עצמם</w:t>
            </w:r>
            <w:r>
              <w:rPr>
                <w:webHidden/>
              </w:rPr>
              <w:tab/>
            </w:r>
            <w:r>
              <w:rPr>
                <w:webHidden/>
              </w:rPr>
              <w:fldChar w:fldCharType="begin"/>
            </w:r>
            <w:r>
              <w:rPr>
                <w:webHidden/>
              </w:rPr>
              <w:instrText xml:space="preserve"> PAGEREF _Toc39817410 \h </w:instrText>
            </w:r>
            <w:r>
              <w:rPr>
                <w:webHidden/>
              </w:rPr>
            </w:r>
            <w:r>
              <w:rPr>
                <w:webHidden/>
              </w:rPr>
              <w:fldChar w:fldCharType="separate"/>
            </w:r>
            <w:r>
              <w:rPr>
                <w:webHidden/>
              </w:rPr>
              <w:t>22</w:t>
            </w:r>
            <w:r>
              <w:rPr>
                <w:webHidden/>
              </w:rPr>
              <w:fldChar w:fldCharType="end"/>
            </w:r>
          </w:hyperlink>
        </w:p>
        <w:p w:rsidR="006660A0" w:rsidRDefault="006660A0" w:rsidP="006660A0">
          <w:pPr>
            <w:pStyle w:val="TOC3"/>
            <w:rPr>
              <w:rFonts w:asciiTheme="minorHAnsi" w:eastAsiaTheme="minorEastAsia" w:hAnsiTheme="minorHAnsi" w:cstheme="minorBidi"/>
              <w:sz w:val="22"/>
              <w:szCs w:val="22"/>
              <w:lang w:val="en-US"/>
            </w:rPr>
          </w:pPr>
          <w:hyperlink w:anchor="_Toc39817411" w:history="1">
            <w:r w:rsidRPr="00BF4140">
              <w:rPr>
                <w:rStyle w:val="Hyperlink"/>
                <w:rFonts w:hint="eastAsia"/>
                <w:rtl/>
              </w:rPr>
              <w:t>הרב</w:t>
            </w:r>
            <w:r w:rsidRPr="00BF4140">
              <w:rPr>
                <w:rStyle w:val="Hyperlink"/>
                <w:rtl/>
              </w:rPr>
              <w:t xml:space="preserve"> </w:t>
            </w:r>
            <w:r w:rsidRPr="00BF4140">
              <w:rPr>
                <w:rStyle w:val="Hyperlink"/>
                <w:rFonts w:hint="eastAsia"/>
                <w:rtl/>
              </w:rPr>
              <w:t>יעקב</w:t>
            </w:r>
            <w:r w:rsidRPr="00BF4140">
              <w:rPr>
                <w:rStyle w:val="Hyperlink"/>
                <w:rtl/>
              </w:rPr>
              <w:t xml:space="preserve"> </w:t>
            </w:r>
            <w:r w:rsidRPr="00BF4140">
              <w:rPr>
                <w:rStyle w:val="Hyperlink"/>
                <w:rFonts w:hint="eastAsia"/>
                <w:rtl/>
              </w:rPr>
              <w:t>יהודה</w:t>
            </w:r>
            <w:r w:rsidRPr="00BF4140">
              <w:rPr>
                <w:rStyle w:val="Hyperlink"/>
                <w:rtl/>
              </w:rPr>
              <w:t xml:space="preserve"> </w:t>
            </w:r>
            <w:r w:rsidRPr="00BF4140">
              <w:rPr>
                <w:rStyle w:val="Hyperlink"/>
                <w:rFonts w:hint="eastAsia"/>
                <w:rtl/>
              </w:rPr>
              <w:t>ליב</w:t>
            </w:r>
            <w:r w:rsidRPr="00BF4140">
              <w:rPr>
                <w:rStyle w:val="Hyperlink"/>
                <w:rtl/>
              </w:rPr>
              <w:t xml:space="preserve"> </w:t>
            </w:r>
            <w:r w:rsidRPr="00BF4140">
              <w:rPr>
                <w:rStyle w:val="Hyperlink"/>
                <w:rFonts w:hint="eastAsia"/>
                <w:rtl/>
              </w:rPr>
              <w:t>אלטיין</w:t>
            </w:r>
          </w:hyperlink>
        </w:p>
        <w:p w:rsidR="006660A0" w:rsidRDefault="006660A0" w:rsidP="006660A0">
          <w:pPr>
            <w:pStyle w:val="TOC2"/>
            <w:rPr>
              <w:rFonts w:asciiTheme="minorHAnsi" w:eastAsiaTheme="minorEastAsia" w:hAnsiTheme="minorHAnsi" w:cstheme="minorBidi"/>
            </w:rPr>
          </w:pPr>
          <w:hyperlink w:anchor="_Toc39817412" w:history="1">
            <w:r w:rsidRPr="00BF4140">
              <w:rPr>
                <w:rStyle w:val="Hyperlink"/>
                <w:rFonts w:hint="eastAsia"/>
                <w:rtl/>
              </w:rPr>
              <w:t>הערה</w:t>
            </w:r>
            <w:r w:rsidRPr="00BF4140">
              <w:rPr>
                <w:rStyle w:val="Hyperlink"/>
                <w:rtl/>
              </w:rPr>
              <w:t xml:space="preserve"> </w:t>
            </w:r>
            <w:r w:rsidRPr="00BF4140">
              <w:rPr>
                <w:rStyle w:val="Hyperlink"/>
                <w:rFonts w:hint="eastAsia"/>
                <w:rtl/>
              </w:rPr>
              <w:t>בלקוטי</w:t>
            </w:r>
            <w:r w:rsidRPr="00BF4140">
              <w:rPr>
                <w:rStyle w:val="Hyperlink"/>
                <w:rtl/>
              </w:rPr>
              <w:t xml:space="preserve"> </w:t>
            </w:r>
            <w:r w:rsidRPr="00BF4140">
              <w:rPr>
                <w:rStyle w:val="Hyperlink"/>
                <w:rFonts w:hint="eastAsia"/>
                <w:rtl/>
              </w:rPr>
              <w:t>שיחות</w:t>
            </w:r>
            <w:r w:rsidRPr="00BF4140">
              <w:rPr>
                <w:rStyle w:val="Hyperlink"/>
                <w:rtl/>
              </w:rPr>
              <w:t xml:space="preserve"> </w:t>
            </w:r>
            <w:r w:rsidRPr="00BF4140">
              <w:rPr>
                <w:rStyle w:val="Hyperlink"/>
                <w:rFonts w:hint="eastAsia"/>
                <w:rtl/>
              </w:rPr>
              <w:t>י</w:t>
            </w:r>
            <w:r w:rsidRPr="00BF4140">
              <w:rPr>
                <w:rStyle w:val="Hyperlink"/>
                <w:rtl/>
              </w:rPr>
              <w:t>"</w:t>
            </w:r>
            <w:r w:rsidRPr="00BF4140">
              <w:rPr>
                <w:rStyle w:val="Hyperlink"/>
                <w:rFonts w:hint="eastAsia"/>
                <w:rtl/>
              </w:rPr>
              <w:t>ז</w:t>
            </w:r>
            <w:r w:rsidRPr="00BF4140">
              <w:rPr>
                <w:rStyle w:val="Hyperlink"/>
                <w:rtl/>
              </w:rPr>
              <w:t xml:space="preserve"> </w:t>
            </w:r>
            <w:r w:rsidRPr="00BF4140">
              <w:rPr>
                <w:rStyle w:val="Hyperlink"/>
                <w:rFonts w:hint="eastAsia"/>
                <w:rtl/>
              </w:rPr>
              <w:t>שמיני</w:t>
            </w:r>
            <w:r w:rsidRPr="00BF4140">
              <w:rPr>
                <w:rStyle w:val="Hyperlink"/>
                <w:rtl/>
              </w:rPr>
              <w:t xml:space="preserve"> </w:t>
            </w:r>
            <w:r w:rsidRPr="00BF4140">
              <w:rPr>
                <w:rStyle w:val="Hyperlink"/>
                <w:rFonts w:hint="eastAsia"/>
                <w:rtl/>
              </w:rPr>
              <w:t>שיחה</w:t>
            </w:r>
            <w:r w:rsidRPr="00BF4140">
              <w:rPr>
                <w:rStyle w:val="Hyperlink"/>
                <w:rtl/>
              </w:rPr>
              <w:t xml:space="preserve"> </w:t>
            </w:r>
            <w:r w:rsidRPr="00BF4140">
              <w:rPr>
                <w:rStyle w:val="Hyperlink"/>
                <w:rFonts w:hint="eastAsia"/>
                <w:rtl/>
              </w:rPr>
              <w:t>א</w:t>
            </w:r>
            <w:r w:rsidRPr="00BF4140">
              <w:rPr>
                <w:rStyle w:val="Hyperlink"/>
                <w:rtl/>
              </w:rPr>
              <w:t>'.</w:t>
            </w:r>
            <w:r>
              <w:rPr>
                <w:webHidden/>
              </w:rPr>
              <w:tab/>
            </w:r>
            <w:r>
              <w:rPr>
                <w:webHidden/>
              </w:rPr>
              <w:fldChar w:fldCharType="begin"/>
            </w:r>
            <w:r>
              <w:rPr>
                <w:webHidden/>
              </w:rPr>
              <w:instrText xml:space="preserve"> PAGEREF _Toc39817412 \h </w:instrText>
            </w:r>
            <w:r>
              <w:rPr>
                <w:webHidden/>
              </w:rPr>
            </w:r>
            <w:r>
              <w:rPr>
                <w:webHidden/>
              </w:rPr>
              <w:fldChar w:fldCharType="separate"/>
            </w:r>
            <w:r>
              <w:rPr>
                <w:webHidden/>
              </w:rPr>
              <w:t>22</w:t>
            </w:r>
            <w:r>
              <w:rPr>
                <w:webHidden/>
              </w:rPr>
              <w:fldChar w:fldCharType="end"/>
            </w:r>
          </w:hyperlink>
        </w:p>
        <w:p w:rsidR="006660A0" w:rsidRDefault="006660A0" w:rsidP="006660A0">
          <w:pPr>
            <w:pStyle w:val="TOC3"/>
            <w:rPr>
              <w:rFonts w:asciiTheme="minorHAnsi" w:eastAsiaTheme="minorEastAsia" w:hAnsiTheme="minorHAnsi" w:cstheme="minorBidi"/>
              <w:sz w:val="22"/>
              <w:szCs w:val="22"/>
              <w:lang w:val="en-US"/>
            </w:rPr>
          </w:pPr>
          <w:hyperlink w:anchor="_Toc39817413" w:history="1">
            <w:r w:rsidRPr="00BF4140">
              <w:rPr>
                <w:rStyle w:val="Hyperlink"/>
                <w:rFonts w:hint="eastAsia"/>
                <w:rtl/>
              </w:rPr>
              <w:t>הרב</w:t>
            </w:r>
            <w:r w:rsidRPr="00BF4140">
              <w:rPr>
                <w:rStyle w:val="Hyperlink"/>
                <w:rtl/>
              </w:rPr>
              <w:t xml:space="preserve"> </w:t>
            </w:r>
            <w:r w:rsidRPr="00BF4140">
              <w:rPr>
                <w:rStyle w:val="Hyperlink"/>
                <w:rFonts w:hint="eastAsia"/>
                <w:rtl/>
              </w:rPr>
              <w:t>אברהם</w:t>
            </w:r>
            <w:r w:rsidRPr="00BF4140">
              <w:rPr>
                <w:rStyle w:val="Hyperlink"/>
                <w:rtl/>
              </w:rPr>
              <w:t xml:space="preserve"> </w:t>
            </w:r>
            <w:r w:rsidRPr="00BF4140">
              <w:rPr>
                <w:rStyle w:val="Hyperlink"/>
                <w:rFonts w:hint="eastAsia"/>
                <w:rtl/>
              </w:rPr>
              <w:t>אלטר</w:t>
            </w:r>
            <w:r w:rsidRPr="00BF4140">
              <w:rPr>
                <w:rStyle w:val="Hyperlink"/>
                <w:rtl/>
              </w:rPr>
              <w:t xml:space="preserve"> </w:t>
            </w:r>
            <w:r w:rsidRPr="00BF4140">
              <w:rPr>
                <w:rStyle w:val="Hyperlink"/>
                <w:rFonts w:hint="eastAsia"/>
                <w:rtl/>
              </w:rPr>
              <w:t>הלוי</w:t>
            </w:r>
            <w:r w:rsidRPr="00BF4140">
              <w:rPr>
                <w:rStyle w:val="Hyperlink"/>
                <w:rtl/>
              </w:rPr>
              <w:t xml:space="preserve"> </w:t>
            </w:r>
            <w:r w:rsidRPr="00BF4140">
              <w:rPr>
                <w:rStyle w:val="Hyperlink"/>
                <w:rFonts w:hint="eastAsia"/>
                <w:rtl/>
              </w:rPr>
              <w:t>הבר</w:t>
            </w:r>
          </w:hyperlink>
        </w:p>
        <w:p w:rsidR="006660A0" w:rsidRDefault="006660A0" w:rsidP="006660A0">
          <w:pPr>
            <w:pStyle w:val="TOC2"/>
            <w:rPr>
              <w:rFonts w:asciiTheme="minorHAnsi" w:eastAsiaTheme="minorEastAsia" w:hAnsiTheme="minorHAnsi" w:cstheme="minorBidi"/>
            </w:rPr>
          </w:pPr>
          <w:hyperlink w:anchor="_Toc39817414" w:history="1">
            <w:r w:rsidRPr="00BF4140">
              <w:rPr>
                <w:rStyle w:val="Hyperlink"/>
                <w:rFonts w:eastAsia="David Libre" w:hint="eastAsia"/>
                <w:rtl/>
              </w:rPr>
              <w:t>יישר</w:t>
            </w:r>
            <w:r w:rsidRPr="00BF4140">
              <w:rPr>
                <w:rStyle w:val="Hyperlink"/>
                <w:rFonts w:eastAsia="David Libre"/>
                <w:rtl/>
              </w:rPr>
              <w:t xml:space="preserve"> </w:t>
            </w:r>
            <w:r w:rsidRPr="00BF4140">
              <w:rPr>
                <w:rStyle w:val="Hyperlink"/>
                <w:rFonts w:eastAsia="David Libre" w:hint="eastAsia"/>
                <w:rtl/>
              </w:rPr>
              <w:t>כח</w:t>
            </w:r>
            <w:r w:rsidRPr="00BF4140">
              <w:rPr>
                <w:rStyle w:val="Hyperlink"/>
                <w:rFonts w:eastAsia="David Libre"/>
                <w:rtl/>
              </w:rPr>
              <w:t xml:space="preserve"> </w:t>
            </w:r>
            <w:r w:rsidRPr="00BF4140">
              <w:rPr>
                <w:rStyle w:val="Hyperlink"/>
                <w:rFonts w:eastAsia="David Libre" w:hint="eastAsia"/>
                <w:rtl/>
              </w:rPr>
              <w:t>על</w:t>
            </w:r>
            <w:r w:rsidRPr="00BF4140">
              <w:rPr>
                <w:rStyle w:val="Hyperlink"/>
                <w:rFonts w:eastAsia="David Libre"/>
                <w:rtl/>
              </w:rPr>
              <w:t xml:space="preserve"> </w:t>
            </w:r>
            <w:r w:rsidRPr="00BF4140">
              <w:rPr>
                <w:rStyle w:val="Hyperlink"/>
                <w:rFonts w:eastAsia="David Libre" w:hint="eastAsia"/>
                <w:rtl/>
              </w:rPr>
              <w:t>מצוה</w:t>
            </w:r>
            <w:r>
              <w:rPr>
                <w:webHidden/>
              </w:rPr>
              <w:tab/>
            </w:r>
            <w:r>
              <w:rPr>
                <w:webHidden/>
              </w:rPr>
              <w:fldChar w:fldCharType="begin"/>
            </w:r>
            <w:r>
              <w:rPr>
                <w:webHidden/>
              </w:rPr>
              <w:instrText xml:space="preserve"> PAGEREF _Toc39817414 \h </w:instrText>
            </w:r>
            <w:r>
              <w:rPr>
                <w:webHidden/>
              </w:rPr>
            </w:r>
            <w:r>
              <w:rPr>
                <w:webHidden/>
              </w:rPr>
              <w:fldChar w:fldCharType="separate"/>
            </w:r>
            <w:r>
              <w:rPr>
                <w:webHidden/>
              </w:rPr>
              <w:t>26</w:t>
            </w:r>
            <w:r>
              <w:rPr>
                <w:webHidden/>
              </w:rPr>
              <w:fldChar w:fldCharType="end"/>
            </w:r>
          </w:hyperlink>
        </w:p>
        <w:p w:rsidR="006660A0" w:rsidRDefault="006660A0" w:rsidP="006660A0">
          <w:pPr>
            <w:pStyle w:val="TOC3"/>
            <w:rPr>
              <w:rFonts w:asciiTheme="minorHAnsi" w:eastAsiaTheme="minorEastAsia" w:hAnsiTheme="minorHAnsi" w:cstheme="minorBidi"/>
              <w:sz w:val="22"/>
              <w:szCs w:val="22"/>
              <w:lang w:val="en-US"/>
            </w:rPr>
          </w:pPr>
          <w:hyperlink w:anchor="_Toc39817415" w:history="1">
            <w:r w:rsidRPr="00BF4140">
              <w:rPr>
                <w:rStyle w:val="Hyperlink"/>
                <w:rFonts w:hint="eastAsia"/>
                <w:rtl/>
              </w:rPr>
              <w:t>הרב</w:t>
            </w:r>
            <w:r w:rsidRPr="00BF4140">
              <w:rPr>
                <w:rStyle w:val="Hyperlink"/>
                <w:rtl/>
              </w:rPr>
              <w:t xml:space="preserve"> </w:t>
            </w:r>
            <w:r w:rsidRPr="00BF4140">
              <w:rPr>
                <w:rStyle w:val="Hyperlink"/>
                <w:rFonts w:hint="eastAsia"/>
                <w:rtl/>
              </w:rPr>
              <w:t>מרדכי</w:t>
            </w:r>
            <w:r w:rsidRPr="00BF4140">
              <w:rPr>
                <w:rStyle w:val="Hyperlink"/>
                <w:rtl/>
              </w:rPr>
              <w:t xml:space="preserve"> </w:t>
            </w:r>
            <w:r w:rsidRPr="00BF4140">
              <w:rPr>
                <w:rStyle w:val="Hyperlink"/>
                <w:rFonts w:hint="eastAsia"/>
                <w:rtl/>
              </w:rPr>
              <w:t>דובער</w:t>
            </w:r>
            <w:r w:rsidRPr="00BF4140">
              <w:rPr>
                <w:rStyle w:val="Hyperlink"/>
                <w:rtl/>
              </w:rPr>
              <w:t xml:space="preserve"> </w:t>
            </w:r>
            <w:r w:rsidRPr="00BF4140">
              <w:rPr>
                <w:rStyle w:val="Hyperlink"/>
                <w:rFonts w:hint="eastAsia"/>
                <w:rtl/>
              </w:rPr>
              <w:t>ווילהעלם</w:t>
            </w:r>
          </w:hyperlink>
        </w:p>
        <w:p w:rsidR="006660A0" w:rsidRDefault="006660A0" w:rsidP="006660A0">
          <w:pPr>
            <w:pStyle w:val="TOC2"/>
            <w:rPr>
              <w:rFonts w:asciiTheme="minorHAnsi" w:eastAsiaTheme="minorEastAsia" w:hAnsiTheme="minorHAnsi" w:cstheme="minorBidi"/>
            </w:rPr>
          </w:pPr>
          <w:hyperlink w:anchor="_Toc39817416" w:history="1">
            <w:r w:rsidRPr="00BF4140">
              <w:rPr>
                <w:rStyle w:val="Hyperlink"/>
                <w:rFonts w:eastAsia="David Libre" w:hint="eastAsia"/>
                <w:highlight w:val="white"/>
                <w:rtl/>
              </w:rPr>
              <w:t>נושקים</w:t>
            </w:r>
            <w:r w:rsidRPr="00BF4140">
              <w:rPr>
                <w:rStyle w:val="Hyperlink"/>
                <w:rFonts w:eastAsia="David Libre"/>
                <w:highlight w:val="white"/>
                <w:rtl/>
              </w:rPr>
              <w:t xml:space="preserve"> </w:t>
            </w:r>
            <w:r w:rsidRPr="00BF4140">
              <w:rPr>
                <w:rStyle w:val="Hyperlink"/>
                <w:rFonts w:eastAsia="David Libre" w:hint="eastAsia"/>
                <w:highlight w:val="white"/>
                <w:rtl/>
              </w:rPr>
              <w:t>הציציות</w:t>
            </w:r>
            <w:r w:rsidRPr="00BF4140">
              <w:rPr>
                <w:rStyle w:val="Hyperlink"/>
                <w:rFonts w:eastAsia="David Libre"/>
                <w:highlight w:val="white"/>
                <w:rtl/>
              </w:rPr>
              <w:t xml:space="preserve"> </w:t>
            </w:r>
            <w:r w:rsidRPr="00BF4140">
              <w:rPr>
                <w:rStyle w:val="Hyperlink"/>
                <w:rFonts w:eastAsia="David Libre" w:hint="eastAsia"/>
                <w:highlight w:val="white"/>
                <w:rtl/>
              </w:rPr>
              <w:t>שש</w:t>
            </w:r>
            <w:r w:rsidRPr="00BF4140">
              <w:rPr>
                <w:rStyle w:val="Hyperlink"/>
                <w:rFonts w:eastAsia="David Libre"/>
                <w:highlight w:val="white"/>
                <w:rtl/>
              </w:rPr>
              <w:t xml:space="preserve"> </w:t>
            </w:r>
            <w:r w:rsidRPr="00BF4140">
              <w:rPr>
                <w:rStyle w:val="Hyperlink"/>
                <w:rFonts w:eastAsia="David Libre" w:hint="eastAsia"/>
                <w:highlight w:val="white"/>
                <w:rtl/>
              </w:rPr>
              <w:t>פעמים</w:t>
            </w:r>
            <w:r>
              <w:rPr>
                <w:webHidden/>
              </w:rPr>
              <w:tab/>
            </w:r>
            <w:r>
              <w:rPr>
                <w:webHidden/>
              </w:rPr>
              <w:fldChar w:fldCharType="begin"/>
            </w:r>
            <w:r>
              <w:rPr>
                <w:webHidden/>
              </w:rPr>
              <w:instrText xml:space="preserve"> PAGEREF _Toc39817416 \h </w:instrText>
            </w:r>
            <w:r>
              <w:rPr>
                <w:webHidden/>
              </w:rPr>
            </w:r>
            <w:r>
              <w:rPr>
                <w:webHidden/>
              </w:rPr>
              <w:fldChar w:fldCharType="separate"/>
            </w:r>
            <w:r>
              <w:rPr>
                <w:webHidden/>
              </w:rPr>
              <w:t>27</w:t>
            </w:r>
            <w:r>
              <w:rPr>
                <w:webHidden/>
              </w:rPr>
              <w:fldChar w:fldCharType="end"/>
            </w:r>
          </w:hyperlink>
        </w:p>
        <w:p w:rsidR="006660A0" w:rsidRDefault="006660A0" w:rsidP="006660A0">
          <w:pPr>
            <w:pStyle w:val="TOC3"/>
            <w:rPr>
              <w:rFonts w:asciiTheme="minorHAnsi" w:eastAsiaTheme="minorEastAsia" w:hAnsiTheme="minorHAnsi" w:cstheme="minorBidi"/>
              <w:sz w:val="22"/>
              <w:szCs w:val="22"/>
              <w:lang w:val="en-US"/>
            </w:rPr>
          </w:pPr>
          <w:hyperlink w:anchor="_Toc39817417" w:history="1">
            <w:r w:rsidRPr="00BF4140">
              <w:rPr>
                <w:rStyle w:val="Hyperlink"/>
                <w:rFonts w:hint="eastAsia"/>
                <w:rtl/>
              </w:rPr>
              <w:t>הנ</w:t>
            </w:r>
            <w:r w:rsidRPr="00BF4140">
              <w:rPr>
                <w:rStyle w:val="Hyperlink"/>
                <w:rtl/>
              </w:rPr>
              <w:t>"</w:t>
            </w:r>
            <w:r w:rsidRPr="00BF4140">
              <w:rPr>
                <w:rStyle w:val="Hyperlink"/>
                <w:rFonts w:hint="eastAsia"/>
                <w:rtl/>
              </w:rPr>
              <w:t>ל</w:t>
            </w:r>
          </w:hyperlink>
        </w:p>
        <w:p w:rsidR="006660A0" w:rsidRDefault="006660A0" w:rsidP="006660A0">
          <w:pPr>
            <w:pStyle w:val="TOC2"/>
            <w:rPr>
              <w:rFonts w:asciiTheme="minorHAnsi" w:eastAsiaTheme="minorEastAsia" w:hAnsiTheme="minorHAnsi" w:cstheme="minorBidi"/>
            </w:rPr>
          </w:pPr>
          <w:hyperlink w:anchor="_Toc39817418" w:history="1">
            <w:r w:rsidRPr="00BF4140">
              <w:rPr>
                <w:rStyle w:val="Hyperlink"/>
                <w:rFonts w:hint="eastAsia"/>
                <w:rtl/>
              </w:rPr>
              <w:t>בענין</w:t>
            </w:r>
            <w:r w:rsidRPr="00BF4140">
              <w:rPr>
                <w:rStyle w:val="Hyperlink"/>
                <w:rtl/>
              </w:rPr>
              <w:t xml:space="preserve"> </w:t>
            </w:r>
            <w:r w:rsidRPr="00BF4140">
              <w:rPr>
                <w:rStyle w:val="Hyperlink"/>
                <w:rFonts w:hint="eastAsia"/>
                <w:rtl/>
              </w:rPr>
              <w:t>כתיבת</w:t>
            </w:r>
            <w:r w:rsidRPr="00BF4140">
              <w:rPr>
                <w:rStyle w:val="Hyperlink"/>
                <w:rtl/>
              </w:rPr>
              <w:t xml:space="preserve"> </w:t>
            </w:r>
            <w:r w:rsidRPr="00BF4140">
              <w:rPr>
                <w:rStyle w:val="Hyperlink"/>
                <w:rFonts w:hint="eastAsia"/>
                <w:rtl/>
              </w:rPr>
              <w:t>שם</w:t>
            </w:r>
            <w:r w:rsidRPr="00BF4140">
              <w:rPr>
                <w:rStyle w:val="Hyperlink"/>
                <w:rtl/>
              </w:rPr>
              <w:t xml:space="preserve"> </w:t>
            </w:r>
            <w:r w:rsidRPr="00BF4140">
              <w:rPr>
                <w:rStyle w:val="Hyperlink"/>
                <w:rFonts w:hint="eastAsia"/>
                <w:rtl/>
              </w:rPr>
              <w:t>ליב</w:t>
            </w:r>
            <w:r w:rsidRPr="00BF4140">
              <w:rPr>
                <w:rStyle w:val="Hyperlink"/>
                <w:rtl/>
              </w:rPr>
              <w:t xml:space="preserve"> </w:t>
            </w:r>
            <w:r w:rsidRPr="00BF4140">
              <w:rPr>
                <w:rStyle w:val="Hyperlink"/>
                <w:rFonts w:hint="eastAsia"/>
                <w:rtl/>
              </w:rPr>
              <w:t>עם</w:t>
            </w:r>
            <w:r w:rsidRPr="00BF4140">
              <w:rPr>
                <w:rStyle w:val="Hyperlink"/>
                <w:rtl/>
              </w:rPr>
              <w:t xml:space="preserve"> </w:t>
            </w:r>
            <w:r w:rsidRPr="00BF4140">
              <w:rPr>
                <w:rStyle w:val="Hyperlink"/>
                <w:rFonts w:hint="eastAsia"/>
                <w:rtl/>
              </w:rPr>
              <w:t>יוד</w:t>
            </w:r>
            <w:r w:rsidRPr="00BF4140">
              <w:rPr>
                <w:rStyle w:val="Hyperlink"/>
                <w:rtl/>
              </w:rPr>
              <w:t xml:space="preserve"> </w:t>
            </w:r>
            <w:r w:rsidRPr="00BF4140">
              <w:rPr>
                <w:rStyle w:val="Hyperlink"/>
                <w:rFonts w:hint="eastAsia"/>
                <w:rtl/>
              </w:rPr>
              <w:t>אחד</w:t>
            </w:r>
            <w:r w:rsidRPr="00BF4140">
              <w:rPr>
                <w:rStyle w:val="Hyperlink"/>
                <w:rtl/>
              </w:rPr>
              <w:t xml:space="preserve"> </w:t>
            </w:r>
            <w:r w:rsidRPr="00BF4140">
              <w:rPr>
                <w:rStyle w:val="Hyperlink"/>
                <w:rFonts w:hint="eastAsia"/>
                <w:rtl/>
              </w:rPr>
              <w:t>או</w:t>
            </w:r>
            <w:r w:rsidRPr="00BF4140">
              <w:rPr>
                <w:rStyle w:val="Hyperlink"/>
                <w:rtl/>
              </w:rPr>
              <w:t xml:space="preserve"> </w:t>
            </w:r>
            <w:r w:rsidRPr="00BF4140">
              <w:rPr>
                <w:rStyle w:val="Hyperlink"/>
                <w:rFonts w:hint="eastAsia"/>
                <w:rtl/>
              </w:rPr>
              <w:t>שתי</w:t>
            </w:r>
            <w:r w:rsidRPr="00BF4140">
              <w:rPr>
                <w:rStyle w:val="Hyperlink"/>
                <w:rtl/>
              </w:rPr>
              <w:t xml:space="preserve"> </w:t>
            </w:r>
            <w:r w:rsidRPr="00BF4140">
              <w:rPr>
                <w:rStyle w:val="Hyperlink"/>
                <w:rFonts w:hint="eastAsia"/>
                <w:rtl/>
              </w:rPr>
              <w:t>יודים</w:t>
            </w:r>
            <w:r>
              <w:rPr>
                <w:webHidden/>
              </w:rPr>
              <w:tab/>
            </w:r>
            <w:r>
              <w:rPr>
                <w:webHidden/>
              </w:rPr>
              <w:fldChar w:fldCharType="begin"/>
            </w:r>
            <w:r>
              <w:rPr>
                <w:webHidden/>
              </w:rPr>
              <w:instrText xml:space="preserve"> PAGEREF _Toc39817418 \h </w:instrText>
            </w:r>
            <w:r>
              <w:rPr>
                <w:webHidden/>
              </w:rPr>
            </w:r>
            <w:r>
              <w:rPr>
                <w:webHidden/>
              </w:rPr>
              <w:fldChar w:fldCharType="separate"/>
            </w:r>
            <w:r>
              <w:rPr>
                <w:webHidden/>
              </w:rPr>
              <w:t>27</w:t>
            </w:r>
            <w:r>
              <w:rPr>
                <w:webHidden/>
              </w:rPr>
              <w:fldChar w:fldCharType="end"/>
            </w:r>
          </w:hyperlink>
        </w:p>
        <w:p w:rsidR="006660A0" w:rsidRDefault="006660A0" w:rsidP="006660A0">
          <w:pPr>
            <w:pStyle w:val="TOC3"/>
            <w:rPr>
              <w:rFonts w:asciiTheme="minorHAnsi" w:eastAsiaTheme="minorEastAsia" w:hAnsiTheme="minorHAnsi" w:cstheme="minorBidi"/>
              <w:sz w:val="22"/>
              <w:szCs w:val="22"/>
              <w:lang w:val="en-US"/>
            </w:rPr>
          </w:pPr>
          <w:hyperlink w:anchor="_Toc39817419" w:history="1">
            <w:r w:rsidRPr="00BF4140">
              <w:rPr>
                <w:rStyle w:val="Hyperlink"/>
                <w:rFonts w:hint="eastAsia"/>
                <w:rtl/>
              </w:rPr>
              <w:t>הרב</w:t>
            </w:r>
            <w:r w:rsidRPr="00BF4140">
              <w:rPr>
                <w:rStyle w:val="Hyperlink"/>
                <w:rtl/>
              </w:rPr>
              <w:t xml:space="preserve"> </w:t>
            </w:r>
            <w:r w:rsidRPr="00BF4140">
              <w:rPr>
                <w:rStyle w:val="Hyperlink"/>
                <w:rFonts w:hint="eastAsia"/>
                <w:rtl/>
              </w:rPr>
              <w:t>דוד</w:t>
            </w:r>
            <w:r w:rsidRPr="00BF4140">
              <w:rPr>
                <w:rStyle w:val="Hyperlink"/>
                <w:rtl/>
              </w:rPr>
              <w:t xml:space="preserve"> </w:t>
            </w:r>
            <w:r w:rsidRPr="00BF4140">
              <w:rPr>
                <w:rStyle w:val="Hyperlink"/>
                <w:rFonts w:hint="eastAsia"/>
                <w:rtl/>
              </w:rPr>
              <w:t>ניסן</w:t>
            </w:r>
            <w:r w:rsidRPr="00BF4140">
              <w:rPr>
                <w:rStyle w:val="Hyperlink"/>
                <w:rtl/>
              </w:rPr>
              <w:t xml:space="preserve"> </w:t>
            </w:r>
            <w:r w:rsidRPr="00BF4140">
              <w:rPr>
                <w:rStyle w:val="Hyperlink"/>
                <w:rFonts w:hint="eastAsia"/>
                <w:rtl/>
              </w:rPr>
              <w:t>ברעסמן</w:t>
            </w:r>
          </w:hyperlink>
        </w:p>
        <w:p w:rsidR="006660A0" w:rsidRDefault="006660A0" w:rsidP="006660A0">
          <w:pPr>
            <w:pStyle w:val="TOC2"/>
            <w:rPr>
              <w:rFonts w:asciiTheme="minorHAnsi" w:eastAsiaTheme="minorEastAsia" w:hAnsiTheme="minorHAnsi" w:cstheme="minorBidi"/>
            </w:rPr>
          </w:pPr>
          <w:hyperlink w:anchor="_Toc39817420" w:history="1">
            <w:r w:rsidRPr="00BF4140">
              <w:rPr>
                <w:rStyle w:val="Hyperlink"/>
                <w:rFonts w:hint="eastAsia"/>
                <w:rtl/>
              </w:rPr>
              <w:t>להבדיל</w:t>
            </w:r>
            <w:r w:rsidRPr="00BF4140">
              <w:rPr>
                <w:rStyle w:val="Hyperlink"/>
                <w:rtl/>
              </w:rPr>
              <w:t xml:space="preserve"> </w:t>
            </w:r>
            <w:r w:rsidRPr="00BF4140">
              <w:rPr>
                <w:rStyle w:val="Hyperlink"/>
                <w:rFonts w:hint="eastAsia"/>
                <w:rtl/>
              </w:rPr>
              <w:t>בין</w:t>
            </w:r>
            <w:r w:rsidRPr="00BF4140">
              <w:rPr>
                <w:rStyle w:val="Hyperlink"/>
                <w:rtl/>
              </w:rPr>
              <w:t xml:space="preserve"> </w:t>
            </w:r>
            <w:r w:rsidRPr="00BF4140">
              <w:rPr>
                <w:rStyle w:val="Hyperlink"/>
                <w:rFonts w:hint="eastAsia"/>
                <w:rtl/>
              </w:rPr>
              <w:t>הטמא</w:t>
            </w:r>
            <w:r w:rsidRPr="00BF4140">
              <w:rPr>
                <w:rStyle w:val="Hyperlink"/>
                <w:rtl/>
              </w:rPr>
              <w:t xml:space="preserve"> </w:t>
            </w:r>
            <w:r w:rsidRPr="00BF4140">
              <w:rPr>
                <w:rStyle w:val="Hyperlink"/>
                <w:rFonts w:hint="eastAsia"/>
                <w:rtl/>
              </w:rPr>
              <w:t>ובין</w:t>
            </w:r>
            <w:r w:rsidRPr="00BF4140">
              <w:rPr>
                <w:rStyle w:val="Hyperlink"/>
                <w:rtl/>
              </w:rPr>
              <w:t xml:space="preserve"> </w:t>
            </w:r>
            <w:r w:rsidRPr="00BF4140">
              <w:rPr>
                <w:rStyle w:val="Hyperlink"/>
                <w:rFonts w:hint="eastAsia"/>
                <w:rtl/>
              </w:rPr>
              <w:t>הטהור</w:t>
            </w:r>
            <w:r>
              <w:rPr>
                <w:webHidden/>
              </w:rPr>
              <w:tab/>
            </w:r>
            <w:r>
              <w:rPr>
                <w:webHidden/>
              </w:rPr>
              <w:fldChar w:fldCharType="begin"/>
            </w:r>
            <w:r>
              <w:rPr>
                <w:webHidden/>
              </w:rPr>
              <w:instrText xml:space="preserve"> PAGEREF _Toc39817420 \h </w:instrText>
            </w:r>
            <w:r>
              <w:rPr>
                <w:webHidden/>
              </w:rPr>
            </w:r>
            <w:r>
              <w:rPr>
                <w:webHidden/>
              </w:rPr>
              <w:fldChar w:fldCharType="separate"/>
            </w:r>
            <w:r>
              <w:rPr>
                <w:webHidden/>
              </w:rPr>
              <w:t>29</w:t>
            </w:r>
            <w:r>
              <w:rPr>
                <w:webHidden/>
              </w:rPr>
              <w:fldChar w:fldCharType="end"/>
            </w:r>
          </w:hyperlink>
        </w:p>
        <w:p w:rsidR="006660A0" w:rsidRDefault="006660A0" w:rsidP="006660A0">
          <w:pPr>
            <w:pStyle w:val="TOC3"/>
            <w:rPr>
              <w:rFonts w:asciiTheme="minorHAnsi" w:eastAsiaTheme="minorEastAsia" w:hAnsiTheme="minorHAnsi" w:cstheme="minorBidi"/>
              <w:sz w:val="22"/>
              <w:szCs w:val="22"/>
              <w:lang w:val="en-US"/>
            </w:rPr>
          </w:pPr>
          <w:hyperlink w:anchor="_Toc39817421" w:history="1">
            <w:r w:rsidRPr="00BF4140">
              <w:rPr>
                <w:rStyle w:val="Hyperlink"/>
                <w:rFonts w:hint="eastAsia"/>
                <w:rtl/>
              </w:rPr>
              <w:t>הרב</w:t>
            </w:r>
            <w:r w:rsidRPr="00BF4140">
              <w:rPr>
                <w:rStyle w:val="Hyperlink"/>
                <w:rtl/>
              </w:rPr>
              <w:t xml:space="preserve"> </w:t>
            </w:r>
            <w:r w:rsidRPr="00BF4140">
              <w:rPr>
                <w:rStyle w:val="Hyperlink"/>
                <w:rFonts w:hint="eastAsia"/>
                <w:rtl/>
              </w:rPr>
              <w:t>לוי</w:t>
            </w:r>
            <w:r w:rsidRPr="00BF4140">
              <w:rPr>
                <w:rStyle w:val="Hyperlink"/>
                <w:rtl/>
              </w:rPr>
              <w:t xml:space="preserve"> </w:t>
            </w:r>
            <w:r w:rsidRPr="00BF4140">
              <w:rPr>
                <w:rStyle w:val="Hyperlink"/>
                <w:rFonts w:hint="eastAsia"/>
                <w:rtl/>
              </w:rPr>
              <w:t>לברטוב</w:t>
            </w:r>
          </w:hyperlink>
        </w:p>
        <w:p w:rsidR="006660A0" w:rsidRDefault="006660A0" w:rsidP="006660A0">
          <w:pPr>
            <w:pStyle w:val="TOC2"/>
            <w:rPr>
              <w:rFonts w:asciiTheme="minorHAnsi" w:eastAsiaTheme="minorEastAsia" w:hAnsiTheme="minorHAnsi" w:cstheme="minorBidi"/>
            </w:rPr>
          </w:pPr>
          <w:hyperlink w:anchor="_Toc39817422" w:history="1">
            <w:r w:rsidRPr="00BF4140">
              <w:rPr>
                <w:rStyle w:val="Hyperlink"/>
                <w:rFonts w:hint="eastAsia"/>
                <w:rtl/>
              </w:rPr>
              <w:t>כמה</w:t>
            </w:r>
            <w:r w:rsidRPr="00BF4140">
              <w:rPr>
                <w:rStyle w:val="Hyperlink"/>
                <w:rtl/>
              </w:rPr>
              <w:t xml:space="preserve"> </w:t>
            </w:r>
            <w:r w:rsidRPr="00BF4140">
              <w:rPr>
                <w:rStyle w:val="Hyperlink"/>
                <w:rFonts w:hint="eastAsia"/>
                <w:rtl/>
              </w:rPr>
              <w:t>הערות</w:t>
            </w:r>
            <w:r w:rsidRPr="00BF4140">
              <w:rPr>
                <w:rStyle w:val="Hyperlink"/>
                <w:rtl/>
              </w:rPr>
              <w:t xml:space="preserve"> </w:t>
            </w:r>
            <w:r w:rsidRPr="00BF4140">
              <w:rPr>
                <w:rStyle w:val="Hyperlink"/>
                <w:rFonts w:hint="eastAsia"/>
                <w:rtl/>
              </w:rPr>
              <w:t>בלקו</w:t>
            </w:r>
            <w:r w:rsidRPr="00BF4140">
              <w:rPr>
                <w:rStyle w:val="Hyperlink"/>
                <w:rtl/>
              </w:rPr>
              <w:t>"</w:t>
            </w:r>
            <w:r w:rsidRPr="00BF4140">
              <w:rPr>
                <w:rStyle w:val="Hyperlink"/>
                <w:rFonts w:hint="eastAsia"/>
                <w:rtl/>
              </w:rPr>
              <w:t>ש</w:t>
            </w:r>
            <w:r w:rsidRPr="00BF4140">
              <w:rPr>
                <w:rStyle w:val="Hyperlink"/>
                <w:rtl/>
              </w:rPr>
              <w:t xml:space="preserve"> </w:t>
            </w:r>
            <w:r w:rsidRPr="00BF4140">
              <w:rPr>
                <w:rStyle w:val="Hyperlink"/>
                <w:rFonts w:hint="eastAsia"/>
                <w:rtl/>
              </w:rPr>
              <w:t>חי</w:t>
            </w:r>
            <w:r w:rsidRPr="00BF4140">
              <w:rPr>
                <w:rStyle w:val="Hyperlink"/>
                <w:rtl/>
              </w:rPr>
              <w:t>"</w:t>
            </w:r>
            <w:r w:rsidRPr="00BF4140">
              <w:rPr>
                <w:rStyle w:val="Hyperlink"/>
                <w:rFonts w:hint="eastAsia"/>
                <w:rtl/>
              </w:rPr>
              <w:t>ב</w:t>
            </w:r>
            <w:r w:rsidRPr="00BF4140">
              <w:rPr>
                <w:rStyle w:val="Hyperlink"/>
                <w:rtl/>
              </w:rPr>
              <w:t xml:space="preserve"> </w:t>
            </w:r>
            <w:r w:rsidRPr="00BF4140">
              <w:rPr>
                <w:rStyle w:val="Hyperlink"/>
                <w:rFonts w:hint="eastAsia"/>
                <w:rtl/>
              </w:rPr>
              <w:t>פ</w:t>
            </w:r>
            <w:r w:rsidRPr="00BF4140">
              <w:rPr>
                <w:rStyle w:val="Hyperlink"/>
                <w:rtl/>
              </w:rPr>
              <w:t xml:space="preserve">' </w:t>
            </w:r>
            <w:r w:rsidRPr="00BF4140">
              <w:rPr>
                <w:rStyle w:val="Hyperlink"/>
                <w:rFonts w:hint="eastAsia"/>
                <w:rtl/>
              </w:rPr>
              <w:t>אחרי</w:t>
            </w:r>
            <w:r>
              <w:rPr>
                <w:webHidden/>
              </w:rPr>
              <w:tab/>
            </w:r>
            <w:r>
              <w:rPr>
                <w:webHidden/>
              </w:rPr>
              <w:fldChar w:fldCharType="begin"/>
            </w:r>
            <w:r>
              <w:rPr>
                <w:webHidden/>
              </w:rPr>
              <w:instrText xml:space="preserve"> PAGEREF _Toc39817422 \h </w:instrText>
            </w:r>
            <w:r>
              <w:rPr>
                <w:webHidden/>
              </w:rPr>
            </w:r>
            <w:r>
              <w:rPr>
                <w:webHidden/>
              </w:rPr>
              <w:fldChar w:fldCharType="separate"/>
            </w:r>
            <w:r>
              <w:rPr>
                <w:webHidden/>
              </w:rPr>
              <w:t>33</w:t>
            </w:r>
            <w:r>
              <w:rPr>
                <w:webHidden/>
              </w:rPr>
              <w:fldChar w:fldCharType="end"/>
            </w:r>
          </w:hyperlink>
        </w:p>
        <w:p w:rsidR="006660A0" w:rsidRDefault="006660A0" w:rsidP="006660A0">
          <w:pPr>
            <w:pStyle w:val="TOC3"/>
            <w:rPr>
              <w:rStyle w:val="Hyperlink"/>
            </w:rPr>
          </w:pPr>
          <w:hyperlink w:anchor="_Toc39817423" w:history="1">
            <w:r w:rsidRPr="00BF4140">
              <w:rPr>
                <w:rStyle w:val="Hyperlink"/>
                <w:rFonts w:hint="eastAsia"/>
                <w:rtl/>
              </w:rPr>
              <w:t>הרב</w:t>
            </w:r>
            <w:r w:rsidRPr="00BF4140">
              <w:rPr>
                <w:rStyle w:val="Hyperlink"/>
                <w:rtl/>
              </w:rPr>
              <w:t xml:space="preserve"> </w:t>
            </w:r>
            <w:r w:rsidRPr="00BF4140">
              <w:rPr>
                <w:rStyle w:val="Hyperlink"/>
                <w:rFonts w:hint="eastAsia"/>
                <w:rtl/>
              </w:rPr>
              <w:t>שמואל</w:t>
            </w:r>
            <w:r w:rsidRPr="00BF4140">
              <w:rPr>
                <w:rStyle w:val="Hyperlink"/>
                <w:rtl/>
              </w:rPr>
              <w:t xml:space="preserve"> </w:t>
            </w:r>
            <w:r w:rsidRPr="00BF4140">
              <w:rPr>
                <w:rStyle w:val="Hyperlink"/>
                <w:rFonts w:hint="eastAsia"/>
                <w:rtl/>
              </w:rPr>
              <w:t>וגנר</w:t>
            </w:r>
          </w:hyperlink>
        </w:p>
        <w:p w:rsidR="006660A0" w:rsidRPr="006660A0" w:rsidRDefault="006660A0" w:rsidP="006660A0">
          <w:pPr>
            <w:bidi/>
            <w:rPr>
              <w:lang w:val="en-GB"/>
            </w:rPr>
          </w:pPr>
        </w:p>
        <w:p w:rsidR="006660A0" w:rsidRDefault="006660A0" w:rsidP="006660A0">
          <w:pPr>
            <w:pStyle w:val="TOC1"/>
            <w:rPr>
              <w:rFonts w:asciiTheme="minorHAnsi" w:eastAsiaTheme="minorEastAsia" w:hAnsiTheme="minorHAnsi" w:cstheme="minorBidi"/>
              <w:sz w:val="22"/>
              <w:szCs w:val="22"/>
            </w:rPr>
          </w:pPr>
          <w:hyperlink w:anchor="_Toc39817424" w:history="1">
            <w:r w:rsidRPr="00BF4140">
              <w:rPr>
                <w:rStyle w:val="Hyperlink"/>
                <w:rFonts w:hint="eastAsia"/>
                <w:rtl/>
              </w:rPr>
              <w:t>הגדת</w:t>
            </w:r>
            <w:r w:rsidRPr="00BF4140">
              <w:rPr>
                <w:rStyle w:val="Hyperlink"/>
                <w:rtl/>
              </w:rPr>
              <w:t xml:space="preserve"> </w:t>
            </w:r>
            <w:r w:rsidRPr="00BF4140">
              <w:rPr>
                <w:rStyle w:val="Hyperlink"/>
                <w:rFonts w:hint="eastAsia"/>
                <w:rtl/>
              </w:rPr>
              <w:t>רבינו</w:t>
            </w:r>
          </w:hyperlink>
        </w:p>
        <w:p w:rsidR="006660A0" w:rsidRDefault="006660A0" w:rsidP="006660A0">
          <w:pPr>
            <w:pStyle w:val="TOC2"/>
            <w:rPr>
              <w:rFonts w:asciiTheme="minorHAnsi" w:eastAsiaTheme="minorEastAsia" w:hAnsiTheme="minorHAnsi" w:cstheme="minorBidi"/>
            </w:rPr>
          </w:pPr>
          <w:hyperlink w:anchor="_Toc39817425" w:history="1">
            <w:r w:rsidRPr="00BF4140">
              <w:rPr>
                <w:rStyle w:val="Hyperlink"/>
                <w:rFonts w:hint="eastAsia"/>
                <w:rtl/>
              </w:rPr>
              <w:t>הזכרת</w:t>
            </w:r>
            <w:r w:rsidRPr="00BF4140">
              <w:rPr>
                <w:rStyle w:val="Hyperlink"/>
                <w:rtl/>
              </w:rPr>
              <w:t xml:space="preserve"> </w:t>
            </w:r>
            <w:r w:rsidRPr="00BF4140">
              <w:rPr>
                <w:rStyle w:val="Hyperlink"/>
                <w:rFonts w:hint="eastAsia"/>
                <w:rtl/>
              </w:rPr>
              <w:t>שו</w:t>
            </w:r>
            <w:r w:rsidRPr="00BF4140">
              <w:rPr>
                <w:rStyle w:val="Hyperlink"/>
                <w:rtl/>
              </w:rPr>
              <w:t>"</w:t>
            </w:r>
            <w:r w:rsidRPr="00BF4140">
              <w:rPr>
                <w:rStyle w:val="Hyperlink"/>
                <w:rFonts w:hint="eastAsia"/>
                <w:rtl/>
              </w:rPr>
              <w:t>ע</w:t>
            </w:r>
            <w:r w:rsidRPr="00BF4140">
              <w:rPr>
                <w:rStyle w:val="Hyperlink"/>
                <w:rtl/>
              </w:rPr>
              <w:t xml:space="preserve"> </w:t>
            </w:r>
            <w:r w:rsidRPr="00BF4140">
              <w:rPr>
                <w:rStyle w:val="Hyperlink"/>
                <w:rFonts w:hint="eastAsia"/>
                <w:rtl/>
              </w:rPr>
              <w:t>אדמו</w:t>
            </w:r>
            <w:r w:rsidRPr="00BF4140">
              <w:rPr>
                <w:rStyle w:val="Hyperlink"/>
                <w:rtl/>
              </w:rPr>
              <w:t>"</w:t>
            </w:r>
            <w:r w:rsidRPr="00BF4140">
              <w:rPr>
                <w:rStyle w:val="Hyperlink"/>
                <w:rFonts w:hint="eastAsia"/>
                <w:rtl/>
              </w:rPr>
              <w:t>ר</w:t>
            </w:r>
            <w:r w:rsidRPr="00BF4140">
              <w:rPr>
                <w:rStyle w:val="Hyperlink"/>
                <w:rtl/>
              </w:rPr>
              <w:t xml:space="preserve"> </w:t>
            </w:r>
            <w:r w:rsidRPr="00BF4140">
              <w:rPr>
                <w:rStyle w:val="Hyperlink"/>
                <w:rFonts w:hint="eastAsia"/>
                <w:rtl/>
              </w:rPr>
              <w:t>הזקן</w:t>
            </w:r>
            <w:r w:rsidRPr="00BF4140">
              <w:rPr>
                <w:rStyle w:val="Hyperlink"/>
                <w:rtl/>
              </w:rPr>
              <w:t xml:space="preserve"> </w:t>
            </w:r>
            <w:r w:rsidRPr="00BF4140">
              <w:rPr>
                <w:rStyle w:val="Hyperlink"/>
                <w:rFonts w:hint="eastAsia"/>
                <w:rtl/>
              </w:rPr>
              <w:t>בהגדש</w:t>
            </w:r>
            <w:r w:rsidRPr="00BF4140">
              <w:rPr>
                <w:rStyle w:val="Hyperlink"/>
                <w:rtl/>
              </w:rPr>
              <w:t>"</w:t>
            </w:r>
            <w:r w:rsidRPr="00BF4140">
              <w:rPr>
                <w:rStyle w:val="Hyperlink"/>
                <w:rFonts w:hint="eastAsia"/>
                <w:rtl/>
              </w:rPr>
              <w:t>פ</w:t>
            </w:r>
            <w:r w:rsidRPr="00BF4140">
              <w:rPr>
                <w:rStyle w:val="Hyperlink"/>
                <w:rtl/>
              </w:rPr>
              <w:t xml:space="preserve"> </w:t>
            </w:r>
            <w:r w:rsidRPr="00BF4140">
              <w:rPr>
                <w:rStyle w:val="Hyperlink"/>
                <w:rFonts w:hint="eastAsia"/>
                <w:rtl/>
              </w:rPr>
              <w:t>עם</w:t>
            </w:r>
            <w:r w:rsidRPr="00BF4140">
              <w:rPr>
                <w:rStyle w:val="Hyperlink"/>
                <w:rtl/>
              </w:rPr>
              <w:t xml:space="preserve"> </w:t>
            </w:r>
            <w:r w:rsidRPr="00BF4140">
              <w:rPr>
                <w:rStyle w:val="Hyperlink"/>
                <w:rFonts w:hint="eastAsia"/>
                <w:rtl/>
              </w:rPr>
              <w:t>ליקוטי</w:t>
            </w:r>
            <w:r w:rsidRPr="00BF4140">
              <w:rPr>
                <w:rStyle w:val="Hyperlink"/>
                <w:rtl/>
              </w:rPr>
              <w:t xml:space="preserve"> </w:t>
            </w:r>
            <w:r w:rsidRPr="00BF4140">
              <w:rPr>
                <w:rStyle w:val="Hyperlink"/>
                <w:rFonts w:hint="eastAsia"/>
                <w:rtl/>
              </w:rPr>
              <w:t>טעמים</w:t>
            </w:r>
            <w:r w:rsidRPr="00BF4140">
              <w:rPr>
                <w:rStyle w:val="Hyperlink"/>
                <w:rtl/>
              </w:rPr>
              <w:t xml:space="preserve"> </w:t>
            </w:r>
            <w:r w:rsidRPr="00BF4140">
              <w:rPr>
                <w:rStyle w:val="Hyperlink"/>
                <w:rFonts w:hint="eastAsia"/>
                <w:rtl/>
              </w:rPr>
              <w:t>ומנהגים</w:t>
            </w:r>
            <w:r>
              <w:rPr>
                <w:webHidden/>
              </w:rPr>
              <w:tab/>
            </w:r>
            <w:r>
              <w:rPr>
                <w:webHidden/>
              </w:rPr>
              <w:fldChar w:fldCharType="begin"/>
            </w:r>
            <w:r>
              <w:rPr>
                <w:webHidden/>
              </w:rPr>
              <w:instrText xml:space="preserve"> PAGEREF _Toc39817425 \h </w:instrText>
            </w:r>
            <w:r>
              <w:rPr>
                <w:webHidden/>
              </w:rPr>
            </w:r>
            <w:r>
              <w:rPr>
                <w:webHidden/>
              </w:rPr>
              <w:fldChar w:fldCharType="separate"/>
            </w:r>
            <w:r>
              <w:rPr>
                <w:webHidden/>
              </w:rPr>
              <w:t>36</w:t>
            </w:r>
            <w:r>
              <w:rPr>
                <w:webHidden/>
              </w:rPr>
              <w:fldChar w:fldCharType="end"/>
            </w:r>
          </w:hyperlink>
        </w:p>
        <w:p w:rsidR="006660A0" w:rsidRDefault="006660A0" w:rsidP="006660A0">
          <w:pPr>
            <w:pStyle w:val="TOC3"/>
            <w:rPr>
              <w:rFonts w:asciiTheme="minorHAnsi" w:eastAsiaTheme="minorEastAsia" w:hAnsiTheme="minorHAnsi" w:cstheme="minorBidi"/>
              <w:sz w:val="22"/>
              <w:szCs w:val="22"/>
              <w:lang w:val="en-US"/>
            </w:rPr>
          </w:pPr>
          <w:hyperlink w:anchor="_Toc39817426" w:history="1">
            <w:r w:rsidRPr="00BF4140">
              <w:rPr>
                <w:rStyle w:val="Hyperlink"/>
                <w:rFonts w:hint="eastAsia"/>
                <w:rtl/>
              </w:rPr>
              <w:t>הרב</w:t>
            </w:r>
            <w:r w:rsidRPr="00BF4140">
              <w:rPr>
                <w:rStyle w:val="Hyperlink"/>
                <w:rtl/>
              </w:rPr>
              <w:t xml:space="preserve"> </w:t>
            </w:r>
            <w:r w:rsidRPr="00BF4140">
              <w:rPr>
                <w:rStyle w:val="Hyperlink"/>
                <w:rFonts w:hint="eastAsia"/>
                <w:rtl/>
              </w:rPr>
              <w:t>שמואל</w:t>
            </w:r>
            <w:r w:rsidRPr="00BF4140">
              <w:rPr>
                <w:rStyle w:val="Hyperlink"/>
                <w:rtl/>
              </w:rPr>
              <w:t xml:space="preserve"> </w:t>
            </w:r>
            <w:r w:rsidRPr="00BF4140">
              <w:rPr>
                <w:rStyle w:val="Hyperlink"/>
                <w:rFonts w:hint="eastAsia"/>
                <w:rtl/>
              </w:rPr>
              <w:t>רסקין</w:t>
            </w:r>
          </w:hyperlink>
        </w:p>
        <w:p w:rsidR="006660A0" w:rsidRDefault="006660A0" w:rsidP="006660A0">
          <w:pPr>
            <w:pStyle w:val="TOC2"/>
            <w:rPr>
              <w:rFonts w:asciiTheme="minorHAnsi" w:eastAsiaTheme="minorEastAsia" w:hAnsiTheme="minorHAnsi" w:cstheme="minorBidi"/>
            </w:rPr>
          </w:pPr>
          <w:hyperlink w:anchor="_Toc39817427" w:history="1">
            <w:r w:rsidRPr="00BF4140">
              <w:rPr>
                <w:rStyle w:val="Hyperlink"/>
                <w:rFonts w:hint="eastAsia"/>
                <w:rtl/>
              </w:rPr>
              <w:t>יכוון</w:t>
            </w:r>
            <w:r w:rsidRPr="00BF4140">
              <w:rPr>
                <w:rStyle w:val="Hyperlink"/>
                <w:rtl/>
              </w:rPr>
              <w:t xml:space="preserve"> </w:t>
            </w:r>
            <w:r w:rsidRPr="00BF4140">
              <w:rPr>
                <w:rStyle w:val="Hyperlink"/>
                <w:rFonts w:hint="eastAsia"/>
                <w:rtl/>
              </w:rPr>
              <w:t>לפטור</w:t>
            </w:r>
            <w:r w:rsidRPr="00BF4140">
              <w:rPr>
                <w:rStyle w:val="Hyperlink"/>
                <w:rtl/>
              </w:rPr>
              <w:t xml:space="preserve"> </w:t>
            </w:r>
            <w:r w:rsidRPr="00BF4140">
              <w:rPr>
                <w:rStyle w:val="Hyperlink"/>
                <w:rFonts w:hint="eastAsia"/>
                <w:rtl/>
              </w:rPr>
              <w:t>מצה</w:t>
            </w:r>
            <w:r w:rsidRPr="00BF4140">
              <w:rPr>
                <w:rStyle w:val="Hyperlink"/>
                <w:rtl/>
              </w:rPr>
              <w:t xml:space="preserve"> </w:t>
            </w:r>
            <w:r w:rsidRPr="00BF4140">
              <w:rPr>
                <w:rStyle w:val="Hyperlink"/>
                <w:rFonts w:hint="eastAsia"/>
                <w:rtl/>
              </w:rPr>
              <w:t>דכורך</w:t>
            </w:r>
            <w:r w:rsidRPr="00BF4140">
              <w:rPr>
                <w:rStyle w:val="Hyperlink"/>
                <w:rtl/>
              </w:rPr>
              <w:t xml:space="preserve"> (</w:t>
            </w:r>
            <w:r w:rsidRPr="00BF4140">
              <w:rPr>
                <w:rStyle w:val="Hyperlink"/>
                <w:rFonts w:hint="eastAsia"/>
                <w:rtl/>
              </w:rPr>
              <w:t>גליון</w:t>
            </w:r>
            <w:r w:rsidRPr="00BF4140">
              <w:rPr>
                <w:rStyle w:val="Hyperlink"/>
                <w:rtl/>
              </w:rPr>
              <w:t>)</w:t>
            </w:r>
            <w:r>
              <w:rPr>
                <w:webHidden/>
              </w:rPr>
              <w:tab/>
            </w:r>
            <w:r>
              <w:rPr>
                <w:webHidden/>
              </w:rPr>
              <w:fldChar w:fldCharType="begin"/>
            </w:r>
            <w:r>
              <w:rPr>
                <w:webHidden/>
              </w:rPr>
              <w:instrText xml:space="preserve"> PAGEREF _Toc39817427 \h </w:instrText>
            </w:r>
            <w:r>
              <w:rPr>
                <w:webHidden/>
              </w:rPr>
            </w:r>
            <w:r>
              <w:rPr>
                <w:webHidden/>
              </w:rPr>
              <w:fldChar w:fldCharType="separate"/>
            </w:r>
            <w:r>
              <w:rPr>
                <w:webHidden/>
              </w:rPr>
              <w:t>44</w:t>
            </w:r>
            <w:r>
              <w:rPr>
                <w:webHidden/>
              </w:rPr>
              <w:fldChar w:fldCharType="end"/>
            </w:r>
          </w:hyperlink>
        </w:p>
        <w:p w:rsidR="006660A0" w:rsidRDefault="006660A0" w:rsidP="006660A0">
          <w:pPr>
            <w:pStyle w:val="TOC3"/>
            <w:rPr>
              <w:rFonts w:asciiTheme="minorHAnsi" w:eastAsiaTheme="minorEastAsia" w:hAnsiTheme="minorHAnsi" w:cstheme="minorBidi"/>
              <w:sz w:val="22"/>
              <w:szCs w:val="22"/>
              <w:lang w:val="en-US"/>
            </w:rPr>
          </w:pPr>
          <w:hyperlink w:anchor="_Toc39817428" w:history="1">
            <w:r w:rsidRPr="00BF4140">
              <w:rPr>
                <w:rStyle w:val="Hyperlink"/>
                <w:rFonts w:hint="eastAsia"/>
                <w:rtl/>
              </w:rPr>
              <w:t>הרב</w:t>
            </w:r>
            <w:r w:rsidRPr="00BF4140">
              <w:rPr>
                <w:rStyle w:val="Hyperlink"/>
                <w:rtl/>
              </w:rPr>
              <w:t xml:space="preserve"> </w:t>
            </w:r>
            <w:r w:rsidRPr="00BF4140">
              <w:rPr>
                <w:rStyle w:val="Hyperlink"/>
                <w:rFonts w:hint="eastAsia"/>
                <w:rtl/>
              </w:rPr>
              <w:t>נחום</w:t>
            </w:r>
            <w:r w:rsidRPr="00BF4140">
              <w:rPr>
                <w:rStyle w:val="Hyperlink"/>
                <w:rtl/>
              </w:rPr>
              <w:t xml:space="preserve"> </w:t>
            </w:r>
            <w:r w:rsidRPr="00BF4140">
              <w:rPr>
                <w:rStyle w:val="Hyperlink"/>
                <w:rFonts w:hint="eastAsia"/>
                <w:rtl/>
              </w:rPr>
              <w:t>שטראקס</w:t>
            </w:r>
          </w:hyperlink>
        </w:p>
        <w:p w:rsidR="006660A0" w:rsidRDefault="006660A0" w:rsidP="006660A0">
          <w:pPr>
            <w:pStyle w:val="TOC1"/>
            <w:rPr>
              <w:rFonts w:asciiTheme="minorHAnsi" w:eastAsiaTheme="minorEastAsia" w:hAnsiTheme="minorHAnsi" w:cstheme="minorBidi"/>
              <w:sz w:val="22"/>
              <w:szCs w:val="22"/>
            </w:rPr>
          </w:pPr>
          <w:hyperlink w:anchor="_Toc39817429" w:history="1">
            <w:r w:rsidRPr="00BF4140">
              <w:rPr>
                <w:rStyle w:val="Hyperlink"/>
                <w:rFonts w:hint="eastAsia"/>
                <w:rtl/>
              </w:rPr>
              <w:t>נגלה</w:t>
            </w:r>
          </w:hyperlink>
        </w:p>
        <w:p w:rsidR="006660A0" w:rsidRDefault="006660A0" w:rsidP="006660A0">
          <w:pPr>
            <w:pStyle w:val="TOC2"/>
            <w:rPr>
              <w:rFonts w:asciiTheme="minorHAnsi" w:eastAsiaTheme="minorEastAsia" w:hAnsiTheme="minorHAnsi" w:cstheme="minorBidi"/>
            </w:rPr>
          </w:pPr>
          <w:hyperlink w:anchor="_Toc39817430" w:history="1">
            <w:r w:rsidRPr="00BF4140">
              <w:rPr>
                <w:rStyle w:val="Hyperlink"/>
                <w:rFonts w:hint="eastAsia"/>
                <w:rtl/>
              </w:rPr>
              <w:t>זכר</w:t>
            </w:r>
            <w:r w:rsidRPr="00BF4140">
              <w:rPr>
                <w:rStyle w:val="Hyperlink"/>
                <w:rtl/>
              </w:rPr>
              <w:t xml:space="preserve"> </w:t>
            </w:r>
            <w:r w:rsidRPr="00BF4140">
              <w:rPr>
                <w:rStyle w:val="Hyperlink"/>
                <w:rFonts w:hint="eastAsia"/>
                <w:rtl/>
              </w:rPr>
              <w:t>למקדש</w:t>
            </w:r>
            <w:r>
              <w:rPr>
                <w:webHidden/>
              </w:rPr>
              <w:tab/>
            </w:r>
            <w:r>
              <w:rPr>
                <w:webHidden/>
              </w:rPr>
              <w:fldChar w:fldCharType="begin"/>
            </w:r>
            <w:r>
              <w:rPr>
                <w:webHidden/>
              </w:rPr>
              <w:instrText xml:space="preserve"> PAGEREF _Toc39817430 \h </w:instrText>
            </w:r>
            <w:r>
              <w:rPr>
                <w:webHidden/>
              </w:rPr>
            </w:r>
            <w:r>
              <w:rPr>
                <w:webHidden/>
              </w:rPr>
              <w:fldChar w:fldCharType="separate"/>
            </w:r>
            <w:r>
              <w:rPr>
                <w:webHidden/>
              </w:rPr>
              <w:t>48</w:t>
            </w:r>
            <w:r>
              <w:rPr>
                <w:webHidden/>
              </w:rPr>
              <w:fldChar w:fldCharType="end"/>
            </w:r>
          </w:hyperlink>
        </w:p>
        <w:p w:rsidR="006660A0" w:rsidRDefault="006660A0" w:rsidP="006660A0">
          <w:pPr>
            <w:pStyle w:val="TOC3"/>
            <w:rPr>
              <w:rFonts w:asciiTheme="minorHAnsi" w:eastAsiaTheme="minorEastAsia" w:hAnsiTheme="minorHAnsi" w:cstheme="minorBidi"/>
              <w:sz w:val="22"/>
              <w:szCs w:val="22"/>
              <w:lang w:val="en-US"/>
            </w:rPr>
          </w:pPr>
          <w:hyperlink w:anchor="_Toc39817431" w:history="1">
            <w:r w:rsidRPr="00BF4140">
              <w:rPr>
                <w:rStyle w:val="Hyperlink"/>
                <w:rFonts w:hint="eastAsia"/>
                <w:rtl/>
              </w:rPr>
              <w:t>הרב</w:t>
            </w:r>
            <w:r w:rsidRPr="00BF4140">
              <w:rPr>
                <w:rStyle w:val="Hyperlink"/>
                <w:rtl/>
              </w:rPr>
              <w:t xml:space="preserve"> </w:t>
            </w:r>
            <w:r w:rsidRPr="00BF4140">
              <w:rPr>
                <w:rStyle w:val="Hyperlink"/>
                <w:rFonts w:hint="eastAsia"/>
                <w:rtl/>
              </w:rPr>
              <w:t>שמעון</w:t>
            </w:r>
            <w:r w:rsidRPr="00BF4140">
              <w:rPr>
                <w:rStyle w:val="Hyperlink"/>
                <w:rtl/>
              </w:rPr>
              <w:t xml:space="preserve"> </w:t>
            </w:r>
            <w:r w:rsidRPr="00BF4140">
              <w:rPr>
                <w:rStyle w:val="Hyperlink"/>
                <w:rFonts w:hint="eastAsia"/>
                <w:rtl/>
              </w:rPr>
              <w:t>בן</w:t>
            </w:r>
            <w:r w:rsidRPr="00BF4140">
              <w:rPr>
                <w:rStyle w:val="Hyperlink"/>
                <w:rtl/>
              </w:rPr>
              <w:t xml:space="preserve"> </w:t>
            </w:r>
            <w:r w:rsidRPr="00BF4140">
              <w:rPr>
                <w:rStyle w:val="Hyperlink"/>
                <w:rFonts w:hint="eastAsia"/>
                <w:rtl/>
              </w:rPr>
              <w:t>ציון</w:t>
            </w:r>
            <w:r w:rsidRPr="00BF4140">
              <w:rPr>
                <w:rStyle w:val="Hyperlink"/>
                <w:rtl/>
              </w:rPr>
              <w:t xml:space="preserve"> </w:t>
            </w:r>
            <w:r w:rsidRPr="00BF4140">
              <w:rPr>
                <w:rStyle w:val="Hyperlink"/>
                <w:rFonts w:hint="eastAsia"/>
                <w:rtl/>
              </w:rPr>
              <w:t>אייזנבך</w:t>
            </w:r>
          </w:hyperlink>
        </w:p>
        <w:p w:rsidR="006660A0" w:rsidRDefault="006660A0" w:rsidP="006660A0">
          <w:pPr>
            <w:pStyle w:val="TOC2"/>
            <w:rPr>
              <w:rFonts w:asciiTheme="minorHAnsi" w:eastAsiaTheme="minorEastAsia" w:hAnsiTheme="minorHAnsi" w:cstheme="minorBidi"/>
            </w:rPr>
          </w:pPr>
          <w:hyperlink w:anchor="_Toc39817432" w:history="1">
            <w:r w:rsidRPr="00BF4140">
              <w:rPr>
                <w:rStyle w:val="Hyperlink"/>
                <w:rFonts w:hint="eastAsia"/>
                <w:rtl/>
              </w:rPr>
              <w:t>פרנס</w:t>
            </w:r>
            <w:r w:rsidRPr="00BF4140">
              <w:rPr>
                <w:rStyle w:val="Hyperlink"/>
                <w:rtl/>
              </w:rPr>
              <w:t xml:space="preserve"> </w:t>
            </w:r>
            <w:r w:rsidRPr="00BF4140">
              <w:rPr>
                <w:rStyle w:val="Hyperlink"/>
                <w:rFonts w:hint="eastAsia"/>
                <w:rtl/>
              </w:rPr>
              <w:t>על</w:t>
            </w:r>
            <w:r w:rsidRPr="00BF4140">
              <w:rPr>
                <w:rStyle w:val="Hyperlink"/>
                <w:rtl/>
              </w:rPr>
              <w:t xml:space="preserve"> </w:t>
            </w:r>
            <w:r w:rsidRPr="00BF4140">
              <w:rPr>
                <w:rStyle w:val="Hyperlink"/>
                <w:rFonts w:hint="eastAsia"/>
                <w:rtl/>
              </w:rPr>
              <w:t>הצבור</w:t>
            </w:r>
            <w:r w:rsidRPr="00BF4140">
              <w:rPr>
                <w:rStyle w:val="Hyperlink"/>
                <w:rtl/>
              </w:rPr>
              <w:t xml:space="preserve"> </w:t>
            </w:r>
            <w:r w:rsidRPr="00BF4140">
              <w:rPr>
                <w:rStyle w:val="Hyperlink"/>
                <w:rFonts w:hint="eastAsia"/>
                <w:rtl/>
              </w:rPr>
              <w:t>אסור</w:t>
            </w:r>
            <w:r w:rsidRPr="00BF4140">
              <w:rPr>
                <w:rStyle w:val="Hyperlink"/>
                <w:rtl/>
              </w:rPr>
              <w:t xml:space="preserve"> </w:t>
            </w:r>
            <w:r w:rsidRPr="00BF4140">
              <w:rPr>
                <w:rStyle w:val="Hyperlink"/>
                <w:rFonts w:hint="eastAsia"/>
                <w:rtl/>
              </w:rPr>
              <w:t>בעשיית</w:t>
            </w:r>
            <w:r w:rsidRPr="00BF4140">
              <w:rPr>
                <w:rStyle w:val="Hyperlink"/>
                <w:rtl/>
              </w:rPr>
              <w:t xml:space="preserve"> </w:t>
            </w:r>
            <w:r w:rsidRPr="00BF4140">
              <w:rPr>
                <w:rStyle w:val="Hyperlink"/>
                <w:rFonts w:hint="eastAsia"/>
                <w:rtl/>
              </w:rPr>
              <w:t>מלאכה</w:t>
            </w:r>
            <w:r w:rsidRPr="00BF4140">
              <w:rPr>
                <w:rStyle w:val="Hyperlink"/>
                <w:rtl/>
              </w:rPr>
              <w:t xml:space="preserve"> </w:t>
            </w:r>
            <w:r w:rsidRPr="00BF4140">
              <w:rPr>
                <w:rStyle w:val="Hyperlink"/>
                <w:rFonts w:hint="eastAsia"/>
                <w:rtl/>
              </w:rPr>
              <w:t>בפני</w:t>
            </w:r>
            <w:r w:rsidRPr="00BF4140">
              <w:rPr>
                <w:rStyle w:val="Hyperlink"/>
                <w:rtl/>
              </w:rPr>
              <w:t xml:space="preserve"> </w:t>
            </w:r>
            <w:r w:rsidRPr="00BF4140">
              <w:rPr>
                <w:rStyle w:val="Hyperlink"/>
                <w:rFonts w:hint="eastAsia"/>
                <w:rtl/>
              </w:rPr>
              <w:t>שלשה</w:t>
            </w:r>
            <w:r>
              <w:rPr>
                <w:webHidden/>
              </w:rPr>
              <w:tab/>
            </w:r>
            <w:r>
              <w:rPr>
                <w:webHidden/>
              </w:rPr>
              <w:fldChar w:fldCharType="begin"/>
            </w:r>
            <w:r>
              <w:rPr>
                <w:webHidden/>
              </w:rPr>
              <w:instrText xml:space="preserve"> PAGEREF _Toc39817432 \h </w:instrText>
            </w:r>
            <w:r>
              <w:rPr>
                <w:webHidden/>
              </w:rPr>
            </w:r>
            <w:r>
              <w:rPr>
                <w:webHidden/>
              </w:rPr>
              <w:fldChar w:fldCharType="separate"/>
            </w:r>
            <w:r>
              <w:rPr>
                <w:webHidden/>
              </w:rPr>
              <w:t>51</w:t>
            </w:r>
            <w:r>
              <w:rPr>
                <w:webHidden/>
              </w:rPr>
              <w:fldChar w:fldCharType="end"/>
            </w:r>
          </w:hyperlink>
        </w:p>
        <w:p w:rsidR="006660A0" w:rsidRDefault="006660A0" w:rsidP="006660A0">
          <w:pPr>
            <w:pStyle w:val="TOC3"/>
            <w:rPr>
              <w:rFonts w:asciiTheme="minorHAnsi" w:eastAsiaTheme="minorEastAsia" w:hAnsiTheme="minorHAnsi" w:cstheme="minorBidi"/>
              <w:sz w:val="22"/>
              <w:szCs w:val="22"/>
              <w:lang w:val="en-US"/>
            </w:rPr>
          </w:pPr>
          <w:hyperlink w:anchor="_Toc39817433" w:history="1">
            <w:r w:rsidRPr="00BF4140">
              <w:rPr>
                <w:rStyle w:val="Hyperlink"/>
                <w:rFonts w:hint="eastAsia"/>
                <w:rtl/>
              </w:rPr>
              <w:t>הרב</w:t>
            </w:r>
            <w:r w:rsidRPr="00BF4140">
              <w:rPr>
                <w:rStyle w:val="Hyperlink"/>
                <w:rtl/>
              </w:rPr>
              <w:t xml:space="preserve"> </w:t>
            </w:r>
            <w:r w:rsidRPr="00BF4140">
              <w:rPr>
                <w:rStyle w:val="Hyperlink"/>
                <w:rFonts w:hint="eastAsia"/>
                <w:rtl/>
              </w:rPr>
              <w:t>יוסף</w:t>
            </w:r>
            <w:r w:rsidRPr="00BF4140">
              <w:rPr>
                <w:rStyle w:val="Hyperlink"/>
                <w:rtl/>
              </w:rPr>
              <w:t xml:space="preserve"> </w:t>
            </w:r>
            <w:r w:rsidRPr="00BF4140">
              <w:rPr>
                <w:rStyle w:val="Hyperlink"/>
                <w:rFonts w:hint="eastAsia"/>
                <w:rtl/>
              </w:rPr>
              <w:t>יצחק</w:t>
            </w:r>
            <w:r w:rsidRPr="00BF4140">
              <w:rPr>
                <w:rStyle w:val="Hyperlink"/>
                <w:rtl/>
              </w:rPr>
              <w:t xml:space="preserve"> </w:t>
            </w:r>
            <w:r w:rsidRPr="00BF4140">
              <w:rPr>
                <w:rStyle w:val="Hyperlink"/>
                <w:rFonts w:hint="eastAsia"/>
                <w:rtl/>
              </w:rPr>
              <w:t>ליפסקער</w:t>
            </w:r>
          </w:hyperlink>
        </w:p>
        <w:p w:rsidR="006660A0" w:rsidRDefault="006660A0" w:rsidP="006660A0">
          <w:pPr>
            <w:pStyle w:val="TOC2"/>
            <w:rPr>
              <w:rFonts w:asciiTheme="minorHAnsi" w:eastAsiaTheme="minorEastAsia" w:hAnsiTheme="minorHAnsi" w:cstheme="minorBidi"/>
            </w:rPr>
          </w:pPr>
          <w:hyperlink w:anchor="_Toc39817434" w:history="1">
            <w:r w:rsidRPr="00BF4140">
              <w:rPr>
                <w:rStyle w:val="Hyperlink"/>
                <w:rtl/>
              </w:rPr>
              <w:t>'</w:t>
            </w:r>
            <w:r w:rsidRPr="00BF4140">
              <w:rPr>
                <w:rStyle w:val="Hyperlink"/>
                <w:rFonts w:hint="eastAsia"/>
                <w:rtl/>
              </w:rPr>
              <w:t>בדיבורו</w:t>
            </w:r>
            <w:r w:rsidRPr="00BF4140">
              <w:rPr>
                <w:rStyle w:val="Hyperlink"/>
                <w:rtl/>
              </w:rPr>
              <w:t xml:space="preserve"> </w:t>
            </w:r>
            <w:r w:rsidRPr="00BF4140">
              <w:rPr>
                <w:rStyle w:val="Hyperlink"/>
                <w:rFonts w:hint="eastAsia"/>
                <w:rtl/>
              </w:rPr>
              <w:t>עביד</w:t>
            </w:r>
            <w:r w:rsidRPr="00BF4140">
              <w:rPr>
                <w:rStyle w:val="Hyperlink"/>
                <w:rtl/>
              </w:rPr>
              <w:t xml:space="preserve"> </w:t>
            </w:r>
            <w:r w:rsidRPr="00BF4140">
              <w:rPr>
                <w:rStyle w:val="Hyperlink"/>
                <w:rFonts w:hint="eastAsia"/>
                <w:rtl/>
              </w:rPr>
              <w:t>מעשה</w:t>
            </w:r>
            <w:r w:rsidRPr="00BF4140">
              <w:rPr>
                <w:rStyle w:val="Hyperlink"/>
                <w:rtl/>
              </w:rPr>
              <w:t xml:space="preserve">' </w:t>
            </w:r>
            <w:r w:rsidRPr="00BF4140">
              <w:rPr>
                <w:rStyle w:val="Hyperlink"/>
                <w:rFonts w:hint="eastAsia"/>
                <w:rtl/>
              </w:rPr>
              <w:t>לפי</w:t>
            </w:r>
            <w:r w:rsidRPr="00BF4140">
              <w:rPr>
                <w:rStyle w:val="Hyperlink"/>
                <w:rtl/>
              </w:rPr>
              <w:t xml:space="preserve"> </w:t>
            </w:r>
            <w:r w:rsidRPr="00BF4140">
              <w:rPr>
                <w:rStyle w:val="Hyperlink"/>
                <w:rFonts w:hint="eastAsia"/>
                <w:rtl/>
              </w:rPr>
              <w:t>רב</w:t>
            </w:r>
            <w:r w:rsidRPr="00BF4140">
              <w:rPr>
                <w:rStyle w:val="Hyperlink"/>
                <w:rtl/>
              </w:rPr>
              <w:t xml:space="preserve"> - </w:t>
            </w:r>
            <w:r w:rsidRPr="00BF4140">
              <w:rPr>
                <w:rStyle w:val="Hyperlink"/>
                <w:rFonts w:hint="eastAsia"/>
                <w:rtl/>
              </w:rPr>
              <w:t>לשיטת</w:t>
            </w:r>
            <w:r w:rsidRPr="00BF4140">
              <w:rPr>
                <w:rStyle w:val="Hyperlink"/>
                <w:rtl/>
              </w:rPr>
              <w:t xml:space="preserve"> </w:t>
            </w:r>
            <w:r w:rsidRPr="00BF4140">
              <w:rPr>
                <w:rStyle w:val="Hyperlink"/>
                <w:rFonts w:hint="eastAsia"/>
                <w:rtl/>
              </w:rPr>
              <w:t>הרמב</w:t>
            </w:r>
            <w:r w:rsidRPr="00BF4140">
              <w:rPr>
                <w:rStyle w:val="Hyperlink"/>
                <w:rtl/>
              </w:rPr>
              <w:t>"</w:t>
            </w:r>
            <w:r w:rsidRPr="00BF4140">
              <w:rPr>
                <w:rStyle w:val="Hyperlink"/>
                <w:rFonts w:hint="eastAsia"/>
                <w:rtl/>
              </w:rPr>
              <w:t>ם</w:t>
            </w:r>
            <w:r>
              <w:rPr>
                <w:webHidden/>
              </w:rPr>
              <w:tab/>
            </w:r>
            <w:r>
              <w:rPr>
                <w:webHidden/>
              </w:rPr>
              <w:fldChar w:fldCharType="begin"/>
            </w:r>
            <w:r>
              <w:rPr>
                <w:webHidden/>
              </w:rPr>
              <w:instrText xml:space="preserve"> PAGEREF _Toc39817434 \h </w:instrText>
            </w:r>
            <w:r>
              <w:rPr>
                <w:webHidden/>
              </w:rPr>
            </w:r>
            <w:r>
              <w:rPr>
                <w:webHidden/>
              </w:rPr>
              <w:fldChar w:fldCharType="separate"/>
            </w:r>
            <w:r>
              <w:rPr>
                <w:webHidden/>
              </w:rPr>
              <w:t>52</w:t>
            </w:r>
            <w:r>
              <w:rPr>
                <w:webHidden/>
              </w:rPr>
              <w:fldChar w:fldCharType="end"/>
            </w:r>
          </w:hyperlink>
        </w:p>
        <w:p w:rsidR="006660A0" w:rsidRDefault="006660A0" w:rsidP="006660A0">
          <w:pPr>
            <w:pStyle w:val="TOC3"/>
            <w:rPr>
              <w:rFonts w:asciiTheme="minorHAnsi" w:eastAsiaTheme="minorEastAsia" w:hAnsiTheme="minorHAnsi" w:cstheme="minorBidi"/>
              <w:sz w:val="22"/>
              <w:szCs w:val="22"/>
              <w:lang w:val="en-US"/>
            </w:rPr>
          </w:pPr>
          <w:hyperlink w:anchor="_Toc39817435" w:history="1">
            <w:r w:rsidRPr="00BF4140">
              <w:rPr>
                <w:rStyle w:val="Hyperlink"/>
                <w:rFonts w:hint="eastAsia"/>
                <w:rtl/>
              </w:rPr>
              <w:t>הת</w:t>
            </w:r>
            <w:r w:rsidRPr="00BF4140">
              <w:rPr>
                <w:rStyle w:val="Hyperlink"/>
                <w:rtl/>
              </w:rPr>
              <w:t xml:space="preserve">' </w:t>
            </w:r>
            <w:r w:rsidRPr="00BF4140">
              <w:rPr>
                <w:rStyle w:val="Hyperlink"/>
                <w:rFonts w:hint="eastAsia"/>
                <w:rtl/>
              </w:rPr>
              <w:t>דב</w:t>
            </w:r>
            <w:r w:rsidRPr="00BF4140">
              <w:rPr>
                <w:rStyle w:val="Hyperlink"/>
                <w:rtl/>
              </w:rPr>
              <w:t xml:space="preserve"> </w:t>
            </w:r>
            <w:r w:rsidRPr="00BF4140">
              <w:rPr>
                <w:rStyle w:val="Hyperlink"/>
                <w:rFonts w:hint="eastAsia"/>
                <w:rtl/>
              </w:rPr>
              <w:t>בעריש</w:t>
            </w:r>
            <w:r w:rsidRPr="00BF4140">
              <w:rPr>
                <w:rStyle w:val="Hyperlink"/>
                <w:rtl/>
              </w:rPr>
              <w:t xml:space="preserve"> </w:t>
            </w:r>
            <w:r w:rsidRPr="00BF4140">
              <w:rPr>
                <w:rStyle w:val="Hyperlink"/>
                <w:rFonts w:hint="eastAsia"/>
                <w:rtl/>
              </w:rPr>
              <w:t>רוטנברג</w:t>
            </w:r>
          </w:hyperlink>
        </w:p>
        <w:p w:rsidR="006660A0" w:rsidRDefault="006660A0" w:rsidP="006660A0">
          <w:pPr>
            <w:pStyle w:val="TOC2"/>
            <w:rPr>
              <w:rFonts w:asciiTheme="minorHAnsi" w:eastAsiaTheme="minorEastAsia" w:hAnsiTheme="minorHAnsi" w:cstheme="minorBidi"/>
            </w:rPr>
          </w:pPr>
          <w:hyperlink w:anchor="_Toc39817436" w:history="1">
            <w:r w:rsidRPr="00BF4140">
              <w:rPr>
                <w:rStyle w:val="Hyperlink"/>
                <w:rFonts w:hint="eastAsia"/>
                <w:rtl/>
              </w:rPr>
              <w:t>דיוק</w:t>
            </w:r>
            <w:r w:rsidRPr="00BF4140">
              <w:rPr>
                <w:rStyle w:val="Hyperlink"/>
                <w:rtl/>
              </w:rPr>
              <w:t xml:space="preserve"> </w:t>
            </w:r>
            <w:r w:rsidRPr="00BF4140">
              <w:rPr>
                <w:rStyle w:val="Hyperlink"/>
                <w:rFonts w:hint="eastAsia"/>
                <w:rtl/>
              </w:rPr>
              <w:t>בחידוש</w:t>
            </w:r>
            <w:r w:rsidRPr="00BF4140">
              <w:rPr>
                <w:rStyle w:val="Hyperlink"/>
                <w:rtl/>
              </w:rPr>
              <w:t xml:space="preserve"> </w:t>
            </w:r>
            <w:r w:rsidRPr="00BF4140">
              <w:rPr>
                <w:rStyle w:val="Hyperlink"/>
                <w:rFonts w:hint="eastAsia"/>
                <w:rtl/>
              </w:rPr>
              <w:t>הראגאטשאווער</w:t>
            </w:r>
            <w:r w:rsidRPr="00BF4140">
              <w:rPr>
                <w:rStyle w:val="Hyperlink"/>
                <w:rtl/>
              </w:rPr>
              <w:t xml:space="preserve"> </w:t>
            </w:r>
            <w:r w:rsidRPr="00BF4140">
              <w:rPr>
                <w:rStyle w:val="Hyperlink"/>
                <w:rFonts w:hint="eastAsia"/>
                <w:rtl/>
              </w:rPr>
              <w:t>במצוות</w:t>
            </w:r>
            <w:r w:rsidRPr="00BF4140">
              <w:rPr>
                <w:rStyle w:val="Hyperlink"/>
                <w:rtl/>
              </w:rPr>
              <w:t xml:space="preserve"> </w:t>
            </w:r>
            <w:r w:rsidRPr="00BF4140">
              <w:rPr>
                <w:rStyle w:val="Hyperlink"/>
                <w:rFonts w:hint="eastAsia"/>
                <w:rtl/>
              </w:rPr>
              <w:t>תפילין</w:t>
            </w:r>
            <w:r>
              <w:rPr>
                <w:webHidden/>
              </w:rPr>
              <w:tab/>
            </w:r>
            <w:r>
              <w:rPr>
                <w:webHidden/>
              </w:rPr>
              <w:fldChar w:fldCharType="begin"/>
            </w:r>
            <w:r>
              <w:rPr>
                <w:webHidden/>
              </w:rPr>
              <w:instrText xml:space="preserve"> PAGEREF _Toc39817436 \h </w:instrText>
            </w:r>
            <w:r>
              <w:rPr>
                <w:webHidden/>
              </w:rPr>
            </w:r>
            <w:r>
              <w:rPr>
                <w:webHidden/>
              </w:rPr>
              <w:fldChar w:fldCharType="separate"/>
            </w:r>
            <w:r>
              <w:rPr>
                <w:webHidden/>
              </w:rPr>
              <w:t>54</w:t>
            </w:r>
            <w:r>
              <w:rPr>
                <w:webHidden/>
              </w:rPr>
              <w:fldChar w:fldCharType="end"/>
            </w:r>
          </w:hyperlink>
        </w:p>
        <w:p w:rsidR="006660A0" w:rsidRDefault="006660A0" w:rsidP="006660A0">
          <w:pPr>
            <w:pStyle w:val="TOC3"/>
            <w:rPr>
              <w:rFonts w:asciiTheme="minorHAnsi" w:eastAsiaTheme="minorEastAsia" w:hAnsiTheme="minorHAnsi" w:cstheme="minorBidi"/>
              <w:sz w:val="22"/>
              <w:szCs w:val="22"/>
              <w:lang w:val="en-US"/>
            </w:rPr>
          </w:pPr>
          <w:hyperlink w:anchor="_Toc39817437" w:history="1">
            <w:r w:rsidRPr="00BF4140">
              <w:rPr>
                <w:rStyle w:val="Hyperlink"/>
                <w:rFonts w:hint="eastAsia"/>
                <w:rtl/>
              </w:rPr>
              <w:t>הנ</w:t>
            </w:r>
            <w:r w:rsidRPr="00BF4140">
              <w:rPr>
                <w:rStyle w:val="Hyperlink"/>
                <w:rtl/>
              </w:rPr>
              <w:t>"</w:t>
            </w:r>
            <w:r w:rsidRPr="00BF4140">
              <w:rPr>
                <w:rStyle w:val="Hyperlink"/>
                <w:rFonts w:hint="eastAsia"/>
                <w:rtl/>
              </w:rPr>
              <w:t>ל</w:t>
            </w:r>
          </w:hyperlink>
        </w:p>
        <w:p w:rsidR="006660A0" w:rsidRDefault="006660A0" w:rsidP="006660A0">
          <w:pPr>
            <w:pStyle w:val="TOC2"/>
            <w:rPr>
              <w:rFonts w:asciiTheme="minorHAnsi" w:eastAsiaTheme="minorEastAsia" w:hAnsiTheme="minorHAnsi" w:cstheme="minorBidi"/>
            </w:rPr>
          </w:pPr>
          <w:hyperlink w:anchor="_Toc39817438" w:history="1">
            <w:r w:rsidRPr="00BF4140">
              <w:rPr>
                <w:rStyle w:val="Hyperlink"/>
                <w:rFonts w:hint="eastAsia"/>
                <w:rtl/>
              </w:rPr>
              <w:t>הייתה</w:t>
            </w:r>
            <w:r w:rsidRPr="00BF4140">
              <w:rPr>
                <w:rStyle w:val="Hyperlink"/>
                <w:rtl/>
              </w:rPr>
              <w:t xml:space="preserve"> </w:t>
            </w:r>
            <w:r w:rsidRPr="00BF4140">
              <w:rPr>
                <w:rStyle w:val="Hyperlink"/>
                <w:rFonts w:hint="eastAsia"/>
                <w:rtl/>
              </w:rPr>
              <w:t>אוכלת</w:t>
            </w:r>
            <w:r w:rsidRPr="00BF4140">
              <w:rPr>
                <w:rStyle w:val="Hyperlink"/>
                <w:rtl/>
              </w:rPr>
              <w:t xml:space="preserve"> </w:t>
            </w:r>
            <w:r w:rsidRPr="00BF4140">
              <w:rPr>
                <w:rStyle w:val="Hyperlink"/>
                <w:rFonts w:hint="eastAsia"/>
                <w:rtl/>
              </w:rPr>
              <w:t>ראשונה</w:t>
            </w:r>
            <w:r w:rsidRPr="00BF4140">
              <w:rPr>
                <w:rStyle w:val="Hyperlink"/>
                <w:rtl/>
              </w:rPr>
              <w:t xml:space="preserve"> </w:t>
            </w:r>
            <w:r w:rsidRPr="00BF4140">
              <w:rPr>
                <w:rStyle w:val="Hyperlink"/>
                <w:rFonts w:hint="eastAsia"/>
                <w:rtl/>
              </w:rPr>
              <w:t>ראשונה</w:t>
            </w:r>
            <w:r w:rsidRPr="00BF4140">
              <w:rPr>
                <w:rStyle w:val="Hyperlink"/>
                <w:rtl/>
              </w:rPr>
              <w:t xml:space="preserve"> </w:t>
            </w:r>
            <w:r w:rsidRPr="00BF4140">
              <w:rPr>
                <w:rStyle w:val="Hyperlink"/>
                <w:rFonts w:hint="eastAsia"/>
                <w:rtl/>
              </w:rPr>
              <w:t>אינה</w:t>
            </w:r>
            <w:r w:rsidRPr="00BF4140">
              <w:rPr>
                <w:rStyle w:val="Hyperlink"/>
                <w:rtl/>
              </w:rPr>
              <w:t xml:space="preserve"> </w:t>
            </w:r>
            <w:r w:rsidRPr="00BF4140">
              <w:rPr>
                <w:rStyle w:val="Hyperlink"/>
                <w:rFonts w:hint="eastAsia"/>
                <w:rtl/>
              </w:rPr>
              <w:t>מקודשת</w:t>
            </w:r>
            <w:r w:rsidRPr="00BF4140">
              <w:rPr>
                <w:rStyle w:val="Hyperlink"/>
                <w:rtl/>
              </w:rPr>
              <w:t xml:space="preserve"> </w:t>
            </w:r>
            <w:r w:rsidRPr="00BF4140">
              <w:rPr>
                <w:rStyle w:val="Hyperlink"/>
                <w:rFonts w:hint="eastAsia"/>
                <w:rtl/>
              </w:rPr>
              <w:t>עד</w:t>
            </w:r>
            <w:r w:rsidRPr="00BF4140">
              <w:rPr>
                <w:rStyle w:val="Hyperlink"/>
                <w:rtl/>
              </w:rPr>
              <w:t xml:space="preserve"> </w:t>
            </w:r>
            <w:r w:rsidRPr="00BF4140">
              <w:rPr>
                <w:rStyle w:val="Hyperlink"/>
                <w:rFonts w:hint="eastAsia"/>
                <w:rtl/>
              </w:rPr>
              <w:t>שיהא</w:t>
            </w:r>
            <w:r w:rsidRPr="00BF4140">
              <w:rPr>
                <w:rStyle w:val="Hyperlink"/>
                <w:rtl/>
              </w:rPr>
              <w:t xml:space="preserve"> </w:t>
            </w:r>
            <w:r w:rsidRPr="00BF4140">
              <w:rPr>
                <w:rStyle w:val="Hyperlink"/>
                <w:rFonts w:hint="eastAsia"/>
                <w:rtl/>
              </w:rPr>
              <w:t>באחת</w:t>
            </w:r>
            <w:r w:rsidRPr="00BF4140">
              <w:rPr>
                <w:rStyle w:val="Hyperlink"/>
                <w:rtl/>
              </w:rPr>
              <w:t xml:space="preserve"> </w:t>
            </w:r>
            <w:r w:rsidRPr="00BF4140">
              <w:rPr>
                <w:rStyle w:val="Hyperlink"/>
                <w:rFonts w:hint="eastAsia"/>
                <w:rtl/>
              </w:rPr>
              <w:t>מהן</w:t>
            </w:r>
            <w:r w:rsidRPr="00BF4140">
              <w:rPr>
                <w:rStyle w:val="Hyperlink"/>
                <w:rtl/>
              </w:rPr>
              <w:t xml:space="preserve"> </w:t>
            </w:r>
            <w:r w:rsidRPr="00BF4140">
              <w:rPr>
                <w:rStyle w:val="Hyperlink"/>
                <w:rFonts w:hint="eastAsia"/>
                <w:rtl/>
              </w:rPr>
              <w:t>שוה</w:t>
            </w:r>
            <w:r w:rsidRPr="00BF4140">
              <w:rPr>
                <w:rStyle w:val="Hyperlink"/>
                <w:rtl/>
              </w:rPr>
              <w:t xml:space="preserve"> </w:t>
            </w:r>
            <w:r w:rsidRPr="00BF4140">
              <w:rPr>
                <w:rStyle w:val="Hyperlink"/>
                <w:rFonts w:hint="eastAsia"/>
                <w:rtl/>
              </w:rPr>
              <w:t>פרוטה</w:t>
            </w:r>
            <w:r>
              <w:rPr>
                <w:webHidden/>
              </w:rPr>
              <w:tab/>
            </w:r>
            <w:r>
              <w:rPr>
                <w:webHidden/>
              </w:rPr>
              <w:fldChar w:fldCharType="begin"/>
            </w:r>
            <w:r>
              <w:rPr>
                <w:webHidden/>
              </w:rPr>
              <w:instrText xml:space="preserve"> PAGEREF _Toc39817438 \h </w:instrText>
            </w:r>
            <w:r>
              <w:rPr>
                <w:webHidden/>
              </w:rPr>
            </w:r>
            <w:r>
              <w:rPr>
                <w:webHidden/>
              </w:rPr>
              <w:fldChar w:fldCharType="separate"/>
            </w:r>
            <w:r>
              <w:rPr>
                <w:webHidden/>
              </w:rPr>
              <w:t>55</w:t>
            </w:r>
            <w:r>
              <w:rPr>
                <w:webHidden/>
              </w:rPr>
              <w:fldChar w:fldCharType="end"/>
            </w:r>
          </w:hyperlink>
        </w:p>
        <w:p w:rsidR="006660A0" w:rsidRDefault="006660A0" w:rsidP="006660A0">
          <w:pPr>
            <w:pStyle w:val="TOC3"/>
            <w:rPr>
              <w:rFonts w:asciiTheme="minorHAnsi" w:eastAsiaTheme="minorEastAsia" w:hAnsiTheme="minorHAnsi" w:cstheme="minorBidi"/>
              <w:sz w:val="22"/>
              <w:szCs w:val="22"/>
              <w:lang w:val="en-US"/>
            </w:rPr>
          </w:pPr>
          <w:hyperlink w:anchor="_Toc39817439" w:history="1">
            <w:r w:rsidRPr="00BF4140">
              <w:rPr>
                <w:rStyle w:val="Hyperlink"/>
                <w:rFonts w:hint="eastAsia"/>
                <w:rtl/>
              </w:rPr>
              <w:t>הת</w:t>
            </w:r>
            <w:r w:rsidRPr="00BF4140">
              <w:rPr>
                <w:rStyle w:val="Hyperlink"/>
                <w:rtl/>
              </w:rPr>
              <w:t xml:space="preserve">' </w:t>
            </w:r>
            <w:r w:rsidRPr="00BF4140">
              <w:rPr>
                <w:rStyle w:val="Hyperlink"/>
                <w:rFonts w:hint="eastAsia"/>
                <w:rtl/>
              </w:rPr>
              <w:t>חנן</w:t>
            </w:r>
            <w:r w:rsidRPr="00BF4140">
              <w:rPr>
                <w:rStyle w:val="Hyperlink"/>
                <w:rtl/>
              </w:rPr>
              <w:t xml:space="preserve"> </w:t>
            </w:r>
            <w:r w:rsidRPr="00BF4140">
              <w:rPr>
                <w:rStyle w:val="Hyperlink"/>
                <w:rFonts w:hint="eastAsia"/>
                <w:rtl/>
              </w:rPr>
              <w:t>טייכטל</w:t>
            </w:r>
          </w:hyperlink>
        </w:p>
        <w:p w:rsidR="006660A0" w:rsidRDefault="006660A0" w:rsidP="006660A0">
          <w:pPr>
            <w:pStyle w:val="TOC1"/>
            <w:rPr>
              <w:rFonts w:asciiTheme="minorHAnsi" w:eastAsiaTheme="minorEastAsia" w:hAnsiTheme="minorHAnsi" w:cstheme="minorBidi"/>
              <w:sz w:val="22"/>
              <w:szCs w:val="22"/>
            </w:rPr>
          </w:pPr>
          <w:hyperlink w:anchor="_Toc39817440" w:history="1">
            <w:r w:rsidRPr="00BF4140">
              <w:rPr>
                <w:rStyle w:val="Hyperlink"/>
                <w:rFonts w:hint="eastAsia"/>
                <w:rtl/>
              </w:rPr>
              <w:t>חסידות</w:t>
            </w:r>
          </w:hyperlink>
        </w:p>
        <w:p w:rsidR="006660A0" w:rsidRDefault="006660A0" w:rsidP="006660A0">
          <w:pPr>
            <w:pStyle w:val="TOC2"/>
            <w:rPr>
              <w:rFonts w:asciiTheme="minorHAnsi" w:eastAsiaTheme="minorEastAsia" w:hAnsiTheme="minorHAnsi" w:cstheme="minorBidi"/>
            </w:rPr>
          </w:pPr>
          <w:hyperlink w:anchor="_Toc39817441" w:history="1">
            <w:r w:rsidRPr="00BF4140">
              <w:rPr>
                <w:rStyle w:val="Hyperlink"/>
                <w:rFonts w:hint="eastAsia"/>
                <w:rtl/>
              </w:rPr>
              <w:t>מחשבה</w:t>
            </w:r>
            <w:r w:rsidRPr="00BF4140">
              <w:rPr>
                <w:rStyle w:val="Hyperlink"/>
                <w:rtl/>
              </w:rPr>
              <w:t xml:space="preserve"> </w:t>
            </w:r>
            <w:r w:rsidRPr="00BF4140">
              <w:rPr>
                <w:rStyle w:val="Hyperlink"/>
                <w:rFonts w:hint="eastAsia"/>
                <w:rtl/>
              </w:rPr>
              <w:t>בתרומה</w:t>
            </w:r>
            <w:r w:rsidRPr="00BF4140">
              <w:rPr>
                <w:rStyle w:val="Hyperlink"/>
                <w:rtl/>
              </w:rPr>
              <w:t xml:space="preserve"> - </w:t>
            </w:r>
            <w:r w:rsidRPr="00BF4140">
              <w:rPr>
                <w:rStyle w:val="Hyperlink"/>
                <w:rFonts w:hint="eastAsia"/>
                <w:rtl/>
              </w:rPr>
              <w:t>ביאור</w:t>
            </w:r>
            <w:r w:rsidRPr="00BF4140">
              <w:rPr>
                <w:rStyle w:val="Hyperlink"/>
                <w:rtl/>
              </w:rPr>
              <w:t xml:space="preserve"> </w:t>
            </w:r>
            <w:r w:rsidRPr="00BF4140">
              <w:rPr>
                <w:rStyle w:val="Hyperlink"/>
                <w:rFonts w:hint="eastAsia"/>
                <w:rtl/>
              </w:rPr>
              <w:t>מ</w:t>
            </w:r>
            <w:r w:rsidRPr="00BF4140">
              <w:rPr>
                <w:rStyle w:val="Hyperlink"/>
                <w:rtl/>
              </w:rPr>
              <w:t>"</w:t>
            </w:r>
            <w:r w:rsidRPr="00BF4140">
              <w:rPr>
                <w:rStyle w:val="Hyperlink"/>
                <w:rFonts w:hint="eastAsia"/>
                <w:rtl/>
              </w:rPr>
              <w:t>ש</w:t>
            </w:r>
            <w:r w:rsidRPr="00BF4140">
              <w:rPr>
                <w:rStyle w:val="Hyperlink"/>
                <w:rtl/>
              </w:rPr>
              <w:t xml:space="preserve"> </w:t>
            </w:r>
            <w:r w:rsidRPr="00BF4140">
              <w:rPr>
                <w:rStyle w:val="Hyperlink"/>
                <w:rFonts w:hint="eastAsia"/>
                <w:rtl/>
              </w:rPr>
              <w:t>בלקוטי</w:t>
            </w:r>
            <w:r w:rsidRPr="00BF4140">
              <w:rPr>
                <w:rStyle w:val="Hyperlink"/>
                <w:rtl/>
              </w:rPr>
              <w:t xml:space="preserve"> </w:t>
            </w:r>
            <w:r w:rsidRPr="00BF4140">
              <w:rPr>
                <w:rStyle w:val="Hyperlink"/>
                <w:rFonts w:hint="eastAsia"/>
                <w:rtl/>
              </w:rPr>
              <w:t>לוי</w:t>
            </w:r>
            <w:r w:rsidRPr="00BF4140">
              <w:rPr>
                <w:rStyle w:val="Hyperlink"/>
                <w:rtl/>
              </w:rPr>
              <w:t xml:space="preserve"> </w:t>
            </w:r>
            <w:r w:rsidRPr="00BF4140">
              <w:rPr>
                <w:rStyle w:val="Hyperlink"/>
                <w:rFonts w:hint="eastAsia"/>
                <w:rtl/>
              </w:rPr>
              <w:t>יצחק</w:t>
            </w:r>
            <w:r>
              <w:rPr>
                <w:webHidden/>
              </w:rPr>
              <w:tab/>
            </w:r>
            <w:r>
              <w:rPr>
                <w:webHidden/>
              </w:rPr>
              <w:fldChar w:fldCharType="begin"/>
            </w:r>
            <w:r>
              <w:rPr>
                <w:webHidden/>
              </w:rPr>
              <w:instrText xml:space="preserve"> PAGEREF _Toc39817441 \h </w:instrText>
            </w:r>
            <w:r>
              <w:rPr>
                <w:webHidden/>
              </w:rPr>
            </w:r>
            <w:r>
              <w:rPr>
                <w:webHidden/>
              </w:rPr>
              <w:fldChar w:fldCharType="separate"/>
            </w:r>
            <w:r>
              <w:rPr>
                <w:webHidden/>
              </w:rPr>
              <w:t>59</w:t>
            </w:r>
            <w:r>
              <w:rPr>
                <w:webHidden/>
              </w:rPr>
              <w:fldChar w:fldCharType="end"/>
            </w:r>
          </w:hyperlink>
        </w:p>
        <w:p w:rsidR="006660A0" w:rsidRDefault="006660A0" w:rsidP="006660A0">
          <w:pPr>
            <w:pStyle w:val="TOC3"/>
            <w:rPr>
              <w:rFonts w:asciiTheme="minorHAnsi" w:eastAsiaTheme="minorEastAsia" w:hAnsiTheme="minorHAnsi" w:cstheme="minorBidi"/>
              <w:sz w:val="22"/>
              <w:szCs w:val="22"/>
              <w:lang w:val="en-US"/>
            </w:rPr>
          </w:pPr>
          <w:hyperlink w:anchor="_Toc39817442" w:history="1">
            <w:r w:rsidRPr="00BF4140">
              <w:rPr>
                <w:rStyle w:val="Hyperlink"/>
                <w:rFonts w:hint="eastAsia"/>
                <w:rtl/>
              </w:rPr>
              <w:t>הרב</w:t>
            </w:r>
            <w:r w:rsidRPr="00BF4140">
              <w:rPr>
                <w:rStyle w:val="Hyperlink"/>
                <w:rtl/>
              </w:rPr>
              <w:t xml:space="preserve"> </w:t>
            </w:r>
            <w:r w:rsidRPr="00BF4140">
              <w:rPr>
                <w:rStyle w:val="Hyperlink"/>
                <w:rFonts w:hint="eastAsia"/>
                <w:rtl/>
              </w:rPr>
              <w:t>אפרים</w:t>
            </w:r>
            <w:r w:rsidRPr="00BF4140">
              <w:rPr>
                <w:rStyle w:val="Hyperlink"/>
                <w:rtl/>
              </w:rPr>
              <w:t xml:space="preserve"> </w:t>
            </w:r>
            <w:r w:rsidRPr="00BF4140">
              <w:rPr>
                <w:rStyle w:val="Hyperlink"/>
                <w:rFonts w:hint="eastAsia"/>
                <w:rtl/>
              </w:rPr>
              <w:t>פישל</w:t>
            </w:r>
            <w:r w:rsidRPr="00BF4140">
              <w:rPr>
                <w:rStyle w:val="Hyperlink"/>
                <w:rtl/>
              </w:rPr>
              <w:t xml:space="preserve"> </w:t>
            </w:r>
            <w:r w:rsidRPr="00BF4140">
              <w:rPr>
                <w:rStyle w:val="Hyperlink"/>
                <w:rFonts w:hint="eastAsia"/>
                <w:rtl/>
              </w:rPr>
              <w:t>אסטער</w:t>
            </w:r>
          </w:hyperlink>
        </w:p>
        <w:p w:rsidR="006660A0" w:rsidRDefault="006660A0" w:rsidP="006660A0">
          <w:pPr>
            <w:pStyle w:val="TOC2"/>
            <w:rPr>
              <w:rFonts w:asciiTheme="minorHAnsi" w:eastAsiaTheme="minorEastAsia" w:hAnsiTheme="minorHAnsi" w:cstheme="minorBidi"/>
            </w:rPr>
          </w:pPr>
          <w:hyperlink w:anchor="_Toc39817443" w:history="1">
            <w:r w:rsidRPr="00BF4140">
              <w:rPr>
                <w:rStyle w:val="Hyperlink"/>
                <w:rFonts w:eastAsia="Calibri" w:hint="eastAsia"/>
                <w:rtl/>
              </w:rPr>
              <w:t>מאמר</w:t>
            </w:r>
            <w:r w:rsidRPr="00BF4140">
              <w:rPr>
                <w:rStyle w:val="Hyperlink"/>
                <w:rFonts w:eastAsia="Calibri"/>
                <w:rtl/>
              </w:rPr>
              <w:t xml:space="preserve"> </w:t>
            </w:r>
            <w:r w:rsidRPr="00BF4140">
              <w:rPr>
                <w:rStyle w:val="Hyperlink"/>
                <w:rFonts w:eastAsia="Calibri" w:hint="eastAsia"/>
                <w:rtl/>
              </w:rPr>
              <w:t>ד</w:t>
            </w:r>
            <w:r w:rsidRPr="00BF4140">
              <w:rPr>
                <w:rStyle w:val="Hyperlink"/>
                <w:rFonts w:eastAsia="Calibri"/>
                <w:rtl/>
              </w:rPr>
              <w:t>"</w:t>
            </w:r>
            <w:r w:rsidRPr="00BF4140">
              <w:rPr>
                <w:rStyle w:val="Hyperlink"/>
                <w:rFonts w:eastAsia="Calibri" w:hint="eastAsia"/>
                <w:rtl/>
              </w:rPr>
              <w:t>ה</w:t>
            </w:r>
            <w:r w:rsidRPr="00BF4140">
              <w:rPr>
                <w:rStyle w:val="Hyperlink"/>
                <w:rFonts w:eastAsia="Calibri"/>
                <w:rtl/>
              </w:rPr>
              <w:t xml:space="preserve"> </w:t>
            </w:r>
            <w:r w:rsidRPr="00BF4140">
              <w:rPr>
                <w:rStyle w:val="Hyperlink"/>
                <w:rFonts w:eastAsia="Calibri" w:hint="eastAsia"/>
                <w:rtl/>
              </w:rPr>
              <w:t>א</w:t>
            </w:r>
            <w:r w:rsidRPr="00BF4140">
              <w:rPr>
                <w:rStyle w:val="Hyperlink"/>
                <w:rFonts w:eastAsia="Calibri"/>
                <w:rtl/>
              </w:rPr>
              <w:t>-</w:t>
            </w:r>
            <w:r w:rsidRPr="00BF4140">
              <w:rPr>
                <w:rStyle w:val="Hyperlink"/>
                <w:rFonts w:eastAsia="Calibri" w:hint="eastAsia"/>
                <w:rtl/>
              </w:rPr>
              <w:t>ל</w:t>
            </w:r>
            <w:r w:rsidRPr="00BF4140">
              <w:rPr>
                <w:rStyle w:val="Hyperlink"/>
                <w:rFonts w:eastAsia="Calibri"/>
                <w:rtl/>
              </w:rPr>
              <w:t xml:space="preserve"> </w:t>
            </w:r>
            <w:r w:rsidRPr="00BF4140">
              <w:rPr>
                <w:rStyle w:val="Hyperlink"/>
                <w:rFonts w:eastAsia="Calibri" w:hint="eastAsia"/>
                <w:rtl/>
              </w:rPr>
              <w:t>הוי</w:t>
            </w:r>
            <w:r w:rsidRPr="00BF4140">
              <w:rPr>
                <w:rStyle w:val="Hyperlink"/>
                <w:rFonts w:eastAsia="Calibri"/>
                <w:rtl/>
              </w:rPr>
              <w:t xml:space="preserve">' </w:t>
            </w:r>
            <w:r w:rsidRPr="00BF4140">
              <w:rPr>
                <w:rStyle w:val="Hyperlink"/>
                <w:rFonts w:eastAsia="Calibri" w:hint="eastAsia"/>
                <w:rtl/>
              </w:rPr>
              <w:t>ויאר</w:t>
            </w:r>
            <w:r w:rsidRPr="00BF4140">
              <w:rPr>
                <w:rStyle w:val="Hyperlink"/>
                <w:rFonts w:eastAsia="Calibri"/>
                <w:rtl/>
              </w:rPr>
              <w:t xml:space="preserve"> </w:t>
            </w:r>
            <w:r w:rsidRPr="00BF4140">
              <w:rPr>
                <w:rStyle w:val="Hyperlink"/>
                <w:rFonts w:eastAsia="Calibri" w:hint="eastAsia"/>
                <w:rtl/>
              </w:rPr>
              <w:t>לנו</w:t>
            </w:r>
            <w:r w:rsidRPr="00BF4140">
              <w:rPr>
                <w:rStyle w:val="Hyperlink"/>
                <w:rFonts w:eastAsia="Calibri"/>
                <w:rtl/>
              </w:rPr>
              <w:t xml:space="preserve"> </w:t>
            </w:r>
            <w:r w:rsidRPr="00BF4140">
              <w:rPr>
                <w:rStyle w:val="Hyperlink"/>
                <w:rFonts w:eastAsia="Calibri" w:hint="eastAsia"/>
                <w:rtl/>
              </w:rPr>
              <w:t>עזר</w:t>
            </w:r>
            <w:r w:rsidRPr="00BF4140">
              <w:rPr>
                <w:rStyle w:val="Hyperlink"/>
                <w:rFonts w:eastAsia="Calibri"/>
                <w:rtl/>
              </w:rPr>
              <w:t>"</w:t>
            </w:r>
            <w:r w:rsidRPr="00BF4140">
              <w:rPr>
                <w:rStyle w:val="Hyperlink"/>
                <w:rFonts w:eastAsia="Calibri" w:hint="eastAsia"/>
                <w:rtl/>
              </w:rPr>
              <w:t>ת</w:t>
            </w:r>
            <w:r>
              <w:rPr>
                <w:webHidden/>
              </w:rPr>
              <w:tab/>
            </w:r>
            <w:r>
              <w:rPr>
                <w:webHidden/>
              </w:rPr>
              <w:fldChar w:fldCharType="begin"/>
            </w:r>
            <w:r>
              <w:rPr>
                <w:webHidden/>
              </w:rPr>
              <w:instrText xml:space="preserve"> PAGEREF _Toc39817443 \h </w:instrText>
            </w:r>
            <w:r>
              <w:rPr>
                <w:webHidden/>
              </w:rPr>
            </w:r>
            <w:r>
              <w:rPr>
                <w:webHidden/>
              </w:rPr>
              <w:fldChar w:fldCharType="separate"/>
            </w:r>
            <w:r>
              <w:rPr>
                <w:webHidden/>
              </w:rPr>
              <w:t>64</w:t>
            </w:r>
            <w:r>
              <w:rPr>
                <w:webHidden/>
              </w:rPr>
              <w:fldChar w:fldCharType="end"/>
            </w:r>
          </w:hyperlink>
        </w:p>
        <w:p w:rsidR="006660A0" w:rsidRDefault="006660A0" w:rsidP="006660A0">
          <w:pPr>
            <w:pStyle w:val="TOC3"/>
            <w:rPr>
              <w:rFonts w:asciiTheme="minorHAnsi" w:eastAsiaTheme="minorEastAsia" w:hAnsiTheme="minorHAnsi" w:cstheme="minorBidi"/>
              <w:sz w:val="22"/>
              <w:szCs w:val="22"/>
              <w:lang w:val="en-US"/>
            </w:rPr>
          </w:pPr>
          <w:hyperlink w:anchor="_Toc39817444" w:history="1">
            <w:r w:rsidRPr="00BF4140">
              <w:rPr>
                <w:rStyle w:val="Hyperlink"/>
                <w:rFonts w:hint="eastAsia"/>
                <w:rtl/>
              </w:rPr>
              <w:t>הרב</w:t>
            </w:r>
            <w:r w:rsidRPr="00BF4140">
              <w:rPr>
                <w:rStyle w:val="Hyperlink"/>
                <w:rtl/>
              </w:rPr>
              <w:t xml:space="preserve"> </w:t>
            </w:r>
            <w:r w:rsidRPr="00BF4140">
              <w:rPr>
                <w:rStyle w:val="Hyperlink"/>
                <w:rFonts w:hint="eastAsia"/>
                <w:rtl/>
              </w:rPr>
              <w:t>מנחם</w:t>
            </w:r>
            <w:r w:rsidRPr="00BF4140">
              <w:rPr>
                <w:rStyle w:val="Hyperlink"/>
                <w:rtl/>
              </w:rPr>
              <w:t xml:space="preserve"> </w:t>
            </w:r>
            <w:r w:rsidRPr="00BF4140">
              <w:rPr>
                <w:rStyle w:val="Hyperlink"/>
                <w:rFonts w:hint="eastAsia"/>
                <w:rtl/>
              </w:rPr>
              <w:t>מענדל</w:t>
            </w:r>
            <w:r w:rsidRPr="00BF4140">
              <w:rPr>
                <w:rStyle w:val="Hyperlink"/>
                <w:rtl/>
              </w:rPr>
              <w:t xml:space="preserve"> </w:t>
            </w:r>
            <w:r w:rsidRPr="00BF4140">
              <w:rPr>
                <w:rStyle w:val="Hyperlink"/>
                <w:rFonts w:hint="eastAsia"/>
                <w:rtl/>
              </w:rPr>
              <w:t>רייצס</w:t>
            </w:r>
          </w:hyperlink>
        </w:p>
        <w:p w:rsidR="006660A0" w:rsidRDefault="006660A0" w:rsidP="006660A0">
          <w:pPr>
            <w:pStyle w:val="TOC2"/>
            <w:rPr>
              <w:rFonts w:asciiTheme="minorHAnsi" w:eastAsiaTheme="minorEastAsia" w:hAnsiTheme="minorHAnsi" w:cstheme="minorBidi"/>
            </w:rPr>
          </w:pPr>
          <w:hyperlink w:anchor="_Toc39817445" w:history="1">
            <w:r w:rsidRPr="00BF4140">
              <w:rPr>
                <w:rStyle w:val="Hyperlink"/>
                <w:rFonts w:hint="eastAsia"/>
                <w:rtl/>
              </w:rPr>
              <w:t>ב</w:t>
            </w:r>
            <w:r w:rsidRPr="00BF4140">
              <w:rPr>
                <w:rStyle w:val="Hyperlink"/>
                <w:rtl/>
              </w:rPr>
              <w:t xml:space="preserve">' </w:t>
            </w:r>
            <w:r w:rsidRPr="00BF4140">
              <w:rPr>
                <w:rStyle w:val="Hyperlink"/>
                <w:rFonts w:hint="eastAsia"/>
                <w:rtl/>
              </w:rPr>
              <w:t>הביאורים</w:t>
            </w:r>
            <w:r w:rsidRPr="00BF4140">
              <w:rPr>
                <w:rStyle w:val="Hyperlink"/>
                <w:rtl/>
              </w:rPr>
              <w:t xml:space="preserve"> </w:t>
            </w:r>
            <w:r w:rsidRPr="00BF4140">
              <w:rPr>
                <w:rStyle w:val="Hyperlink"/>
                <w:rFonts w:hint="eastAsia"/>
                <w:rtl/>
              </w:rPr>
              <w:t>בטעם</w:t>
            </w:r>
            <w:r w:rsidRPr="00BF4140">
              <w:rPr>
                <w:rStyle w:val="Hyperlink"/>
                <w:rtl/>
              </w:rPr>
              <w:t xml:space="preserve"> '</w:t>
            </w:r>
            <w:r w:rsidRPr="00BF4140">
              <w:rPr>
                <w:rStyle w:val="Hyperlink"/>
                <w:rFonts w:hint="eastAsia"/>
                <w:rtl/>
              </w:rPr>
              <w:t>אני</w:t>
            </w:r>
            <w:r w:rsidRPr="00BF4140">
              <w:rPr>
                <w:rStyle w:val="Hyperlink"/>
                <w:rtl/>
              </w:rPr>
              <w:t xml:space="preserve"> </w:t>
            </w:r>
            <w:r w:rsidRPr="00BF4140">
              <w:rPr>
                <w:rStyle w:val="Hyperlink"/>
                <w:rFonts w:hint="eastAsia"/>
                <w:rtl/>
              </w:rPr>
              <w:t>ולא</w:t>
            </w:r>
            <w:r w:rsidRPr="00BF4140">
              <w:rPr>
                <w:rStyle w:val="Hyperlink"/>
                <w:rtl/>
              </w:rPr>
              <w:t xml:space="preserve"> </w:t>
            </w:r>
            <w:r w:rsidRPr="00BF4140">
              <w:rPr>
                <w:rStyle w:val="Hyperlink"/>
                <w:rFonts w:hint="eastAsia"/>
                <w:rtl/>
              </w:rPr>
              <w:t>מלאך</w:t>
            </w:r>
            <w:r w:rsidRPr="00BF4140">
              <w:rPr>
                <w:rStyle w:val="Hyperlink"/>
                <w:rtl/>
              </w:rPr>
              <w:t xml:space="preserve">' </w:t>
            </w:r>
            <w:r w:rsidRPr="00BF4140">
              <w:rPr>
                <w:rStyle w:val="Hyperlink"/>
                <w:rFonts w:hint="eastAsia"/>
                <w:rtl/>
              </w:rPr>
              <w:t>בתורת</w:t>
            </w:r>
            <w:r w:rsidRPr="00BF4140">
              <w:rPr>
                <w:rStyle w:val="Hyperlink"/>
                <w:rtl/>
              </w:rPr>
              <w:t xml:space="preserve"> </w:t>
            </w:r>
            <w:r w:rsidRPr="00BF4140">
              <w:rPr>
                <w:rStyle w:val="Hyperlink"/>
                <w:rFonts w:hint="eastAsia"/>
                <w:rtl/>
              </w:rPr>
              <w:t>רבותינו</w:t>
            </w:r>
            <w:r w:rsidRPr="00BF4140">
              <w:rPr>
                <w:rStyle w:val="Hyperlink"/>
                <w:rtl/>
              </w:rPr>
              <w:t xml:space="preserve"> </w:t>
            </w:r>
            <w:r w:rsidRPr="00BF4140">
              <w:rPr>
                <w:rStyle w:val="Hyperlink"/>
                <w:rFonts w:hint="eastAsia"/>
                <w:rtl/>
              </w:rPr>
              <w:t>נשיאינו</w:t>
            </w:r>
            <w:r>
              <w:rPr>
                <w:webHidden/>
              </w:rPr>
              <w:tab/>
            </w:r>
            <w:r>
              <w:rPr>
                <w:webHidden/>
              </w:rPr>
              <w:fldChar w:fldCharType="begin"/>
            </w:r>
            <w:r>
              <w:rPr>
                <w:webHidden/>
              </w:rPr>
              <w:instrText xml:space="preserve"> PAGEREF _Toc39817445 \h </w:instrText>
            </w:r>
            <w:r>
              <w:rPr>
                <w:webHidden/>
              </w:rPr>
            </w:r>
            <w:r>
              <w:rPr>
                <w:webHidden/>
              </w:rPr>
              <w:fldChar w:fldCharType="separate"/>
            </w:r>
            <w:r>
              <w:rPr>
                <w:webHidden/>
              </w:rPr>
              <w:t>65</w:t>
            </w:r>
            <w:r>
              <w:rPr>
                <w:webHidden/>
              </w:rPr>
              <w:fldChar w:fldCharType="end"/>
            </w:r>
          </w:hyperlink>
        </w:p>
        <w:p w:rsidR="006660A0" w:rsidRDefault="006660A0" w:rsidP="006660A0">
          <w:pPr>
            <w:pStyle w:val="TOC3"/>
            <w:rPr>
              <w:rFonts w:asciiTheme="minorHAnsi" w:eastAsiaTheme="minorEastAsia" w:hAnsiTheme="minorHAnsi" w:cstheme="minorBidi"/>
              <w:sz w:val="22"/>
              <w:szCs w:val="22"/>
              <w:lang w:val="en-US"/>
            </w:rPr>
          </w:pPr>
          <w:hyperlink w:anchor="_Toc39817446" w:history="1">
            <w:r w:rsidRPr="00BF4140">
              <w:rPr>
                <w:rStyle w:val="Hyperlink"/>
                <w:rFonts w:hint="eastAsia"/>
                <w:rtl/>
              </w:rPr>
              <w:t>הרב</w:t>
            </w:r>
            <w:r w:rsidRPr="00BF4140">
              <w:rPr>
                <w:rStyle w:val="Hyperlink"/>
                <w:rtl/>
              </w:rPr>
              <w:t xml:space="preserve"> </w:t>
            </w:r>
            <w:r w:rsidRPr="00BF4140">
              <w:rPr>
                <w:rStyle w:val="Hyperlink"/>
                <w:rFonts w:hint="eastAsia"/>
                <w:rtl/>
              </w:rPr>
              <w:t>שניאור</w:t>
            </w:r>
            <w:r w:rsidRPr="00BF4140">
              <w:rPr>
                <w:rStyle w:val="Hyperlink"/>
                <w:rtl/>
              </w:rPr>
              <w:t xml:space="preserve"> </w:t>
            </w:r>
            <w:r w:rsidRPr="00BF4140">
              <w:rPr>
                <w:rStyle w:val="Hyperlink"/>
                <w:rFonts w:hint="eastAsia"/>
                <w:rtl/>
              </w:rPr>
              <w:t>זלמן</w:t>
            </w:r>
            <w:r w:rsidRPr="00BF4140">
              <w:rPr>
                <w:rStyle w:val="Hyperlink"/>
                <w:rtl/>
              </w:rPr>
              <w:t xml:space="preserve"> </w:t>
            </w:r>
            <w:r w:rsidRPr="00BF4140">
              <w:rPr>
                <w:rStyle w:val="Hyperlink"/>
                <w:rFonts w:hint="eastAsia"/>
                <w:rtl/>
              </w:rPr>
              <w:t>בריכטא</w:t>
            </w:r>
          </w:hyperlink>
        </w:p>
        <w:p w:rsidR="006660A0" w:rsidRDefault="006660A0" w:rsidP="006660A0">
          <w:pPr>
            <w:pStyle w:val="TOC2"/>
            <w:rPr>
              <w:rFonts w:asciiTheme="minorHAnsi" w:eastAsiaTheme="minorEastAsia" w:hAnsiTheme="minorHAnsi" w:cstheme="minorBidi"/>
            </w:rPr>
          </w:pPr>
          <w:hyperlink w:anchor="_Toc39817447" w:history="1">
            <w:r w:rsidRPr="00BF4140">
              <w:rPr>
                <w:rStyle w:val="Hyperlink"/>
                <w:rFonts w:hint="eastAsia"/>
                <w:rtl/>
              </w:rPr>
              <w:t>תניא</w:t>
            </w:r>
            <w:r w:rsidRPr="00BF4140">
              <w:rPr>
                <w:rStyle w:val="Hyperlink"/>
                <w:rtl/>
              </w:rPr>
              <w:t xml:space="preserve"> </w:t>
            </w:r>
            <w:r w:rsidRPr="00BF4140">
              <w:rPr>
                <w:rStyle w:val="Hyperlink"/>
                <w:rFonts w:hint="eastAsia"/>
                <w:rtl/>
              </w:rPr>
              <w:t>פרק</w:t>
            </w:r>
            <w:r w:rsidRPr="00BF4140">
              <w:rPr>
                <w:rStyle w:val="Hyperlink"/>
                <w:rtl/>
              </w:rPr>
              <w:t xml:space="preserve"> </w:t>
            </w:r>
            <w:r w:rsidRPr="00BF4140">
              <w:rPr>
                <w:rStyle w:val="Hyperlink"/>
                <w:rFonts w:hint="eastAsia"/>
                <w:rtl/>
              </w:rPr>
              <w:t>כ</w:t>
            </w:r>
            <w:r w:rsidRPr="00BF4140">
              <w:rPr>
                <w:rStyle w:val="Hyperlink"/>
                <w:rtl/>
              </w:rPr>
              <w:t>"</w:t>
            </w:r>
            <w:r w:rsidRPr="00BF4140">
              <w:rPr>
                <w:rStyle w:val="Hyperlink"/>
                <w:rFonts w:hint="eastAsia"/>
                <w:rtl/>
              </w:rPr>
              <w:t>ב</w:t>
            </w:r>
            <w:r>
              <w:rPr>
                <w:webHidden/>
              </w:rPr>
              <w:tab/>
            </w:r>
            <w:r>
              <w:rPr>
                <w:webHidden/>
              </w:rPr>
              <w:fldChar w:fldCharType="begin"/>
            </w:r>
            <w:r>
              <w:rPr>
                <w:webHidden/>
              </w:rPr>
              <w:instrText xml:space="preserve"> PAGEREF _Toc39817447 \h </w:instrText>
            </w:r>
            <w:r>
              <w:rPr>
                <w:webHidden/>
              </w:rPr>
            </w:r>
            <w:r>
              <w:rPr>
                <w:webHidden/>
              </w:rPr>
              <w:fldChar w:fldCharType="separate"/>
            </w:r>
            <w:r>
              <w:rPr>
                <w:webHidden/>
              </w:rPr>
              <w:t>69</w:t>
            </w:r>
            <w:r>
              <w:rPr>
                <w:webHidden/>
              </w:rPr>
              <w:fldChar w:fldCharType="end"/>
            </w:r>
          </w:hyperlink>
        </w:p>
        <w:p w:rsidR="006660A0" w:rsidRDefault="006660A0" w:rsidP="006660A0">
          <w:pPr>
            <w:pStyle w:val="TOC3"/>
            <w:rPr>
              <w:rStyle w:val="Hyperlink"/>
            </w:rPr>
          </w:pPr>
          <w:hyperlink w:anchor="_Toc39817448" w:history="1">
            <w:r w:rsidRPr="00BF4140">
              <w:rPr>
                <w:rStyle w:val="Hyperlink"/>
                <w:rFonts w:hint="eastAsia"/>
                <w:rtl/>
              </w:rPr>
              <w:t>הרב</w:t>
            </w:r>
            <w:r w:rsidRPr="00BF4140">
              <w:rPr>
                <w:rStyle w:val="Hyperlink"/>
                <w:rtl/>
              </w:rPr>
              <w:t xml:space="preserve"> </w:t>
            </w:r>
            <w:r w:rsidRPr="00BF4140">
              <w:rPr>
                <w:rStyle w:val="Hyperlink"/>
                <w:rFonts w:hint="eastAsia"/>
                <w:rtl/>
              </w:rPr>
              <w:t>ישראל</w:t>
            </w:r>
            <w:r w:rsidRPr="00BF4140">
              <w:rPr>
                <w:rStyle w:val="Hyperlink"/>
                <w:rtl/>
              </w:rPr>
              <w:t xml:space="preserve"> </w:t>
            </w:r>
            <w:r w:rsidRPr="00BF4140">
              <w:rPr>
                <w:rStyle w:val="Hyperlink"/>
                <w:rFonts w:hint="eastAsia"/>
                <w:rtl/>
              </w:rPr>
              <w:t>ארי</w:t>
            </w:r>
            <w:r w:rsidRPr="00BF4140">
              <w:rPr>
                <w:rStyle w:val="Hyperlink"/>
                <w:rtl/>
              </w:rPr>
              <w:t xml:space="preserve">' </w:t>
            </w:r>
            <w:r w:rsidRPr="00BF4140">
              <w:rPr>
                <w:rStyle w:val="Hyperlink"/>
                <w:rFonts w:hint="eastAsia"/>
                <w:rtl/>
              </w:rPr>
              <w:t>לייב</w:t>
            </w:r>
            <w:r w:rsidRPr="00BF4140">
              <w:rPr>
                <w:rStyle w:val="Hyperlink"/>
                <w:rtl/>
              </w:rPr>
              <w:t xml:space="preserve"> </w:t>
            </w:r>
            <w:r w:rsidRPr="00BF4140">
              <w:rPr>
                <w:rStyle w:val="Hyperlink"/>
                <w:rFonts w:hint="eastAsia"/>
                <w:rtl/>
              </w:rPr>
              <w:t>הכהן</w:t>
            </w:r>
            <w:r w:rsidRPr="00BF4140">
              <w:rPr>
                <w:rStyle w:val="Hyperlink"/>
                <w:rtl/>
              </w:rPr>
              <w:t xml:space="preserve"> </w:t>
            </w:r>
            <w:r w:rsidRPr="00BF4140">
              <w:rPr>
                <w:rStyle w:val="Hyperlink"/>
                <w:rFonts w:hint="eastAsia"/>
                <w:rtl/>
              </w:rPr>
              <w:t>כץ</w:t>
            </w:r>
          </w:hyperlink>
        </w:p>
        <w:p w:rsidR="006660A0" w:rsidRDefault="006660A0" w:rsidP="006660A0">
          <w:pPr>
            <w:bidi/>
            <w:rPr>
              <w:lang w:val="en-GB"/>
            </w:rPr>
          </w:pPr>
        </w:p>
        <w:p w:rsidR="006660A0" w:rsidRDefault="006660A0" w:rsidP="006660A0">
          <w:pPr>
            <w:bidi/>
            <w:rPr>
              <w:lang w:val="en-GB"/>
            </w:rPr>
          </w:pPr>
        </w:p>
        <w:p w:rsidR="006660A0" w:rsidRPr="006660A0" w:rsidRDefault="006660A0" w:rsidP="006660A0">
          <w:pPr>
            <w:bidi/>
            <w:rPr>
              <w:lang w:val="en-GB"/>
            </w:rPr>
          </w:pPr>
        </w:p>
        <w:p w:rsidR="006660A0" w:rsidRDefault="006660A0" w:rsidP="006660A0">
          <w:pPr>
            <w:pStyle w:val="TOC1"/>
            <w:rPr>
              <w:rFonts w:asciiTheme="minorHAnsi" w:eastAsiaTheme="minorEastAsia" w:hAnsiTheme="minorHAnsi" w:cstheme="minorBidi"/>
              <w:sz w:val="22"/>
              <w:szCs w:val="22"/>
            </w:rPr>
          </w:pPr>
          <w:hyperlink w:anchor="_Toc39817449" w:history="1">
            <w:r w:rsidRPr="00BF4140">
              <w:rPr>
                <w:rStyle w:val="Hyperlink"/>
                <w:rFonts w:hint="eastAsia"/>
                <w:rtl/>
              </w:rPr>
              <w:t>הלכה</w:t>
            </w:r>
            <w:r w:rsidRPr="00BF4140">
              <w:rPr>
                <w:rStyle w:val="Hyperlink"/>
                <w:rtl/>
              </w:rPr>
              <w:t xml:space="preserve"> </w:t>
            </w:r>
            <w:r w:rsidRPr="00BF4140">
              <w:rPr>
                <w:rStyle w:val="Hyperlink"/>
                <w:rFonts w:hint="eastAsia"/>
                <w:rtl/>
              </w:rPr>
              <w:t>ומנהג</w:t>
            </w:r>
          </w:hyperlink>
        </w:p>
        <w:p w:rsidR="006660A0" w:rsidRDefault="006660A0" w:rsidP="006660A0">
          <w:pPr>
            <w:pStyle w:val="TOC2"/>
            <w:rPr>
              <w:rFonts w:asciiTheme="minorHAnsi" w:eastAsiaTheme="minorEastAsia" w:hAnsiTheme="minorHAnsi" w:cstheme="minorBidi"/>
            </w:rPr>
          </w:pPr>
          <w:hyperlink w:anchor="_Toc39817450" w:history="1">
            <w:r w:rsidRPr="00BF4140">
              <w:rPr>
                <w:rStyle w:val="Hyperlink"/>
                <w:rFonts w:hint="eastAsia"/>
                <w:rtl/>
              </w:rPr>
              <w:t>בענין</w:t>
            </w:r>
            <w:r w:rsidRPr="00BF4140">
              <w:rPr>
                <w:rStyle w:val="Hyperlink"/>
                <w:rtl/>
              </w:rPr>
              <w:t xml:space="preserve"> </w:t>
            </w:r>
            <w:r w:rsidRPr="00BF4140">
              <w:rPr>
                <w:rStyle w:val="Hyperlink"/>
                <w:rFonts w:hint="eastAsia"/>
                <w:rtl/>
              </w:rPr>
              <w:t>הזכרת</w:t>
            </w:r>
            <w:r w:rsidRPr="00BF4140">
              <w:rPr>
                <w:rStyle w:val="Hyperlink"/>
                <w:rtl/>
              </w:rPr>
              <w:t xml:space="preserve"> </w:t>
            </w:r>
            <w:r w:rsidRPr="00BF4140">
              <w:rPr>
                <w:rStyle w:val="Hyperlink"/>
                <w:rFonts w:hint="eastAsia"/>
                <w:rtl/>
              </w:rPr>
              <w:t>נשמות</w:t>
            </w:r>
            <w:r w:rsidRPr="00BF4140">
              <w:rPr>
                <w:rStyle w:val="Hyperlink"/>
                <w:rtl/>
              </w:rPr>
              <w:t xml:space="preserve"> </w:t>
            </w:r>
            <w:r w:rsidRPr="00BF4140">
              <w:rPr>
                <w:rStyle w:val="Hyperlink"/>
                <w:rFonts w:hint="eastAsia"/>
                <w:rtl/>
              </w:rPr>
              <w:t>במוצאי</w:t>
            </w:r>
            <w:r w:rsidRPr="00BF4140">
              <w:rPr>
                <w:rStyle w:val="Hyperlink"/>
                <w:rtl/>
              </w:rPr>
              <w:t xml:space="preserve"> </w:t>
            </w:r>
            <w:r w:rsidRPr="00BF4140">
              <w:rPr>
                <w:rStyle w:val="Hyperlink"/>
                <w:rFonts w:hint="eastAsia"/>
                <w:rtl/>
              </w:rPr>
              <w:t>יו</w:t>
            </w:r>
            <w:r w:rsidRPr="00BF4140">
              <w:rPr>
                <w:rStyle w:val="Hyperlink"/>
                <w:rtl/>
              </w:rPr>
              <w:t>"</w:t>
            </w:r>
            <w:r w:rsidRPr="00BF4140">
              <w:rPr>
                <w:rStyle w:val="Hyperlink"/>
                <w:rFonts w:hint="eastAsia"/>
                <w:rtl/>
              </w:rPr>
              <w:t>ט</w:t>
            </w:r>
            <w:r w:rsidRPr="00BF4140">
              <w:rPr>
                <w:rStyle w:val="Hyperlink"/>
                <w:rtl/>
              </w:rPr>
              <w:t xml:space="preserve"> </w:t>
            </w:r>
            <w:r w:rsidRPr="00BF4140">
              <w:rPr>
                <w:rStyle w:val="Hyperlink"/>
                <w:rFonts w:hint="eastAsia"/>
                <w:rtl/>
              </w:rPr>
              <w:t>האחרון</w:t>
            </w:r>
            <w:r w:rsidRPr="00BF4140">
              <w:rPr>
                <w:rStyle w:val="Hyperlink"/>
                <w:rtl/>
              </w:rPr>
              <w:t xml:space="preserve"> </w:t>
            </w:r>
            <w:r w:rsidRPr="00BF4140">
              <w:rPr>
                <w:rStyle w:val="Hyperlink"/>
                <w:rFonts w:hint="eastAsia"/>
                <w:rtl/>
              </w:rPr>
              <w:t>של</w:t>
            </w:r>
            <w:r w:rsidRPr="00BF4140">
              <w:rPr>
                <w:rStyle w:val="Hyperlink"/>
                <w:rtl/>
              </w:rPr>
              <w:t xml:space="preserve"> </w:t>
            </w:r>
            <w:r w:rsidRPr="00BF4140">
              <w:rPr>
                <w:rStyle w:val="Hyperlink"/>
                <w:rFonts w:hint="eastAsia"/>
                <w:rtl/>
              </w:rPr>
              <w:t>פסח</w:t>
            </w:r>
            <w:r>
              <w:rPr>
                <w:webHidden/>
              </w:rPr>
              <w:tab/>
            </w:r>
            <w:r>
              <w:rPr>
                <w:webHidden/>
              </w:rPr>
              <w:fldChar w:fldCharType="begin"/>
            </w:r>
            <w:r>
              <w:rPr>
                <w:webHidden/>
              </w:rPr>
              <w:instrText xml:space="preserve"> PAGEREF _Toc39817450 \h </w:instrText>
            </w:r>
            <w:r>
              <w:rPr>
                <w:webHidden/>
              </w:rPr>
            </w:r>
            <w:r>
              <w:rPr>
                <w:webHidden/>
              </w:rPr>
              <w:fldChar w:fldCharType="separate"/>
            </w:r>
            <w:r>
              <w:rPr>
                <w:webHidden/>
              </w:rPr>
              <w:t>81</w:t>
            </w:r>
            <w:r>
              <w:rPr>
                <w:webHidden/>
              </w:rPr>
              <w:fldChar w:fldCharType="end"/>
            </w:r>
          </w:hyperlink>
        </w:p>
        <w:p w:rsidR="006660A0" w:rsidRDefault="006660A0" w:rsidP="006660A0">
          <w:pPr>
            <w:pStyle w:val="TOC3"/>
            <w:rPr>
              <w:rFonts w:asciiTheme="minorHAnsi" w:eastAsiaTheme="minorEastAsia" w:hAnsiTheme="minorHAnsi" w:cstheme="minorBidi"/>
              <w:sz w:val="22"/>
              <w:szCs w:val="22"/>
              <w:lang w:val="en-US"/>
            </w:rPr>
          </w:pPr>
          <w:hyperlink w:anchor="_Toc39817451" w:history="1">
            <w:r w:rsidRPr="00BF4140">
              <w:rPr>
                <w:rStyle w:val="Hyperlink"/>
                <w:rFonts w:hint="eastAsia"/>
                <w:rtl/>
              </w:rPr>
              <w:t>הרב</w:t>
            </w:r>
            <w:r w:rsidRPr="00BF4140">
              <w:rPr>
                <w:rStyle w:val="Hyperlink"/>
                <w:rtl/>
              </w:rPr>
              <w:t xml:space="preserve"> </w:t>
            </w:r>
            <w:r w:rsidRPr="00BF4140">
              <w:rPr>
                <w:rStyle w:val="Hyperlink"/>
                <w:rFonts w:hint="eastAsia"/>
                <w:rtl/>
              </w:rPr>
              <w:t>ברוך</w:t>
            </w:r>
            <w:r w:rsidRPr="00BF4140">
              <w:rPr>
                <w:rStyle w:val="Hyperlink"/>
                <w:rtl/>
              </w:rPr>
              <w:t xml:space="preserve"> </w:t>
            </w:r>
            <w:r w:rsidRPr="00BF4140">
              <w:rPr>
                <w:rStyle w:val="Hyperlink"/>
                <w:rFonts w:hint="eastAsia"/>
                <w:rtl/>
              </w:rPr>
              <w:t>אבערלאנדער</w:t>
            </w:r>
          </w:hyperlink>
        </w:p>
        <w:p w:rsidR="006660A0" w:rsidRDefault="006660A0" w:rsidP="006660A0">
          <w:pPr>
            <w:pStyle w:val="TOC2"/>
            <w:rPr>
              <w:rFonts w:asciiTheme="minorHAnsi" w:eastAsiaTheme="minorEastAsia" w:hAnsiTheme="minorHAnsi" w:cstheme="minorBidi"/>
            </w:rPr>
          </w:pPr>
          <w:hyperlink w:anchor="_Toc39817452" w:history="1">
            <w:r w:rsidRPr="00BF4140">
              <w:rPr>
                <w:rStyle w:val="Hyperlink"/>
                <w:rFonts w:hint="eastAsia"/>
                <w:rtl/>
              </w:rPr>
              <w:t>בענין</w:t>
            </w:r>
            <w:r w:rsidRPr="00BF4140">
              <w:rPr>
                <w:rStyle w:val="Hyperlink"/>
                <w:rtl/>
              </w:rPr>
              <w:t xml:space="preserve"> </w:t>
            </w:r>
            <w:r w:rsidRPr="00BF4140">
              <w:rPr>
                <w:rStyle w:val="Hyperlink"/>
                <w:rFonts w:hint="eastAsia"/>
                <w:rtl/>
              </w:rPr>
              <w:t>ברכת</w:t>
            </w:r>
            <w:r w:rsidRPr="00BF4140">
              <w:rPr>
                <w:rStyle w:val="Hyperlink"/>
                <w:rtl/>
              </w:rPr>
              <w:t xml:space="preserve"> </w:t>
            </w:r>
            <w:r w:rsidRPr="00BF4140">
              <w:rPr>
                <w:rStyle w:val="Hyperlink"/>
                <w:rFonts w:hint="eastAsia"/>
                <w:rtl/>
              </w:rPr>
              <w:t>האילנות</w:t>
            </w:r>
            <w:r w:rsidRPr="00BF4140">
              <w:rPr>
                <w:rStyle w:val="Hyperlink"/>
                <w:rtl/>
              </w:rPr>
              <w:t xml:space="preserve"> </w:t>
            </w:r>
            <w:r w:rsidRPr="00BF4140">
              <w:rPr>
                <w:rStyle w:val="Hyperlink"/>
                <w:rFonts w:hint="eastAsia"/>
                <w:rtl/>
              </w:rPr>
              <w:t>על</w:t>
            </w:r>
            <w:r w:rsidRPr="00BF4140">
              <w:rPr>
                <w:rStyle w:val="Hyperlink"/>
                <w:rtl/>
              </w:rPr>
              <w:t xml:space="preserve"> </w:t>
            </w:r>
            <w:r w:rsidRPr="00BF4140">
              <w:rPr>
                <w:rStyle w:val="Hyperlink"/>
                <w:rFonts w:hint="eastAsia"/>
                <w:rtl/>
              </w:rPr>
              <w:t>אילני</w:t>
            </w:r>
            <w:r w:rsidRPr="00BF4140">
              <w:rPr>
                <w:rStyle w:val="Hyperlink"/>
                <w:rtl/>
              </w:rPr>
              <w:t xml:space="preserve"> </w:t>
            </w:r>
            <w:r w:rsidRPr="00BF4140">
              <w:rPr>
                <w:rStyle w:val="Hyperlink"/>
                <w:rFonts w:hint="eastAsia"/>
                <w:rtl/>
              </w:rPr>
              <w:t>פירות</w:t>
            </w:r>
            <w:r w:rsidRPr="00BF4140">
              <w:rPr>
                <w:rStyle w:val="Hyperlink"/>
                <w:rtl/>
              </w:rPr>
              <w:t xml:space="preserve"> </w:t>
            </w:r>
            <w:r w:rsidRPr="00BF4140">
              <w:rPr>
                <w:rStyle w:val="Hyperlink"/>
                <w:rFonts w:hint="eastAsia"/>
                <w:rtl/>
              </w:rPr>
              <w:t>בעציץ</w:t>
            </w:r>
            <w:r w:rsidRPr="00BF4140">
              <w:rPr>
                <w:rStyle w:val="Hyperlink"/>
                <w:rtl/>
              </w:rPr>
              <w:t xml:space="preserve"> </w:t>
            </w:r>
            <w:r w:rsidRPr="00BF4140">
              <w:rPr>
                <w:rStyle w:val="Hyperlink"/>
                <w:rFonts w:hint="eastAsia"/>
                <w:rtl/>
              </w:rPr>
              <w:t>נקוב</w:t>
            </w:r>
            <w:r w:rsidRPr="00BF4140">
              <w:rPr>
                <w:rStyle w:val="Hyperlink"/>
                <w:rtl/>
              </w:rPr>
              <w:t xml:space="preserve"> </w:t>
            </w:r>
            <w:r w:rsidRPr="00BF4140">
              <w:rPr>
                <w:rStyle w:val="Hyperlink"/>
                <w:rFonts w:hint="eastAsia"/>
                <w:rtl/>
              </w:rPr>
              <w:t>ברחוב</w:t>
            </w:r>
            <w:r w:rsidRPr="00BF4140">
              <w:rPr>
                <w:rStyle w:val="Hyperlink"/>
                <w:rtl/>
              </w:rPr>
              <w:t xml:space="preserve"> </w:t>
            </w:r>
            <w:r w:rsidRPr="00BF4140">
              <w:rPr>
                <w:rStyle w:val="Hyperlink"/>
                <w:rFonts w:hint="eastAsia"/>
                <w:rtl/>
              </w:rPr>
              <w:t>העיר</w:t>
            </w:r>
            <w:r>
              <w:rPr>
                <w:webHidden/>
              </w:rPr>
              <w:tab/>
            </w:r>
            <w:r>
              <w:rPr>
                <w:webHidden/>
              </w:rPr>
              <w:fldChar w:fldCharType="begin"/>
            </w:r>
            <w:r>
              <w:rPr>
                <w:webHidden/>
              </w:rPr>
              <w:instrText xml:space="preserve"> PAGEREF _Toc39817452 \h </w:instrText>
            </w:r>
            <w:r>
              <w:rPr>
                <w:webHidden/>
              </w:rPr>
            </w:r>
            <w:r>
              <w:rPr>
                <w:webHidden/>
              </w:rPr>
              <w:fldChar w:fldCharType="separate"/>
            </w:r>
            <w:r>
              <w:rPr>
                <w:webHidden/>
              </w:rPr>
              <w:t>84</w:t>
            </w:r>
            <w:r>
              <w:rPr>
                <w:webHidden/>
              </w:rPr>
              <w:fldChar w:fldCharType="end"/>
            </w:r>
          </w:hyperlink>
        </w:p>
        <w:p w:rsidR="006660A0" w:rsidRDefault="006660A0" w:rsidP="006660A0">
          <w:pPr>
            <w:pStyle w:val="TOC3"/>
            <w:rPr>
              <w:rFonts w:asciiTheme="minorHAnsi" w:eastAsiaTheme="minorEastAsia" w:hAnsiTheme="minorHAnsi" w:cstheme="minorBidi"/>
              <w:sz w:val="22"/>
              <w:szCs w:val="22"/>
              <w:lang w:val="en-US"/>
            </w:rPr>
          </w:pPr>
          <w:hyperlink w:anchor="_Toc39817453" w:history="1">
            <w:r w:rsidRPr="00BF4140">
              <w:rPr>
                <w:rStyle w:val="Hyperlink"/>
                <w:rFonts w:hint="eastAsia"/>
                <w:rtl/>
              </w:rPr>
              <w:t>הרב</w:t>
            </w:r>
            <w:r w:rsidRPr="00BF4140">
              <w:rPr>
                <w:rStyle w:val="Hyperlink"/>
                <w:rtl/>
              </w:rPr>
              <w:t xml:space="preserve"> </w:t>
            </w:r>
            <w:r w:rsidRPr="00BF4140">
              <w:rPr>
                <w:rStyle w:val="Hyperlink"/>
                <w:rFonts w:hint="eastAsia"/>
                <w:rtl/>
              </w:rPr>
              <w:t>גדלי</w:t>
            </w:r>
            <w:r w:rsidRPr="00BF4140">
              <w:rPr>
                <w:rStyle w:val="Hyperlink"/>
                <w:rtl/>
              </w:rPr>
              <w:t xml:space="preserve">' </w:t>
            </w:r>
            <w:r w:rsidRPr="00BF4140">
              <w:rPr>
                <w:rStyle w:val="Hyperlink"/>
                <w:rFonts w:hint="eastAsia"/>
                <w:rtl/>
              </w:rPr>
              <w:t>אבערלאנדער</w:t>
            </w:r>
          </w:hyperlink>
        </w:p>
        <w:p w:rsidR="006660A0" w:rsidRDefault="006660A0" w:rsidP="006660A0">
          <w:pPr>
            <w:pStyle w:val="TOC2"/>
            <w:rPr>
              <w:rFonts w:asciiTheme="minorHAnsi" w:eastAsiaTheme="minorEastAsia" w:hAnsiTheme="minorHAnsi" w:cstheme="minorBidi"/>
            </w:rPr>
          </w:pPr>
          <w:hyperlink w:anchor="_Toc39817454" w:history="1">
            <w:r w:rsidRPr="00BF4140">
              <w:rPr>
                <w:rStyle w:val="Hyperlink"/>
                <w:rFonts w:hint="eastAsia"/>
                <w:rtl/>
              </w:rPr>
              <w:t>מזוזה</w:t>
            </w:r>
            <w:r w:rsidRPr="00BF4140">
              <w:rPr>
                <w:rStyle w:val="Hyperlink"/>
                <w:rtl/>
              </w:rPr>
              <w:t xml:space="preserve"> </w:t>
            </w:r>
            <w:r w:rsidRPr="00BF4140">
              <w:rPr>
                <w:rStyle w:val="Hyperlink"/>
                <w:rFonts w:hint="eastAsia"/>
                <w:rtl/>
              </w:rPr>
              <w:t>בבית</w:t>
            </w:r>
            <w:r w:rsidRPr="00BF4140">
              <w:rPr>
                <w:rStyle w:val="Hyperlink"/>
                <w:rtl/>
              </w:rPr>
              <w:t xml:space="preserve"> </w:t>
            </w:r>
            <w:r w:rsidRPr="00BF4140">
              <w:rPr>
                <w:rStyle w:val="Hyperlink"/>
                <w:rFonts w:hint="eastAsia"/>
                <w:rtl/>
              </w:rPr>
              <w:t>שאדם</w:t>
            </w:r>
            <w:r w:rsidRPr="00BF4140">
              <w:rPr>
                <w:rStyle w:val="Hyperlink"/>
                <w:rtl/>
              </w:rPr>
              <w:t xml:space="preserve"> </w:t>
            </w:r>
            <w:r w:rsidRPr="00BF4140">
              <w:rPr>
                <w:rStyle w:val="Hyperlink"/>
                <w:rFonts w:hint="eastAsia"/>
                <w:rtl/>
              </w:rPr>
              <w:t>שוהה</w:t>
            </w:r>
            <w:r w:rsidRPr="00BF4140">
              <w:rPr>
                <w:rStyle w:val="Hyperlink"/>
                <w:rtl/>
              </w:rPr>
              <w:t xml:space="preserve"> </w:t>
            </w:r>
            <w:r w:rsidRPr="00BF4140">
              <w:rPr>
                <w:rStyle w:val="Hyperlink"/>
                <w:rFonts w:hint="eastAsia"/>
                <w:rtl/>
              </w:rPr>
              <w:t>בה</w:t>
            </w:r>
            <w:r w:rsidRPr="00BF4140">
              <w:rPr>
                <w:rStyle w:val="Hyperlink"/>
                <w:rtl/>
              </w:rPr>
              <w:t xml:space="preserve"> </w:t>
            </w:r>
            <w:r w:rsidRPr="00BF4140">
              <w:rPr>
                <w:rStyle w:val="Hyperlink"/>
                <w:rFonts w:hint="eastAsia"/>
                <w:rtl/>
              </w:rPr>
              <w:t>בעל</w:t>
            </w:r>
            <w:r w:rsidRPr="00BF4140">
              <w:rPr>
                <w:rStyle w:val="Hyperlink"/>
                <w:rtl/>
              </w:rPr>
              <w:t xml:space="preserve"> </w:t>
            </w:r>
            <w:r w:rsidRPr="00BF4140">
              <w:rPr>
                <w:rStyle w:val="Hyperlink"/>
                <w:rFonts w:hint="eastAsia"/>
                <w:rtl/>
              </w:rPr>
              <w:t>כרחך</w:t>
            </w:r>
            <w:r>
              <w:rPr>
                <w:webHidden/>
              </w:rPr>
              <w:tab/>
            </w:r>
            <w:r>
              <w:rPr>
                <w:webHidden/>
              </w:rPr>
              <w:fldChar w:fldCharType="begin"/>
            </w:r>
            <w:r>
              <w:rPr>
                <w:webHidden/>
              </w:rPr>
              <w:instrText xml:space="preserve"> PAGEREF _Toc39817454 \h </w:instrText>
            </w:r>
            <w:r>
              <w:rPr>
                <w:webHidden/>
              </w:rPr>
            </w:r>
            <w:r>
              <w:rPr>
                <w:webHidden/>
              </w:rPr>
              <w:fldChar w:fldCharType="separate"/>
            </w:r>
            <w:r>
              <w:rPr>
                <w:webHidden/>
              </w:rPr>
              <w:t>88</w:t>
            </w:r>
            <w:r>
              <w:rPr>
                <w:webHidden/>
              </w:rPr>
              <w:fldChar w:fldCharType="end"/>
            </w:r>
          </w:hyperlink>
        </w:p>
        <w:p w:rsidR="006660A0" w:rsidRDefault="006660A0" w:rsidP="006660A0">
          <w:pPr>
            <w:pStyle w:val="TOC3"/>
            <w:rPr>
              <w:rFonts w:asciiTheme="minorHAnsi" w:eastAsiaTheme="minorEastAsia" w:hAnsiTheme="minorHAnsi" w:cstheme="minorBidi"/>
              <w:sz w:val="22"/>
              <w:szCs w:val="22"/>
              <w:lang w:val="en-US"/>
            </w:rPr>
          </w:pPr>
          <w:hyperlink w:anchor="_Toc39817455" w:history="1">
            <w:r w:rsidRPr="00BF4140">
              <w:rPr>
                <w:rStyle w:val="Hyperlink"/>
                <w:rFonts w:hint="eastAsia"/>
                <w:rtl/>
              </w:rPr>
              <w:t>הרב</w:t>
            </w:r>
            <w:r w:rsidRPr="00BF4140">
              <w:rPr>
                <w:rStyle w:val="Hyperlink"/>
                <w:rtl/>
              </w:rPr>
              <w:t xml:space="preserve"> </w:t>
            </w:r>
            <w:r w:rsidRPr="00BF4140">
              <w:rPr>
                <w:rStyle w:val="Hyperlink"/>
                <w:rFonts w:hint="eastAsia"/>
                <w:rtl/>
              </w:rPr>
              <w:t>מרדכי</w:t>
            </w:r>
            <w:r w:rsidRPr="00BF4140">
              <w:rPr>
                <w:rStyle w:val="Hyperlink"/>
                <w:rtl/>
              </w:rPr>
              <w:t xml:space="preserve"> </w:t>
            </w:r>
            <w:r w:rsidRPr="00BF4140">
              <w:rPr>
                <w:rStyle w:val="Hyperlink"/>
                <w:rFonts w:hint="eastAsia"/>
                <w:rtl/>
              </w:rPr>
              <w:t>פרקש</w:t>
            </w:r>
          </w:hyperlink>
        </w:p>
        <w:p w:rsidR="006660A0" w:rsidRDefault="006660A0" w:rsidP="006660A0">
          <w:pPr>
            <w:pStyle w:val="TOC2"/>
            <w:rPr>
              <w:rFonts w:asciiTheme="minorHAnsi" w:eastAsiaTheme="minorEastAsia" w:hAnsiTheme="minorHAnsi" w:cstheme="minorBidi"/>
            </w:rPr>
          </w:pPr>
          <w:hyperlink w:anchor="_Toc39817456" w:history="1">
            <w:r w:rsidRPr="00BF4140">
              <w:rPr>
                <w:rStyle w:val="Hyperlink"/>
                <w:rFonts w:hint="eastAsia"/>
                <w:rtl/>
              </w:rPr>
              <w:t>בענין</w:t>
            </w:r>
            <w:r w:rsidRPr="00BF4140">
              <w:rPr>
                <w:rStyle w:val="Hyperlink"/>
                <w:rtl/>
              </w:rPr>
              <w:t xml:space="preserve"> </w:t>
            </w:r>
            <w:r w:rsidRPr="00BF4140">
              <w:rPr>
                <w:rStyle w:val="Hyperlink"/>
                <w:rFonts w:hint="eastAsia"/>
                <w:rtl/>
              </w:rPr>
              <w:t>אם</w:t>
            </w:r>
            <w:r w:rsidRPr="00BF4140">
              <w:rPr>
                <w:rStyle w:val="Hyperlink"/>
                <w:rtl/>
              </w:rPr>
              <w:t xml:space="preserve"> </w:t>
            </w:r>
            <w:r w:rsidRPr="00BF4140">
              <w:rPr>
                <w:rStyle w:val="Hyperlink"/>
                <w:rFonts w:hint="eastAsia"/>
                <w:rtl/>
              </w:rPr>
              <w:t>מותר</w:t>
            </w:r>
            <w:r w:rsidRPr="00BF4140">
              <w:rPr>
                <w:rStyle w:val="Hyperlink"/>
                <w:rtl/>
              </w:rPr>
              <w:t xml:space="preserve"> </w:t>
            </w:r>
            <w:r w:rsidRPr="00BF4140">
              <w:rPr>
                <w:rStyle w:val="Hyperlink"/>
                <w:rFonts w:hint="eastAsia"/>
                <w:rtl/>
              </w:rPr>
              <w:t>להרחיב</w:t>
            </w:r>
            <w:r w:rsidRPr="00BF4140">
              <w:rPr>
                <w:rStyle w:val="Hyperlink"/>
                <w:rtl/>
              </w:rPr>
              <w:t xml:space="preserve"> </w:t>
            </w:r>
            <w:r w:rsidRPr="00BF4140">
              <w:rPr>
                <w:rStyle w:val="Hyperlink"/>
                <w:rFonts w:hint="eastAsia"/>
                <w:rtl/>
              </w:rPr>
              <w:t>או</w:t>
            </w:r>
            <w:r w:rsidRPr="00BF4140">
              <w:rPr>
                <w:rStyle w:val="Hyperlink"/>
                <w:rtl/>
              </w:rPr>
              <w:t xml:space="preserve"> </w:t>
            </w:r>
            <w:r w:rsidRPr="00BF4140">
              <w:rPr>
                <w:rStyle w:val="Hyperlink"/>
                <w:rFonts w:hint="eastAsia"/>
                <w:rtl/>
              </w:rPr>
              <w:t>להקטין</w:t>
            </w:r>
            <w:r w:rsidRPr="00BF4140">
              <w:rPr>
                <w:rStyle w:val="Hyperlink"/>
                <w:rtl/>
              </w:rPr>
              <w:t xml:space="preserve"> </w:t>
            </w:r>
            <w:r w:rsidRPr="00BF4140">
              <w:rPr>
                <w:rStyle w:val="Hyperlink"/>
                <w:rFonts w:hint="eastAsia"/>
                <w:rtl/>
              </w:rPr>
              <w:t>תפסן</w:t>
            </w:r>
            <w:r w:rsidRPr="00BF4140">
              <w:rPr>
                <w:rStyle w:val="Hyperlink"/>
                <w:rtl/>
              </w:rPr>
              <w:t xml:space="preserve"> </w:t>
            </w:r>
            <w:r w:rsidRPr="00BF4140">
              <w:rPr>
                <w:rStyle w:val="Hyperlink"/>
                <w:rFonts w:hint="eastAsia"/>
                <w:rtl/>
              </w:rPr>
              <w:t>מפיות</w:t>
            </w:r>
            <w:r w:rsidRPr="00BF4140">
              <w:rPr>
                <w:rStyle w:val="Hyperlink"/>
                <w:rtl/>
              </w:rPr>
              <w:t xml:space="preserve"> </w:t>
            </w:r>
            <w:r w:rsidRPr="00BF4140">
              <w:rPr>
                <w:rStyle w:val="Hyperlink"/>
                <w:rFonts w:hint="eastAsia"/>
                <w:rtl/>
              </w:rPr>
              <w:t>בשבת</w:t>
            </w:r>
            <w:r>
              <w:rPr>
                <w:webHidden/>
              </w:rPr>
              <w:tab/>
            </w:r>
            <w:r>
              <w:rPr>
                <w:webHidden/>
              </w:rPr>
              <w:fldChar w:fldCharType="begin"/>
            </w:r>
            <w:r>
              <w:rPr>
                <w:webHidden/>
              </w:rPr>
              <w:instrText xml:space="preserve"> PAGEREF _Toc39817456 \h </w:instrText>
            </w:r>
            <w:r>
              <w:rPr>
                <w:webHidden/>
              </w:rPr>
            </w:r>
            <w:r>
              <w:rPr>
                <w:webHidden/>
              </w:rPr>
              <w:fldChar w:fldCharType="separate"/>
            </w:r>
            <w:r>
              <w:rPr>
                <w:webHidden/>
              </w:rPr>
              <w:t>96</w:t>
            </w:r>
            <w:r>
              <w:rPr>
                <w:webHidden/>
              </w:rPr>
              <w:fldChar w:fldCharType="end"/>
            </w:r>
          </w:hyperlink>
        </w:p>
        <w:p w:rsidR="006660A0" w:rsidRDefault="006660A0" w:rsidP="006660A0">
          <w:pPr>
            <w:pStyle w:val="TOC3"/>
            <w:rPr>
              <w:rFonts w:asciiTheme="minorHAnsi" w:eastAsiaTheme="minorEastAsia" w:hAnsiTheme="minorHAnsi" w:cstheme="minorBidi"/>
              <w:sz w:val="22"/>
              <w:szCs w:val="22"/>
              <w:lang w:val="en-US"/>
            </w:rPr>
          </w:pPr>
          <w:hyperlink w:anchor="_Toc39817457" w:history="1">
            <w:r w:rsidRPr="00BF4140">
              <w:rPr>
                <w:rStyle w:val="Hyperlink"/>
                <w:rFonts w:hint="eastAsia"/>
                <w:rtl/>
              </w:rPr>
              <w:t>הרב</w:t>
            </w:r>
            <w:r w:rsidRPr="00BF4140">
              <w:rPr>
                <w:rStyle w:val="Hyperlink"/>
                <w:rtl/>
              </w:rPr>
              <w:t xml:space="preserve"> </w:t>
            </w:r>
            <w:r w:rsidRPr="00BF4140">
              <w:rPr>
                <w:rStyle w:val="Hyperlink"/>
                <w:rFonts w:hint="eastAsia"/>
                <w:rtl/>
              </w:rPr>
              <w:t>יעקב</w:t>
            </w:r>
            <w:r w:rsidRPr="00BF4140">
              <w:rPr>
                <w:rStyle w:val="Hyperlink"/>
                <w:rtl/>
              </w:rPr>
              <w:t xml:space="preserve"> </w:t>
            </w:r>
            <w:r w:rsidRPr="00BF4140">
              <w:rPr>
                <w:rStyle w:val="Hyperlink"/>
                <w:rFonts w:hint="eastAsia"/>
                <w:rtl/>
              </w:rPr>
              <w:t>אהרן</w:t>
            </w:r>
            <w:r w:rsidRPr="00BF4140">
              <w:rPr>
                <w:rStyle w:val="Hyperlink"/>
                <w:rtl/>
              </w:rPr>
              <w:t xml:space="preserve"> </w:t>
            </w:r>
            <w:r w:rsidRPr="00BF4140">
              <w:rPr>
                <w:rStyle w:val="Hyperlink"/>
                <w:rFonts w:hint="eastAsia"/>
                <w:rtl/>
              </w:rPr>
              <w:t>סקוצילס</w:t>
            </w:r>
          </w:hyperlink>
        </w:p>
        <w:p w:rsidR="006660A0" w:rsidRDefault="006660A0" w:rsidP="006660A0">
          <w:pPr>
            <w:pStyle w:val="TOC2"/>
            <w:rPr>
              <w:rFonts w:asciiTheme="minorHAnsi" w:eastAsiaTheme="minorEastAsia" w:hAnsiTheme="minorHAnsi" w:cstheme="minorBidi"/>
            </w:rPr>
          </w:pPr>
          <w:hyperlink w:anchor="_Toc39817458" w:history="1">
            <w:r w:rsidRPr="00BF4140">
              <w:rPr>
                <w:rStyle w:val="Hyperlink"/>
                <w:rFonts w:hint="eastAsia"/>
                <w:rtl/>
              </w:rPr>
              <w:t>השלמה</w:t>
            </w:r>
            <w:r w:rsidRPr="00BF4140">
              <w:rPr>
                <w:rStyle w:val="Hyperlink"/>
                <w:rtl/>
              </w:rPr>
              <w:t xml:space="preserve"> </w:t>
            </w:r>
            <w:r w:rsidRPr="00BF4140">
              <w:rPr>
                <w:rStyle w:val="Hyperlink"/>
                <w:rFonts w:hint="eastAsia"/>
                <w:rtl/>
              </w:rPr>
              <w:t>לשלום</w:t>
            </w:r>
            <w:r w:rsidRPr="00BF4140">
              <w:rPr>
                <w:rStyle w:val="Hyperlink"/>
                <w:rtl/>
              </w:rPr>
              <w:t xml:space="preserve"> </w:t>
            </w:r>
            <w:r w:rsidRPr="00BF4140">
              <w:rPr>
                <w:rStyle w:val="Hyperlink"/>
                <w:rFonts w:hint="eastAsia"/>
                <w:rtl/>
              </w:rPr>
              <w:t>זכר</w:t>
            </w:r>
            <w:r w:rsidRPr="00BF4140">
              <w:rPr>
                <w:rStyle w:val="Hyperlink"/>
                <w:rtl/>
              </w:rPr>
              <w:t xml:space="preserve"> </w:t>
            </w:r>
            <w:r w:rsidRPr="00BF4140">
              <w:rPr>
                <w:rStyle w:val="Hyperlink"/>
                <w:rFonts w:hint="eastAsia"/>
                <w:rtl/>
              </w:rPr>
              <w:t>בגלל</w:t>
            </w:r>
            <w:r w:rsidRPr="00BF4140">
              <w:rPr>
                <w:rStyle w:val="Hyperlink"/>
                <w:rtl/>
              </w:rPr>
              <w:t xml:space="preserve"> </w:t>
            </w:r>
            <w:r w:rsidRPr="00BF4140">
              <w:rPr>
                <w:rStyle w:val="Hyperlink"/>
                <w:rFonts w:hint="eastAsia"/>
                <w:rtl/>
              </w:rPr>
              <w:t>ההסגר</w:t>
            </w:r>
            <w:r>
              <w:rPr>
                <w:webHidden/>
              </w:rPr>
              <w:tab/>
            </w:r>
            <w:r>
              <w:rPr>
                <w:webHidden/>
              </w:rPr>
              <w:fldChar w:fldCharType="begin"/>
            </w:r>
            <w:r>
              <w:rPr>
                <w:webHidden/>
              </w:rPr>
              <w:instrText xml:space="preserve"> PAGEREF _Toc39817458 \h </w:instrText>
            </w:r>
            <w:r>
              <w:rPr>
                <w:webHidden/>
              </w:rPr>
            </w:r>
            <w:r>
              <w:rPr>
                <w:webHidden/>
              </w:rPr>
              <w:fldChar w:fldCharType="separate"/>
            </w:r>
            <w:r>
              <w:rPr>
                <w:webHidden/>
              </w:rPr>
              <w:t>99</w:t>
            </w:r>
            <w:r>
              <w:rPr>
                <w:webHidden/>
              </w:rPr>
              <w:fldChar w:fldCharType="end"/>
            </w:r>
          </w:hyperlink>
        </w:p>
        <w:p w:rsidR="006660A0" w:rsidRDefault="006660A0" w:rsidP="006660A0">
          <w:pPr>
            <w:pStyle w:val="TOC3"/>
            <w:rPr>
              <w:rFonts w:asciiTheme="minorHAnsi" w:eastAsiaTheme="minorEastAsia" w:hAnsiTheme="minorHAnsi" w:cstheme="minorBidi"/>
              <w:sz w:val="22"/>
              <w:szCs w:val="22"/>
              <w:lang w:val="en-US"/>
            </w:rPr>
          </w:pPr>
          <w:hyperlink w:anchor="_Toc39817459" w:history="1">
            <w:r w:rsidRPr="00BF4140">
              <w:rPr>
                <w:rStyle w:val="Hyperlink"/>
                <w:rFonts w:hint="eastAsia"/>
                <w:rtl/>
              </w:rPr>
              <w:t>הרב</w:t>
            </w:r>
            <w:r w:rsidRPr="00BF4140">
              <w:rPr>
                <w:rStyle w:val="Hyperlink"/>
                <w:rtl/>
              </w:rPr>
              <w:t xml:space="preserve"> </w:t>
            </w:r>
            <w:r w:rsidRPr="00BF4140">
              <w:rPr>
                <w:rStyle w:val="Hyperlink"/>
                <w:rFonts w:hint="eastAsia"/>
                <w:rtl/>
              </w:rPr>
              <w:t>גמליאל</w:t>
            </w:r>
            <w:r w:rsidRPr="00BF4140">
              <w:rPr>
                <w:rStyle w:val="Hyperlink"/>
                <w:rtl/>
              </w:rPr>
              <w:t xml:space="preserve"> </w:t>
            </w:r>
            <w:r w:rsidRPr="00BF4140">
              <w:rPr>
                <w:rStyle w:val="Hyperlink"/>
                <w:rFonts w:hint="eastAsia"/>
                <w:rtl/>
              </w:rPr>
              <w:t>הכהן</w:t>
            </w:r>
            <w:r w:rsidRPr="00BF4140">
              <w:rPr>
                <w:rStyle w:val="Hyperlink"/>
                <w:rtl/>
              </w:rPr>
              <w:t xml:space="preserve"> </w:t>
            </w:r>
            <w:r w:rsidRPr="00BF4140">
              <w:rPr>
                <w:rStyle w:val="Hyperlink"/>
                <w:rFonts w:hint="eastAsia"/>
                <w:rtl/>
              </w:rPr>
              <w:t>רבינוביץ</w:t>
            </w:r>
          </w:hyperlink>
        </w:p>
        <w:p w:rsidR="006660A0" w:rsidRDefault="006660A0" w:rsidP="006660A0">
          <w:pPr>
            <w:pStyle w:val="TOC2"/>
            <w:rPr>
              <w:rFonts w:asciiTheme="minorHAnsi" w:eastAsiaTheme="minorEastAsia" w:hAnsiTheme="minorHAnsi" w:cstheme="minorBidi"/>
            </w:rPr>
          </w:pPr>
          <w:hyperlink w:anchor="_Toc39817460" w:history="1">
            <w:r w:rsidRPr="00BF4140">
              <w:rPr>
                <w:rStyle w:val="Hyperlink"/>
                <w:rFonts w:hint="eastAsia"/>
                <w:rtl/>
              </w:rPr>
              <w:t>כפילת</w:t>
            </w:r>
            <w:r w:rsidRPr="00BF4140">
              <w:rPr>
                <w:rStyle w:val="Hyperlink"/>
                <w:rtl/>
              </w:rPr>
              <w:t xml:space="preserve"> </w:t>
            </w:r>
            <w:r w:rsidRPr="00BF4140">
              <w:rPr>
                <w:rStyle w:val="Hyperlink"/>
                <w:rFonts w:hint="eastAsia"/>
                <w:rtl/>
              </w:rPr>
              <w:t>הפסוק</w:t>
            </w:r>
            <w:r w:rsidRPr="00BF4140">
              <w:rPr>
                <w:rStyle w:val="Hyperlink"/>
                <w:rtl/>
              </w:rPr>
              <w:t xml:space="preserve"> </w:t>
            </w:r>
            <w:r w:rsidRPr="00BF4140">
              <w:rPr>
                <w:rStyle w:val="Hyperlink"/>
                <w:rFonts w:hint="eastAsia"/>
                <w:rtl/>
              </w:rPr>
              <w:t>פותח</w:t>
            </w:r>
            <w:r w:rsidRPr="00BF4140">
              <w:rPr>
                <w:rStyle w:val="Hyperlink"/>
                <w:rtl/>
              </w:rPr>
              <w:t xml:space="preserve"> </w:t>
            </w:r>
            <w:r w:rsidRPr="00BF4140">
              <w:rPr>
                <w:rStyle w:val="Hyperlink"/>
                <w:rFonts w:hint="eastAsia"/>
                <w:rtl/>
              </w:rPr>
              <w:t>את</w:t>
            </w:r>
            <w:r w:rsidRPr="00BF4140">
              <w:rPr>
                <w:rStyle w:val="Hyperlink"/>
                <w:rtl/>
              </w:rPr>
              <w:t xml:space="preserve"> </w:t>
            </w:r>
            <w:r w:rsidRPr="00BF4140">
              <w:rPr>
                <w:rStyle w:val="Hyperlink"/>
                <w:rFonts w:hint="eastAsia"/>
                <w:rtl/>
              </w:rPr>
              <w:t>ידך</w:t>
            </w:r>
            <w:r>
              <w:rPr>
                <w:webHidden/>
              </w:rPr>
              <w:tab/>
            </w:r>
            <w:r>
              <w:rPr>
                <w:webHidden/>
              </w:rPr>
              <w:fldChar w:fldCharType="begin"/>
            </w:r>
            <w:r>
              <w:rPr>
                <w:webHidden/>
              </w:rPr>
              <w:instrText xml:space="preserve"> PAGEREF _Toc39817460 \h </w:instrText>
            </w:r>
            <w:r>
              <w:rPr>
                <w:webHidden/>
              </w:rPr>
            </w:r>
            <w:r>
              <w:rPr>
                <w:webHidden/>
              </w:rPr>
              <w:fldChar w:fldCharType="separate"/>
            </w:r>
            <w:r>
              <w:rPr>
                <w:webHidden/>
              </w:rPr>
              <w:t>100</w:t>
            </w:r>
            <w:r>
              <w:rPr>
                <w:webHidden/>
              </w:rPr>
              <w:fldChar w:fldCharType="end"/>
            </w:r>
          </w:hyperlink>
        </w:p>
        <w:p w:rsidR="006660A0" w:rsidRDefault="006660A0" w:rsidP="006660A0">
          <w:pPr>
            <w:pStyle w:val="TOC3"/>
            <w:rPr>
              <w:rFonts w:asciiTheme="minorHAnsi" w:eastAsiaTheme="minorEastAsia" w:hAnsiTheme="minorHAnsi" w:cstheme="minorBidi"/>
              <w:sz w:val="22"/>
              <w:szCs w:val="22"/>
              <w:lang w:val="en-US"/>
            </w:rPr>
          </w:pPr>
          <w:hyperlink w:anchor="_Toc39817461" w:history="1">
            <w:r w:rsidRPr="00BF4140">
              <w:rPr>
                <w:rStyle w:val="Hyperlink"/>
                <w:rFonts w:hint="eastAsia"/>
                <w:rtl/>
              </w:rPr>
              <w:t>הרב</w:t>
            </w:r>
            <w:r w:rsidRPr="00BF4140">
              <w:rPr>
                <w:rStyle w:val="Hyperlink"/>
                <w:rtl/>
              </w:rPr>
              <w:t xml:space="preserve"> </w:t>
            </w:r>
            <w:r w:rsidRPr="00BF4140">
              <w:rPr>
                <w:rStyle w:val="Hyperlink"/>
                <w:rFonts w:hint="eastAsia"/>
                <w:rtl/>
              </w:rPr>
              <w:t>אמיר</w:t>
            </w:r>
            <w:r w:rsidRPr="00BF4140">
              <w:rPr>
                <w:rStyle w:val="Hyperlink"/>
                <w:rtl/>
              </w:rPr>
              <w:t xml:space="preserve"> </w:t>
            </w:r>
            <w:r w:rsidRPr="00BF4140">
              <w:rPr>
                <w:rStyle w:val="Hyperlink"/>
                <w:rFonts w:hint="eastAsia"/>
                <w:rtl/>
              </w:rPr>
              <w:t>ולר</w:t>
            </w:r>
          </w:hyperlink>
        </w:p>
        <w:p w:rsidR="006660A0" w:rsidRDefault="006660A0" w:rsidP="006660A0">
          <w:pPr>
            <w:pStyle w:val="TOC2"/>
            <w:rPr>
              <w:rFonts w:asciiTheme="minorHAnsi" w:eastAsiaTheme="minorEastAsia" w:hAnsiTheme="minorHAnsi" w:cstheme="minorBidi"/>
            </w:rPr>
          </w:pPr>
          <w:hyperlink w:anchor="_Toc39817462" w:history="1">
            <w:r w:rsidRPr="00BF4140">
              <w:rPr>
                <w:rStyle w:val="Hyperlink"/>
                <w:rFonts w:hint="eastAsia"/>
                <w:rtl/>
              </w:rPr>
              <w:t>הערות</w:t>
            </w:r>
            <w:r w:rsidRPr="00BF4140">
              <w:rPr>
                <w:rStyle w:val="Hyperlink"/>
                <w:rtl/>
              </w:rPr>
              <w:t xml:space="preserve"> </w:t>
            </w:r>
            <w:r w:rsidRPr="00BF4140">
              <w:rPr>
                <w:rStyle w:val="Hyperlink"/>
                <w:rFonts w:hint="eastAsia"/>
                <w:rtl/>
              </w:rPr>
              <w:t>בענייני</w:t>
            </w:r>
            <w:r w:rsidRPr="00BF4140">
              <w:rPr>
                <w:rStyle w:val="Hyperlink"/>
                <w:rtl/>
              </w:rPr>
              <w:t xml:space="preserve"> </w:t>
            </w:r>
            <w:r w:rsidRPr="00BF4140">
              <w:rPr>
                <w:rStyle w:val="Hyperlink"/>
                <w:rFonts w:hint="eastAsia"/>
                <w:rtl/>
              </w:rPr>
              <w:t>הלכה</w:t>
            </w:r>
            <w:r w:rsidRPr="00BF4140">
              <w:rPr>
                <w:rStyle w:val="Hyperlink"/>
                <w:rtl/>
              </w:rPr>
              <w:t xml:space="preserve"> </w:t>
            </w:r>
            <w:r w:rsidRPr="00BF4140">
              <w:rPr>
                <w:rStyle w:val="Hyperlink"/>
                <w:rFonts w:hint="eastAsia"/>
                <w:rtl/>
              </w:rPr>
              <w:t>ומנהג</w:t>
            </w:r>
            <w:r>
              <w:rPr>
                <w:webHidden/>
              </w:rPr>
              <w:tab/>
            </w:r>
            <w:r>
              <w:rPr>
                <w:webHidden/>
              </w:rPr>
              <w:fldChar w:fldCharType="begin"/>
            </w:r>
            <w:r>
              <w:rPr>
                <w:webHidden/>
              </w:rPr>
              <w:instrText xml:space="preserve"> PAGEREF _Toc39817462 \h </w:instrText>
            </w:r>
            <w:r>
              <w:rPr>
                <w:webHidden/>
              </w:rPr>
            </w:r>
            <w:r>
              <w:rPr>
                <w:webHidden/>
              </w:rPr>
              <w:fldChar w:fldCharType="separate"/>
            </w:r>
            <w:r>
              <w:rPr>
                <w:webHidden/>
              </w:rPr>
              <w:t>104</w:t>
            </w:r>
            <w:r>
              <w:rPr>
                <w:webHidden/>
              </w:rPr>
              <w:fldChar w:fldCharType="end"/>
            </w:r>
          </w:hyperlink>
        </w:p>
        <w:p w:rsidR="006660A0" w:rsidRDefault="006660A0" w:rsidP="006660A0">
          <w:pPr>
            <w:pStyle w:val="TOC3"/>
            <w:rPr>
              <w:rFonts w:asciiTheme="minorHAnsi" w:eastAsiaTheme="minorEastAsia" w:hAnsiTheme="minorHAnsi" w:cstheme="minorBidi"/>
              <w:sz w:val="22"/>
              <w:szCs w:val="22"/>
              <w:lang w:val="en-US"/>
            </w:rPr>
          </w:pPr>
          <w:hyperlink w:anchor="_Toc39817463" w:history="1">
            <w:r w:rsidRPr="00BF4140">
              <w:rPr>
                <w:rStyle w:val="Hyperlink"/>
                <w:rFonts w:hint="eastAsia"/>
                <w:rtl/>
              </w:rPr>
              <w:t>הרב</w:t>
            </w:r>
            <w:r w:rsidRPr="00BF4140">
              <w:rPr>
                <w:rStyle w:val="Hyperlink"/>
                <w:rtl/>
              </w:rPr>
              <w:t xml:space="preserve"> </w:t>
            </w:r>
            <w:r w:rsidRPr="00BF4140">
              <w:rPr>
                <w:rStyle w:val="Hyperlink"/>
                <w:rFonts w:hint="eastAsia"/>
                <w:rtl/>
              </w:rPr>
              <w:t>מרדכי</w:t>
            </w:r>
            <w:r w:rsidRPr="00BF4140">
              <w:rPr>
                <w:rStyle w:val="Hyperlink"/>
                <w:rtl/>
              </w:rPr>
              <w:t xml:space="preserve"> </w:t>
            </w:r>
            <w:r w:rsidRPr="00BF4140">
              <w:rPr>
                <w:rStyle w:val="Hyperlink"/>
                <w:rFonts w:hint="eastAsia"/>
                <w:rtl/>
              </w:rPr>
              <w:t>מינצברג</w:t>
            </w:r>
            <w:r w:rsidRPr="00BF4140">
              <w:rPr>
                <w:rStyle w:val="Hyperlink"/>
                <w:rFonts w:cs="Arial"/>
                <w:rtl/>
              </w:rPr>
              <w:t xml:space="preserve">                                                                                       </w:t>
            </w:r>
          </w:hyperlink>
        </w:p>
        <w:p w:rsidR="006660A0" w:rsidRDefault="006660A0" w:rsidP="006660A0">
          <w:pPr>
            <w:pStyle w:val="TOC2"/>
            <w:rPr>
              <w:rFonts w:asciiTheme="minorHAnsi" w:eastAsiaTheme="minorEastAsia" w:hAnsiTheme="minorHAnsi" w:cstheme="minorBidi"/>
            </w:rPr>
          </w:pPr>
          <w:hyperlink w:anchor="_Toc39817464" w:history="1">
            <w:r w:rsidRPr="00BF4140">
              <w:rPr>
                <w:rStyle w:val="Hyperlink"/>
                <w:rFonts w:hint="eastAsia"/>
                <w:rtl/>
              </w:rPr>
              <w:t>ציצית</w:t>
            </w:r>
            <w:r w:rsidRPr="00BF4140">
              <w:rPr>
                <w:rStyle w:val="Hyperlink"/>
                <w:rtl/>
              </w:rPr>
              <w:t xml:space="preserve"> </w:t>
            </w:r>
            <w:r w:rsidRPr="00BF4140">
              <w:rPr>
                <w:rStyle w:val="Hyperlink"/>
                <w:rFonts w:hint="eastAsia"/>
                <w:rtl/>
              </w:rPr>
              <w:t>וטלית</w:t>
            </w:r>
            <w:r w:rsidRPr="00BF4140">
              <w:rPr>
                <w:rStyle w:val="Hyperlink"/>
                <w:rtl/>
              </w:rPr>
              <w:t xml:space="preserve"> </w:t>
            </w:r>
            <w:r w:rsidRPr="00BF4140">
              <w:rPr>
                <w:rStyle w:val="Hyperlink"/>
                <w:rFonts w:hint="eastAsia"/>
                <w:rtl/>
              </w:rPr>
              <w:t>לבנים</w:t>
            </w:r>
            <w:r>
              <w:rPr>
                <w:rStyle w:val="Hyperlink"/>
              </w:rPr>
              <w:t xml:space="preserve"> </w:t>
            </w:r>
            <w:r w:rsidRPr="006660A0">
              <w:rPr>
                <w:rStyle w:val="Hyperlink"/>
                <w:rtl/>
              </w:rPr>
              <w:t>(</w:t>
            </w:r>
            <w:r w:rsidRPr="006660A0">
              <w:rPr>
                <w:rStyle w:val="Hyperlink"/>
                <w:rFonts w:hint="eastAsia"/>
                <w:rtl/>
              </w:rPr>
              <w:t>ותיקון</w:t>
            </w:r>
            <w:r w:rsidRPr="006660A0">
              <w:rPr>
                <w:rStyle w:val="Hyperlink"/>
                <w:rtl/>
              </w:rPr>
              <w:t xml:space="preserve"> </w:t>
            </w:r>
            <w:r w:rsidRPr="006660A0">
              <w:rPr>
                <w:rStyle w:val="Hyperlink"/>
                <w:rFonts w:hint="eastAsia"/>
                <w:rtl/>
              </w:rPr>
              <w:t>טעות</w:t>
            </w:r>
            <w:r w:rsidRPr="006660A0">
              <w:rPr>
                <w:rStyle w:val="Hyperlink"/>
                <w:rtl/>
              </w:rPr>
              <w:t xml:space="preserve"> </w:t>
            </w:r>
            <w:r w:rsidRPr="006660A0">
              <w:rPr>
                <w:rStyle w:val="Hyperlink"/>
                <w:rFonts w:hint="eastAsia"/>
                <w:rtl/>
              </w:rPr>
              <w:t>בשוע</w:t>
            </w:r>
            <w:r w:rsidRPr="006660A0">
              <w:rPr>
                <w:rStyle w:val="Hyperlink"/>
                <w:rtl/>
              </w:rPr>
              <w:t>"</w:t>
            </w:r>
            <w:r w:rsidRPr="006660A0">
              <w:rPr>
                <w:rStyle w:val="Hyperlink"/>
                <w:rFonts w:hint="eastAsia"/>
                <w:rtl/>
              </w:rPr>
              <w:t>ר</w:t>
            </w:r>
            <w:r w:rsidRPr="006660A0">
              <w:rPr>
                <w:rStyle w:val="Hyperlink"/>
                <w:rtl/>
              </w:rPr>
              <w:t xml:space="preserve"> </w:t>
            </w:r>
            <w:r w:rsidRPr="006660A0">
              <w:rPr>
                <w:rStyle w:val="Hyperlink"/>
                <w:rFonts w:hint="eastAsia"/>
                <w:rtl/>
              </w:rPr>
              <w:t>החדשה</w:t>
            </w:r>
            <w:r w:rsidRPr="006660A0">
              <w:rPr>
                <w:rStyle w:val="Hyperlink"/>
                <w:rtl/>
              </w:rPr>
              <w:t>)</w:t>
            </w:r>
            <w:r>
              <w:rPr>
                <w:webHidden/>
              </w:rPr>
              <w:tab/>
            </w:r>
            <w:r>
              <w:rPr>
                <w:webHidden/>
              </w:rPr>
              <w:fldChar w:fldCharType="begin"/>
            </w:r>
            <w:r>
              <w:rPr>
                <w:webHidden/>
              </w:rPr>
              <w:instrText xml:space="preserve"> PAGEREF _Toc39817464 \h </w:instrText>
            </w:r>
            <w:r>
              <w:rPr>
                <w:webHidden/>
              </w:rPr>
            </w:r>
            <w:r>
              <w:rPr>
                <w:webHidden/>
              </w:rPr>
              <w:fldChar w:fldCharType="separate"/>
            </w:r>
            <w:r>
              <w:rPr>
                <w:webHidden/>
              </w:rPr>
              <w:t>110</w:t>
            </w:r>
            <w:r>
              <w:rPr>
                <w:webHidden/>
              </w:rPr>
              <w:fldChar w:fldCharType="end"/>
            </w:r>
          </w:hyperlink>
        </w:p>
        <w:p w:rsidR="006660A0" w:rsidRDefault="006660A0" w:rsidP="006660A0">
          <w:pPr>
            <w:pStyle w:val="TOC3"/>
            <w:rPr>
              <w:rFonts w:asciiTheme="minorHAnsi" w:eastAsiaTheme="minorEastAsia" w:hAnsiTheme="minorHAnsi" w:cstheme="minorBidi"/>
              <w:sz w:val="22"/>
              <w:szCs w:val="22"/>
              <w:lang w:val="en-US"/>
            </w:rPr>
          </w:pPr>
          <w:hyperlink w:anchor="_Toc39817466" w:history="1">
            <w:r w:rsidRPr="00BF4140">
              <w:rPr>
                <w:rStyle w:val="Hyperlink"/>
                <w:rFonts w:hint="eastAsia"/>
                <w:rtl/>
              </w:rPr>
              <w:t>הרב</w:t>
            </w:r>
            <w:r w:rsidRPr="00BF4140">
              <w:rPr>
                <w:rStyle w:val="Hyperlink"/>
                <w:rtl/>
              </w:rPr>
              <w:t xml:space="preserve"> </w:t>
            </w:r>
            <w:r w:rsidRPr="00BF4140">
              <w:rPr>
                <w:rStyle w:val="Hyperlink"/>
                <w:rFonts w:hint="eastAsia"/>
                <w:rtl/>
              </w:rPr>
              <w:t>יוסף</w:t>
            </w:r>
            <w:r w:rsidRPr="00BF4140">
              <w:rPr>
                <w:rStyle w:val="Hyperlink"/>
                <w:rtl/>
              </w:rPr>
              <w:t xml:space="preserve"> </w:t>
            </w:r>
            <w:r w:rsidRPr="00BF4140">
              <w:rPr>
                <w:rStyle w:val="Hyperlink"/>
                <w:rFonts w:hint="eastAsia"/>
                <w:rtl/>
              </w:rPr>
              <w:t>יצחק</w:t>
            </w:r>
            <w:r w:rsidRPr="00BF4140">
              <w:rPr>
                <w:rStyle w:val="Hyperlink"/>
                <w:rtl/>
              </w:rPr>
              <w:t xml:space="preserve"> </w:t>
            </w:r>
            <w:r w:rsidRPr="00BF4140">
              <w:rPr>
                <w:rStyle w:val="Hyperlink"/>
                <w:rFonts w:hint="eastAsia"/>
                <w:rtl/>
              </w:rPr>
              <w:t>ליפסקער</w:t>
            </w:r>
          </w:hyperlink>
        </w:p>
        <w:p w:rsidR="006660A0" w:rsidRDefault="006660A0" w:rsidP="006660A0">
          <w:pPr>
            <w:pStyle w:val="TOC2"/>
            <w:rPr>
              <w:rFonts w:asciiTheme="minorHAnsi" w:eastAsiaTheme="minorEastAsia" w:hAnsiTheme="minorHAnsi" w:cstheme="minorBidi"/>
            </w:rPr>
          </w:pPr>
          <w:hyperlink w:anchor="_Toc39817467" w:history="1">
            <w:r w:rsidRPr="00BF4140">
              <w:rPr>
                <w:rStyle w:val="Hyperlink"/>
                <w:rFonts w:eastAsia="SimSun" w:hint="eastAsia"/>
                <w:rtl/>
                <w:lang w:eastAsia="zh-CN"/>
              </w:rPr>
              <w:t>בדין</w:t>
            </w:r>
            <w:r w:rsidRPr="00BF4140">
              <w:rPr>
                <w:rStyle w:val="Hyperlink"/>
                <w:rFonts w:eastAsia="SimSun"/>
                <w:rtl/>
                <w:lang w:eastAsia="zh-CN"/>
              </w:rPr>
              <w:t xml:space="preserve"> </w:t>
            </w:r>
            <w:r w:rsidRPr="00BF4140">
              <w:rPr>
                <w:rStyle w:val="Hyperlink"/>
                <w:rFonts w:eastAsia="SimSun" w:hint="eastAsia"/>
                <w:rtl/>
                <w:lang w:eastAsia="zh-CN"/>
              </w:rPr>
              <w:t>מי</w:t>
            </w:r>
            <w:r w:rsidRPr="00BF4140">
              <w:rPr>
                <w:rStyle w:val="Hyperlink"/>
                <w:rFonts w:eastAsia="SimSun"/>
                <w:rtl/>
                <w:lang w:eastAsia="zh-CN"/>
              </w:rPr>
              <w:t xml:space="preserve"> </w:t>
            </w:r>
            <w:r w:rsidRPr="00BF4140">
              <w:rPr>
                <w:rStyle w:val="Hyperlink"/>
                <w:rFonts w:eastAsia="SimSun" w:hint="eastAsia"/>
                <w:rtl/>
                <w:lang w:eastAsia="zh-CN"/>
              </w:rPr>
              <w:t>שספר</w:t>
            </w:r>
            <w:r w:rsidRPr="00BF4140">
              <w:rPr>
                <w:rStyle w:val="Hyperlink"/>
                <w:rFonts w:eastAsia="SimSun"/>
                <w:rtl/>
                <w:lang w:eastAsia="zh-CN"/>
              </w:rPr>
              <w:t xml:space="preserve"> </w:t>
            </w:r>
            <w:r w:rsidRPr="00BF4140">
              <w:rPr>
                <w:rStyle w:val="Hyperlink"/>
                <w:rFonts w:eastAsia="SimSun" w:hint="eastAsia"/>
                <w:rtl/>
                <w:lang w:eastAsia="zh-CN"/>
              </w:rPr>
              <w:t>בבין</w:t>
            </w:r>
            <w:r w:rsidRPr="00BF4140">
              <w:rPr>
                <w:rStyle w:val="Hyperlink"/>
                <w:rFonts w:eastAsia="SimSun"/>
                <w:rtl/>
                <w:lang w:eastAsia="zh-CN"/>
              </w:rPr>
              <w:t xml:space="preserve"> </w:t>
            </w:r>
            <w:r w:rsidRPr="00BF4140">
              <w:rPr>
                <w:rStyle w:val="Hyperlink"/>
                <w:rFonts w:eastAsia="SimSun" w:hint="eastAsia"/>
                <w:rtl/>
                <w:lang w:eastAsia="zh-CN"/>
              </w:rPr>
              <w:t>השמשות</w:t>
            </w:r>
            <w:r w:rsidRPr="00BF4140">
              <w:rPr>
                <w:rStyle w:val="Hyperlink"/>
                <w:rFonts w:eastAsia="SimSun"/>
                <w:rtl/>
                <w:lang w:eastAsia="zh-CN"/>
              </w:rPr>
              <w:t xml:space="preserve"> </w:t>
            </w:r>
            <w:r w:rsidRPr="00BF4140">
              <w:rPr>
                <w:rStyle w:val="Hyperlink"/>
                <w:rFonts w:eastAsia="SimSun" w:hint="eastAsia"/>
                <w:rtl/>
                <w:lang w:eastAsia="zh-CN"/>
              </w:rPr>
              <w:t>דיום</w:t>
            </w:r>
            <w:r w:rsidRPr="00BF4140">
              <w:rPr>
                <w:rStyle w:val="Hyperlink"/>
                <w:rFonts w:eastAsia="SimSun"/>
                <w:rtl/>
                <w:lang w:eastAsia="zh-CN"/>
              </w:rPr>
              <w:t xml:space="preserve"> </w:t>
            </w:r>
            <w:r w:rsidRPr="00BF4140">
              <w:rPr>
                <w:rStyle w:val="Hyperlink"/>
                <w:rFonts w:eastAsia="SimSun" w:hint="eastAsia"/>
                <w:rtl/>
                <w:lang w:eastAsia="zh-CN"/>
              </w:rPr>
              <w:t>המחרת</w:t>
            </w:r>
            <w:r>
              <w:rPr>
                <w:webHidden/>
              </w:rPr>
              <w:tab/>
            </w:r>
            <w:r>
              <w:rPr>
                <w:webHidden/>
              </w:rPr>
              <w:fldChar w:fldCharType="begin"/>
            </w:r>
            <w:r>
              <w:rPr>
                <w:webHidden/>
              </w:rPr>
              <w:instrText xml:space="preserve"> PAGEREF _Toc39817467 \h </w:instrText>
            </w:r>
            <w:r>
              <w:rPr>
                <w:webHidden/>
              </w:rPr>
            </w:r>
            <w:r>
              <w:rPr>
                <w:webHidden/>
              </w:rPr>
              <w:fldChar w:fldCharType="separate"/>
            </w:r>
            <w:r>
              <w:rPr>
                <w:webHidden/>
              </w:rPr>
              <w:t>112</w:t>
            </w:r>
            <w:r>
              <w:rPr>
                <w:webHidden/>
              </w:rPr>
              <w:fldChar w:fldCharType="end"/>
            </w:r>
          </w:hyperlink>
        </w:p>
        <w:p w:rsidR="006660A0" w:rsidRDefault="006660A0" w:rsidP="006660A0">
          <w:pPr>
            <w:pStyle w:val="TOC3"/>
            <w:rPr>
              <w:rFonts w:asciiTheme="minorHAnsi" w:eastAsiaTheme="minorEastAsia" w:hAnsiTheme="minorHAnsi" w:cstheme="minorBidi"/>
              <w:sz w:val="22"/>
              <w:szCs w:val="22"/>
              <w:lang w:val="en-US"/>
            </w:rPr>
          </w:pPr>
          <w:hyperlink w:anchor="_Toc39817468" w:history="1">
            <w:r w:rsidRPr="00BF4140">
              <w:rPr>
                <w:rStyle w:val="Hyperlink"/>
                <w:rFonts w:hint="eastAsia"/>
                <w:rtl/>
                <w:lang w:eastAsia="zh-CN"/>
              </w:rPr>
              <w:t>הת</w:t>
            </w:r>
            <w:r w:rsidRPr="00BF4140">
              <w:rPr>
                <w:rStyle w:val="Hyperlink"/>
                <w:rtl/>
                <w:lang w:eastAsia="zh-CN"/>
              </w:rPr>
              <w:t xml:space="preserve">' </w:t>
            </w:r>
            <w:r w:rsidRPr="00BF4140">
              <w:rPr>
                <w:rStyle w:val="Hyperlink"/>
                <w:rFonts w:hint="eastAsia"/>
                <w:rtl/>
                <w:lang w:eastAsia="zh-CN"/>
              </w:rPr>
              <w:t>מנחם</w:t>
            </w:r>
            <w:r w:rsidRPr="00BF4140">
              <w:rPr>
                <w:rStyle w:val="Hyperlink"/>
                <w:rtl/>
                <w:lang w:eastAsia="zh-CN"/>
              </w:rPr>
              <w:t xml:space="preserve"> </w:t>
            </w:r>
            <w:r w:rsidRPr="00BF4140">
              <w:rPr>
                <w:rStyle w:val="Hyperlink"/>
                <w:rFonts w:hint="eastAsia"/>
                <w:rtl/>
                <w:lang w:eastAsia="zh-CN"/>
              </w:rPr>
              <w:t>מענדל</w:t>
            </w:r>
            <w:r w:rsidRPr="00BF4140">
              <w:rPr>
                <w:rStyle w:val="Hyperlink"/>
                <w:rtl/>
                <w:lang w:eastAsia="zh-CN"/>
              </w:rPr>
              <w:t xml:space="preserve"> </w:t>
            </w:r>
            <w:r w:rsidRPr="00BF4140">
              <w:rPr>
                <w:rStyle w:val="Hyperlink"/>
                <w:rFonts w:hint="eastAsia"/>
                <w:rtl/>
                <w:lang w:eastAsia="zh-CN"/>
              </w:rPr>
              <w:t>טייטלבוים</w:t>
            </w:r>
          </w:hyperlink>
        </w:p>
        <w:p w:rsidR="006660A0" w:rsidRDefault="006660A0" w:rsidP="006660A0">
          <w:pPr>
            <w:pStyle w:val="TOC2"/>
            <w:rPr>
              <w:rFonts w:asciiTheme="minorHAnsi" w:eastAsiaTheme="minorEastAsia" w:hAnsiTheme="minorHAnsi" w:cstheme="minorBidi"/>
            </w:rPr>
          </w:pPr>
          <w:hyperlink w:anchor="_Toc39817469" w:history="1">
            <w:r w:rsidRPr="00BF4140">
              <w:rPr>
                <w:rStyle w:val="Hyperlink"/>
                <w:rFonts w:hint="eastAsia"/>
                <w:rtl/>
              </w:rPr>
              <w:t>תפילה</w:t>
            </w:r>
            <w:r w:rsidRPr="00BF4140">
              <w:rPr>
                <w:rStyle w:val="Hyperlink"/>
                <w:rtl/>
              </w:rPr>
              <w:t xml:space="preserve"> </w:t>
            </w:r>
            <w:r w:rsidRPr="00BF4140">
              <w:rPr>
                <w:rStyle w:val="Hyperlink"/>
                <w:rFonts w:hint="eastAsia"/>
                <w:rtl/>
              </w:rPr>
              <w:t>בציבור</w:t>
            </w:r>
            <w:r w:rsidRPr="00BF4140">
              <w:rPr>
                <w:rStyle w:val="Hyperlink"/>
                <w:rtl/>
              </w:rPr>
              <w:t xml:space="preserve"> </w:t>
            </w:r>
            <w:r w:rsidRPr="00BF4140">
              <w:rPr>
                <w:rStyle w:val="Hyperlink"/>
                <w:rFonts w:hint="eastAsia"/>
                <w:rtl/>
              </w:rPr>
              <w:t>במרפסות</w:t>
            </w:r>
            <w:r w:rsidRPr="00BF4140">
              <w:rPr>
                <w:rStyle w:val="Hyperlink"/>
                <w:rtl/>
              </w:rPr>
              <w:t xml:space="preserve"> </w:t>
            </w:r>
            <w:r w:rsidRPr="00BF4140">
              <w:rPr>
                <w:rStyle w:val="Hyperlink"/>
                <w:rFonts w:hint="eastAsia"/>
                <w:rtl/>
              </w:rPr>
              <w:t>וברחובות</w:t>
            </w:r>
            <w:r w:rsidRPr="00BF4140">
              <w:rPr>
                <w:rStyle w:val="Hyperlink"/>
                <w:rtl/>
              </w:rPr>
              <w:t xml:space="preserve"> </w:t>
            </w:r>
            <w:r w:rsidRPr="00BF4140">
              <w:rPr>
                <w:rStyle w:val="Hyperlink"/>
                <w:rFonts w:hint="eastAsia"/>
                <w:rtl/>
              </w:rPr>
              <w:t>בעת</w:t>
            </w:r>
            <w:r w:rsidRPr="00BF4140">
              <w:rPr>
                <w:rStyle w:val="Hyperlink"/>
                <w:rtl/>
              </w:rPr>
              <w:t xml:space="preserve"> </w:t>
            </w:r>
            <w:r w:rsidRPr="00BF4140">
              <w:rPr>
                <w:rStyle w:val="Hyperlink"/>
                <w:rFonts w:hint="eastAsia"/>
                <w:rtl/>
              </w:rPr>
              <w:t>המגיפה</w:t>
            </w:r>
            <w:r w:rsidRPr="00BF4140">
              <w:rPr>
                <w:rStyle w:val="Hyperlink"/>
                <w:rtl/>
              </w:rPr>
              <w:t xml:space="preserve"> </w:t>
            </w:r>
            <w:r w:rsidRPr="00BF4140">
              <w:rPr>
                <w:rStyle w:val="Hyperlink"/>
                <w:rFonts w:hint="eastAsia"/>
                <w:rtl/>
              </w:rPr>
              <w:t>ל</w:t>
            </w:r>
            <w:r w:rsidRPr="00BF4140">
              <w:rPr>
                <w:rStyle w:val="Hyperlink"/>
                <w:rtl/>
              </w:rPr>
              <w:t>"</w:t>
            </w:r>
            <w:r w:rsidRPr="00BF4140">
              <w:rPr>
                <w:rStyle w:val="Hyperlink"/>
                <w:rFonts w:hint="eastAsia"/>
                <w:rtl/>
              </w:rPr>
              <w:t>ע</w:t>
            </w:r>
            <w:r w:rsidRPr="00BF4140">
              <w:rPr>
                <w:rStyle w:val="Hyperlink"/>
              </w:rPr>
              <w:t xml:space="preserve"> </w:t>
            </w:r>
            <w:r w:rsidRPr="00BF4140">
              <w:rPr>
                <w:rStyle w:val="Hyperlink"/>
                <w:rtl/>
              </w:rPr>
              <w:t xml:space="preserve"> (</w:t>
            </w:r>
            <w:r w:rsidRPr="00BF4140">
              <w:rPr>
                <w:rStyle w:val="Hyperlink"/>
                <w:rFonts w:hint="eastAsia"/>
                <w:rtl/>
              </w:rPr>
              <w:t>גליון</w:t>
            </w:r>
            <w:r w:rsidRPr="00BF4140">
              <w:rPr>
                <w:rStyle w:val="Hyperlink"/>
                <w:rtl/>
              </w:rPr>
              <w:t>)</w:t>
            </w:r>
            <w:r>
              <w:rPr>
                <w:webHidden/>
              </w:rPr>
              <w:tab/>
            </w:r>
            <w:r>
              <w:rPr>
                <w:webHidden/>
              </w:rPr>
              <w:fldChar w:fldCharType="begin"/>
            </w:r>
            <w:r>
              <w:rPr>
                <w:webHidden/>
              </w:rPr>
              <w:instrText xml:space="preserve"> PAGEREF _Toc39817469 \h </w:instrText>
            </w:r>
            <w:r>
              <w:rPr>
                <w:webHidden/>
              </w:rPr>
            </w:r>
            <w:r>
              <w:rPr>
                <w:webHidden/>
              </w:rPr>
              <w:fldChar w:fldCharType="separate"/>
            </w:r>
            <w:r>
              <w:rPr>
                <w:webHidden/>
              </w:rPr>
              <w:t>115</w:t>
            </w:r>
            <w:r>
              <w:rPr>
                <w:webHidden/>
              </w:rPr>
              <w:fldChar w:fldCharType="end"/>
            </w:r>
          </w:hyperlink>
        </w:p>
        <w:p w:rsidR="006660A0" w:rsidRDefault="006660A0" w:rsidP="006660A0">
          <w:pPr>
            <w:pStyle w:val="TOC3"/>
            <w:rPr>
              <w:rFonts w:asciiTheme="minorHAnsi" w:eastAsiaTheme="minorEastAsia" w:hAnsiTheme="minorHAnsi" w:cstheme="minorBidi"/>
              <w:sz w:val="22"/>
              <w:szCs w:val="22"/>
              <w:lang w:val="en-US"/>
            </w:rPr>
          </w:pPr>
          <w:hyperlink w:anchor="_Toc39817470" w:history="1">
            <w:r w:rsidRPr="00BF4140">
              <w:rPr>
                <w:rStyle w:val="Hyperlink"/>
                <w:rFonts w:hint="eastAsia"/>
                <w:rtl/>
              </w:rPr>
              <w:t>הרב</w:t>
            </w:r>
            <w:r w:rsidRPr="00BF4140">
              <w:rPr>
                <w:rStyle w:val="Hyperlink"/>
                <w:rtl/>
              </w:rPr>
              <w:t xml:space="preserve"> </w:t>
            </w:r>
            <w:r w:rsidRPr="00BF4140">
              <w:rPr>
                <w:rStyle w:val="Hyperlink"/>
                <w:rFonts w:hint="eastAsia"/>
                <w:rtl/>
              </w:rPr>
              <w:t>מאיר</w:t>
            </w:r>
            <w:r w:rsidRPr="00BF4140">
              <w:rPr>
                <w:rStyle w:val="Hyperlink"/>
                <w:rtl/>
              </w:rPr>
              <w:t xml:space="preserve"> </w:t>
            </w:r>
            <w:r w:rsidRPr="00BF4140">
              <w:rPr>
                <w:rStyle w:val="Hyperlink"/>
                <w:rFonts w:hint="eastAsia"/>
                <w:rtl/>
              </w:rPr>
              <w:t>צירקינד</w:t>
            </w:r>
          </w:hyperlink>
        </w:p>
        <w:p w:rsidR="006660A0" w:rsidRDefault="006660A0" w:rsidP="006660A0">
          <w:pPr>
            <w:pStyle w:val="TOC1"/>
            <w:rPr>
              <w:rFonts w:asciiTheme="minorHAnsi" w:eastAsiaTheme="minorEastAsia" w:hAnsiTheme="minorHAnsi" w:cstheme="minorBidi"/>
              <w:sz w:val="22"/>
              <w:szCs w:val="22"/>
            </w:rPr>
          </w:pPr>
          <w:hyperlink w:anchor="_Toc39817471" w:history="1">
            <w:r w:rsidRPr="00BF4140">
              <w:rPr>
                <w:rStyle w:val="Hyperlink"/>
                <w:rFonts w:hint="eastAsia"/>
                <w:rtl/>
              </w:rPr>
              <w:t>שונות</w:t>
            </w:r>
          </w:hyperlink>
        </w:p>
        <w:p w:rsidR="006660A0" w:rsidRDefault="006660A0" w:rsidP="006660A0">
          <w:pPr>
            <w:pStyle w:val="TOC2"/>
            <w:rPr>
              <w:rFonts w:asciiTheme="minorHAnsi" w:eastAsiaTheme="minorEastAsia" w:hAnsiTheme="minorHAnsi" w:cstheme="minorBidi"/>
            </w:rPr>
          </w:pPr>
          <w:hyperlink w:anchor="_Toc39817472" w:history="1">
            <w:r w:rsidRPr="00BF4140">
              <w:rPr>
                <w:rStyle w:val="Hyperlink"/>
                <w:rFonts w:eastAsia="Calibri" w:hint="eastAsia"/>
                <w:rtl/>
              </w:rPr>
              <w:t>המקור</w:t>
            </w:r>
            <w:r w:rsidRPr="00BF4140">
              <w:rPr>
                <w:rStyle w:val="Hyperlink"/>
                <w:rFonts w:eastAsia="Calibri"/>
                <w:rtl/>
              </w:rPr>
              <w:t xml:space="preserve"> </w:t>
            </w:r>
            <w:r w:rsidRPr="00BF4140">
              <w:rPr>
                <w:rStyle w:val="Hyperlink"/>
                <w:rFonts w:eastAsia="Calibri" w:hint="eastAsia"/>
                <w:rtl/>
              </w:rPr>
              <w:t>למנהג</w:t>
            </w:r>
            <w:r w:rsidRPr="00BF4140">
              <w:rPr>
                <w:rStyle w:val="Hyperlink"/>
                <w:rFonts w:eastAsia="Calibri"/>
                <w:rtl/>
              </w:rPr>
              <w:t xml:space="preserve"> </w:t>
            </w:r>
            <w:r w:rsidRPr="00BF4140">
              <w:rPr>
                <w:rStyle w:val="Hyperlink"/>
                <w:rFonts w:eastAsia="Calibri" w:hint="eastAsia"/>
                <w:rtl/>
              </w:rPr>
              <w:t>נתינת</w:t>
            </w:r>
            <w:r w:rsidRPr="00BF4140">
              <w:rPr>
                <w:rStyle w:val="Hyperlink"/>
                <w:rFonts w:eastAsia="Calibri"/>
                <w:rtl/>
              </w:rPr>
              <w:t xml:space="preserve"> </w:t>
            </w:r>
            <w:r w:rsidRPr="00BF4140">
              <w:rPr>
                <w:rStyle w:val="Hyperlink"/>
                <w:rFonts w:eastAsia="Calibri" w:hint="eastAsia"/>
                <w:rtl/>
              </w:rPr>
              <w:t>מתנת</w:t>
            </w:r>
            <w:r w:rsidRPr="00BF4140">
              <w:rPr>
                <w:rStyle w:val="Hyperlink"/>
                <w:rFonts w:eastAsia="Calibri"/>
                <w:rtl/>
              </w:rPr>
              <w:t xml:space="preserve"> </w:t>
            </w:r>
            <w:r w:rsidRPr="00BF4140">
              <w:rPr>
                <w:rStyle w:val="Hyperlink"/>
                <w:rFonts w:eastAsia="Calibri" w:hint="eastAsia"/>
                <w:rtl/>
              </w:rPr>
              <w:t>נישואין</w:t>
            </w:r>
            <w:r>
              <w:rPr>
                <w:rStyle w:val="Hyperlink"/>
                <w:rFonts w:eastAsia="Calibri" w:hint="cs"/>
                <w:rtl/>
              </w:rPr>
              <w:t xml:space="preserve"> </w:t>
            </w:r>
            <w:r w:rsidRPr="006660A0">
              <w:rPr>
                <w:rStyle w:val="Hyperlink"/>
                <w:rFonts w:eastAsia="Calibri"/>
                <w:rtl/>
              </w:rPr>
              <w:t>("</w:t>
            </w:r>
            <w:r w:rsidRPr="006660A0">
              <w:rPr>
                <w:rStyle w:val="Hyperlink"/>
                <w:rFonts w:eastAsia="Calibri" w:hint="eastAsia"/>
                <w:rtl/>
              </w:rPr>
              <w:t>דרשה</w:t>
            </w:r>
            <w:r w:rsidRPr="006660A0">
              <w:rPr>
                <w:rStyle w:val="Hyperlink"/>
                <w:rFonts w:eastAsia="Calibri"/>
                <w:rtl/>
              </w:rPr>
              <w:t xml:space="preserve"> </w:t>
            </w:r>
            <w:r w:rsidRPr="006660A0">
              <w:rPr>
                <w:rStyle w:val="Hyperlink"/>
                <w:rFonts w:eastAsia="Calibri" w:hint="eastAsia"/>
                <w:rtl/>
              </w:rPr>
              <w:t>געשאנק</w:t>
            </w:r>
            <w:r w:rsidRPr="006660A0">
              <w:rPr>
                <w:rStyle w:val="Hyperlink"/>
                <w:rFonts w:eastAsia="Calibri"/>
                <w:rtl/>
              </w:rPr>
              <w:t>")</w:t>
            </w:r>
            <w:r>
              <w:rPr>
                <w:webHidden/>
              </w:rPr>
              <w:tab/>
            </w:r>
            <w:r>
              <w:rPr>
                <w:webHidden/>
              </w:rPr>
              <w:fldChar w:fldCharType="begin"/>
            </w:r>
            <w:r>
              <w:rPr>
                <w:webHidden/>
              </w:rPr>
              <w:instrText xml:space="preserve"> PAGEREF _Toc39817472 \h </w:instrText>
            </w:r>
            <w:r>
              <w:rPr>
                <w:webHidden/>
              </w:rPr>
            </w:r>
            <w:r>
              <w:rPr>
                <w:webHidden/>
              </w:rPr>
              <w:fldChar w:fldCharType="separate"/>
            </w:r>
            <w:r>
              <w:rPr>
                <w:webHidden/>
              </w:rPr>
              <w:t>118</w:t>
            </w:r>
            <w:r>
              <w:rPr>
                <w:webHidden/>
              </w:rPr>
              <w:fldChar w:fldCharType="end"/>
            </w:r>
          </w:hyperlink>
        </w:p>
        <w:p w:rsidR="006660A0" w:rsidRDefault="006660A0" w:rsidP="006660A0">
          <w:pPr>
            <w:pStyle w:val="TOC3"/>
            <w:rPr>
              <w:rFonts w:asciiTheme="minorHAnsi" w:eastAsiaTheme="minorEastAsia" w:hAnsiTheme="minorHAnsi" w:cstheme="minorBidi"/>
              <w:sz w:val="22"/>
              <w:szCs w:val="22"/>
              <w:lang w:val="en-US"/>
            </w:rPr>
          </w:pPr>
          <w:hyperlink w:anchor="_Toc39817474" w:history="1">
            <w:r w:rsidRPr="00BF4140">
              <w:rPr>
                <w:rStyle w:val="Hyperlink"/>
                <w:rFonts w:hint="eastAsia"/>
                <w:rtl/>
              </w:rPr>
              <w:t>הרב</w:t>
            </w:r>
            <w:r w:rsidRPr="00BF4140">
              <w:rPr>
                <w:rStyle w:val="Hyperlink"/>
                <w:rtl/>
              </w:rPr>
              <w:t xml:space="preserve"> </w:t>
            </w:r>
            <w:r w:rsidRPr="00BF4140">
              <w:rPr>
                <w:rStyle w:val="Hyperlink"/>
                <w:rFonts w:hint="eastAsia"/>
                <w:rtl/>
              </w:rPr>
              <w:t>מנחם</w:t>
            </w:r>
            <w:r w:rsidRPr="00BF4140">
              <w:rPr>
                <w:rStyle w:val="Hyperlink"/>
                <w:rtl/>
              </w:rPr>
              <w:t xml:space="preserve"> </w:t>
            </w:r>
            <w:r w:rsidRPr="00BF4140">
              <w:rPr>
                <w:rStyle w:val="Hyperlink"/>
                <w:rFonts w:hint="eastAsia"/>
                <w:rtl/>
              </w:rPr>
              <w:t>מענדל</w:t>
            </w:r>
            <w:r w:rsidRPr="00BF4140">
              <w:rPr>
                <w:rStyle w:val="Hyperlink"/>
                <w:rtl/>
              </w:rPr>
              <w:t xml:space="preserve"> </w:t>
            </w:r>
            <w:r w:rsidRPr="00BF4140">
              <w:rPr>
                <w:rStyle w:val="Hyperlink"/>
                <w:rFonts w:hint="eastAsia"/>
                <w:rtl/>
              </w:rPr>
              <w:t>רייצס</w:t>
            </w:r>
          </w:hyperlink>
        </w:p>
        <w:p w:rsidR="006660A0" w:rsidRDefault="006660A0" w:rsidP="006660A0">
          <w:pPr>
            <w:pStyle w:val="TOC2"/>
            <w:rPr>
              <w:rFonts w:asciiTheme="minorHAnsi" w:eastAsiaTheme="minorEastAsia" w:hAnsiTheme="minorHAnsi" w:cstheme="minorBidi"/>
            </w:rPr>
          </w:pPr>
          <w:hyperlink w:anchor="_Toc39817475" w:history="1">
            <w:r w:rsidRPr="00BF4140">
              <w:rPr>
                <w:rStyle w:val="Hyperlink"/>
                <w:rFonts w:hint="eastAsia"/>
                <w:rtl/>
              </w:rPr>
              <w:t>׳בכל</w:t>
            </w:r>
            <w:r w:rsidRPr="00BF4140">
              <w:rPr>
                <w:rStyle w:val="Hyperlink"/>
                <w:rtl/>
              </w:rPr>
              <w:t xml:space="preserve"> </w:t>
            </w:r>
            <w:r w:rsidRPr="00BF4140">
              <w:rPr>
                <w:rStyle w:val="Hyperlink"/>
                <w:rFonts w:hint="eastAsia"/>
                <w:rtl/>
              </w:rPr>
              <w:t>המקום</w:t>
            </w:r>
            <w:r w:rsidRPr="00BF4140">
              <w:rPr>
                <w:rStyle w:val="Hyperlink"/>
                <w:rtl/>
              </w:rPr>
              <w:t>...</w:t>
            </w:r>
            <w:r w:rsidRPr="00BF4140">
              <w:rPr>
                <w:rStyle w:val="Hyperlink"/>
                <w:rFonts w:hint="eastAsia"/>
                <w:rtl/>
              </w:rPr>
              <w:t>אבוא</w:t>
            </w:r>
            <w:r w:rsidRPr="00BF4140">
              <w:rPr>
                <w:rStyle w:val="Hyperlink"/>
                <w:rtl/>
              </w:rPr>
              <w:t xml:space="preserve"> </w:t>
            </w:r>
            <w:r w:rsidRPr="00BF4140">
              <w:rPr>
                <w:rStyle w:val="Hyperlink"/>
                <w:rFonts w:hint="eastAsia"/>
                <w:rtl/>
              </w:rPr>
              <w:t>אליך</w:t>
            </w:r>
            <w:r w:rsidRPr="00BF4140">
              <w:rPr>
                <w:rStyle w:val="Hyperlink"/>
                <w:rtl/>
              </w:rPr>
              <w:t xml:space="preserve"> </w:t>
            </w:r>
            <w:r w:rsidRPr="00BF4140">
              <w:rPr>
                <w:rStyle w:val="Hyperlink"/>
                <w:rFonts w:hint="eastAsia"/>
                <w:rtl/>
              </w:rPr>
              <w:t>וברכתיך׳</w:t>
            </w:r>
            <w:r>
              <w:rPr>
                <w:webHidden/>
              </w:rPr>
              <w:tab/>
            </w:r>
            <w:r>
              <w:rPr>
                <w:webHidden/>
              </w:rPr>
              <w:fldChar w:fldCharType="begin"/>
            </w:r>
            <w:r>
              <w:rPr>
                <w:webHidden/>
              </w:rPr>
              <w:instrText xml:space="preserve"> PAGEREF _Toc39817475 \h </w:instrText>
            </w:r>
            <w:r>
              <w:rPr>
                <w:webHidden/>
              </w:rPr>
            </w:r>
            <w:r>
              <w:rPr>
                <w:webHidden/>
              </w:rPr>
              <w:fldChar w:fldCharType="separate"/>
            </w:r>
            <w:r>
              <w:rPr>
                <w:webHidden/>
              </w:rPr>
              <w:t>121</w:t>
            </w:r>
            <w:r>
              <w:rPr>
                <w:webHidden/>
              </w:rPr>
              <w:fldChar w:fldCharType="end"/>
            </w:r>
          </w:hyperlink>
        </w:p>
        <w:p w:rsidR="006660A0" w:rsidRDefault="006660A0" w:rsidP="006660A0">
          <w:pPr>
            <w:pStyle w:val="TOC3"/>
            <w:rPr>
              <w:rFonts w:asciiTheme="minorHAnsi" w:eastAsiaTheme="minorEastAsia" w:hAnsiTheme="minorHAnsi" w:cstheme="minorBidi"/>
              <w:sz w:val="22"/>
              <w:szCs w:val="22"/>
              <w:lang w:val="en-US"/>
            </w:rPr>
          </w:pPr>
          <w:hyperlink w:anchor="_Toc39817476" w:history="1">
            <w:r w:rsidRPr="00BF4140">
              <w:rPr>
                <w:rStyle w:val="Hyperlink"/>
                <w:rFonts w:hint="eastAsia"/>
                <w:rtl/>
              </w:rPr>
              <w:t>הרב</w:t>
            </w:r>
            <w:r w:rsidRPr="00BF4140">
              <w:rPr>
                <w:rStyle w:val="Hyperlink"/>
                <w:rtl/>
              </w:rPr>
              <w:t xml:space="preserve"> </w:t>
            </w:r>
            <w:r w:rsidRPr="00BF4140">
              <w:rPr>
                <w:rStyle w:val="Hyperlink"/>
                <w:rFonts w:hint="eastAsia"/>
                <w:rtl/>
              </w:rPr>
              <w:t>ישראל</w:t>
            </w:r>
            <w:r w:rsidRPr="00BF4140">
              <w:rPr>
                <w:rStyle w:val="Hyperlink"/>
                <w:rtl/>
              </w:rPr>
              <w:t xml:space="preserve"> </w:t>
            </w:r>
            <w:r w:rsidRPr="00BF4140">
              <w:rPr>
                <w:rStyle w:val="Hyperlink"/>
                <w:rFonts w:hint="eastAsia"/>
                <w:rtl/>
              </w:rPr>
              <w:t>אליעזר</w:t>
            </w:r>
            <w:r w:rsidRPr="00BF4140">
              <w:rPr>
                <w:rStyle w:val="Hyperlink"/>
                <w:rtl/>
              </w:rPr>
              <w:t xml:space="preserve"> </w:t>
            </w:r>
            <w:r w:rsidRPr="00BF4140">
              <w:rPr>
                <w:rStyle w:val="Hyperlink"/>
                <w:rFonts w:hint="eastAsia"/>
                <w:rtl/>
              </w:rPr>
              <w:t>רובין</w:t>
            </w:r>
          </w:hyperlink>
        </w:p>
        <w:p w:rsidR="006660A0" w:rsidRDefault="006660A0" w:rsidP="006660A0">
          <w:pPr>
            <w:pStyle w:val="TOC2"/>
            <w:rPr>
              <w:rFonts w:asciiTheme="minorHAnsi" w:eastAsiaTheme="minorEastAsia" w:hAnsiTheme="minorHAnsi" w:cstheme="minorBidi"/>
            </w:rPr>
          </w:pPr>
          <w:hyperlink w:anchor="_Toc39817477" w:history="1">
            <w:r w:rsidRPr="00BF4140">
              <w:rPr>
                <w:rStyle w:val="Hyperlink"/>
                <w:rFonts w:hint="eastAsia"/>
                <w:rtl/>
              </w:rPr>
              <w:t>ל</w:t>
            </w:r>
            <w:r w:rsidRPr="00BF4140">
              <w:rPr>
                <w:rStyle w:val="Hyperlink"/>
                <w:rtl/>
              </w:rPr>
              <w:t>"</w:t>
            </w:r>
            <w:r w:rsidRPr="00BF4140">
              <w:rPr>
                <w:rStyle w:val="Hyperlink"/>
                <w:rFonts w:hint="eastAsia"/>
                <w:rtl/>
              </w:rPr>
              <w:t>ג</w:t>
            </w:r>
            <w:r w:rsidRPr="00BF4140">
              <w:rPr>
                <w:rStyle w:val="Hyperlink"/>
                <w:rtl/>
              </w:rPr>
              <w:t xml:space="preserve"> </w:t>
            </w:r>
            <w:r w:rsidRPr="00BF4140">
              <w:rPr>
                <w:rStyle w:val="Hyperlink"/>
                <w:rFonts w:hint="eastAsia"/>
                <w:rtl/>
              </w:rPr>
              <w:t>בעומר</w:t>
            </w:r>
            <w:r w:rsidRPr="00BF4140">
              <w:rPr>
                <w:rStyle w:val="Hyperlink"/>
                <w:rtl/>
              </w:rPr>
              <w:t xml:space="preserve"> </w:t>
            </w:r>
            <w:r w:rsidRPr="00BF4140">
              <w:rPr>
                <w:rStyle w:val="Hyperlink"/>
                <w:rFonts w:hint="eastAsia"/>
                <w:rtl/>
              </w:rPr>
              <w:t>יום</w:t>
            </w:r>
            <w:r w:rsidRPr="00BF4140">
              <w:rPr>
                <w:rStyle w:val="Hyperlink"/>
                <w:rtl/>
              </w:rPr>
              <w:t xml:space="preserve"> </w:t>
            </w:r>
            <w:r w:rsidRPr="00BF4140">
              <w:rPr>
                <w:rStyle w:val="Hyperlink"/>
                <w:rFonts w:hint="eastAsia"/>
                <w:rtl/>
              </w:rPr>
              <w:t>הסתלקותו</w:t>
            </w:r>
            <w:r w:rsidRPr="00BF4140">
              <w:rPr>
                <w:rStyle w:val="Hyperlink"/>
                <w:rtl/>
              </w:rPr>
              <w:t xml:space="preserve"> </w:t>
            </w:r>
            <w:r w:rsidRPr="00BF4140">
              <w:rPr>
                <w:rStyle w:val="Hyperlink"/>
                <w:rFonts w:hint="eastAsia"/>
                <w:rtl/>
              </w:rPr>
              <w:t>של</w:t>
            </w:r>
            <w:r w:rsidRPr="00BF4140">
              <w:rPr>
                <w:rStyle w:val="Hyperlink"/>
                <w:rtl/>
              </w:rPr>
              <w:t xml:space="preserve"> </w:t>
            </w:r>
            <w:r w:rsidRPr="00BF4140">
              <w:rPr>
                <w:rStyle w:val="Hyperlink"/>
                <w:rFonts w:hint="eastAsia"/>
                <w:rtl/>
              </w:rPr>
              <w:t>רבי</w:t>
            </w:r>
            <w:r w:rsidRPr="00BF4140">
              <w:rPr>
                <w:rStyle w:val="Hyperlink"/>
                <w:rtl/>
              </w:rPr>
              <w:t xml:space="preserve"> </w:t>
            </w:r>
            <w:r w:rsidRPr="00BF4140">
              <w:rPr>
                <w:rStyle w:val="Hyperlink"/>
                <w:rFonts w:hint="eastAsia"/>
                <w:rtl/>
              </w:rPr>
              <w:t>שמעון</w:t>
            </w:r>
            <w:r w:rsidRPr="00BF4140">
              <w:rPr>
                <w:rStyle w:val="Hyperlink"/>
                <w:rtl/>
              </w:rPr>
              <w:t xml:space="preserve"> </w:t>
            </w:r>
            <w:r w:rsidRPr="00BF4140">
              <w:rPr>
                <w:rStyle w:val="Hyperlink"/>
                <w:rFonts w:hint="eastAsia"/>
                <w:rtl/>
              </w:rPr>
              <w:t>בר</w:t>
            </w:r>
            <w:r w:rsidRPr="00BF4140">
              <w:rPr>
                <w:rStyle w:val="Hyperlink"/>
                <w:rtl/>
              </w:rPr>
              <w:t xml:space="preserve"> </w:t>
            </w:r>
            <w:r w:rsidRPr="00BF4140">
              <w:rPr>
                <w:rStyle w:val="Hyperlink"/>
                <w:rFonts w:hint="eastAsia"/>
                <w:rtl/>
              </w:rPr>
              <w:t>יוחאי</w:t>
            </w:r>
            <w:r>
              <w:rPr>
                <w:webHidden/>
              </w:rPr>
              <w:tab/>
            </w:r>
            <w:r>
              <w:rPr>
                <w:webHidden/>
              </w:rPr>
              <w:fldChar w:fldCharType="begin"/>
            </w:r>
            <w:r>
              <w:rPr>
                <w:webHidden/>
              </w:rPr>
              <w:instrText xml:space="preserve"> PAGEREF _Toc39817477 \h </w:instrText>
            </w:r>
            <w:r>
              <w:rPr>
                <w:webHidden/>
              </w:rPr>
            </w:r>
            <w:r>
              <w:rPr>
                <w:webHidden/>
              </w:rPr>
              <w:fldChar w:fldCharType="separate"/>
            </w:r>
            <w:r>
              <w:rPr>
                <w:webHidden/>
              </w:rPr>
              <w:t>122</w:t>
            </w:r>
            <w:r>
              <w:rPr>
                <w:webHidden/>
              </w:rPr>
              <w:fldChar w:fldCharType="end"/>
            </w:r>
          </w:hyperlink>
        </w:p>
        <w:p w:rsidR="006660A0" w:rsidRDefault="006660A0" w:rsidP="006660A0">
          <w:pPr>
            <w:pStyle w:val="TOC3"/>
            <w:rPr>
              <w:rFonts w:asciiTheme="minorHAnsi" w:eastAsiaTheme="minorEastAsia" w:hAnsiTheme="minorHAnsi" w:cstheme="minorBidi"/>
              <w:sz w:val="22"/>
              <w:szCs w:val="22"/>
              <w:lang w:val="en-US"/>
            </w:rPr>
          </w:pPr>
          <w:hyperlink w:anchor="_Toc39817478" w:history="1">
            <w:r w:rsidRPr="00BF4140">
              <w:rPr>
                <w:rStyle w:val="Hyperlink"/>
                <w:rFonts w:hint="eastAsia"/>
                <w:rtl/>
              </w:rPr>
              <w:t>הרב</w:t>
            </w:r>
            <w:r w:rsidRPr="00BF4140">
              <w:rPr>
                <w:rStyle w:val="Hyperlink"/>
                <w:rtl/>
              </w:rPr>
              <w:t xml:space="preserve"> </w:t>
            </w:r>
            <w:r w:rsidRPr="00BF4140">
              <w:rPr>
                <w:rStyle w:val="Hyperlink"/>
                <w:rFonts w:hint="eastAsia"/>
                <w:rtl/>
              </w:rPr>
              <w:t>ישכר</w:t>
            </w:r>
            <w:r w:rsidRPr="00BF4140">
              <w:rPr>
                <w:rStyle w:val="Hyperlink"/>
                <w:rtl/>
              </w:rPr>
              <w:t xml:space="preserve"> </w:t>
            </w:r>
            <w:r w:rsidRPr="00BF4140">
              <w:rPr>
                <w:rStyle w:val="Hyperlink"/>
                <w:rFonts w:hint="eastAsia"/>
                <w:rtl/>
              </w:rPr>
              <w:t>דוד</w:t>
            </w:r>
            <w:r w:rsidRPr="00BF4140">
              <w:rPr>
                <w:rStyle w:val="Hyperlink"/>
                <w:rtl/>
              </w:rPr>
              <w:t xml:space="preserve"> </w:t>
            </w:r>
            <w:r w:rsidRPr="00BF4140">
              <w:rPr>
                <w:rStyle w:val="Hyperlink"/>
                <w:rFonts w:hint="eastAsia"/>
                <w:rtl/>
              </w:rPr>
              <w:t>קלויזנר</w:t>
            </w:r>
          </w:hyperlink>
        </w:p>
        <w:p w:rsidR="006660A0" w:rsidRDefault="006660A0" w:rsidP="006660A0">
          <w:pPr>
            <w:pStyle w:val="TOC2"/>
            <w:rPr>
              <w:rFonts w:asciiTheme="minorHAnsi" w:eastAsiaTheme="minorEastAsia" w:hAnsiTheme="minorHAnsi" w:cstheme="minorBidi"/>
            </w:rPr>
          </w:pPr>
          <w:hyperlink w:anchor="_Toc39817479" w:history="1">
            <w:r w:rsidRPr="00BF4140">
              <w:rPr>
                <w:rStyle w:val="Hyperlink"/>
                <w:rFonts w:eastAsia="David Libre" w:hint="eastAsia"/>
                <w:rtl/>
              </w:rPr>
              <w:t>תפוח</w:t>
            </w:r>
            <w:r w:rsidRPr="00BF4140">
              <w:rPr>
                <w:rStyle w:val="Hyperlink"/>
                <w:rFonts w:eastAsia="David Libre"/>
                <w:rtl/>
              </w:rPr>
              <w:t xml:space="preserve"> </w:t>
            </w:r>
            <w:r w:rsidRPr="00BF4140">
              <w:rPr>
                <w:rStyle w:val="Hyperlink"/>
                <w:rFonts w:eastAsia="David Libre" w:hint="eastAsia"/>
                <w:rtl/>
              </w:rPr>
              <w:t>שאכל</w:t>
            </w:r>
            <w:r w:rsidRPr="00BF4140">
              <w:rPr>
                <w:rStyle w:val="Hyperlink"/>
                <w:rFonts w:eastAsia="David Libre"/>
                <w:rtl/>
              </w:rPr>
              <w:t xml:space="preserve"> </w:t>
            </w:r>
            <w:r w:rsidRPr="00BF4140">
              <w:rPr>
                <w:rStyle w:val="Hyperlink"/>
                <w:rFonts w:eastAsia="David Libre" w:hint="eastAsia"/>
                <w:rtl/>
              </w:rPr>
              <w:t>אדה</w:t>
            </w:r>
            <w:r w:rsidRPr="00BF4140">
              <w:rPr>
                <w:rStyle w:val="Hyperlink"/>
                <w:rFonts w:eastAsia="David Libre"/>
                <w:rtl/>
              </w:rPr>
              <w:t>"</w:t>
            </w:r>
            <w:r w:rsidRPr="00BF4140">
              <w:rPr>
                <w:rStyle w:val="Hyperlink"/>
                <w:rFonts w:eastAsia="David Libre" w:hint="eastAsia"/>
                <w:rtl/>
              </w:rPr>
              <w:t>ר</w:t>
            </w:r>
            <w:r>
              <w:rPr>
                <w:webHidden/>
              </w:rPr>
              <w:tab/>
            </w:r>
            <w:r>
              <w:rPr>
                <w:webHidden/>
              </w:rPr>
              <w:fldChar w:fldCharType="begin"/>
            </w:r>
            <w:r>
              <w:rPr>
                <w:webHidden/>
              </w:rPr>
              <w:instrText xml:space="preserve"> PAGEREF _Toc39817479 \h </w:instrText>
            </w:r>
            <w:r>
              <w:rPr>
                <w:webHidden/>
              </w:rPr>
            </w:r>
            <w:r>
              <w:rPr>
                <w:webHidden/>
              </w:rPr>
              <w:fldChar w:fldCharType="separate"/>
            </w:r>
            <w:r>
              <w:rPr>
                <w:webHidden/>
              </w:rPr>
              <w:t>131</w:t>
            </w:r>
            <w:r>
              <w:rPr>
                <w:webHidden/>
              </w:rPr>
              <w:fldChar w:fldCharType="end"/>
            </w:r>
          </w:hyperlink>
        </w:p>
        <w:p w:rsidR="006660A0" w:rsidRDefault="006660A0" w:rsidP="006660A0">
          <w:pPr>
            <w:pStyle w:val="TOC3"/>
            <w:rPr>
              <w:rFonts w:asciiTheme="minorHAnsi" w:eastAsiaTheme="minorEastAsia" w:hAnsiTheme="minorHAnsi" w:cstheme="minorBidi"/>
              <w:sz w:val="22"/>
              <w:szCs w:val="22"/>
              <w:lang w:val="en-US"/>
            </w:rPr>
          </w:pPr>
          <w:hyperlink w:anchor="_Toc39817480" w:history="1">
            <w:r w:rsidRPr="00BF4140">
              <w:rPr>
                <w:rStyle w:val="Hyperlink"/>
                <w:rFonts w:hint="eastAsia"/>
                <w:rtl/>
              </w:rPr>
              <w:t>הרב</w:t>
            </w:r>
            <w:r w:rsidRPr="00BF4140">
              <w:rPr>
                <w:rStyle w:val="Hyperlink"/>
                <w:rtl/>
              </w:rPr>
              <w:t xml:space="preserve"> </w:t>
            </w:r>
            <w:r w:rsidRPr="00BF4140">
              <w:rPr>
                <w:rStyle w:val="Hyperlink"/>
                <w:rFonts w:hint="eastAsia"/>
                <w:rtl/>
              </w:rPr>
              <w:t>מרדכי</w:t>
            </w:r>
            <w:r w:rsidRPr="00BF4140">
              <w:rPr>
                <w:rStyle w:val="Hyperlink"/>
                <w:rtl/>
              </w:rPr>
              <w:t xml:space="preserve"> </w:t>
            </w:r>
            <w:r w:rsidRPr="00BF4140">
              <w:rPr>
                <w:rStyle w:val="Hyperlink"/>
                <w:rFonts w:hint="eastAsia"/>
                <w:rtl/>
              </w:rPr>
              <w:t>דובער</w:t>
            </w:r>
            <w:r w:rsidRPr="00BF4140">
              <w:rPr>
                <w:rStyle w:val="Hyperlink"/>
                <w:rtl/>
              </w:rPr>
              <w:t xml:space="preserve"> </w:t>
            </w:r>
            <w:r w:rsidRPr="00BF4140">
              <w:rPr>
                <w:rStyle w:val="Hyperlink"/>
                <w:rFonts w:hint="eastAsia"/>
                <w:rtl/>
              </w:rPr>
              <w:t>ווילהעלם</w:t>
            </w:r>
          </w:hyperlink>
        </w:p>
        <w:p w:rsidR="006660A0" w:rsidRDefault="006660A0" w:rsidP="006660A0">
          <w:pPr>
            <w:pStyle w:val="TOC2"/>
            <w:rPr>
              <w:rFonts w:asciiTheme="minorHAnsi" w:eastAsiaTheme="minorEastAsia" w:hAnsiTheme="minorHAnsi" w:cstheme="minorBidi"/>
            </w:rPr>
          </w:pPr>
          <w:hyperlink w:anchor="_Toc39817481" w:history="1">
            <w:r w:rsidRPr="00BF4140">
              <w:rPr>
                <w:rStyle w:val="Hyperlink"/>
                <w:rFonts w:hint="eastAsia"/>
                <w:rtl/>
              </w:rPr>
              <w:t>בירור</w:t>
            </w:r>
            <w:r w:rsidRPr="00BF4140">
              <w:rPr>
                <w:rStyle w:val="Hyperlink"/>
                <w:rtl/>
              </w:rPr>
              <w:t xml:space="preserve"> </w:t>
            </w:r>
            <w:r w:rsidRPr="00BF4140">
              <w:rPr>
                <w:rStyle w:val="Hyperlink"/>
                <w:rFonts w:hint="eastAsia"/>
                <w:rtl/>
              </w:rPr>
              <w:t>בחיי</w:t>
            </w:r>
            <w:r w:rsidRPr="00BF4140">
              <w:rPr>
                <w:rStyle w:val="Hyperlink"/>
                <w:rtl/>
              </w:rPr>
              <w:t xml:space="preserve"> </w:t>
            </w:r>
            <w:r w:rsidRPr="00BF4140">
              <w:rPr>
                <w:rStyle w:val="Hyperlink"/>
                <w:rFonts w:hint="eastAsia"/>
                <w:rtl/>
              </w:rPr>
              <w:t>החסיד</w:t>
            </w:r>
            <w:r w:rsidRPr="00BF4140">
              <w:rPr>
                <w:rStyle w:val="Hyperlink"/>
                <w:rtl/>
              </w:rPr>
              <w:t xml:space="preserve"> </w:t>
            </w:r>
            <w:r w:rsidRPr="00BF4140">
              <w:rPr>
                <w:rStyle w:val="Hyperlink"/>
                <w:rFonts w:hint="eastAsia"/>
                <w:rtl/>
              </w:rPr>
              <w:t>ר</w:t>
            </w:r>
            <w:r w:rsidRPr="00BF4140">
              <w:rPr>
                <w:rStyle w:val="Hyperlink"/>
                <w:rtl/>
              </w:rPr>
              <w:t xml:space="preserve">' </w:t>
            </w:r>
            <w:r w:rsidRPr="00BF4140">
              <w:rPr>
                <w:rStyle w:val="Hyperlink"/>
                <w:rFonts w:hint="eastAsia"/>
                <w:rtl/>
              </w:rPr>
              <w:t>שמואל</w:t>
            </w:r>
            <w:r w:rsidRPr="00BF4140">
              <w:rPr>
                <w:rStyle w:val="Hyperlink"/>
                <w:rtl/>
              </w:rPr>
              <w:t xml:space="preserve"> </w:t>
            </w:r>
            <w:r w:rsidRPr="00BF4140">
              <w:rPr>
                <w:rStyle w:val="Hyperlink"/>
                <w:rFonts w:hint="eastAsia"/>
                <w:rtl/>
              </w:rPr>
              <w:t>מונקעס</w:t>
            </w:r>
            <w:r>
              <w:rPr>
                <w:webHidden/>
              </w:rPr>
              <w:tab/>
            </w:r>
            <w:r>
              <w:rPr>
                <w:webHidden/>
              </w:rPr>
              <w:fldChar w:fldCharType="begin"/>
            </w:r>
            <w:r>
              <w:rPr>
                <w:webHidden/>
              </w:rPr>
              <w:instrText xml:space="preserve"> PAGEREF _Toc39817481 \h </w:instrText>
            </w:r>
            <w:r>
              <w:rPr>
                <w:webHidden/>
              </w:rPr>
            </w:r>
            <w:r>
              <w:rPr>
                <w:webHidden/>
              </w:rPr>
              <w:fldChar w:fldCharType="separate"/>
            </w:r>
            <w:r>
              <w:rPr>
                <w:webHidden/>
              </w:rPr>
              <w:t>132</w:t>
            </w:r>
            <w:r>
              <w:rPr>
                <w:webHidden/>
              </w:rPr>
              <w:fldChar w:fldCharType="end"/>
            </w:r>
          </w:hyperlink>
        </w:p>
        <w:p w:rsidR="006660A0" w:rsidRDefault="006660A0" w:rsidP="006660A0">
          <w:pPr>
            <w:pStyle w:val="TOC3"/>
            <w:rPr>
              <w:rFonts w:asciiTheme="minorHAnsi" w:eastAsiaTheme="minorEastAsia" w:hAnsiTheme="minorHAnsi" w:cstheme="minorBidi"/>
              <w:sz w:val="22"/>
              <w:szCs w:val="22"/>
              <w:lang w:val="en-US"/>
            </w:rPr>
          </w:pPr>
          <w:hyperlink w:anchor="_Toc39817482" w:history="1">
            <w:r w:rsidRPr="00BF4140">
              <w:rPr>
                <w:rStyle w:val="Hyperlink"/>
                <w:rFonts w:hint="eastAsia"/>
                <w:rtl/>
              </w:rPr>
              <w:t>הת</w:t>
            </w:r>
            <w:r w:rsidRPr="00BF4140">
              <w:rPr>
                <w:rStyle w:val="Hyperlink"/>
                <w:rtl/>
              </w:rPr>
              <w:t xml:space="preserve">' </w:t>
            </w:r>
            <w:r w:rsidRPr="00BF4140">
              <w:rPr>
                <w:rStyle w:val="Hyperlink"/>
                <w:rFonts w:hint="eastAsia"/>
                <w:rtl/>
              </w:rPr>
              <w:t>אשר</w:t>
            </w:r>
            <w:r w:rsidRPr="00BF4140">
              <w:rPr>
                <w:rStyle w:val="Hyperlink"/>
                <w:rtl/>
              </w:rPr>
              <w:t xml:space="preserve"> </w:t>
            </w:r>
            <w:r w:rsidRPr="00BF4140">
              <w:rPr>
                <w:rStyle w:val="Hyperlink"/>
                <w:rFonts w:hint="eastAsia"/>
                <w:rtl/>
              </w:rPr>
              <w:t>זך</w:t>
            </w:r>
          </w:hyperlink>
        </w:p>
        <w:p w:rsidR="006660A0" w:rsidRDefault="006660A0" w:rsidP="006660A0">
          <w:pPr>
            <w:pStyle w:val="TOC2"/>
            <w:rPr>
              <w:rFonts w:asciiTheme="minorHAnsi" w:eastAsiaTheme="minorEastAsia" w:hAnsiTheme="minorHAnsi" w:cstheme="minorBidi"/>
            </w:rPr>
          </w:pPr>
          <w:hyperlink w:anchor="_Toc39817483" w:history="1">
            <w:r w:rsidRPr="00BF4140">
              <w:rPr>
                <w:rStyle w:val="Hyperlink"/>
                <w:rFonts w:hint="eastAsia"/>
                <w:rtl/>
              </w:rPr>
              <w:t>כמה</w:t>
            </w:r>
            <w:r w:rsidRPr="00BF4140">
              <w:rPr>
                <w:rStyle w:val="Hyperlink"/>
                <w:rtl/>
              </w:rPr>
              <w:t xml:space="preserve"> </w:t>
            </w:r>
            <w:r w:rsidRPr="00BF4140">
              <w:rPr>
                <w:rStyle w:val="Hyperlink"/>
                <w:rFonts w:hint="eastAsia"/>
                <w:rtl/>
              </w:rPr>
              <w:t>הערות</w:t>
            </w:r>
            <w:r w:rsidRPr="00BF4140">
              <w:rPr>
                <w:rStyle w:val="Hyperlink"/>
                <w:rtl/>
              </w:rPr>
              <w:t xml:space="preserve"> </w:t>
            </w:r>
            <w:r w:rsidRPr="00BF4140">
              <w:rPr>
                <w:rStyle w:val="Hyperlink"/>
                <w:rFonts w:hint="eastAsia"/>
                <w:rtl/>
              </w:rPr>
              <w:t>קטנות</w:t>
            </w:r>
            <w:r w:rsidRPr="00BF4140">
              <w:rPr>
                <w:rStyle w:val="Hyperlink"/>
                <w:rtl/>
              </w:rPr>
              <w:t xml:space="preserve"> </w:t>
            </w:r>
            <w:r w:rsidRPr="00BF4140">
              <w:rPr>
                <w:rStyle w:val="Hyperlink"/>
                <w:rFonts w:hint="eastAsia"/>
                <w:rtl/>
              </w:rPr>
              <w:t>בעניין</w:t>
            </w:r>
            <w:r w:rsidRPr="00BF4140">
              <w:rPr>
                <w:rStyle w:val="Hyperlink"/>
                <w:rtl/>
              </w:rPr>
              <w:t xml:space="preserve"> "</w:t>
            </w:r>
            <w:r w:rsidRPr="00BF4140">
              <w:rPr>
                <w:rStyle w:val="Hyperlink"/>
                <w:rFonts w:hint="eastAsia"/>
                <w:rtl/>
              </w:rPr>
              <w:t>הרב</w:t>
            </w:r>
            <w:r w:rsidRPr="00BF4140">
              <w:rPr>
                <w:rStyle w:val="Hyperlink"/>
                <w:rtl/>
              </w:rPr>
              <w:t xml:space="preserve"> </w:t>
            </w:r>
            <w:r w:rsidRPr="00BF4140">
              <w:rPr>
                <w:rStyle w:val="Hyperlink"/>
                <w:rFonts w:hint="eastAsia"/>
                <w:rtl/>
              </w:rPr>
              <w:t>מווא</w:t>
            </w:r>
            <w:r w:rsidRPr="00BF4140">
              <w:rPr>
                <w:rStyle w:val="Hyperlink"/>
                <w:rFonts w:asciiTheme="minorBidi" w:hAnsiTheme="minorBidi" w:hint="eastAsia"/>
                <w:rtl/>
              </w:rPr>
              <w:t>ָ</w:t>
            </w:r>
            <w:r w:rsidRPr="00BF4140">
              <w:rPr>
                <w:rStyle w:val="Hyperlink"/>
                <w:rFonts w:hint="eastAsia"/>
                <w:rtl/>
              </w:rPr>
              <w:t>לפ</w:t>
            </w:r>
            <w:r w:rsidRPr="00BF4140">
              <w:rPr>
                <w:rStyle w:val="Hyperlink"/>
                <w:rFonts w:asciiTheme="minorBidi" w:hAnsiTheme="minorBidi" w:hint="eastAsia"/>
                <w:rtl/>
              </w:rPr>
              <w:t>ַּ</w:t>
            </w:r>
            <w:r w:rsidRPr="00BF4140">
              <w:rPr>
                <w:rStyle w:val="Hyperlink"/>
                <w:rFonts w:hint="eastAsia"/>
                <w:rtl/>
              </w:rPr>
              <w:t>א</w:t>
            </w:r>
            <w:r w:rsidRPr="00BF4140">
              <w:rPr>
                <w:rStyle w:val="Hyperlink"/>
                <w:rtl/>
              </w:rPr>
              <w:t>"</w:t>
            </w:r>
            <w:r>
              <w:rPr>
                <w:webHidden/>
              </w:rPr>
              <w:tab/>
            </w:r>
            <w:r>
              <w:rPr>
                <w:webHidden/>
              </w:rPr>
              <w:fldChar w:fldCharType="begin"/>
            </w:r>
            <w:r>
              <w:rPr>
                <w:webHidden/>
              </w:rPr>
              <w:instrText xml:space="preserve"> PAGEREF _Toc39817483 \h </w:instrText>
            </w:r>
            <w:r>
              <w:rPr>
                <w:webHidden/>
              </w:rPr>
            </w:r>
            <w:r>
              <w:rPr>
                <w:webHidden/>
              </w:rPr>
              <w:fldChar w:fldCharType="separate"/>
            </w:r>
            <w:r>
              <w:rPr>
                <w:webHidden/>
              </w:rPr>
              <w:t>134</w:t>
            </w:r>
            <w:r>
              <w:rPr>
                <w:webHidden/>
              </w:rPr>
              <w:fldChar w:fldCharType="end"/>
            </w:r>
          </w:hyperlink>
        </w:p>
        <w:p w:rsidR="006660A0" w:rsidRDefault="006660A0" w:rsidP="006660A0">
          <w:pPr>
            <w:pStyle w:val="TOC3"/>
            <w:rPr>
              <w:rFonts w:asciiTheme="minorHAnsi" w:eastAsiaTheme="minorEastAsia" w:hAnsiTheme="minorHAnsi" w:cstheme="minorBidi"/>
              <w:sz w:val="22"/>
              <w:szCs w:val="22"/>
              <w:lang w:val="en-US"/>
            </w:rPr>
          </w:pPr>
          <w:hyperlink w:anchor="_Toc39817484" w:history="1">
            <w:r w:rsidRPr="00BF4140">
              <w:rPr>
                <w:rStyle w:val="Hyperlink"/>
                <w:rFonts w:hint="eastAsia"/>
                <w:rtl/>
              </w:rPr>
              <w:t>הנ</w:t>
            </w:r>
            <w:r w:rsidRPr="00BF4140">
              <w:rPr>
                <w:rStyle w:val="Hyperlink"/>
                <w:rtl/>
              </w:rPr>
              <w:t>"</w:t>
            </w:r>
            <w:r w:rsidRPr="00BF4140">
              <w:rPr>
                <w:rStyle w:val="Hyperlink"/>
                <w:rFonts w:hint="eastAsia"/>
                <w:rtl/>
              </w:rPr>
              <w:t>ל</w:t>
            </w:r>
          </w:hyperlink>
        </w:p>
        <w:p w:rsidR="006660A0" w:rsidRDefault="006660A0" w:rsidP="006660A0">
          <w:pPr>
            <w:pStyle w:val="TOC2"/>
            <w:rPr>
              <w:rFonts w:asciiTheme="minorHAnsi" w:eastAsiaTheme="minorEastAsia" w:hAnsiTheme="minorHAnsi" w:cstheme="minorBidi"/>
            </w:rPr>
          </w:pPr>
          <w:hyperlink w:anchor="_Toc39817485" w:history="1">
            <w:r w:rsidRPr="00BF4140">
              <w:rPr>
                <w:rStyle w:val="Hyperlink"/>
                <w:rFonts w:hint="eastAsia"/>
                <w:rtl/>
              </w:rPr>
              <w:t>ביאור</w:t>
            </w:r>
            <w:r w:rsidRPr="00BF4140">
              <w:rPr>
                <w:rStyle w:val="Hyperlink"/>
                <w:rtl/>
              </w:rPr>
              <w:t xml:space="preserve"> </w:t>
            </w:r>
            <w:r w:rsidRPr="00BF4140">
              <w:rPr>
                <w:rStyle w:val="Hyperlink"/>
                <w:rFonts w:hint="eastAsia"/>
                <w:rtl/>
              </w:rPr>
              <w:t>פתגם</w:t>
            </w:r>
            <w:r w:rsidRPr="00BF4140">
              <w:rPr>
                <w:rStyle w:val="Hyperlink"/>
                <w:rtl/>
              </w:rPr>
              <w:t xml:space="preserve"> "</w:t>
            </w:r>
            <w:r w:rsidRPr="00BF4140">
              <w:rPr>
                <w:rStyle w:val="Hyperlink"/>
                <w:rFonts w:hint="eastAsia"/>
                <w:rtl/>
              </w:rPr>
              <w:t>לכתחילה</w:t>
            </w:r>
            <w:r w:rsidRPr="00BF4140">
              <w:rPr>
                <w:rStyle w:val="Hyperlink"/>
                <w:rtl/>
              </w:rPr>
              <w:t xml:space="preserve"> </w:t>
            </w:r>
            <w:r w:rsidRPr="00BF4140">
              <w:rPr>
                <w:rStyle w:val="Hyperlink"/>
                <w:rFonts w:hint="eastAsia"/>
                <w:rtl/>
              </w:rPr>
              <w:t>אריבער</w:t>
            </w:r>
            <w:r w:rsidRPr="00BF4140">
              <w:rPr>
                <w:rStyle w:val="Hyperlink"/>
                <w:rtl/>
              </w:rPr>
              <w:t>"</w:t>
            </w:r>
            <w:r>
              <w:rPr>
                <w:webHidden/>
              </w:rPr>
              <w:tab/>
            </w:r>
            <w:r>
              <w:rPr>
                <w:webHidden/>
              </w:rPr>
              <w:fldChar w:fldCharType="begin"/>
            </w:r>
            <w:r>
              <w:rPr>
                <w:webHidden/>
              </w:rPr>
              <w:instrText xml:space="preserve"> PAGEREF _Toc39817485 \h </w:instrText>
            </w:r>
            <w:r>
              <w:rPr>
                <w:webHidden/>
              </w:rPr>
            </w:r>
            <w:r>
              <w:rPr>
                <w:webHidden/>
              </w:rPr>
              <w:fldChar w:fldCharType="separate"/>
            </w:r>
            <w:r>
              <w:rPr>
                <w:webHidden/>
              </w:rPr>
              <w:t>136</w:t>
            </w:r>
            <w:r>
              <w:rPr>
                <w:webHidden/>
              </w:rPr>
              <w:fldChar w:fldCharType="end"/>
            </w:r>
          </w:hyperlink>
        </w:p>
        <w:p w:rsidR="006660A0" w:rsidRDefault="006660A0" w:rsidP="006660A0">
          <w:pPr>
            <w:pStyle w:val="TOC3"/>
            <w:rPr>
              <w:rFonts w:asciiTheme="minorHAnsi" w:eastAsiaTheme="minorEastAsia" w:hAnsiTheme="minorHAnsi" w:cstheme="minorBidi"/>
              <w:sz w:val="22"/>
              <w:szCs w:val="22"/>
              <w:lang w:val="en-US"/>
            </w:rPr>
          </w:pPr>
          <w:hyperlink w:anchor="_Toc39817486" w:history="1">
            <w:r w:rsidRPr="00BF4140">
              <w:rPr>
                <w:rStyle w:val="Hyperlink"/>
                <w:rFonts w:hint="eastAsia"/>
                <w:rtl/>
              </w:rPr>
              <w:t>הרב</w:t>
            </w:r>
            <w:r w:rsidRPr="00BF4140">
              <w:rPr>
                <w:rStyle w:val="Hyperlink"/>
                <w:rtl/>
              </w:rPr>
              <w:t xml:space="preserve"> </w:t>
            </w:r>
            <w:r w:rsidRPr="00BF4140">
              <w:rPr>
                <w:rStyle w:val="Hyperlink"/>
                <w:rFonts w:hint="eastAsia"/>
                <w:rtl/>
              </w:rPr>
              <w:t>אליהו</w:t>
            </w:r>
            <w:r w:rsidRPr="00BF4140">
              <w:rPr>
                <w:rStyle w:val="Hyperlink"/>
                <w:rtl/>
              </w:rPr>
              <w:t xml:space="preserve"> </w:t>
            </w:r>
            <w:r w:rsidRPr="00BF4140">
              <w:rPr>
                <w:rStyle w:val="Hyperlink"/>
                <w:rFonts w:hint="eastAsia"/>
                <w:rtl/>
              </w:rPr>
              <w:t>מטוסוב</w:t>
            </w:r>
          </w:hyperlink>
        </w:p>
        <w:p w:rsidR="00760DB7" w:rsidRPr="00760DB7" w:rsidRDefault="00760DB7" w:rsidP="006660A0">
          <w:pPr>
            <w:tabs>
              <w:tab w:val="right" w:leader="dot" w:pos="6182"/>
            </w:tabs>
            <w:bidi/>
            <w:spacing w:after="100"/>
            <w:rPr>
              <w:rFonts w:ascii="FbSfaradi" w:hAnsi="FbSfaradi" w:cs="FbSfaradi"/>
              <w:noProof/>
              <w:sz w:val="20"/>
              <w:szCs w:val="20"/>
              <w:rtl/>
              <w:lang w:val="en-GB"/>
            </w:rPr>
            <w:sectPr w:rsidR="00760DB7" w:rsidRPr="00760DB7" w:rsidSect="00E22432">
              <w:footnotePr>
                <w:numRestart w:val="eachSect"/>
              </w:footnotePr>
              <w:pgSz w:w="7920" w:h="12240"/>
              <w:pgMar w:top="720" w:right="864" w:bottom="720" w:left="864" w:header="720" w:footer="720" w:gutter="0"/>
              <w:cols w:space="720"/>
              <w:docGrid w:linePitch="360"/>
            </w:sectPr>
          </w:pPr>
          <w:r w:rsidRPr="00760DB7">
            <w:rPr>
              <w:rFonts w:ascii="FbSfaradi" w:hAnsi="FbSfaradi" w:cs="FbSfaradi"/>
              <w:noProof/>
              <w:sz w:val="200"/>
              <w:szCs w:val="200"/>
              <w:lang w:val="en-GB"/>
            </w:rPr>
            <w:fldChar w:fldCharType="end"/>
          </w:r>
        </w:p>
      </w:sdtContent>
    </w:sdt>
    <w:p w:rsidR="00760DB7" w:rsidRPr="00760DB7" w:rsidRDefault="00760DB7" w:rsidP="00760DB7">
      <w:pPr>
        <w:rPr>
          <w:rFonts w:ascii="FbSfaradi Medium" w:eastAsia="Times New Roman" w:hAnsi="FbSfaradi Medium" w:cs="FbSfaradi Medium"/>
          <w:sz w:val="70"/>
          <w:szCs w:val="70"/>
          <w:rtl/>
          <w:lang w:val="en-GB"/>
        </w:rPr>
      </w:pPr>
      <w:bookmarkStart w:id="89" w:name="_Toc504475482"/>
      <w:bookmarkStart w:id="90" w:name="_Toc403698996"/>
      <w:bookmarkStart w:id="91" w:name="_Toc405513659"/>
      <w:bookmarkStart w:id="92" w:name="_Toc408433553"/>
      <w:r w:rsidRPr="00760DB7">
        <w:rPr>
          <w:rtl/>
        </w:rPr>
        <w:br w:type="page"/>
      </w:r>
      <w:r w:rsidRPr="00760DB7">
        <w:rPr>
          <w:noProof/>
          <w:sz w:val="24"/>
          <w:szCs w:val="24"/>
        </w:rPr>
        <mc:AlternateContent>
          <mc:Choice Requires="wps">
            <w:drawing>
              <wp:anchor distT="0" distB="0" distL="114300" distR="114300" simplePos="0" relativeHeight="251663360" behindDoc="1" locked="0" layoutInCell="1" allowOverlap="1" wp14:anchorId="46DED646" wp14:editId="6DCF1A10">
                <wp:simplePos x="0" y="0"/>
                <wp:positionH relativeFrom="column">
                  <wp:posOffset>-360680</wp:posOffset>
                </wp:positionH>
                <wp:positionV relativeFrom="paragraph">
                  <wp:posOffset>2908935</wp:posOffset>
                </wp:positionV>
                <wp:extent cx="4659630" cy="2844800"/>
                <wp:effectExtent l="0" t="0" r="26670" b="12700"/>
                <wp:wrapTopAndBottom/>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9630" cy="2844800"/>
                        </a:xfrm>
                        <a:prstGeom prst="rect">
                          <a:avLst/>
                        </a:prstGeom>
                        <a:solidFill>
                          <a:sysClr val="window" lastClr="FFFFFF"/>
                        </a:solidFill>
                        <a:ln w="12700" cap="flat" cmpd="sng" algn="ctr">
                          <a:solidFill>
                            <a:sysClr val="windowText" lastClr="000000"/>
                          </a:solidFill>
                          <a:prstDash val="solid"/>
                          <a:miter lim="800000"/>
                          <a:headEnd/>
                          <a:tailEnd/>
                        </a:ln>
                        <a:effectLst/>
                      </wps:spPr>
                      <wps:txbx>
                        <w:txbxContent>
                          <w:p w:rsidR="004C3605" w:rsidRDefault="004C3605" w:rsidP="00760DB7">
                            <w:pPr>
                              <w:bidi/>
                              <w:spacing w:after="0" w:line="240" w:lineRule="auto"/>
                              <w:ind w:left="600" w:right="600"/>
                              <w:jc w:val="center"/>
                              <w:rPr>
                                <w:rFonts w:ascii="FbSfaradi Medium" w:hAnsi="FbSfaradi Medium" w:cs="1ShefaClassic"/>
                                <w:sz w:val="28"/>
                                <w:szCs w:val="28"/>
                              </w:rPr>
                            </w:pPr>
                            <w:r>
                              <w:rPr>
                                <w:rFonts w:ascii="FbSfaradi Medium" w:hAnsi="FbSfaradi Medium" w:cs="1ShefaClassic" w:hint="cs"/>
                                <w:sz w:val="28"/>
                                <w:szCs w:val="28"/>
                                <w:rtl/>
                              </w:rPr>
                              <w:t>הקובץ הבא</w:t>
                            </w:r>
                          </w:p>
                          <w:p w:rsidR="004C3605" w:rsidRDefault="004C3605" w:rsidP="00BF0497">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יצא לאור אי"ה לכבוד חג השבועות ה'תש"פ</w:t>
                            </w:r>
                            <w:r>
                              <w:rPr>
                                <w:rFonts w:ascii="FbSfaradi Medium" w:hAnsi="FbSfaradi Medium" w:cs="1ShefaClassic" w:hint="cs"/>
                                <w:sz w:val="28"/>
                                <w:szCs w:val="28"/>
                                <w:rtl/>
                              </w:rPr>
                              <w:br/>
                              <w:t xml:space="preserve">הערות יש לשלוח </w:t>
                            </w:r>
                            <w:r>
                              <w:rPr>
                                <w:rFonts w:ascii="FbSfaradi Medium" w:hAnsi="FbSfaradi Medium" w:cs="1ShefaClassic" w:hint="cs"/>
                                <w:b/>
                                <w:bCs/>
                                <w:sz w:val="28"/>
                                <w:szCs w:val="28"/>
                                <w:rtl/>
                              </w:rPr>
                              <w:t>לא יאוחר</w:t>
                            </w:r>
                            <w:r>
                              <w:rPr>
                                <w:rFonts w:ascii="FbSfaradi Medium" w:hAnsi="FbSfaradi Medium" w:cs="1ShefaClassic" w:hint="cs"/>
                                <w:sz w:val="28"/>
                                <w:szCs w:val="28"/>
                                <w:rtl/>
                              </w:rPr>
                              <w:t xml:space="preserve"> מיום ב', ב' סיון ה'תש"פ </w:t>
                            </w:r>
                          </w:p>
                          <w:p w:rsidR="004C3605" w:rsidRDefault="004C3605" w:rsidP="00760DB7">
                            <w:pPr>
                              <w:pStyle w:val="Footer"/>
                              <w:bidi/>
                              <w:jc w:val="center"/>
                              <w:rPr>
                                <w:rFonts w:ascii="FbFrankReal" w:hAnsi="FbFrankReal" w:cs="Levenim MT"/>
                                <w:sz w:val="16"/>
                                <w:szCs w:val="16"/>
                                <w:rtl/>
                              </w:rPr>
                            </w:pPr>
                            <w:r>
                              <w:rPr>
                                <w:rFonts w:ascii="FbFrankReal" w:hAnsi="FbFrankReal" w:cs="1ShefaClassic" w:hint="cs"/>
                                <w:b/>
                                <w:bCs/>
                                <w:sz w:val="28"/>
                                <w:szCs w:val="28"/>
                                <w:rtl/>
                              </w:rPr>
                              <w:t>"ויישר חילם ותבוא עליהם ברכה פון די אלע וואס שרייבן אין די קובצים און קאכען זיך אין דברי רבותינו נשיאנו"</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rsidR="004C3605" w:rsidRDefault="004C3605" w:rsidP="00760DB7">
                            <w:pPr>
                              <w:pStyle w:val="Footer"/>
                              <w:bidi/>
                              <w:jc w:val="center"/>
                              <w:rPr>
                                <w:rFonts w:ascii="FbFrankReal" w:hAnsi="FbFrankReal" w:cs="Levenim MT"/>
                                <w:sz w:val="16"/>
                                <w:szCs w:val="16"/>
                                <w:rtl/>
                              </w:rPr>
                            </w:pPr>
                          </w:p>
                          <w:p w:rsidR="004C3605" w:rsidRDefault="004C3605" w:rsidP="00760DB7">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rsidR="004C3605" w:rsidRDefault="004C3605" w:rsidP="00760DB7">
                            <w:pPr>
                              <w:bidi/>
                              <w:spacing w:after="0" w:line="240" w:lineRule="auto"/>
                              <w:jc w:val="center"/>
                              <w:rPr>
                                <w:rFonts w:ascii="FbFrankReal" w:hAnsi="FbFrankReal" w:cs="1ShefaClassic"/>
                                <w:b/>
                                <w:bCs/>
                                <w:rtl/>
                              </w:rPr>
                            </w:pPr>
                          </w:p>
                          <w:p w:rsidR="004C3605" w:rsidRDefault="004C3605" w:rsidP="00760DB7">
                            <w:pPr>
                              <w:bidi/>
                              <w:spacing w:after="0" w:line="240" w:lineRule="auto"/>
                              <w:jc w:val="center"/>
                              <w:rPr>
                                <w:rFonts w:ascii="FbFrankReal" w:hAnsi="FbFrankReal" w:cs="1ShefaClassic"/>
                                <w:b/>
                                <w:bCs/>
                                <w:rtl/>
                              </w:rPr>
                            </w:pPr>
                            <w:r>
                              <w:rPr>
                                <w:rFonts w:ascii="FbFrankReal" w:hAnsi="FbFrankReal" w:cs="1ShefaClassic" w:hint="cs"/>
                                <w:b/>
                                <w:bCs/>
                                <w:rtl/>
                              </w:rPr>
                              <w:t>למשלוח הערות:</w:t>
                            </w:r>
                          </w:p>
                          <w:p w:rsidR="004C3605" w:rsidRDefault="004C3605" w:rsidP="00760DB7">
                            <w:pPr>
                              <w:bidi/>
                              <w:spacing w:after="0" w:line="240" w:lineRule="auto"/>
                              <w:jc w:val="center"/>
                              <w:rPr>
                                <w:rFonts w:ascii="FbFrankReal" w:hAnsi="FbFrankReal" w:cs="1ShefaClassic"/>
                                <w:sz w:val="20"/>
                                <w:szCs w:val="20"/>
                                <w:rtl/>
                              </w:rPr>
                            </w:pPr>
                            <w:r>
                              <w:rPr>
                                <w:rFonts w:ascii="FbFrankReal" w:hAnsi="FbFrankReal" w:cs="1ShefaClassic" w:hint="cs"/>
                                <w:b/>
                                <w:bCs/>
                                <w:rtl/>
                              </w:rPr>
                              <w:t>פאקס:</w:t>
                            </w:r>
                            <w:r>
                              <w:rPr>
                                <w:rFonts w:ascii="FbFrankReal" w:hAnsi="FbFrankReal" w:cs="1ShefaClassic" w:hint="cs"/>
                                <w:sz w:val="20"/>
                                <w:szCs w:val="20"/>
                                <w:rtl/>
                              </w:rPr>
                              <w:t xml:space="preserve"> </w:t>
                            </w:r>
                            <w:r>
                              <w:rPr>
                                <w:rFonts w:ascii="FbFrankReal" w:hAnsi="FbFrankReal" w:cs="1ShefaClassic" w:hint="cs"/>
                                <w:rtl/>
                              </w:rPr>
                              <w:t>718-247-6016</w:t>
                            </w:r>
                          </w:p>
                          <w:p w:rsidR="004C3605" w:rsidRDefault="004C3605" w:rsidP="00760DB7">
                            <w:pPr>
                              <w:bidi/>
                              <w:spacing w:after="0" w:line="240" w:lineRule="auto"/>
                              <w:jc w:val="center"/>
                              <w:rPr>
                                <w:rFonts w:ascii="FbFrankReal" w:hAnsi="FbFrankReal" w:cs="1ShefaClassic"/>
                                <w:sz w:val="20"/>
                                <w:szCs w:val="20"/>
                                <w:rtl/>
                              </w:rPr>
                            </w:pPr>
                            <w:r>
                              <w:rPr>
                                <w:rFonts w:ascii="FbFrankReal" w:hAnsi="FbFrankReal" w:cs="1ShefaClassic" w:hint="cs"/>
                                <w:b/>
                                <w:bCs/>
                                <w:rtl/>
                              </w:rPr>
                              <w:t>אימייל:</w:t>
                            </w:r>
                            <w:r>
                              <w:rPr>
                                <w:rFonts w:ascii="FbFrankReal" w:hAnsi="FbFrankReal" w:cs="1ShefaClassic" w:hint="cs"/>
                                <w:sz w:val="20"/>
                                <w:szCs w:val="20"/>
                                <w:rtl/>
                              </w:rPr>
                              <w:t xml:space="preserve"> </w:t>
                            </w:r>
                            <w:hyperlink r:id="rId8" w:history="1">
                              <w:r>
                                <w:rPr>
                                  <w:rStyle w:val="Hyperlink"/>
                                  <w:rFonts w:ascii="FbFrankReal" w:hAnsi="FbFrankReal" w:cs="1ShefaClassic"/>
                                  <w:sz w:val="20"/>
                                  <w:szCs w:val="20"/>
                                </w:rPr>
                                <w:t>haoros@haoros.com</w:t>
                              </w:r>
                            </w:hyperlink>
                          </w:p>
                          <w:p w:rsidR="004C3605" w:rsidRDefault="004C3605" w:rsidP="00760DB7">
                            <w:pPr>
                              <w:bidi/>
                              <w:spacing w:after="0" w:line="240" w:lineRule="auto"/>
                              <w:jc w:val="center"/>
                              <w:rPr>
                                <w:rFonts w:ascii="FbFrankReal" w:hAnsi="FbFrankReal" w:cs="1ShefaClassic"/>
                                <w:b/>
                                <w:bCs/>
                              </w:rPr>
                            </w:pPr>
                            <w:r>
                              <w:rPr>
                                <w:rFonts w:ascii="FbFrankReal" w:hAnsi="FbFrankReal" w:cs="1ShefaClassic" w:hint="cs"/>
                                <w:b/>
                                <w:bCs/>
                                <w:rtl/>
                              </w:rPr>
                              <w:t>כתובת:</w:t>
                            </w:r>
                          </w:p>
                          <w:p w:rsidR="004C3605" w:rsidRDefault="004C3605" w:rsidP="00760DB7">
                            <w:pPr>
                              <w:bidi/>
                              <w:spacing w:after="0" w:line="240" w:lineRule="auto"/>
                              <w:jc w:val="center"/>
                              <w:rPr>
                                <w:rFonts w:ascii="FbFrankReal" w:hAnsi="FbFrankReal" w:cs="1ShefaClassic"/>
                                <w:sz w:val="18"/>
                                <w:szCs w:val="18"/>
                                <w:rtl/>
                              </w:rPr>
                            </w:pPr>
                            <w:r>
                              <w:rPr>
                                <w:rFonts w:ascii="FbFrankReal" w:hAnsi="FbFrankReal" w:cs="1ShefaClassic"/>
                                <w:sz w:val="18"/>
                                <w:szCs w:val="18"/>
                              </w:rPr>
                              <w:t>639 Eastern Parkway, Apt 3F</w:t>
                            </w:r>
                          </w:p>
                          <w:p w:rsidR="004C3605" w:rsidRDefault="004C3605" w:rsidP="00760DB7">
                            <w:pPr>
                              <w:bidi/>
                              <w:spacing w:after="0" w:line="240" w:lineRule="auto"/>
                              <w:jc w:val="center"/>
                              <w:rPr>
                                <w:rFonts w:ascii="FbFrankReal" w:hAnsi="FbFrankReal" w:cs="1ShefaClassic"/>
                                <w:sz w:val="18"/>
                                <w:szCs w:val="18"/>
                              </w:rPr>
                            </w:pPr>
                            <w:r>
                              <w:rPr>
                                <w:rFonts w:ascii="FbFrankReal" w:hAnsi="FbFrankReal" w:cs="1ShefaClassic"/>
                                <w:sz w:val="18"/>
                                <w:szCs w:val="18"/>
                              </w:rPr>
                              <w:t>Brooklyn. New York, 11213, USA</w:t>
                            </w:r>
                          </w:p>
                          <w:p w:rsidR="004C3605" w:rsidRDefault="004C3605" w:rsidP="00760DB7">
                            <w:pPr>
                              <w:pStyle w:val="HaoroDivider"/>
                              <w:spacing w:before="0" w:after="0" w:line="240" w:lineRule="auto"/>
                              <w:rPr>
                                <w:rFonts w:ascii="FbFrankReal" w:hAnsi="FbFrankReal" w:cs="1ShefaClassic"/>
                                <w:b/>
                                <w:bCs/>
                                <w:sz w:val="22"/>
                                <w:szCs w:val="22"/>
                              </w:rPr>
                            </w:pPr>
                            <w:r>
                              <w:rPr>
                                <w:rFonts w:ascii="FbFrankReal" w:hAnsi="FbFrankReal" w:cs="1ShefaClassic" w:hint="cs"/>
                                <w:b/>
                                <w:bCs/>
                                <w:sz w:val="22"/>
                                <w:szCs w:val="22"/>
                                <w:rtl/>
                              </w:rPr>
                              <w:t xml:space="preserve">להקדשות נא להתקשר: </w:t>
                            </w:r>
                            <w:r>
                              <w:rPr>
                                <w:rFonts w:ascii="FbFrankReal" w:hAnsi="FbFrankReal" w:cs="1ShefaClassic" w:hint="cs"/>
                                <w:sz w:val="22"/>
                                <w:szCs w:val="22"/>
                                <w:rtl/>
                              </w:rPr>
                              <w:t>917-947-8275</w:t>
                            </w:r>
                          </w:p>
                          <w:p w:rsidR="004C3605" w:rsidRDefault="004C3605" w:rsidP="00760DB7">
                            <w:pPr>
                              <w:bidi/>
                              <w:spacing w:after="0"/>
                              <w:jc w:val="center"/>
                              <w:rPr>
                                <w:rFonts w:ascii="FbFrankReal" w:hAnsi="FbFrankReal" w:cs="1ShefaClassic"/>
                                <w:b/>
                                <w:bCs/>
                                <w:rtl/>
                              </w:rPr>
                            </w:pPr>
                            <w:r>
                              <w:rPr>
                                <w:rFonts w:ascii="FbFrankReal" w:hAnsi="FbFrankReal" w:cs="1ShefaClassic" w:hint="cs"/>
                                <w:b/>
                                <w:bCs/>
                                <w:rtl/>
                              </w:rPr>
                              <w:t>ניתן להוריד את הקובץ באתר האינטרנט:</w:t>
                            </w:r>
                          </w:p>
                          <w:p w:rsidR="004C3605" w:rsidRPr="003234A3" w:rsidRDefault="004C3605" w:rsidP="00760DB7">
                            <w:pPr>
                              <w:bidi/>
                              <w:spacing w:after="0"/>
                              <w:jc w:val="center"/>
                              <w:rPr>
                                <w:rFonts w:ascii="FbFrankReal" w:hAnsi="FbFrankReal" w:cs="1ShefaClassic"/>
                                <w:b/>
                                <w:bCs/>
                              </w:rPr>
                            </w:pPr>
                            <w:r>
                              <w:rPr>
                                <w:rFonts w:ascii="FbFrankReal" w:hAnsi="FbFrankReal" w:cs="1ShefaClassic"/>
                                <w:b/>
                                <w:bCs/>
                              </w:rPr>
                              <w:t>Haoros.com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DED646" id="Text Box 6" o:spid="_x0000_s1030" type="#_x0000_t202" style="position:absolute;margin-left:-28.4pt;margin-top:229.05pt;width:366.9pt;height:224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" fillcolor="window" strokecolor="windowText" strokeweight="1pt">
                <v:textbox>
                  <w:txbxContent>
                    <w:p w:rsidR="004C3605" w:rsidRDefault="004C3605" w:rsidP="00760DB7">
                      <w:pPr>
                        <w:bidi/>
                        <w:spacing w:after="0" w:line="240" w:lineRule="auto"/>
                        <w:ind w:left="600" w:right="600"/>
                        <w:jc w:val="center"/>
                        <w:rPr>
                          <w:rFonts w:ascii="FbSfaradi Medium" w:hAnsi="FbSfaradi Medium" w:cs="1ShefaClassic"/>
                          <w:sz w:val="28"/>
                          <w:szCs w:val="28"/>
                        </w:rPr>
                      </w:pPr>
                      <w:r>
                        <w:rPr>
                          <w:rFonts w:ascii="FbSfaradi Medium" w:hAnsi="FbSfaradi Medium" w:cs="1ShefaClassic" w:hint="cs"/>
                          <w:sz w:val="28"/>
                          <w:szCs w:val="28"/>
                          <w:rtl/>
                        </w:rPr>
                        <w:t>הקובץ הבא</w:t>
                      </w:r>
                    </w:p>
                    <w:p w:rsidR="004C3605" w:rsidRDefault="004C3605" w:rsidP="00BF0497">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יצא לאור אי"ה לכבוד חג השבועות ה'תש"פ</w:t>
                      </w:r>
                      <w:r>
                        <w:rPr>
                          <w:rFonts w:ascii="FbSfaradi Medium" w:hAnsi="FbSfaradi Medium" w:cs="1ShefaClassic" w:hint="cs"/>
                          <w:sz w:val="28"/>
                          <w:szCs w:val="28"/>
                          <w:rtl/>
                        </w:rPr>
                        <w:br/>
                        <w:t xml:space="preserve">הערות יש לשלוח </w:t>
                      </w:r>
                      <w:r>
                        <w:rPr>
                          <w:rFonts w:ascii="FbSfaradi Medium" w:hAnsi="FbSfaradi Medium" w:cs="1ShefaClassic" w:hint="cs"/>
                          <w:b/>
                          <w:bCs/>
                          <w:sz w:val="28"/>
                          <w:szCs w:val="28"/>
                          <w:rtl/>
                        </w:rPr>
                        <w:t>לא יאוחר</w:t>
                      </w:r>
                      <w:r>
                        <w:rPr>
                          <w:rFonts w:ascii="FbSfaradi Medium" w:hAnsi="FbSfaradi Medium" w:cs="1ShefaClassic" w:hint="cs"/>
                          <w:sz w:val="28"/>
                          <w:szCs w:val="28"/>
                          <w:rtl/>
                        </w:rPr>
                        <w:t xml:space="preserve"> מיום ב', ב' סיון ה'תש"פ </w:t>
                      </w:r>
                    </w:p>
                    <w:p w:rsidR="004C3605" w:rsidRDefault="004C3605" w:rsidP="00760DB7">
                      <w:pPr>
                        <w:pStyle w:val="Footer"/>
                        <w:bidi/>
                        <w:jc w:val="center"/>
                        <w:rPr>
                          <w:rFonts w:ascii="FbFrankReal" w:hAnsi="FbFrankReal" w:cs="Levenim MT"/>
                          <w:sz w:val="16"/>
                          <w:szCs w:val="16"/>
                          <w:rtl/>
                        </w:rPr>
                      </w:pPr>
                      <w:r>
                        <w:rPr>
                          <w:rFonts w:ascii="FbFrankReal" w:hAnsi="FbFrankReal" w:cs="1ShefaClassic" w:hint="cs"/>
                          <w:b/>
                          <w:bCs/>
                          <w:sz w:val="28"/>
                          <w:szCs w:val="28"/>
                          <w:rtl/>
                        </w:rPr>
                        <w:t>"ויישר חילם ותבוא עליהם ברכה פון די אלע וואס שרייבן אין די קובצים און קאכען זיך אין דברי רבותינו נשיאנו"</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rsidR="004C3605" w:rsidRDefault="004C3605" w:rsidP="00760DB7">
                      <w:pPr>
                        <w:pStyle w:val="Footer"/>
                        <w:bidi/>
                        <w:jc w:val="center"/>
                        <w:rPr>
                          <w:rFonts w:ascii="FbFrankReal" w:hAnsi="FbFrankReal" w:cs="Levenim MT"/>
                          <w:sz w:val="16"/>
                          <w:szCs w:val="16"/>
                          <w:rtl/>
                        </w:rPr>
                      </w:pPr>
                    </w:p>
                    <w:p w:rsidR="004C3605" w:rsidRDefault="004C3605" w:rsidP="00760DB7">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rsidR="004C3605" w:rsidRDefault="004C3605" w:rsidP="00760DB7">
                      <w:pPr>
                        <w:bidi/>
                        <w:spacing w:after="0" w:line="240" w:lineRule="auto"/>
                        <w:jc w:val="center"/>
                        <w:rPr>
                          <w:rFonts w:ascii="FbFrankReal" w:hAnsi="FbFrankReal" w:cs="1ShefaClassic"/>
                          <w:b/>
                          <w:bCs/>
                          <w:rtl/>
                        </w:rPr>
                      </w:pPr>
                    </w:p>
                    <w:p w:rsidR="004C3605" w:rsidRDefault="004C3605" w:rsidP="00760DB7">
                      <w:pPr>
                        <w:bidi/>
                        <w:spacing w:after="0" w:line="240" w:lineRule="auto"/>
                        <w:jc w:val="center"/>
                        <w:rPr>
                          <w:rFonts w:ascii="FbFrankReal" w:hAnsi="FbFrankReal" w:cs="1ShefaClassic"/>
                          <w:b/>
                          <w:bCs/>
                          <w:rtl/>
                        </w:rPr>
                      </w:pPr>
                      <w:r>
                        <w:rPr>
                          <w:rFonts w:ascii="FbFrankReal" w:hAnsi="FbFrankReal" w:cs="1ShefaClassic" w:hint="cs"/>
                          <w:b/>
                          <w:bCs/>
                          <w:rtl/>
                        </w:rPr>
                        <w:t>למשלוח הערות:</w:t>
                      </w:r>
                    </w:p>
                    <w:p w:rsidR="004C3605" w:rsidRDefault="004C3605" w:rsidP="00760DB7">
                      <w:pPr>
                        <w:bidi/>
                        <w:spacing w:after="0" w:line="240" w:lineRule="auto"/>
                        <w:jc w:val="center"/>
                        <w:rPr>
                          <w:rFonts w:ascii="FbFrankReal" w:hAnsi="FbFrankReal" w:cs="1ShefaClassic"/>
                          <w:sz w:val="20"/>
                          <w:szCs w:val="20"/>
                          <w:rtl/>
                        </w:rPr>
                      </w:pPr>
                      <w:r>
                        <w:rPr>
                          <w:rFonts w:ascii="FbFrankReal" w:hAnsi="FbFrankReal" w:cs="1ShefaClassic" w:hint="cs"/>
                          <w:b/>
                          <w:bCs/>
                          <w:rtl/>
                        </w:rPr>
                        <w:t>פאקס:</w:t>
                      </w:r>
                      <w:r>
                        <w:rPr>
                          <w:rFonts w:ascii="FbFrankReal" w:hAnsi="FbFrankReal" w:cs="1ShefaClassic" w:hint="cs"/>
                          <w:sz w:val="20"/>
                          <w:szCs w:val="20"/>
                          <w:rtl/>
                        </w:rPr>
                        <w:t xml:space="preserve"> </w:t>
                      </w:r>
                      <w:r>
                        <w:rPr>
                          <w:rFonts w:ascii="FbFrankReal" w:hAnsi="FbFrankReal" w:cs="1ShefaClassic" w:hint="cs"/>
                          <w:rtl/>
                        </w:rPr>
                        <w:t>718-247-6016</w:t>
                      </w:r>
                    </w:p>
                    <w:p w:rsidR="004C3605" w:rsidRDefault="004C3605" w:rsidP="00760DB7">
                      <w:pPr>
                        <w:bidi/>
                        <w:spacing w:after="0" w:line="240" w:lineRule="auto"/>
                        <w:jc w:val="center"/>
                        <w:rPr>
                          <w:rFonts w:ascii="FbFrankReal" w:hAnsi="FbFrankReal" w:cs="1ShefaClassic"/>
                          <w:sz w:val="20"/>
                          <w:szCs w:val="20"/>
                          <w:rtl/>
                        </w:rPr>
                      </w:pPr>
                      <w:r>
                        <w:rPr>
                          <w:rFonts w:ascii="FbFrankReal" w:hAnsi="FbFrankReal" w:cs="1ShefaClassic" w:hint="cs"/>
                          <w:b/>
                          <w:bCs/>
                          <w:rtl/>
                        </w:rPr>
                        <w:t>אימייל:</w:t>
                      </w:r>
                      <w:r>
                        <w:rPr>
                          <w:rFonts w:ascii="FbFrankReal" w:hAnsi="FbFrankReal" w:cs="1ShefaClassic" w:hint="cs"/>
                          <w:sz w:val="20"/>
                          <w:szCs w:val="20"/>
                          <w:rtl/>
                        </w:rPr>
                        <w:t xml:space="preserve"> </w:t>
                      </w:r>
                      <w:hyperlink r:id="rId9" w:history="1">
                        <w:r>
                          <w:rPr>
                            <w:rStyle w:val="Hyperlink"/>
                            <w:rFonts w:ascii="FbFrankReal" w:hAnsi="FbFrankReal" w:cs="1ShefaClassic"/>
                            <w:sz w:val="20"/>
                            <w:szCs w:val="20"/>
                          </w:rPr>
                          <w:t>haoros@haoros.com</w:t>
                        </w:r>
                      </w:hyperlink>
                    </w:p>
                    <w:p w:rsidR="004C3605" w:rsidRDefault="004C3605" w:rsidP="00760DB7">
                      <w:pPr>
                        <w:bidi/>
                        <w:spacing w:after="0" w:line="240" w:lineRule="auto"/>
                        <w:jc w:val="center"/>
                        <w:rPr>
                          <w:rFonts w:ascii="FbFrankReal" w:hAnsi="FbFrankReal" w:cs="1ShefaClassic"/>
                          <w:b/>
                          <w:bCs/>
                        </w:rPr>
                      </w:pPr>
                      <w:r>
                        <w:rPr>
                          <w:rFonts w:ascii="FbFrankReal" w:hAnsi="FbFrankReal" w:cs="1ShefaClassic" w:hint="cs"/>
                          <w:b/>
                          <w:bCs/>
                          <w:rtl/>
                        </w:rPr>
                        <w:t>כתובת:</w:t>
                      </w:r>
                    </w:p>
                    <w:p w:rsidR="004C3605" w:rsidRDefault="004C3605" w:rsidP="00760DB7">
                      <w:pPr>
                        <w:bidi/>
                        <w:spacing w:after="0" w:line="240" w:lineRule="auto"/>
                        <w:jc w:val="center"/>
                        <w:rPr>
                          <w:rFonts w:ascii="FbFrankReal" w:hAnsi="FbFrankReal" w:cs="1ShefaClassic"/>
                          <w:sz w:val="18"/>
                          <w:szCs w:val="18"/>
                          <w:rtl/>
                        </w:rPr>
                      </w:pPr>
                      <w:r>
                        <w:rPr>
                          <w:rFonts w:ascii="FbFrankReal" w:hAnsi="FbFrankReal" w:cs="1ShefaClassic"/>
                          <w:sz w:val="18"/>
                          <w:szCs w:val="18"/>
                        </w:rPr>
                        <w:t>639 Eastern Parkway, Apt 3F</w:t>
                      </w:r>
                    </w:p>
                    <w:p w:rsidR="004C3605" w:rsidRDefault="004C3605" w:rsidP="00760DB7">
                      <w:pPr>
                        <w:bidi/>
                        <w:spacing w:after="0" w:line="240" w:lineRule="auto"/>
                        <w:jc w:val="center"/>
                        <w:rPr>
                          <w:rFonts w:ascii="FbFrankReal" w:hAnsi="FbFrankReal" w:cs="1ShefaClassic"/>
                          <w:sz w:val="18"/>
                          <w:szCs w:val="18"/>
                        </w:rPr>
                      </w:pPr>
                      <w:r>
                        <w:rPr>
                          <w:rFonts w:ascii="FbFrankReal" w:hAnsi="FbFrankReal" w:cs="1ShefaClassic"/>
                          <w:sz w:val="18"/>
                          <w:szCs w:val="18"/>
                        </w:rPr>
                        <w:t>Brooklyn. New York, 11213, USA</w:t>
                      </w:r>
                    </w:p>
                    <w:p w:rsidR="004C3605" w:rsidRDefault="004C3605" w:rsidP="00760DB7">
                      <w:pPr>
                        <w:pStyle w:val="HaoroDivider"/>
                        <w:spacing w:before="0" w:after="0" w:line="240" w:lineRule="auto"/>
                        <w:rPr>
                          <w:rFonts w:ascii="FbFrankReal" w:hAnsi="FbFrankReal" w:cs="1ShefaClassic"/>
                          <w:b/>
                          <w:bCs/>
                          <w:sz w:val="22"/>
                          <w:szCs w:val="22"/>
                        </w:rPr>
                      </w:pPr>
                      <w:r>
                        <w:rPr>
                          <w:rFonts w:ascii="FbFrankReal" w:hAnsi="FbFrankReal" w:cs="1ShefaClassic" w:hint="cs"/>
                          <w:b/>
                          <w:bCs/>
                          <w:sz w:val="22"/>
                          <w:szCs w:val="22"/>
                          <w:rtl/>
                        </w:rPr>
                        <w:t xml:space="preserve">להקדשות נא להתקשר: </w:t>
                      </w:r>
                      <w:r>
                        <w:rPr>
                          <w:rFonts w:ascii="FbFrankReal" w:hAnsi="FbFrankReal" w:cs="1ShefaClassic" w:hint="cs"/>
                          <w:sz w:val="22"/>
                          <w:szCs w:val="22"/>
                          <w:rtl/>
                        </w:rPr>
                        <w:t>917-947-8275</w:t>
                      </w:r>
                    </w:p>
                    <w:p w:rsidR="004C3605" w:rsidRDefault="004C3605" w:rsidP="00760DB7">
                      <w:pPr>
                        <w:bidi/>
                        <w:spacing w:after="0"/>
                        <w:jc w:val="center"/>
                        <w:rPr>
                          <w:rFonts w:ascii="FbFrankReal" w:hAnsi="FbFrankReal" w:cs="1ShefaClassic"/>
                          <w:b/>
                          <w:bCs/>
                          <w:rtl/>
                        </w:rPr>
                      </w:pPr>
                      <w:r>
                        <w:rPr>
                          <w:rFonts w:ascii="FbFrankReal" w:hAnsi="FbFrankReal" w:cs="1ShefaClassic" w:hint="cs"/>
                          <w:b/>
                          <w:bCs/>
                          <w:rtl/>
                        </w:rPr>
                        <w:t>ניתן להוריד את הקובץ באתר האינטרנט:</w:t>
                      </w:r>
                    </w:p>
                    <w:p w:rsidR="004C3605" w:rsidRPr="003234A3" w:rsidRDefault="004C3605" w:rsidP="00760DB7">
                      <w:pPr>
                        <w:bidi/>
                        <w:spacing w:after="0"/>
                        <w:jc w:val="center"/>
                        <w:rPr>
                          <w:rFonts w:ascii="FbFrankReal" w:hAnsi="FbFrankReal" w:cs="1ShefaClassic"/>
                          <w:b/>
                          <w:bCs/>
                        </w:rPr>
                      </w:pPr>
                      <w:r>
                        <w:rPr>
                          <w:rFonts w:ascii="FbFrankReal" w:hAnsi="FbFrankReal" w:cs="1ShefaClassic"/>
                          <w:b/>
                          <w:bCs/>
                        </w:rPr>
                        <w:t>Haoros.com</w:t>
                      </w:r>
                    </w:p>
                  </w:txbxContent>
                </v:textbox>
                <w10:wrap type="topAndBottom"/>
              </v:shape>
            </w:pict>
          </mc:Fallback>
        </mc:AlternateContent>
      </w:r>
    </w:p>
    <w:p w:rsidR="00760DB7" w:rsidRPr="00760DB7" w:rsidRDefault="00760DB7" w:rsidP="00AC425E">
      <w:pPr>
        <w:pStyle w:val="12"/>
        <w:rPr>
          <w:rtl/>
        </w:rPr>
      </w:pPr>
      <w:bookmarkStart w:id="93" w:name="_Toc39817400"/>
      <w:r w:rsidRPr="00760DB7">
        <w:rPr>
          <w:rFonts w:hint="cs"/>
          <w:rtl/>
        </w:rPr>
        <w:lastRenderedPageBreak/>
        <w:t>עניני גאולה ומשיח</w:t>
      </w:r>
      <w:bookmarkStart w:id="94" w:name="_Toc7576748"/>
      <w:bookmarkEnd w:id="93"/>
    </w:p>
    <w:p w:rsidR="00825FC6" w:rsidRDefault="00825FC6" w:rsidP="00825FC6">
      <w:pPr>
        <w:pStyle w:val="a0"/>
        <w:rPr>
          <w:rtl/>
        </w:rPr>
      </w:pPr>
      <w:bookmarkStart w:id="95" w:name="_Toc39817401"/>
      <w:bookmarkEnd w:id="94"/>
      <w:r>
        <w:rPr>
          <w:rFonts w:hint="cs"/>
          <w:rtl/>
        </w:rPr>
        <w:t>בענין תקופת עקבתא דמשיחא</w:t>
      </w:r>
      <w:bookmarkEnd w:id="95"/>
      <w:r>
        <w:rPr>
          <w:rFonts w:hint="cs"/>
          <w:rtl/>
        </w:rPr>
        <w:t xml:space="preserve"> </w:t>
      </w:r>
    </w:p>
    <w:p w:rsidR="00825FC6" w:rsidRDefault="00825FC6" w:rsidP="00C93F24">
      <w:pPr>
        <w:pStyle w:val="a"/>
        <w:rPr>
          <w:rtl/>
        </w:rPr>
      </w:pPr>
      <w:bookmarkStart w:id="96" w:name="_Toc39817402"/>
      <w:r>
        <w:rPr>
          <w:rFonts w:hint="cs"/>
          <w:rtl/>
        </w:rPr>
        <w:t>הרב שלום צירקינד</w:t>
      </w:r>
      <w:bookmarkEnd w:id="96"/>
    </w:p>
    <w:p w:rsidR="00825FC6" w:rsidRPr="00825FC6" w:rsidRDefault="00825FC6" w:rsidP="00825FC6">
      <w:pPr>
        <w:pStyle w:val="a1"/>
        <w:rPr>
          <w:rtl/>
          <w:lang w:val="en-GB"/>
        </w:rPr>
      </w:pPr>
      <w:r>
        <w:rPr>
          <w:rtl/>
          <w:lang w:val="en-GB"/>
        </w:rPr>
        <w:t>תושב השכונה</w:t>
      </w:r>
    </w:p>
    <w:p w:rsidR="00825FC6" w:rsidRDefault="00825FC6" w:rsidP="00825FC6">
      <w:pPr>
        <w:pStyle w:val="a3"/>
        <w:rPr>
          <w:rtl/>
        </w:rPr>
      </w:pPr>
      <w:r>
        <w:rPr>
          <w:rFonts w:hint="cs"/>
          <w:rtl/>
        </w:rPr>
        <w:t>בנוגע לסימני ותיאור התקופה של עקבתא דמשיחא בתושב"כ ותושבע"פ, מצינו ב' תיאורים הפכיים</w:t>
      </w:r>
      <w:r>
        <w:rPr>
          <w:rStyle w:val="FootnoteReference"/>
          <w:rtl/>
        </w:rPr>
        <w:footnoteReference w:id="1"/>
      </w:r>
      <w:r>
        <w:rPr>
          <w:rFonts w:hint="cs"/>
          <w:rtl/>
        </w:rPr>
        <w:t>. מצד אחד יש תיאורים על מצב הדור באופן ירוד ביותר (כמו האיזכורים בנוגע חבלי משיח ומלחמת גוג ומגוג</w:t>
      </w:r>
      <w:r>
        <w:rPr>
          <w:rStyle w:val="FootnoteReference"/>
          <w:rtl/>
        </w:rPr>
        <w:footnoteReference w:id="2"/>
      </w:r>
      <w:r>
        <w:rPr>
          <w:rFonts w:hint="cs"/>
          <w:rtl/>
        </w:rPr>
        <w:t xml:space="preserve"> וכו', והענינים המבוארים בסוף מס' סוטה, סנהדרין צז ואילך</w:t>
      </w:r>
      <w:r>
        <w:rPr>
          <w:rStyle w:val="FootnoteReference"/>
          <w:rtl/>
        </w:rPr>
        <w:footnoteReference w:id="3"/>
      </w:r>
      <w:r>
        <w:rPr>
          <w:rFonts w:hint="cs"/>
          <w:rtl/>
        </w:rPr>
        <w:t>, סוף כתובות ועוד</w:t>
      </w:r>
      <w:r>
        <w:rPr>
          <w:rStyle w:val="FootnoteReference"/>
          <w:rtl/>
        </w:rPr>
        <w:footnoteReference w:id="4"/>
      </w:r>
      <w:r>
        <w:rPr>
          <w:rFonts w:hint="cs"/>
          <w:rtl/>
        </w:rPr>
        <w:t>). ומצד השני יש תיאורים על על תקופה טובה שהוא כבר מעין והכנה לימות המשיח, (כמו נתינת פירות א"י בשפע</w:t>
      </w:r>
      <w:r>
        <w:rPr>
          <w:rStyle w:val="FootnoteReference"/>
          <w:rtl/>
        </w:rPr>
        <w:footnoteReference w:id="5"/>
      </w:r>
      <w:r>
        <w:rPr>
          <w:rFonts w:hint="cs"/>
          <w:rtl/>
        </w:rPr>
        <w:t>, חזרת הנבואה לישראל</w:t>
      </w:r>
      <w:r>
        <w:rPr>
          <w:rStyle w:val="FootnoteReference"/>
          <w:rtl/>
        </w:rPr>
        <w:footnoteReference w:id="6"/>
      </w:r>
      <w:r>
        <w:rPr>
          <w:rFonts w:hint="cs"/>
          <w:rtl/>
        </w:rPr>
        <w:t>, גילוי חכמת התורה</w:t>
      </w:r>
      <w:r>
        <w:rPr>
          <w:rStyle w:val="FootnoteReference"/>
          <w:rtl/>
        </w:rPr>
        <w:footnoteReference w:id="7"/>
      </w:r>
      <w:r>
        <w:rPr>
          <w:rFonts w:hint="cs"/>
          <w:rtl/>
        </w:rPr>
        <w:t xml:space="preserve"> והחזרת השופטייך ויועצייך</w:t>
      </w:r>
      <w:r>
        <w:rPr>
          <w:rStyle w:val="FootnoteReference"/>
          <w:rtl/>
        </w:rPr>
        <w:footnoteReference w:id="8"/>
      </w:r>
      <w:r>
        <w:rPr>
          <w:rFonts w:hint="cs"/>
          <w:rtl/>
        </w:rPr>
        <w:t xml:space="preserve"> וגילוי פנימיות ורזי תורה</w:t>
      </w:r>
      <w:r>
        <w:rPr>
          <w:rStyle w:val="FootnoteReference"/>
          <w:rtl/>
        </w:rPr>
        <w:footnoteReference w:id="9"/>
      </w:r>
      <w:r>
        <w:rPr>
          <w:rFonts w:hint="cs"/>
          <w:rtl/>
        </w:rPr>
        <w:t xml:space="preserve"> וכו').</w:t>
      </w:r>
    </w:p>
    <w:p w:rsidR="00825FC6" w:rsidRDefault="00825FC6" w:rsidP="00825FC6">
      <w:pPr>
        <w:pStyle w:val="a3"/>
        <w:rPr>
          <w:rtl/>
        </w:rPr>
      </w:pPr>
      <w:r>
        <w:rPr>
          <w:rFonts w:hint="cs"/>
          <w:rtl/>
        </w:rPr>
        <w:lastRenderedPageBreak/>
        <w:t>ולכאורה צ"ע איך יתאימו ב' הענינים יחד.</w:t>
      </w:r>
    </w:p>
    <w:p w:rsidR="00825FC6" w:rsidRDefault="00825FC6" w:rsidP="00825FC6">
      <w:pPr>
        <w:pStyle w:val="a3"/>
        <w:rPr>
          <w:rtl/>
        </w:rPr>
      </w:pPr>
      <w:r>
        <w:rPr>
          <w:rFonts w:hint="cs"/>
          <w:rtl/>
        </w:rPr>
        <w:t>בפשטות נראה, ששאלה זו כבר מתורץ בדברי הגמרא</w:t>
      </w:r>
      <w:r>
        <w:rPr>
          <w:rStyle w:val="FootnoteReference"/>
          <w:rtl/>
        </w:rPr>
        <w:footnoteReference w:id="10"/>
      </w:r>
      <w:r>
        <w:rPr>
          <w:rFonts w:hint="cs"/>
          <w:rtl/>
        </w:rPr>
        <w:t>, שתלוי במצב הדור</w:t>
      </w:r>
      <w:r>
        <w:t xml:space="preserve"> </w:t>
      </w:r>
      <w:r>
        <w:rPr>
          <w:rFonts w:hint="cs"/>
          <w:rtl/>
        </w:rPr>
        <w:t xml:space="preserve"> שאם "זכו", אז יתקיימו כל היעודים הטובים. (וגם היעודים ה(נראים כ)שלליים, יתפרשו ויתקיימו בטוב נראה ונגלה</w:t>
      </w:r>
      <w:r>
        <w:rPr>
          <w:rStyle w:val="FootnoteReference"/>
          <w:rtl/>
        </w:rPr>
        <w:footnoteReference w:id="11"/>
      </w:r>
      <w:r>
        <w:rPr>
          <w:rFonts w:hint="cs"/>
          <w:rtl/>
        </w:rPr>
        <w:t>). ואם "לא זכו", אז יתקיימו היעודים שאינם טוב נראה ונגלה</w:t>
      </w:r>
      <w:r>
        <w:rPr>
          <w:rStyle w:val="FootnoteReference"/>
          <w:rtl/>
        </w:rPr>
        <w:footnoteReference w:id="12"/>
      </w:r>
      <w:r>
        <w:rPr>
          <w:rFonts w:hint="cs"/>
          <w:rtl/>
        </w:rPr>
        <w:t>.</w:t>
      </w:r>
    </w:p>
    <w:p w:rsidR="00825FC6" w:rsidRDefault="00825FC6" w:rsidP="00825FC6">
      <w:pPr>
        <w:pStyle w:val="a3"/>
        <w:rPr>
          <w:rtl/>
        </w:rPr>
      </w:pPr>
      <w:r>
        <w:rPr>
          <w:rFonts w:hint="cs"/>
          <w:rtl/>
        </w:rPr>
        <w:t>אמנם באמת, הקושיא עדיין במקומה עומדת. שהרי בכו"כ מקומות מבוארים ב' הענינים והאופנים ביחד</w:t>
      </w:r>
      <w:r>
        <w:rPr>
          <w:rStyle w:val="FootnoteReference"/>
          <w:rtl/>
        </w:rPr>
        <w:footnoteReference w:id="13"/>
      </w:r>
      <w:r>
        <w:rPr>
          <w:rFonts w:hint="cs"/>
          <w:rtl/>
        </w:rPr>
        <w:t xml:space="preserve">. שמשמע שב' הענינים שייכים לאותו זמן. </w:t>
      </w:r>
    </w:p>
    <w:p w:rsidR="00825FC6" w:rsidRDefault="00825FC6" w:rsidP="00825FC6">
      <w:pPr>
        <w:pStyle w:val="a3"/>
        <w:rPr>
          <w:rtl/>
        </w:rPr>
      </w:pPr>
      <w:r>
        <w:rPr>
          <w:rFonts w:hint="cs"/>
          <w:rtl/>
        </w:rPr>
        <w:t>ועד"ז יש לשאול גם בנוגע למה שכן יש לשאול בהנוגע למציאות, שבהשיחות דשנים האחרונות שהרבי ביאר שאנו רואים כבר סימני הגאולה וכו'</w:t>
      </w:r>
      <w:r>
        <w:rPr>
          <w:rStyle w:val="FootnoteReference"/>
          <w:rtl/>
        </w:rPr>
        <w:footnoteReference w:id="14"/>
      </w:r>
      <w:r>
        <w:rPr>
          <w:rFonts w:hint="cs"/>
          <w:rtl/>
        </w:rPr>
        <w:t>, ולאידך גיסא יש כמה ענינים שאנו רואים (לעיני בשר עכ"פ) ירידה בצד של היפך הטוב הן בגשמיות והן ברוחניות, ואין צריך להאריך בזה. לכאורה צ"ב האם והאיך יתאימו ב' הענינים יחד, (וכמו שכבר הקשה הרבי בעצמו כדלקמן).</w:t>
      </w:r>
    </w:p>
    <w:p w:rsidR="00825FC6" w:rsidRDefault="00825FC6" w:rsidP="00825FC6">
      <w:pPr>
        <w:pStyle w:val="a3"/>
        <w:rPr>
          <w:rtl/>
        </w:rPr>
      </w:pPr>
      <w:r>
        <w:rPr>
          <w:rFonts w:hint="cs"/>
          <w:rtl/>
        </w:rPr>
        <w:t xml:space="preserve">וכמובן שאין כוונתי כלל לנסות לבאר המאורעות של עקבתא דמשיחא וכו', שכמובן שאין אתנו יודע עד מה, אלא לנסות ללקט עד כמה שידי מגעת ממה שמבואר בכ"מ אודות סתירה זו, בכדי להבין משמעות הענין ע"פ תורה ובכדי לקבל תוספת חיזוק והוראה בעבודת ה' בנוגע ימינו אלו. </w:t>
      </w:r>
    </w:p>
    <w:p w:rsidR="001F3DBE" w:rsidRDefault="00825FC6" w:rsidP="00825FC6">
      <w:pPr>
        <w:pStyle w:val="a3"/>
        <w:rPr>
          <w:rtl/>
        </w:rPr>
      </w:pPr>
      <w:r>
        <w:rPr>
          <w:rFonts w:hint="cs"/>
          <w:rtl/>
        </w:rPr>
        <w:t>ויש כמה אופנים וביאורים בזה:</w:t>
      </w:r>
    </w:p>
    <w:p w:rsidR="001F3DBE" w:rsidRDefault="001F3DBE">
      <w:pPr>
        <w:rPr>
          <w:rFonts w:ascii="FbFrankReal" w:eastAsia="Calibri" w:hAnsi="FbFrankReal" w:cs="FbFrankReal"/>
          <w:color w:val="000000" w:themeColor="text1"/>
          <w:bdr w:val="nil"/>
          <w:rtl/>
          <w:lang w:val="bg-BG"/>
        </w:rPr>
      </w:pPr>
      <w:r>
        <w:rPr>
          <w:rtl/>
        </w:rPr>
        <w:br w:type="page"/>
      </w:r>
    </w:p>
    <w:p w:rsidR="00825FC6" w:rsidRDefault="00825FC6" w:rsidP="00825FC6">
      <w:pPr>
        <w:pStyle w:val="11"/>
        <w:bidi/>
        <w:rPr>
          <w:rtl/>
        </w:rPr>
      </w:pPr>
      <w:r>
        <w:rPr>
          <w:rFonts w:hint="cs"/>
          <w:rtl/>
        </w:rPr>
        <w:lastRenderedPageBreak/>
        <w:t xml:space="preserve">א. </w:t>
      </w:r>
    </w:p>
    <w:p w:rsidR="00825FC6" w:rsidRDefault="00825FC6" w:rsidP="00825FC6">
      <w:pPr>
        <w:pStyle w:val="a3"/>
        <w:rPr>
          <w:rtl/>
        </w:rPr>
      </w:pPr>
      <w:r>
        <w:rPr>
          <w:rFonts w:hint="cs"/>
          <w:rtl/>
        </w:rPr>
        <w:t>לכאו' י"ל (עכ"פ בנודע להתיאורים השונים במעמד ומצב בנ"י עצמם), ע"פ המבואר</w:t>
      </w:r>
      <w:r>
        <w:rPr>
          <w:rStyle w:val="FootnoteReference"/>
          <w:rtl/>
        </w:rPr>
        <w:footnoteReference w:id="15"/>
      </w:r>
      <w:r>
        <w:rPr>
          <w:rFonts w:hint="cs"/>
          <w:rtl/>
        </w:rPr>
        <w:t xml:space="preserve"> בביאור מאחז"ל שמשיח בא או בדור שכולו זכאי או בדור שכולו חייב, שאין הכוונה שכל הדור הוא במצב א', אלא הפירוש בזה הוא, שלפני ביאת המשיח יהי' שלימות הבירור הטוב מן הרע, ולכן הטוב יהי' כולו טוב, בלי שייכות לרע, ועד"ז להיפך. ובסגנון אחר: ע"פ המבואר בשיחת פורים תשמ"ז ועוד</w:t>
      </w:r>
      <w:r>
        <w:rPr>
          <w:rStyle w:val="FootnoteReference"/>
          <w:rtl/>
        </w:rPr>
        <w:footnoteReference w:id="16"/>
      </w:r>
      <w:r>
        <w:rPr>
          <w:rFonts w:hint="cs"/>
          <w:rtl/>
        </w:rPr>
        <w:t xml:space="preserve"> אודות מה שלפני ימות המשיח ישנו ענינים מפתיעים שמתגלים בצד הקדושה ועד"ז להיפך, שזהו הענין של יתבררו ויתלבנו וגו', שעומק הטוב ועומק הרע מתגלים בכדי שיהי' הבירור בשלימות. </w:t>
      </w:r>
    </w:p>
    <w:p w:rsidR="00825FC6" w:rsidRDefault="00825FC6" w:rsidP="00825FC6">
      <w:pPr>
        <w:pStyle w:val="a3"/>
      </w:pPr>
      <w:r>
        <w:rPr>
          <w:rFonts w:hint="cs"/>
          <w:rtl/>
        </w:rPr>
        <w:t>שעפ"ז אפ"ל שבתקופת עקבתא דמשיחא יש ב' הענינים (של זכו ולא זכו) ביחד. אבל אף שבנוגע לפרטים מסויימים ומוגדרים אולי אפשר לתרץ כן, אבל אין זה תירוץ מסתבר בנוגע לכללות להסתירה הכללית הנ"ל.</w:t>
      </w:r>
    </w:p>
    <w:p w:rsidR="00825FC6" w:rsidRDefault="00825FC6" w:rsidP="00825FC6">
      <w:pPr>
        <w:pStyle w:val="11"/>
        <w:bidi/>
        <w:rPr>
          <w:rtl/>
        </w:rPr>
      </w:pPr>
      <w:r>
        <w:rPr>
          <w:rFonts w:hint="cs"/>
          <w:rtl/>
        </w:rPr>
        <w:t xml:space="preserve">ב. </w:t>
      </w:r>
    </w:p>
    <w:p w:rsidR="00825FC6" w:rsidRDefault="00825FC6" w:rsidP="00825FC6">
      <w:pPr>
        <w:pStyle w:val="a3"/>
        <w:rPr>
          <w:rtl/>
        </w:rPr>
      </w:pPr>
      <w:r>
        <w:rPr>
          <w:rFonts w:hint="cs"/>
          <w:rtl/>
        </w:rPr>
        <w:t>בנוגע לכמה פרטים, אולי אפשר להסביר ע"פ דברי המהר"ל</w:t>
      </w:r>
      <w:r>
        <w:rPr>
          <w:rStyle w:val="FootnoteReference"/>
          <w:rtl/>
        </w:rPr>
        <w:footnoteReference w:id="17"/>
      </w:r>
      <w:r>
        <w:rPr>
          <w:rFonts w:hint="cs"/>
          <w:rtl/>
        </w:rPr>
        <w:t>, במה שמבאר בענין של הסימנים דעקבתא דמשיחא, שהענין בזה הוא הפסד ההוי' הראשונה</w:t>
      </w:r>
      <w:r>
        <w:rPr>
          <w:rStyle w:val="FootnoteReference"/>
          <w:rtl/>
        </w:rPr>
        <w:footnoteReference w:id="18"/>
      </w:r>
      <w:r>
        <w:rPr>
          <w:rFonts w:hint="cs"/>
          <w:rtl/>
        </w:rPr>
        <w:t>, ולאח"ז יהי' התחלת ההוי' החדשה עוד לפני ביאת המשיח. ובזה מבאר המחז"ל שבשבוע שבן דוד בו בתחילה יהי' ענינים בלתי רצויים ואח"כ בשנה החמישית יהי' שובע גדול.  ע"ש. שעפ"ז הי' אפשר לפרש שהענינים השליים יתקיימו תילה ואח"כ עוד לפני ביאת המשיח יהי' שובע גדול בגו"ר.</w:t>
      </w:r>
    </w:p>
    <w:p w:rsidR="00825FC6" w:rsidRDefault="00825FC6" w:rsidP="00825FC6">
      <w:pPr>
        <w:pStyle w:val="a3"/>
        <w:rPr>
          <w:rtl/>
        </w:rPr>
      </w:pPr>
      <w:r>
        <w:rPr>
          <w:rFonts w:hint="cs"/>
          <w:rtl/>
        </w:rPr>
        <w:t>[ויש לקשר זה עם הסגנון בהרבה שיחות</w:t>
      </w:r>
      <w:r>
        <w:rPr>
          <w:rStyle w:val="FootnoteReference"/>
          <w:rtl/>
        </w:rPr>
        <w:footnoteReference w:id="19"/>
      </w:r>
      <w:r>
        <w:rPr>
          <w:rFonts w:hint="cs"/>
          <w:rtl/>
        </w:rPr>
        <w:t>, שלאחר כל מה שקרה בדורות האחרונים, הרי כבר בימים האחרונים של הגולת צ"ל ולכל בנ"י הי' אור במושבותם, ושפע בגו"ר].</w:t>
      </w:r>
    </w:p>
    <w:p w:rsidR="00825FC6" w:rsidRDefault="00825FC6" w:rsidP="00825FC6">
      <w:pPr>
        <w:pStyle w:val="a3"/>
        <w:rPr>
          <w:rtl/>
        </w:rPr>
      </w:pPr>
      <w:r>
        <w:rPr>
          <w:rFonts w:hint="cs"/>
          <w:rtl/>
        </w:rPr>
        <w:t>אמנם גם ביאור זה אינו מתרץ הסתירות האמורות שבהם משמע שבאותו הזמן יש ב' ענינים מנוגדים, ולא שזה מדבר על שני שלבים שונים בתקופת עקבתא דמשיחא.</w:t>
      </w:r>
    </w:p>
    <w:p w:rsidR="00825FC6" w:rsidRDefault="00825FC6" w:rsidP="00825FC6">
      <w:pPr>
        <w:pStyle w:val="11"/>
        <w:bidi/>
        <w:rPr>
          <w:rtl/>
        </w:rPr>
      </w:pPr>
      <w:r>
        <w:rPr>
          <w:rFonts w:hint="cs"/>
          <w:rtl/>
        </w:rPr>
        <w:t xml:space="preserve">ג. </w:t>
      </w:r>
    </w:p>
    <w:p w:rsidR="00825FC6" w:rsidRDefault="00825FC6" w:rsidP="00825FC6">
      <w:pPr>
        <w:pStyle w:val="a3"/>
        <w:rPr>
          <w:rtl/>
        </w:rPr>
      </w:pPr>
      <w:r>
        <w:rPr>
          <w:rFonts w:hint="cs"/>
          <w:rtl/>
        </w:rPr>
        <w:t xml:space="preserve">והנה הרבי בעצמו התייחס לנושא הזה, בשיחת ש"פ בראשית תשנ"א סי"ג, איך שייך שבזמן שבו אנו רואים סימני הגאולה בעולם, אנו רואים ענין בלתי רצוי. ומבאר בזה שזהן </w:t>
      </w:r>
      <w:r>
        <w:rPr>
          <w:rFonts w:hint="cs"/>
          <w:rtl/>
        </w:rPr>
        <w:lastRenderedPageBreak/>
        <w:t>הענין שחושך קודם לאור.</w:t>
      </w:r>
    </w:p>
    <w:p w:rsidR="00825FC6" w:rsidRDefault="00825FC6" w:rsidP="00825FC6">
      <w:pPr>
        <w:pStyle w:val="a3"/>
        <w:rPr>
          <w:rtl/>
        </w:rPr>
      </w:pPr>
      <w:r>
        <w:rPr>
          <w:rFonts w:hint="cs"/>
          <w:rtl/>
        </w:rPr>
        <w:t>והוא הענין המבואר בריבוי מקומות, שהתגברות החושך בעולם, הוא דוקא מפני הגילי הגדול של הגאולה, שהקליפות מתנגדים לו, כדוגמת מי שמרגיש שעוד מעט ינצחו אותו שמתגבר בכל כוחותיו, או כדוגמת החושך שמתגבר סמוך לאור היום דוקא וכו'</w:t>
      </w:r>
      <w:r>
        <w:rPr>
          <w:rStyle w:val="FootnoteReference"/>
          <w:rtl/>
        </w:rPr>
        <w:footnoteReference w:id="20"/>
      </w:r>
      <w:r>
        <w:rPr>
          <w:rFonts w:hint="cs"/>
          <w:rtl/>
        </w:rPr>
        <w:t>.</w:t>
      </w:r>
    </w:p>
    <w:p w:rsidR="00825FC6" w:rsidRDefault="00825FC6" w:rsidP="00825FC6">
      <w:pPr>
        <w:pStyle w:val="11"/>
        <w:bidi/>
        <w:rPr>
          <w:rtl/>
        </w:rPr>
      </w:pPr>
      <w:r>
        <w:rPr>
          <w:rFonts w:hint="cs"/>
          <w:rtl/>
        </w:rPr>
        <w:t>ד.</w:t>
      </w:r>
    </w:p>
    <w:p w:rsidR="00825FC6" w:rsidRDefault="00825FC6" w:rsidP="00825FC6">
      <w:pPr>
        <w:pStyle w:val="a3"/>
        <w:rPr>
          <w:rtl/>
        </w:rPr>
      </w:pPr>
      <w:r>
        <w:rPr>
          <w:rFonts w:hint="cs"/>
          <w:rtl/>
        </w:rPr>
        <w:t xml:space="preserve"> ובאופן עמוק יותר מבואר הענין במאמר איתא בפסיקתא להרב הלל מפאריטש</w:t>
      </w:r>
      <w:r>
        <w:rPr>
          <w:rStyle w:val="FootnoteReference"/>
          <w:rtl/>
        </w:rPr>
        <w:footnoteReference w:id="21"/>
      </w:r>
      <w:r>
        <w:rPr>
          <w:rFonts w:hint="cs"/>
          <w:rtl/>
        </w:rPr>
        <w:t>, ע"פ משל מרב שמשפיע לתלמיד, ונופל לו שכל חדש להשפיע לתלמידו, וככל שמתרכז יותר בהענין החדש שנתגלה הרי בגלוי נראה שהוא מתרחק מתלמידו, אבל באמת כל הכוונה בזה הוא בכדי שיוכל להשפיע לתלמידו, והתלמיד רואה זאת בצהיבת פני הרב באותה שעה, שעי"ז מתנחם ומתחזק ומכין א"ע לקבלת השפע. ומבאר הנמשל מזה שבסוף זמן הגלות מתעלם השפע לגמרי כו' והר"ז הוראה על גילוי האור שיבוא, ע"ש. ועיי"ש שמקשר הביאור הנ"ל עם זה שדוקא בדורות האחרונים כאשר נתגלה תורת החסידות נתגבר הקליפות בעולם. עיי"ש.</w:t>
      </w:r>
    </w:p>
    <w:p w:rsidR="00825FC6" w:rsidRDefault="00825FC6" w:rsidP="00825FC6">
      <w:pPr>
        <w:pStyle w:val="11"/>
        <w:bidi/>
        <w:rPr>
          <w:rtl/>
        </w:rPr>
      </w:pPr>
      <w:r>
        <w:rPr>
          <w:rFonts w:hint="cs"/>
          <w:rtl/>
        </w:rPr>
        <w:t xml:space="preserve">ה. </w:t>
      </w:r>
    </w:p>
    <w:p w:rsidR="00825FC6" w:rsidRDefault="00825FC6" w:rsidP="00825FC6">
      <w:pPr>
        <w:pStyle w:val="a3"/>
        <w:rPr>
          <w:rtl/>
        </w:rPr>
      </w:pPr>
      <w:r>
        <w:rPr>
          <w:rFonts w:hint="cs"/>
          <w:rtl/>
        </w:rPr>
        <w:t>עוד נקודה שיש להעיר בנוגע לב' הענינים המנוגדים הנ"ל, שעל דרך זה (אף שאינו אותו הענין כמובן) משתקף גם בהמבואר בחסידות בנוגע העבודה בעקבתא דמשיחא, שדוקא העבודה באותו זמן שבו נראה מצב של ירידה באופן מבהיל, היא דוקא המביאה והמגלה הגילוי הגדול של הגאולה. כמבואר הענין בכ"מ</w:t>
      </w:r>
      <w:r>
        <w:rPr>
          <w:rStyle w:val="FootnoteReference"/>
          <w:rtl/>
        </w:rPr>
        <w:footnoteReference w:id="22"/>
      </w:r>
      <w:r>
        <w:rPr>
          <w:rFonts w:hint="cs"/>
          <w:rtl/>
        </w:rPr>
        <w:t>.</w:t>
      </w:r>
    </w:p>
    <w:p w:rsidR="00825FC6" w:rsidRDefault="00825FC6" w:rsidP="00825FC6">
      <w:pPr>
        <w:pStyle w:val="a3"/>
        <w:rPr>
          <w:rtl/>
        </w:rPr>
      </w:pPr>
      <w:r>
        <w:rPr>
          <w:rFonts w:hint="cs"/>
          <w:rtl/>
        </w:rPr>
        <w:t>ויש להאריך בכ"ז ותן לחכם ויחכם עוד.</w:t>
      </w:r>
    </w:p>
    <w:p w:rsidR="00825FC6" w:rsidRDefault="00825FC6" w:rsidP="00825FC6">
      <w:pPr>
        <w:pStyle w:val="a3"/>
      </w:pPr>
      <w:r>
        <w:rPr>
          <w:rFonts w:hint="cs"/>
          <w:rtl/>
        </w:rPr>
        <w:t>ויה"ר שיתהפכו כל הענינים לטוב נראה ונגלה</w:t>
      </w:r>
      <w:r>
        <w:rPr>
          <w:rStyle w:val="FootnoteReference"/>
          <w:rtl/>
        </w:rPr>
        <w:footnoteReference w:id="23"/>
      </w:r>
      <w:r>
        <w:rPr>
          <w:rFonts w:hint="cs"/>
          <w:rtl/>
        </w:rPr>
        <w:t xml:space="preserve"> ונזכה לביאת והתגלות משיח צדקינו תומ"י ממש בחסד וברחמים. </w:t>
      </w:r>
    </w:p>
    <w:p w:rsidR="001F3DBE" w:rsidRDefault="00825FC6" w:rsidP="00825FC6">
      <w:pPr>
        <w:bidi/>
        <w:spacing w:after="240"/>
        <w:jc w:val="center"/>
        <w:rPr>
          <w:rFonts w:ascii="Nymphette" w:eastAsia="Times New Roman" w:hAnsi="Nymphette" w:cs="Nymphette"/>
          <w:sz w:val="44"/>
          <w:szCs w:val="44"/>
        </w:rPr>
      </w:pPr>
      <w:r w:rsidRPr="00760DB7">
        <w:rPr>
          <w:rFonts w:ascii="Nymphette" w:eastAsia="Times New Roman" w:hAnsi="Nymphette" w:cs="Nymphette"/>
          <w:sz w:val="44"/>
          <w:szCs w:val="44"/>
        </w:rPr>
        <w:t>g</w:t>
      </w:r>
    </w:p>
    <w:p w:rsidR="001F3DBE" w:rsidRDefault="001F3DBE">
      <w:pPr>
        <w:rPr>
          <w:rFonts w:ascii="Nymphette" w:eastAsia="Times New Roman" w:hAnsi="Nymphette" w:cs="Nymphette"/>
          <w:sz w:val="44"/>
          <w:szCs w:val="44"/>
        </w:rPr>
      </w:pPr>
      <w:r>
        <w:rPr>
          <w:rFonts w:ascii="Nymphette" w:eastAsia="Times New Roman" w:hAnsi="Nymphette" w:cs="Nymphette"/>
          <w:sz w:val="44"/>
          <w:szCs w:val="44"/>
        </w:rPr>
        <w:br w:type="page"/>
      </w:r>
    </w:p>
    <w:p w:rsidR="00C93F24" w:rsidRDefault="00C93F24" w:rsidP="00C93F24">
      <w:pPr>
        <w:pStyle w:val="a0"/>
        <w:rPr>
          <w:rFonts w:eastAsia="David Libre"/>
          <w:sz w:val="24"/>
          <w:szCs w:val="24"/>
        </w:rPr>
      </w:pPr>
      <w:bookmarkStart w:id="97" w:name="_Toc39817403"/>
      <w:r>
        <w:rPr>
          <w:rFonts w:eastAsia="David Libre"/>
          <w:rtl/>
        </w:rPr>
        <w:lastRenderedPageBreak/>
        <w:t>שחיטת הפסח בג' כתות לעתיד לבוא</w:t>
      </w:r>
      <w:bookmarkEnd w:id="97"/>
    </w:p>
    <w:p w:rsidR="001F3DBE" w:rsidRPr="00AC425E" w:rsidRDefault="001F3DBE" w:rsidP="001F3DBE">
      <w:pPr>
        <w:pStyle w:val="a"/>
        <w:rPr>
          <w:rtl/>
        </w:rPr>
      </w:pPr>
      <w:bookmarkStart w:id="98" w:name="_Toc39817404"/>
      <w:r w:rsidRPr="00AC425E">
        <w:rPr>
          <w:rtl/>
        </w:rPr>
        <w:t>הרב מרדכי דובער ווילהעלם</w:t>
      </w:r>
      <w:bookmarkEnd w:id="98"/>
      <w:r w:rsidRPr="00AC425E">
        <w:rPr>
          <w:rtl/>
        </w:rPr>
        <w:t xml:space="preserve"> </w:t>
      </w:r>
    </w:p>
    <w:p w:rsidR="001F3DBE" w:rsidRPr="00C60FEE" w:rsidRDefault="001F3DBE" w:rsidP="001F3DBE">
      <w:pPr>
        <w:pStyle w:val="a1"/>
        <w:rPr>
          <w:rtl/>
        </w:rPr>
      </w:pPr>
      <w:r>
        <w:rPr>
          <w:rtl/>
        </w:rPr>
        <w:t>ר"מ במתיבתא לויבאוויטש, טאראנטא</w:t>
      </w:r>
    </w:p>
    <w:p w:rsidR="00C93F24" w:rsidRDefault="00C93F24" w:rsidP="00C93F24">
      <w:pPr>
        <w:pStyle w:val="a3"/>
        <w:rPr>
          <w:highlight w:val="white"/>
        </w:rPr>
      </w:pPr>
      <w:r>
        <w:rPr>
          <w:rtl/>
        </w:rPr>
        <w:t>כתוב באגרות קודש כרך כב עמוד תמג</w:t>
      </w:r>
      <w:r>
        <w:rPr>
          <w:vertAlign w:val="superscript"/>
        </w:rPr>
        <w:footnoteReference w:id="24"/>
      </w:r>
      <w:r>
        <w:t xml:space="preserve"> "</w:t>
      </w:r>
      <w:r>
        <w:rPr>
          <w:highlight w:val="white"/>
          <w:rtl/>
        </w:rPr>
        <w:t>לכתבו - בכת א' מג' הכתות (דק"פ) - צ"ע אם לעת"ל תהי' שחיטתו בג' כתות, כיון דהוא משום דמספקא לן (פסחים סד, ב ושם) ובאם יפתר הספק דבב"א קאמר - בטח תבטל כת שנק' עצלנית."</w:t>
      </w:r>
    </w:p>
    <w:p w:rsidR="00C93F24" w:rsidRDefault="00C93F24" w:rsidP="00C93F24">
      <w:pPr>
        <w:pStyle w:val="a3"/>
        <w:rPr>
          <w:highlight w:val="white"/>
        </w:rPr>
      </w:pPr>
      <w:r>
        <w:rPr>
          <w:highlight w:val="white"/>
          <w:rtl/>
        </w:rPr>
        <w:t>ויש לדייק במ"ש "צ"ע", דלכאורה מספיק לומר "לעת"ל באם יפתר הספק דבב"א קאמר - בטח תבטל כת שנק' עצלנית."</w:t>
      </w:r>
    </w:p>
    <w:p w:rsidR="00C93F24" w:rsidRDefault="00C93F24" w:rsidP="00C93F24">
      <w:pPr>
        <w:pStyle w:val="a3"/>
        <w:rPr>
          <w:highlight w:val="white"/>
        </w:rPr>
      </w:pPr>
      <w:r>
        <w:rPr>
          <w:highlight w:val="white"/>
          <w:rtl/>
        </w:rPr>
        <w:t xml:space="preserve">ולכאורה יש לומר שצריך עיון מהו הספק. ורמז לזה במה שמציין "דמספקא לן (פסחים סד, ב </w:t>
      </w:r>
      <w:r>
        <w:rPr>
          <w:b/>
          <w:highlight w:val="white"/>
          <w:rtl/>
        </w:rPr>
        <w:t>ושם</w:t>
      </w:r>
      <w:r>
        <w:rPr>
          <w:highlight w:val="white"/>
          <w:rtl/>
        </w:rPr>
        <w:t>)" דמשמע שלא מספיק במה שמפורש שם "</w:t>
      </w:r>
      <w:r>
        <w:rPr>
          <w:b/>
          <w:highlight w:val="white"/>
          <w:rtl/>
        </w:rPr>
        <w:t>מספקא לן</w:t>
      </w:r>
      <w:r>
        <w:rPr>
          <w:highlight w:val="white"/>
          <w:rtl/>
        </w:rPr>
        <w:t xml:space="preserve"> אי בבת אחת אי בזה אחר זה" אלא שיש לעיין שם עוד. </w:t>
      </w:r>
    </w:p>
    <w:p w:rsidR="00C93F24" w:rsidRDefault="00C93F24" w:rsidP="00C93F24">
      <w:pPr>
        <w:pStyle w:val="a3"/>
        <w:rPr>
          <w:highlight w:val="white"/>
        </w:rPr>
      </w:pPr>
      <w:r>
        <w:rPr>
          <w:highlight w:val="white"/>
          <w:rtl/>
        </w:rPr>
        <w:t xml:space="preserve">ויש לומר הפירוש בזה. דהנה איתא בגמרא שם "א"ר יצחק אין הפסח נשחט אלא בג' כתות של שלשים שלשים בני אדם מ"ט קהל ועדה וישראל. מספקא לן אי בבת אחת אי בזה אחר זה הלכך בעינן שלש כתות של שלשים שלשים בני אדם דאי בבת אחת הא איכא ואי בזה אחר זה הא איכא". </w:t>
      </w:r>
    </w:p>
    <w:p w:rsidR="00C93F24" w:rsidRDefault="00C93F24" w:rsidP="00C93F24">
      <w:pPr>
        <w:pStyle w:val="a3"/>
        <w:rPr>
          <w:highlight w:val="white"/>
        </w:rPr>
      </w:pPr>
      <w:r>
        <w:rPr>
          <w:highlight w:val="white"/>
          <w:rtl/>
        </w:rPr>
        <w:t>ובהמשיך לזה מובא בגמרא על מ"ש במשנה נכנסה כת הראשונה נתמלאה העזרה נעלו דלתות העזרה. איתמר אביי אמר ננעלו תנן רבא אמר נועלין תנן מאי בינייהו איכא בינייהו למסמך אניסא אביי אמר ננעלו תנן כמה דעיילו מעלו וסמכינן אניסא רבא אמר נועלין תנן ולא סמכינן אניסא</w:t>
      </w:r>
    </w:p>
    <w:p w:rsidR="00C93F24" w:rsidRDefault="00C93F24" w:rsidP="00C93F24">
      <w:pPr>
        <w:pStyle w:val="a3"/>
        <w:rPr>
          <w:highlight w:val="white"/>
        </w:rPr>
      </w:pPr>
      <w:r>
        <w:rPr>
          <w:highlight w:val="white"/>
          <w:rtl/>
        </w:rPr>
        <w:t>וכתב המהרש"א "ויש לדקדק, לאביי</w:t>
      </w:r>
      <w:r>
        <w:rPr>
          <w:highlight w:val="white"/>
          <w:vertAlign w:val="superscript"/>
        </w:rPr>
        <w:footnoteReference w:id="25"/>
      </w:r>
      <w:r>
        <w:rPr>
          <w:highlight w:val="white"/>
          <w:rtl/>
        </w:rPr>
        <w:t xml:space="preserve"> כיון דבנס ננעלין כדי דלא ליעיילו כולהו ולא יהיו ג' כיתות, אם כן היאך מספקא לן אי בבת אחת [או</w:t>
      </w:r>
      <w:r>
        <w:rPr>
          <w:highlight w:val="white"/>
          <w:vertAlign w:val="superscript"/>
        </w:rPr>
        <w:footnoteReference w:id="26"/>
      </w:r>
      <w:r>
        <w:rPr>
          <w:highlight w:val="white"/>
          <w:rtl/>
        </w:rPr>
        <w:t>] בג' כתות, דא"כ למה ננעלין כלל בין כל כת וכת ויש ליישב ודו"ק".</w:t>
      </w:r>
    </w:p>
    <w:p w:rsidR="00C93F24" w:rsidRDefault="00C93F24" w:rsidP="00C93F24">
      <w:pPr>
        <w:pStyle w:val="a3"/>
        <w:rPr>
          <w:highlight w:val="white"/>
        </w:rPr>
      </w:pPr>
      <w:r>
        <w:rPr>
          <w:highlight w:val="white"/>
          <w:rtl/>
        </w:rPr>
        <w:t>ובישוב הדבר יש לומר</w:t>
      </w:r>
      <w:r>
        <w:rPr>
          <w:highlight w:val="white"/>
          <w:vertAlign w:val="superscript"/>
        </w:rPr>
        <w:footnoteReference w:id="27"/>
      </w:r>
      <w:r>
        <w:rPr>
          <w:highlight w:val="white"/>
          <w:rtl/>
        </w:rPr>
        <w:t xml:space="preserve">, דהא דהדלתות ננעלו בין כל כת וכת היינו משום דפשיטא דהכתות צריך להיות בזה אחר זה ומאי דמספקא לן היינו אי </w:t>
      </w:r>
      <w:r>
        <w:rPr>
          <w:b/>
          <w:highlight w:val="white"/>
          <w:rtl/>
        </w:rPr>
        <w:t>גם</w:t>
      </w:r>
      <w:r>
        <w:rPr>
          <w:highlight w:val="white"/>
          <w:rtl/>
        </w:rPr>
        <w:t xml:space="preserve"> בבת אחת בעינן קהל ועדה וישראל [=ג' כתות] או </w:t>
      </w:r>
      <w:r>
        <w:rPr>
          <w:b/>
          <w:highlight w:val="white"/>
          <w:rtl/>
        </w:rPr>
        <w:t>רק</w:t>
      </w:r>
      <w:r>
        <w:rPr>
          <w:highlight w:val="white"/>
          <w:rtl/>
        </w:rPr>
        <w:t xml:space="preserve"> בזה אחר זה.  </w:t>
      </w:r>
    </w:p>
    <w:p w:rsidR="00C93F24" w:rsidRDefault="00C93F24" w:rsidP="00C93F24">
      <w:pPr>
        <w:pStyle w:val="a3"/>
        <w:rPr>
          <w:highlight w:val="white"/>
        </w:rPr>
      </w:pPr>
      <w:r>
        <w:rPr>
          <w:highlight w:val="white"/>
          <w:rtl/>
        </w:rPr>
        <w:t>ולכאורה יש לדייק כן ממה שכתוב בלקוטי שיחות  חלק יח עמוד 107  "כאטש מ'האט מקריב געווען דעם קרבן פסח ב"כתות"ו"קהל עדת" - איז עס געווען (ניט אין איין כיתה, נאר) "בג' כתות". ד.ה. אויך ווען מ'האט מצרף געווען אידן אין א קהל ועדה, בלייבט דער ענין פון התחלקות און פרטים: "בג</w:t>
      </w:r>
      <w:r>
        <w:rPr>
          <w:b/>
          <w:highlight w:val="white"/>
        </w:rPr>
        <w:t>'</w:t>
      </w:r>
      <w:r>
        <w:rPr>
          <w:highlight w:val="white"/>
          <w:rtl/>
        </w:rPr>
        <w:t xml:space="preserve"> כתות" דוקא און </w:t>
      </w:r>
      <w:r>
        <w:rPr>
          <w:b/>
          <w:highlight w:val="white"/>
          <w:rtl/>
        </w:rPr>
        <w:t xml:space="preserve">(עכ"פ מפני הספק) יעדערע פון זיי ג' מאל </w:t>
      </w:r>
      <w:r>
        <w:rPr>
          <w:b/>
          <w:highlight w:val="white"/>
          <w:rtl/>
        </w:rPr>
        <w:lastRenderedPageBreak/>
        <w:t>"קהל"</w:t>
      </w:r>
      <w:r>
        <w:rPr>
          <w:highlight w:val="white"/>
        </w:rPr>
        <w:t xml:space="preserve"> </w:t>
      </w:r>
      <w:r>
        <w:rPr>
          <w:rFonts w:hint="cs"/>
          <w:highlight w:val="white"/>
          <w:rtl/>
        </w:rPr>
        <w:t>.</w:t>
      </w:r>
      <w:r>
        <w:rPr>
          <w:highlight w:val="white"/>
        </w:rPr>
        <w:t xml:space="preserve"> </w:t>
      </w:r>
    </w:p>
    <w:p w:rsidR="00C93F24" w:rsidRDefault="00C93F24" w:rsidP="00C93F24">
      <w:pPr>
        <w:pStyle w:val="a3"/>
        <w:rPr>
          <w:highlight w:val="white"/>
        </w:rPr>
      </w:pPr>
      <w:r>
        <w:rPr>
          <w:highlight w:val="white"/>
          <w:rtl/>
        </w:rPr>
        <w:t>היינו שמפרש הספק, ע"ז דבעי יעדערע פון זיי ג' מאל "קהל" והיינו בבת אחת. אבל ע"ז דבעי ג' כתות והיינו בזה אחר זה אין ספק. וזה מתאים לפשטות לשון המשנה שם סד ע"א הפסח נשחט בשלש כתות . . נכנסה כת הראשונה . . יצתה כת ראשונה ונכנסה כת שניה יצתה שניה נכנסה שלישית . .</w:t>
      </w:r>
      <w:r w:rsidRPr="00E22432">
        <w:rPr>
          <w:highlight w:val="white"/>
          <w:vertAlign w:val="superscript"/>
        </w:rPr>
        <w:t xml:space="preserve"> </w:t>
      </w:r>
      <w:r>
        <w:rPr>
          <w:highlight w:val="white"/>
          <w:rtl/>
        </w:rPr>
        <w:t>"</w:t>
      </w:r>
      <w:r>
        <w:rPr>
          <w:highlight w:val="white"/>
          <w:vertAlign w:val="superscript"/>
        </w:rPr>
        <w:footnoteReference w:id="28"/>
      </w:r>
      <w:r>
        <w:rPr>
          <w:rFonts w:hint="cs"/>
          <w:highlight w:val="white"/>
          <w:rtl/>
        </w:rPr>
        <w:t>.</w:t>
      </w:r>
    </w:p>
    <w:p w:rsidR="00C93F24" w:rsidRDefault="00C93F24" w:rsidP="00C93F24">
      <w:pPr>
        <w:pStyle w:val="a3"/>
        <w:rPr>
          <w:highlight w:val="white"/>
        </w:rPr>
      </w:pPr>
      <w:r>
        <w:rPr>
          <w:highlight w:val="white"/>
          <w:rtl/>
        </w:rPr>
        <w:t xml:space="preserve">ולפי מה שבררנו יש לפרש מה שכתוב בהמכתב "צריך עיון" הוא, שיש לעיין במאי מספקא לן. היינו אי מספקא לן כפשטות לשון הגמרא "אי בבת אחת אי בזה אחר זה". ואם כן היוצא מזה הוא ש"באם יפתר הספק דבב"א קאמר - בטח תבטל כת שנק' עצלנית." או שיש לפרש הספק אי בעי </w:t>
      </w:r>
      <w:r>
        <w:rPr>
          <w:b/>
          <w:highlight w:val="white"/>
          <w:rtl/>
        </w:rPr>
        <w:t xml:space="preserve">גם </w:t>
      </w:r>
      <w:r>
        <w:rPr>
          <w:highlight w:val="white"/>
          <w:rtl/>
        </w:rPr>
        <w:t xml:space="preserve">בבת אחת "יעדערע פון זיי ג' מאל "קהל" או </w:t>
      </w:r>
      <w:r>
        <w:rPr>
          <w:b/>
          <w:highlight w:val="white"/>
          <w:rtl/>
        </w:rPr>
        <w:t>רק</w:t>
      </w:r>
      <w:r>
        <w:rPr>
          <w:highlight w:val="white"/>
          <w:rtl/>
        </w:rPr>
        <w:t xml:space="preserve"> ג' כתות בזה אחר זה. והיוצא מזה שההתחלקות לג' כתות יהי' גם לעתיד לבוא</w:t>
      </w:r>
      <w:r>
        <w:rPr>
          <w:highlight w:val="white"/>
        </w:rPr>
        <w:t>.</w:t>
      </w:r>
      <w:r w:rsidRPr="00E22432">
        <w:rPr>
          <w:highlight w:val="white"/>
          <w:vertAlign w:val="superscript"/>
        </w:rPr>
        <w:t xml:space="preserve"> </w:t>
      </w:r>
      <w:r>
        <w:rPr>
          <w:highlight w:val="white"/>
          <w:vertAlign w:val="superscript"/>
        </w:rPr>
        <w:footnoteReference w:id="29"/>
      </w:r>
      <w:r>
        <w:rPr>
          <w:highlight w:val="white"/>
        </w:rPr>
        <w:t xml:space="preserve"> </w:t>
      </w:r>
    </w:p>
    <w:p w:rsidR="00C93F24" w:rsidRDefault="00C93F24" w:rsidP="00C93F24">
      <w:pPr>
        <w:bidi/>
        <w:jc w:val="center"/>
        <w:rPr>
          <w:rFonts w:ascii="Nymphette" w:eastAsia="Times New Roman" w:hAnsi="Nymphette" w:cs="Nymphette"/>
          <w:sz w:val="44"/>
          <w:szCs w:val="44"/>
          <w:rtl/>
        </w:rPr>
      </w:pPr>
      <w:r w:rsidRPr="00760DB7">
        <w:rPr>
          <w:rFonts w:ascii="Nymphette" w:eastAsia="Times New Roman" w:hAnsi="Nymphette" w:cs="Nymphette"/>
          <w:sz w:val="44"/>
          <w:szCs w:val="44"/>
        </w:rPr>
        <w:t>g</w:t>
      </w:r>
    </w:p>
    <w:p w:rsidR="00760DB7" w:rsidRDefault="00760DB7" w:rsidP="00AC425E">
      <w:pPr>
        <w:pStyle w:val="12"/>
        <w:rPr>
          <w:rtl/>
        </w:rPr>
      </w:pPr>
      <w:bookmarkStart w:id="99" w:name="_Toc39817405"/>
      <w:r w:rsidRPr="00760DB7">
        <w:rPr>
          <w:rFonts w:hint="cs"/>
          <w:rtl/>
        </w:rPr>
        <w:t>תורת רבינו</w:t>
      </w:r>
      <w:bookmarkEnd w:id="99"/>
    </w:p>
    <w:p w:rsidR="008411D2" w:rsidRPr="0091131F" w:rsidRDefault="008411D2" w:rsidP="008411D2">
      <w:pPr>
        <w:pStyle w:val="a0"/>
        <w:bidi w:val="0"/>
        <w:rPr>
          <w:rtl/>
        </w:rPr>
      </w:pPr>
      <w:bookmarkStart w:id="100" w:name="_Toc39817406"/>
      <w:r w:rsidRPr="0091131F">
        <w:rPr>
          <w:rFonts w:hint="cs"/>
          <w:rtl/>
        </w:rPr>
        <w:t>על נוסח ספירת העומר וברכתה</w:t>
      </w:r>
      <w:bookmarkEnd w:id="100"/>
    </w:p>
    <w:p w:rsidR="008411D2" w:rsidRDefault="008411D2" w:rsidP="008411D2">
      <w:pPr>
        <w:pStyle w:val="a"/>
        <w:rPr>
          <w:rtl/>
        </w:rPr>
      </w:pPr>
      <w:bookmarkStart w:id="101" w:name="_Toc39817407"/>
      <w:r>
        <w:rPr>
          <w:rFonts w:hint="cs"/>
          <w:rtl/>
        </w:rPr>
        <w:t>הרב חנניה יוסף אייזנבך</w:t>
      </w:r>
      <w:bookmarkEnd w:id="101"/>
    </w:p>
    <w:p w:rsidR="008411D2" w:rsidRPr="0091131F" w:rsidRDefault="008411D2" w:rsidP="008411D2">
      <w:pPr>
        <w:pStyle w:val="a1"/>
        <w:rPr>
          <w:rtl/>
        </w:rPr>
      </w:pPr>
      <w:r>
        <w:rPr>
          <w:rFonts w:hint="cs"/>
          <w:rtl/>
        </w:rPr>
        <w:t>בעמ"ח ספרי "מחנה יוסף"</w:t>
      </w:r>
    </w:p>
    <w:p w:rsidR="008411D2" w:rsidRDefault="008411D2" w:rsidP="008411D2">
      <w:pPr>
        <w:pStyle w:val="11"/>
      </w:pPr>
      <w:r>
        <w:rPr>
          <w:rFonts w:hint="cs"/>
          <w:rtl/>
        </w:rPr>
        <w:t>א</w:t>
      </w:r>
    </w:p>
    <w:p w:rsidR="008411D2" w:rsidRDefault="008411D2" w:rsidP="008411D2">
      <w:pPr>
        <w:pStyle w:val="a3"/>
        <w:rPr>
          <w:rtl/>
        </w:rPr>
      </w:pPr>
      <w:r>
        <w:rPr>
          <w:rFonts w:hint="cs"/>
          <w:rtl/>
        </w:rPr>
        <w:t>ב"חידושים וביאורים בש"ס" ח"א סי' ל"ז כתב: "יש דעה שכל אחד ממ"ט ימי הספירה הוא מצוה בפני עצמה, ולכן, אפילו אם חיסר יום, אין זה שייך לשאר הימים, שהרי כל יום הוא מצוה בפני עצמה. וישנה עוד דעה, שימי הספירה הם מצוה אחת – לספור מ"ט יום, תמימות, ולכן אפילו אם לא חיסר אלא יום אחד בלבד, כבר חסר ב"תמימות", ושוב אי אפשר לקיים את המצוה. ולהלכה נוהגים שסופרים את הימים הנותרים אבל אין מברכים.</w:t>
      </w:r>
    </w:p>
    <w:p w:rsidR="008411D2" w:rsidRDefault="008411D2" w:rsidP="008411D2">
      <w:pPr>
        <w:pStyle w:val="a3"/>
        <w:rPr>
          <w:rtl/>
        </w:rPr>
      </w:pPr>
      <w:r>
        <w:rPr>
          <w:rFonts w:hint="cs"/>
          <w:rtl/>
        </w:rPr>
        <w:t>וצריך להבין: אם נקטינן שכל מ"ט ימי הספירה הם מצוה אחת, איך מברכים מ"ט ברכות, ברכה על כל ספירה וספירה, לא הי' צריך לברך אלא פעם אחת בלבד, בתחילת ימי הספירה או בסופם?</w:t>
      </w:r>
    </w:p>
    <w:p w:rsidR="008411D2" w:rsidRDefault="008411D2" w:rsidP="008411D2">
      <w:pPr>
        <w:pStyle w:val="a3"/>
        <w:rPr>
          <w:rtl/>
        </w:rPr>
      </w:pPr>
      <w:r>
        <w:rPr>
          <w:rFonts w:hint="cs"/>
          <w:rtl/>
        </w:rPr>
        <w:t>גם אינו מובן: לפי דעה זו, הרי כשמחסרים יום אחד הרי זה נוגע לא רק לימים שלאחרי זה כ"א גם לימים הקודמים, שהרי כל הימים מצוה אחת הם, וא"כ הי' צריך להיות אסור לברך עד היום האחרון, שמא ישכח לספור, ויהיו הברכות שבימים שלפני זה לבטלה?</w:t>
      </w:r>
    </w:p>
    <w:p w:rsidR="008411D2" w:rsidRDefault="008411D2" w:rsidP="008411D2">
      <w:pPr>
        <w:pStyle w:val="a3"/>
        <w:rPr>
          <w:rtl/>
        </w:rPr>
      </w:pPr>
      <w:r>
        <w:rPr>
          <w:rFonts w:hint="cs"/>
          <w:rtl/>
        </w:rPr>
        <w:lastRenderedPageBreak/>
        <w:t xml:space="preserve">וי"ל: באמת גם לדעה זו כל לילה הוא מצוה בפני עצמה, והם מ"ט מצוות. אבל המצוה היא שבלילה הראשון יספור הספירה </w:t>
      </w:r>
      <w:r>
        <w:rPr>
          <w:rFonts w:hint="cs"/>
          <w:b/>
          <w:bCs/>
          <w:rtl/>
        </w:rPr>
        <w:t>הראשונה</w:t>
      </w:r>
      <w:r>
        <w:rPr>
          <w:rFonts w:hint="cs"/>
          <w:rtl/>
        </w:rPr>
        <w:t xml:space="preserve">, בלילה השני – הספירה </w:t>
      </w:r>
      <w:r>
        <w:rPr>
          <w:rFonts w:hint="cs"/>
          <w:b/>
          <w:bCs/>
          <w:rtl/>
        </w:rPr>
        <w:t>השני</w:t>
      </w:r>
      <w:r>
        <w:rPr>
          <w:rFonts w:hint="cs"/>
          <w:rtl/>
        </w:rPr>
        <w:t xml:space="preserve">', בלילה השלישי – הספירה </w:t>
      </w:r>
      <w:r>
        <w:rPr>
          <w:rFonts w:hint="cs"/>
          <w:b/>
          <w:bCs/>
          <w:rtl/>
        </w:rPr>
        <w:t>השלישית</w:t>
      </w:r>
      <w:r>
        <w:rPr>
          <w:rFonts w:hint="cs"/>
          <w:rtl/>
        </w:rPr>
        <w:t xml:space="preserve"> וכו'. ולכן אם חיסר פעם אחת אינו יכול להמשיך ולספור. ולדוגמא: אם חיסר לספור בלילה השני, אינו יכול לומר אח"כ היום שלשה ימים, ארבעה ימים וכו' – שהרי אי אפשר לשלישי ורביעי בלי שני. ונמצא שחיסור ספירה פעם אחת הוא גרעון רק בימים שלאחרי זה אבל לא בימים הקודמים מכיון שכל יום הוא מצוה בפני עצמה", עד כאן לשו"ק.</w:t>
      </w:r>
    </w:p>
    <w:p w:rsidR="008411D2" w:rsidRDefault="008411D2" w:rsidP="008411D2">
      <w:pPr>
        <w:pStyle w:val="a3"/>
        <w:rPr>
          <w:rtl/>
        </w:rPr>
      </w:pPr>
      <w:r>
        <w:rPr>
          <w:rFonts w:hint="cs"/>
          <w:rtl/>
        </w:rPr>
        <w:t xml:space="preserve"> ואכן כך מורה לשון החינוך במצוה ש"ו: "לפי שכולן מצוה אחת הן ומכיון ששכח מהן יום אחד הרי כל החשבון בטל ממנו", ולא כתב שהכל נתבטל למפרע, אלא "כל החשבון בטל ממנו", שלא יוכל לספור עוד כשחיסר יום אחד, </w:t>
      </w:r>
    </w:p>
    <w:p w:rsidR="008411D2" w:rsidRDefault="008411D2" w:rsidP="008411D2">
      <w:pPr>
        <w:pStyle w:val="11"/>
        <w:bidi/>
        <w:rPr>
          <w:rtl/>
        </w:rPr>
      </w:pPr>
      <w:r>
        <w:rPr>
          <w:rFonts w:hint="cs"/>
          <w:rtl/>
        </w:rPr>
        <w:t>ב</w:t>
      </w:r>
    </w:p>
    <w:p w:rsidR="008411D2" w:rsidRDefault="008411D2" w:rsidP="008411D2">
      <w:pPr>
        <w:pStyle w:val="a3"/>
        <w:rPr>
          <w:rtl/>
        </w:rPr>
      </w:pPr>
      <w:r>
        <w:rPr>
          <w:rFonts w:hint="cs"/>
          <w:rtl/>
        </w:rPr>
        <w:t xml:space="preserve">והנה מה שכתב רבינו: "יש דעה שכל אחד ממ"ט ימי הספירה הוא מצוה בפני עצמה, ולכן, אפילו אם חיסר יום, אין זה שייך לשאר הימים, שהרי כל יום הוא מצוה בפני עצמה" הוא שיטת הרא"ש סוף מס' פסחים: "ואין נראה לר"י, דכל לילה ולילה מצוה בפני עצמה היא" וכן הוא בטור סי' תפ"ט. </w:t>
      </w:r>
    </w:p>
    <w:p w:rsidR="008411D2" w:rsidRDefault="008411D2" w:rsidP="008411D2">
      <w:pPr>
        <w:pStyle w:val="a3"/>
        <w:rPr>
          <w:rtl/>
        </w:rPr>
      </w:pPr>
      <w:r>
        <w:rPr>
          <w:rFonts w:hint="cs"/>
          <w:rtl/>
        </w:rPr>
        <w:t>,ומה שכתב: "וישנה עוד דעה, שימי הספירה הם מצוה אחת – לספור מ"ט יום, תמימות, ולכן אפילו אם לא חיסר אלא יום אחד בלבד, כבר חסר ב"תמימות", ושוב אי אפשר לקיים את המצוה". היא שיטת בעל הלכות גדולות שמובאת בתוס' מנחות ס":ו ע"א ד"ה זכר למקדש, ברא"ש סוף פסחים ובטור סי' תפ"ט.</w:t>
      </w:r>
    </w:p>
    <w:p w:rsidR="008411D2" w:rsidRDefault="008411D2" w:rsidP="008411D2">
      <w:pPr>
        <w:pStyle w:val="a3"/>
        <w:rPr>
          <w:rtl/>
        </w:rPr>
      </w:pPr>
      <w:r>
        <w:rPr>
          <w:rFonts w:hint="cs"/>
          <w:rtl/>
        </w:rPr>
        <w:t xml:space="preserve">ומה שכתב: "וצריך להבין: אם נקטינן שכל מ"ט ימי הספירה הם מצוה אחת, איך מברכים מ"ט ברכות, ברכה על כל ספירה וספירה, לא הי' צריך לברך אלא פעם אחת בלבד" זו היא שאלת ה"שבלי הלקט" ו"המכריע" על שיטת הבה"ג הנ"ל. </w:t>
      </w:r>
    </w:p>
    <w:p w:rsidR="008411D2" w:rsidRDefault="008411D2" w:rsidP="008411D2">
      <w:pPr>
        <w:pStyle w:val="a3"/>
        <w:rPr>
          <w:rtl/>
        </w:rPr>
      </w:pPr>
      <w:r>
        <w:rPr>
          <w:rFonts w:hint="cs"/>
          <w:rtl/>
        </w:rPr>
        <w:t>[ואולי אפשר היה לומר שנחלקו הבה"ג והרא"ש בגדר דין הברכה על המצוה, דעי' ב"מחנה יוסף" שבת סי' ט"ז שהארכנו שב' שיטות יש בדבר, שיטת הרמב"ם היא שהברכה היא על "מעשה" המצוה, ושיטת הראב"ד והרא"ש היא שהברכה על עיקר המצוה שנתן לנו השי"ת ולא על המעשה שעשה, יעו"ש שהדבר מתבאר מכו"כ הלכות ברמב"ם עי"ש, ומעתה י"ל שהרא"ש לשיטתו שהברכה על עיקר נתינת המצוה לנו, ולכן אם נאמר שכל הימים הם מצוה אחת של ספירת העומר, אין טעם לברך על כל חלק וחלק מן המצוה, ולכן אי אפשר לומר כהבה"ג, והבה"ג ס"ל כנ"ל בדעת הרמב"ם, שהברכה היא על מעשה המצוה, ולכן כיון שכל יום ויום עושה מעשה ממילא שיש לו דין ברכה].</w:t>
      </w:r>
    </w:p>
    <w:p w:rsidR="008411D2" w:rsidRDefault="008411D2" w:rsidP="008411D2">
      <w:pPr>
        <w:pStyle w:val="a3"/>
        <w:rPr>
          <w:rtl/>
        </w:rPr>
      </w:pPr>
      <w:r>
        <w:rPr>
          <w:rFonts w:hint="cs"/>
          <w:rtl/>
        </w:rPr>
        <w:t>ומה שכתב:  "בתחילת ימי הספירה או בסופם"?, הוא עפ"י מה שכתב הרמב"ם בפי"א מהל' ברכות שכל מצוה שיש בה כמה עשיות מברך לפני העשיה האחרונה עי"ש.</w:t>
      </w:r>
    </w:p>
    <w:p w:rsidR="008411D2" w:rsidRDefault="008411D2" w:rsidP="008411D2">
      <w:pPr>
        <w:pStyle w:val="11"/>
        <w:bidi/>
        <w:rPr>
          <w:rtl/>
        </w:rPr>
      </w:pPr>
      <w:r>
        <w:rPr>
          <w:rFonts w:hint="cs"/>
          <w:rtl/>
        </w:rPr>
        <w:t>ג</w:t>
      </w:r>
    </w:p>
    <w:p w:rsidR="008411D2" w:rsidRDefault="008411D2" w:rsidP="008411D2">
      <w:pPr>
        <w:pStyle w:val="a3"/>
        <w:rPr>
          <w:rtl/>
        </w:rPr>
      </w:pPr>
      <w:r>
        <w:rPr>
          <w:rFonts w:hint="cs"/>
          <w:rtl/>
        </w:rPr>
        <w:t xml:space="preserve">ובמה שכתב "ויש לומר וכו'", חידש כאן רבינו, </w:t>
      </w:r>
      <w:r w:rsidRPr="0060136D">
        <w:rPr>
          <w:rFonts w:hint="cs"/>
          <w:u w:val="single"/>
          <w:rtl/>
        </w:rPr>
        <w:t>הבנה נוספת</w:t>
      </w:r>
      <w:r>
        <w:rPr>
          <w:rFonts w:hint="cs"/>
          <w:rtl/>
        </w:rPr>
        <w:t xml:space="preserve"> בשיטת הבה"ג (מלבד ההנחה הפשוטה שס"ל שכל ימי העומר שם מצוה וחפצא אחת היא,  אלא), שבעצם גם הבה"ג שסובר </w:t>
      </w:r>
      <w:r>
        <w:rPr>
          <w:rFonts w:hint="cs"/>
          <w:rtl/>
        </w:rPr>
        <w:lastRenderedPageBreak/>
        <w:t xml:space="preserve">שכולם מצוה אחת משום "תמימות", אינו כפשטות הלשון שהוא מצוה אחת ממש, אלא שביסוד הדין </w:t>
      </w:r>
      <w:r w:rsidRPr="00674EED">
        <w:rPr>
          <w:rFonts w:hint="cs"/>
          <w:u w:val="single"/>
          <w:rtl/>
        </w:rPr>
        <w:t>כל לילה ולילה הוי דין ומצוה בפ"ע</w:t>
      </w:r>
      <w:r>
        <w:rPr>
          <w:rFonts w:hint="cs"/>
          <w:rtl/>
        </w:rPr>
        <w:t>, אלא שגדר המצוה הוא שכל יום קשור לחבירו, שאם אומר "היום שמונה ימים לעומר" בהכרח שקדמו לשמונה שבע, וכן כל כיו"ב. וכיון שכן, שוב לא קשה למה לדעת בה"ג מברך כל יום ברכה, שכן באמת כל יום הוי מצוה בפ"ע אלא שקשור ליום שלפניו.</w:t>
      </w:r>
    </w:p>
    <w:p w:rsidR="008411D2" w:rsidRDefault="008411D2" w:rsidP="008411D2">
      <w:pPr>
        <w:pStyle w:val="a3"/>
        <w:rPr>
          <w:rtl/>
        </w:rPr>
      </w:pPr>
      <w:r>
        <w:rPr>
          <w:rFonts w:hint="cs"/>
          <w:rtl/>
        </w:rPr>
        <w:t>אלא שלפי זה, הרי לכאורה אין באמת מחלוקת ממש בין הבה"ג לר"י והרא"ש שסוברים "דכל לילה ולילה מצוה בפני עצמה היא", והרי גם הבה"ג ס":ל כן בעצם, לפי חידושו של רבינו, וצ"ל שזהו באמת יסוד המחלוקת, אם ספירת יום אחד קשורה לספירה הקודמת אם לאו, ואם אכן כך הם פני הדברים, תתישב לשונו הזהב של רבינו הזקן בשולחנו,</w:t>
      </w:r>
    </w:p>
    <w:p w:rsidR="008411D2" w:rsidRDefault="008411D2" w:rsidP="008411D2">
      <w:pPr>
        <w:pStyle w:val="a3"/>
        <w:rPr>
          <w:rtl/>
        </w:rPr>
      </w:pPr>
      <w:r>
        <w:rPr>
          <w:rFonts w:hint="cs"/>
          <w:rtl/>
        </w:rPr>
        <w:t xml:space="preserve">דהנה ז"ל שו"ע רבינו סי' תפ"ט סכ"ג: "ויש אומרים שאם שכח לספור בלילה אחת אין צריך לספור כלל בשאר כל הלילות, לפי שכבר הפסיד ממצות ספירת העומר לגמרי כשחיסר ממנו יום אחד, שנאמר "תמימות תהיינה",  ויש חולקין ואומרים שצריך לספור בשאר כל הלילות, לפי שכל לילה היא מצוה בפני עצמה ואינן תלויות זו בזו"; ובהכ"ד: "ולענין הלכה, נוהגין לספור בשאר לילות בלא ברכה, בין ששכח בלילה הראשון בין ששכח באחד משאר כל הלילות, לפי שספק ברכות להקל". </w:t>
      </w:r>
    </w:p>
    <w:p w:rsidR="008411D2" w:rsidRDefault="008411D2" w:rsidP="008411D2">
      <w:pPr>
        <w:pStyle w:val="a3"/>
        <w:rPr>
          <w:rtl/>
        </w:rPr>
      </w:pPr>
      <w:r>
        <w:rPr>
          <w:rFonts w:hint="cs"/>
          <w:rtl/>
        </w:rPr>
        <w:t>וצ"ב: מה רצה בהוספה זו "ואינן תלויות זו בזו", וכן חזר על זה בסכ"ה. ולשון זה לכאורה לא נמצא בפוסקים שלפניו, ושפת יתר היא, והרי כבר אמר "שכל לילה היא מצוה בפני עצמה", וצ"ע.</w:t>
      </w:r>
    </w:p>
    <w:p w:rsidR="008411D2" w:rsidRDefault="008411D2" w:rsidP="008411D2">
      <w:pPr>
        <w:pStyle w:val="a3"/>
        <w:rPr>
          <w:rtl/>
        </w:rPr>
      </w:pPr>
      <w:r>
        <w:rPr>
          <w:rFonts w:hint="cs"/>
          <w:rtl/>
        </w:rPr>
        <w:t xml:space="preserve">ולהנ"ל נראה, שנתכוין אדמו"ר הזקן בתוספת דברים אלו לרמז לחידושו של רבינו, לפרש את דברי הבה"ג באופן אחר, והוא במה שכתב </w:t>
      </w:r>
      <w:r>
        <w:rPr>
          <w:rFonts w:hint="cs"/>
          <w:u w:val="single"/>
          <w:rtl/>
        </w:rPr>
        <w:t xml:space="preserve">שיש לומר </w:t>
      </w:r>
      <w:r w:rsidRPr="00786081">
        <w:rPr>
          <w:rFonts w:hint="cs"/>
          <w:u w:val="single"/>
          <w:rtl/>
        </w:rPr>
        <w:t>שלדעת ה"יש חולקים"</w:t>
      </w:r>
      <w:r>
        <w:rPr>
          <w:rFonts w:hint="cs"/>
          <w:rtl/>
        </w:rPr>
        <w:t xml:space="preserve"> (שזה ר"י והרא"ש) אנו אומרים שכל לילה ולילה מצוה בפני עצמה </w:t>
      </w:r>
      <w:r w:rsidRPr="00786081">
        <w:rPr>
          <w:rFonts w:hint="cs"/>
          <w:u w:val="single"/>
          <w:rtl/>
        </w:rPr>
        <w:t>מפני ש"אינן תלויות זו בזו",</w:t>
      </w:r>
      <w:r>
        <w:rPr>
          <w:rFonts w:hint="cs"/>
          <w:rtl/>
        </w:rPr>
        <w:t xml:space="preserve"> שמזה מובן שהדיעה הראשונה (שהיא הבה"ג) סבורה באמת שהלילות, אכן כן "תלויות זו בזו", שהוא יסוד ההסבר של רבינו בגדר ה"תמימות" של הבה"ג (אף שאנו אומרים שלכולי עלמא כל לילה הוי מצוה בפני עצמה, אלא שלבה"ג סוף סוף כל לילה תלויה בלילה שקדם לה, ולהרא"ש הוי מצוה בפני עצמה ממש, היינו "שאינן תלויות זו בזו")..</w:t>
      </w:r>
    </w:p>
    <w:p w:rsidR="008411D2" w:rsidRDefault="008411D2" w:rsidP="008411D2">
      <w:pPr>
        <w:pStyle w:val="11"/>
        <w:bidi/>
        <w:rPr>
          <w:rtl/>
        </w:rPr>
      </w:pPr>
      <w:r>
        <w:rPr>
          <w:rFonts w:hint="cs"/>
          <w:rtl/>
        </w:rPr>
        <w:t>ד</w:t>
      </w:r>
    </w:p>
    <w:p w:rsidR="008411D2" w:rsidRDefault="008411D2" w:rsidP="008411D2">
      <w:pPr>
        <w:pStyle w:val="a3"/>
        <w:rPr>
          <w:rtl/>
        </w:rPr>
      </w:pPr>
      <w:r>
        <w:rPr>
          <w:rFonts w:hint="cs"/>
          <w:rtl/>
        </w:rPr>
        <w:t>ברם, עדיין יש מקום לעיין גם לדעת הרא"ש שסובר שכל לילה ולילה הוי מצוה בפני עצמה ("ואינן תלויות זו בזו"), הרי סוף סוף אמרה תורה "תספרו", ומעצם מתכונתה של ספירה היא, שהוא סופר מאחד ועד מ"ט, ונמצא שכל הלילות הוא "ספירה אחת" (גם אם לא דרשינן "תמימות"), והרי אינו דומה, למשל, לנטילת לולב וישיבת סוכה בכל ימי הסוכה, שאין נטילת לולב דהיום או ישיבת סוכה דהיום קשורה לנטילת לולב וישיבת סוכה של מחר, וכן כיו"ב, ולכן שייך ברכה בכל יום, אבל בספירה הרי בהכרח סופר מ"ט לילות וסוף סוף  הוי כספירה אחת, ומהיכי תיתי נימא דאינן תלויות זו בזו, ואשר לכן לדעה זו, צריך לספור ולברך, גם אם חיסר לילה אחד, ולכאורה צ"ע.</w:t>
      </w:r>
    </w:p>
    <w:p w:rsidR="008411D2" w:rsidRDefault="008411D2" w:rsidP="008411D2">
      <w:pPr>
        <w:pStyle w:val="a3"/>
        <w:rPr>
          <w:rtl/>
        </w:rPr>
      </w:pPr>
      <w:r>
        <w:rPr>
          <w:rFonts w:hint="cs"/>
          <w:rtl/>
        </w:rPr>
        <w:t xml:space="preserve">ואשר מוכרח מזה, שאף על פי שיחד כל הספירות הם כאילו ענין אחד וספירה אחת, הרי שמטעם אחר, ס"ל לר"י והרא"ש שכל לילה הוי ענין ומצוה בפני עצמה, עד כדי כך ש"אינן </w:t>
      </w:r>
      <w:r>
        <w:rPr>
          <w:rFonts w:hint="cs"/>
          <w:rtl/>
        </w:rPr>
        <w:lastRenderedPageBreak/>
        <w:t>תלויות זו בזו" כלל, וכדיבואר.</w:t>
      </w:r>
    </w:p>
    <w:p w:rsidR="008411D2" w:rsidRDefault="008411D2" w:rsidP="008411D2">
      <w:pPr>
        <w:pStyle w:val="11"/>
        <w:bidi/>
        <w:rPr>
          <w:rtl/>
        </w:rPr>
      </w:pPr>
      <w:r>
        <w:rPr>
          <w:rFonts w:hint="cs"/>
          <w:rtl/>
        </w:rPr>
        <w:t>ה</w:t>
      </w:r>
    </w:p>
    <w:p w:rsidR="008411D2" w:rsidRDefault="008411D2" w:rsidP="008411D2">
      <w:pPr>
        <w:pStyle w:val="a3"/>
        <w:rPr>
          <w:rtl/>
        </w:rPr>
      </w:pPr>
      <w:r>
        <w:rPr>
          <w:rFonts w:hint="cs"/>
          <w:rtl/>
        </w:rPr>
        <w:t>הנה בטעם מצוה זו של ספירת העומר, כתב החינוך במצוה ש"ו "על צד הפשט", [וכן הוא בר"ן סוף פסחים "על דרך מדרש", וכן הוא ב"שבלי הלקט" (וראה "לקוטי שיחות" ח"ד לחג השבועות)]: "לפי שכל עיקרן של ישראל אינו אלא מפני התורה כו', והוא העיקר והסיבה שנגאלו ויצאו ממצרים כדי שיקבלו התורה בסיני ויקיימוהו כו' והיא תכלית הטובה שלהם וענין גדול הוא להם יותר מן החרות מעבדות, ולכן עשה הש"י למשה אות בצאתם מעבדות לקבלת התורה כו' ומפני כן כו' נצטוינו למנות ממחרת יום טוב של פסח עד יום נתינת התורה להראות נפשנו החפץ הגדול אל היום הנכבד הנכסף ללבנו כעבד ישאף צל וימנה תמיד מתי יבא העת הנכסף אליו כו'" עי"ש.</w:t>
      </w:r>
    </w:p>
    <w:p w:rsidR="008411D2" w:rsidRDefault="008411D2" w:rsidP="008411D2">
      <w:pPr>
        <w:pStyle w:val="a3"/>
        <w:rPr>
          <w:rtl/>
        </w:rPr>
      </w:pPr>
      <w:r>
        <w:rPr>
          <w:rFonts w:hint="cs"/>
          <w:rtl/>
        </w:rPr>
        <w:t xml:space="preserve">וכיוצא בזה כבר כתב הרמב"ם ב"מורה נבוכים" פ"ג פמ"ג: "ושבועות, הוא יום מתן תורה, ולהגדיל היום ההוא, </w:t>
      </w:r>
      <w:r w:rsidRPr="0060136D">
        <w:rPr>
          <w:rFonts w:hint="cs"/>
          <w:u w:val="single"/>
          <w:rtl/>
        </w:rPr>
        <w:t>ימנו הימים מן המועד הראשון אליו,</w:t>
      </w:r>
      <w:r>
        <w:rPr>
          <w:rFonts w:hint="cs"/>
          <w:rtl/>
        </w:rPr>
        <w:t xml:space="preserve"> כמי שממתין בוא הנאמן שבאוהביו, שהוא מונה היום וגם השעות, וזאת היא סיבת ספירת העומר מיום צאתם ממצרים עד יום מתן תורה שהוא היה הכוונה והתכלית ביציאתם כאמרם ו(שמות יט,ד) "ואביא אתכם אלי".</w:t>
      </w:r>
    </w:p>
    <w:p w:rsidR="008411D2" w:rsidRDefault="008411D2" w:rsidP="008411D2">
      <w:pPr>
        <w:pStyle w:val="a3"/>
        <w:rPr>
          <w:rtl/>
        </w:rPr>
      </w:pPr>
      <w:r>
        <w:rPr>
          <w:rFonts w:hint="cs"/>
          <w:rtl/>
        </w:rPr>
        <w:t>וב"אבודרהם" כתב: "והטעם שציוה הקב"ה לספור את העומר, מפני שכל אחד מישראל היה עסוק בקציר שלו והיו מפוזרים כל אחד בגרנו וציוה למנות כדי שלא ישכחו זמן עלייתם לרגל", ועוד כמה טעמים, מהם שקשורים ל"שתי הלחם" או ל"חג הביכורים" עי"ש.</w:t>
      </w:r>
    </w:p>
    <w:p w:rsidR="008411D2" w:rsidRDefault="008411D2" w:rsidP="008411D2">
      <w:pPr>
        <w:pStyle w:val="a3"/>
        <w:rPr>
          <w:rtl/>
        </w:rPr>
      </w:pPr>
      <w:r>
        <w:rPr>
          <w:rFonts w:hint="cs"/>
          <w:rtl/>
        </w:rPr>
        <w:t xml:space="preserve">ועל כל אלו הטעמים צע"ג לכאורה, מה זה הלשון "היום </w:t>
      </w:r>
      <w:r w:rsidRPr="00827938">
        <w:rPr>
          <w:rFonts w:hint="cs"/>
          <w:u w:val="single"/>
          <w:rtl/>
        </w:rPr>
        <w:t>יום כו' לעומר</w:t>
      </w:r>
      <w:r>
        <w:rPr>
          <w:rFonts w:hint="cs"/>
          <w:rtl/>
        </w:rPr>
        <w:t>", שמייחס הימים  למפרע, והיה צריך לומר כך וכך ימים יש לנו לאותו יום הנכסף (ובאמת שהחינוך עצמו נחית לשאלה זו בהמשך דבריו עי"ש שיש איזה שיבוש בלשונו וצ"ע). וגם למה "לעומר", היינו להבאת העומר, ולא "למועד" הראשון (כלשון המו"נ) דהיינו פסח?</w:t>
      </w:r>
    </w:p>
    <w:p w:rsidR="008411D2" w:rsidRPr="00CF39D0" w:rsidRDefault="008411D2" w:rsidP="008411D2">
      <w:pPr>
        <w:pStyle w:val="11"/>
        <w:bidi/>
        <w:rPr>
          <w:rtl/>
        </w:rPr>
      </w:pPr>
      <w:r w:rsidRPr="00CF39D0">
        <w:rPr>
          <w:rFonts w:hint="cs"/>
          <w:rtl/>
        </w:rPr>
        <w:t>ו</w:t>
      </w:r>
    </w:p>
    <w:p w:rsidR="008411D2" w:rsidRDefault="008411D2" w:rsidP="008411D2">
      <w:pPr>
        <w:pStyle w:val="a3"/>
        <w:rPr>
          <w:rtl/>
        </w:rPr>
      </w:pPr>
      <w:r>
        <w:rPr>
          <w:rFonts w:hint="cs"/>
          <w:rtl/>
        </w:rPr>
        <w:t>עוד צע"ג בענין ברכת ספירת העומר בכלל, דהנה התוס' בכתובות ע"ב ע"א ומנחות ס"ה ע"ב, עמדו על כך מאי שנא ספירת העומר שתיקנו לה ברכה מספירת זבה וכיו"ב שאינה מברכת, עי"ש מה שתירצו. גם ברמב"ן על התורה כתב: "וטעם "וספרתם לכם" שתהא ספירה ולקיחה לכל אחד, שימנה בפיו ויזכיר חשבונו, ואינו כן "ןספר לו" "וספרה לה" דזבין, שהרי אם רצו עומדים בטומאתם אלא שלא ישכחוהו, וכן "וספרת לך" דיובל שתזהר במספר שלא תשכח וכו'".</w:t>
      </w:r>
    </w:p>
    <w:p w:rsidR="008411D2" w:rsidRDefault="008411D2" w:rsidP="008411D2">
      <w:pPr>
        <w:pStyle w:val="a3"/>
        <w:rPr>
          <w:rtl/>
        </w:rPr>
      </w:pPr>
      <w:r>
        <w:rPr>
          <w:rFonts w:hint="cs"/>
          <w:rtl/>
        </w:rPr>
        <w:t>ולכאורה דברי התוס' צ"ע מה הקשו על שאר ספירות למה אין מברכים, הרי ספירות אלו הן בלב, ועל מצוה שבלב אין מברכים, כמו שכתב הב"י בשם הכלבו בסי' תל"ב שאין מברכים על ביטול חמץ כיון שבעיקר דינו הוי מצוה שבלב עי"ש, וצ"ע.</w:t>
      </w:r>
    </w:p>
    <w:p w:rsidR="008411D2" w:rsidRDefault="008411D2" w:rsidP="008411D2">
      <w:pPr>
        <w:pStyle w:val="a3"/>
        <w:rPr>
          <w:rtl/>
        </w:rPr>
      </w:pPr>
      <w:r>
        <w:rPr>
          <w:rFonts w:hint="cs"/>
          <w:rtl/>
        </w:rPr>
        <w:t xml:space="preserve"> ולכאורה אפשר היה לחלק בין ביטול חמץ שהוא מחשבת לב חד פעמית, ולכן לא תיקנו לה ברכה, לספירת העומר ושאר ספירות, שהן דבר המתמשך.</w:t>
      </w:r>
    </w:p>
    <w:p w:rsidR="008411D2" w:rsidRDefault="008411D2" w:rsidP="008411D2">
      <w:pPr>
        <w:pStyle w:val="a3"/>
        <w:rPr>
          <w:rtl/>
        </w:rPr>
      </w:pPr>
      <w:r>
        <w:rPr>
          <w:rFonts w:hint="cs"/>
          <w:rtl/>
        </w:rPr>
        <w:t xml:space="preserve"> אלא שבשו"ת הגרעק"א ז"ל בסי' כ"ט בתשובת דודו הגר"ב ז"ל כתב: "ועוד נ"ל בפשיטות לענין ספירת עןמר דכתיב ביה "וספרתם", אף </w:t>
      </w:r>
      <w:r w:rsidRPr="00FA6079">
        <w:rPr>
          <w:rFonts w:hint="cs"/>
          <w:u w:val="single"/>
          <w:rtl/>
        </w:rPr>
        <w:t xml:space="preserve">דאין הכרע במשמעות הכתוב שצריך </w:t>
      </w:r>
      <w:r w:rsidRPr="00FA6079">
        <w:rPr>
          <w:rFonts w:hint="cs"/>
          <w:u w:val="single"/>
          <w:rtl/>
        </w:rPr>
        <w:lastRenderedPageBreak/>
        <w:t xml:space="preserve">להוציא בשפתיו, </w:t>
      </w:r>
      <w:r>
        <w:rPr>
          <w:rFonts w:hint="cs"/>
          <w:rtl/>
        </w:rPr>
        <w:t>כמו ספירת זבה ונדה דכתיב ביה נמי וספרה, ולא מצינו בשום פוסק שצריך להוציא בשפתים, מכל מקום נראה מצד תקנת חכמים דלא יצא ידי ספירת עומר אם לא שהוציא בשפתיו, וראיה לזה ממ"ש הב"י (בסי' תל"ב בא"ח) טעם הדבר שתקנו חכמים לברך על בדיקת חמץ שהוא דדבריהם ולא תקנו טפי לברך על הביטול שהוא דאורייתא, משום דביטול הוא בלב ואין מברכים על דברים שבלב עיי"ש, וכיון שכך, גבי ספירת עומר דתקנו חז"ל לברך על ספירת עומר ממילא נשמע דצריך להוציא בשפתיו מנין הספירה, דאם לא כן הרי דברים שבלב ואין ראוי לברך. ואי תקשה לדברינו לא יתכן מ"ש תוס' בפ' המדיר (דף ע"ב ע"א) ובמנחות (דף ס"ה ע"ה ד"ה וספרת וכו') להקשות הא דלא מברכים על ספירת נדה וזכה כמו על ספירת עומר עיי"ש, ולפי מה שכתבתי לא מקשין מידי, דשאני ספירת זבה ונדה שאין מהצורך להוציא משפה ולחוץ ולהכי אין ראוי לברך כנ"ל, י"ל דזהו גופא קושייתם, דהו"ל לחז"ל לתקן שצריך להוציא משפה ולחוץ ולברך כמו בספירת עומר" עכ"ל. וגם הגאון רעק"א ז"ל בהשגותיו עליו לא התייחס לנקודה זו.</w:t>
      </w:r>
    </w:p>
    <w:p w:rsidR="008411D2" w:rsidRDefault="008411D2" w:rsidP="008411D2">
      <w:pPr>
        <w:pStyle w:val="a3"/>
        <w:rPr>
          <w:rtl/>
        </w:rPr>
      </w:pPr>
      <w:r>
        <w:rPr>
          <w:rFonts w:hint="cs"/>
          <w:rtl/>
        </w:rPr>
        <w:t>וממילא צע"ג: א. מה טעם תיקנו חכמים באמת בספירת העומר שתהא בפה (ועי' ב"העמק דבר" לפר' אמור שכתב שבדרך הפשט, כל ספירה, גם "וספרתם לכם" הוא בלב)? ב. וממילא יוקשה גם למה תיקנו שיברכו על ספירה זו, אף שעיקרה היא בלב מן הדין ולא מצינו ברכה בכה"ג,</w:t>
      </w:r>
    </w:p>
    <w:p w:rsidR="008411D2" w:rsidRDefault="008411D2" w:rsidP="008411D2">
      <w:pPr>
        <w:pStyle w:val="11"/>
        <w:bidi/>
        <w:rPr>
          <w:rtl/>
        </w:rPr>
      </w:pPr>
      <w:r>
        <w:rPr>
          <w:rFonts w:hint="cs"/>
          <w:rtl/>
        </w:rPr>
        <w:t>ז</w:t>
      </w:r>
    </w:p>
    <w:p w:rsidR="008411D2" w:rsidRDefault="008411D2" w:rsidP="008411D2">
      <w:pPr>
        <w:pStyle w:val="a3"/>
        <w:rPr>
          <w:rtl/>
        </w:rPr>
      </w:pPr>
      <w:r>
        <w:rPr>
          <w:rFonts w:hint="cs"/>
          <w:rtl/>
        </w:rPr>
        <w:t>ואשר על כן היה נראה שענין מיוחד יש בספירת העומר בלשון זה דוקא ובברכה דוקא, והוא ע"פ המשנה במנחות ס"ה וכן הוא ברמב"ם פ"ז מהל' תמידין ומוספין הי"א: "עומר זה מן השעורים היה בא, ודבר זה קבלה ממשה רבינו, וכיצד היה נעשה, מערב יום טוב יוצאין שלוחי בית דין ועושין אותו כריכות במחובר לקרקע כדי שיהא נח לקצור, וכל העיירות הסמוכות לשם מתכנסות כדי שיהיה נקצר בעסק גדול, וקוצרין שלש סאין שעורים בשלשה אנשים ובשלש קופות ובשלש מגלות. כיון שחשכה, אומר להם הקוצר לכל העומדים שם: בא השמש?, אומרין לו: הין, בא השמש? אומרין לו: הין. בא השמש אומרין לו: הין. מגל זה? אומרין לו: הין, מגל זה? אומרין לו: הין, מגל זה אומרים לו: הין. קופה זו? אומרין לו :הין וכו',  שלשה פעמים על כל דבר ודבר, וכל כך למה? מפני אלו הטועין שיצאו מכלל ישראל בבית שני שהיו אומרין זה שנאמר בתורה "ממחרת השבת" הוא "שבת בראשית", ומפי השמועה למדו חכמים שאינה אלא שבת יום טוב. וכן ראו תמיד הנביאים והסנהדרין בכל דור ודור שהיו מניפין את העומר בששה עשר בניסן בין בחול בין בשבת" (ועי' מש"כ ב"מחנה יוסף" סי' מ"ו), ובהמשך לזה הביא דין ספירת העומר בברכה שם בהכ"ב עי"ש.</w:t>
      </w:r>
    </w:p>
    <w:p w:rsidR="008411D2" w:rsidRDefault="008411D2" w:rsidP="008411D2">
      <w:pPr>
        <w:pStyle w:val="a3"/>
        <w:rPr>
          <w:rtl/>
        </w:rPr>
      </w:pPr>
      <w:r>
        <w:rPr>
          <w:rFonts w:hint="cs"/>
          <w:rtl/>
        </w:rPr>
        <w:t xml:space="preserve">ומעתה, הרי כל יום שמונין </w:t>
      </w:r>
      <w:r w:rsidRPr="00FA6079">
        <w:rPr>
          <w:rFonts w:hint="cs"/>
          <w:u w:val="single"/>
          <w:rtl/>
        </w:rPr>
        <w:t>כך וכך ימים ל</w:t>
      </w:r>
      <w:r>
        <w:rPr>
          <w:rFonts w:hint="cs"/>
          <w:u w:val="single"/>
          <w:rtl/>
        </w:rPr>
        <w:t>הבאת ה</w:t>
      </w:r>
      <w:r w:rsidRPr="00FA6079">
        <w:rPr>
          <w:rFonts w:hint="cs"/>
          <w:u w:val="single"/>
          <w:rtl/>
        </w:rPr>
        <w:t>עומר</w:t>
      </w:r>
      <w:r>
        <w:rPr>
          <w:rFonts w:hint="cs"/>
          <w:rtl/>
        </w:rPr>
        <w:t>, הרי זה הכרזה שאנו מקבלים את  השמועה והקבלה ש"ממחרת השבת" הוא "ממחרת יום טוב", שאילו לפי  "אלו הטועין", הרי לפעמים החשבון הוא אחר, ונמצא שכל יום שסופרין כך וכך לעומר, הרי זו הכרזה נגד אלו הטועין והטפשים שפירשו אחרת נגד המקובל בתורה שבעל פה.</w:t>
      </w:r>
    </w:p>
    <w:p w:rsidR="008411D2" w:rsidRDefault="008411D2" w:rsidP="008411D2">
      <w:pPr>
        <w:pStyle w:val="a3"/>
        <w:rPr>
          <w:rtl/>
        </w:rPr>
      </w:pPr>
      <w:r>
        <w:rPr>
          <w:rFonts w:hint="cs"/>
          <w:rtl/>
        </w:rPr>
        <w:t xml:space="preserve">ולפי זה יתכן, שתקנת ספירת העומר בפה דוקא, וממילא גם בברכה, הנה מלבד עיקר ענינה לקיים את ציווי הקב"ה למשה עבדו לספור ספירת העומר (כפי שפירשו הראשונים הנ"ל), הרי יש בה </w:t>
      </w:r>
      <w:r w:rsidRPr="00FA6079">
        <w:rPr>
          <w:rFonts w:hint="cs"/>
          <w:u w:val="single"/>
          <w:rtl/>
        </w:rPr>
        <w:t>עוד ענין,</w:t>
      </w:r>
      <w:r>
        <w:rPr>
          <w:rFonts w:hint="cs"/>
          <w:rtl/>
        </w:rPr>
        <w:t xml:space="preserve"> להכריז שהיום כך וכך דוקא לעומר, ובא בהמשך ל"עסק גדול" </w:t>
      </w:r>
      <w:r>
        <w:rPr>
          <w:rFonts w:hint="cs"/>
          <w:rtl/>
        </w:rPr>
        <w:lastRenderedPageBreak/>
        <w:t>שעשו בקצירת העומר, נגד הביתוסין עי"ש בסוגיית הגמ' וברמב"ם שם.</w:t>
      </w:r>
    </w:p>
    <w:p w:rsidR="008411D2" w:rsidRDefault="008411D2" w:rsidP="008411D2">
      <w:pPr>
        <w:pStyle w:val="a3"/>
        <w:rPr>
          <w:rtl/>
        </w:rPr>
      </w:pPr>
      <w:r>
        <w:rPr>
          <w:rFonts w:hint="cs"/>
          <w:rtl/>
        </w:rPr>
        <w:t>שלפי זה מובן היטב נוסח הברכה שהוא "לעומר", אף שעיקר ענינו הוא ביטוי ההשתוקקות וההכנה למתן תורה, הרי יש בזה ענין נוסף וחשוב מאין כמוהו, להשריש את כוח תורה שבע"פ, וכאמור.</w:t>
      </w:r>
    </w:p>
    <w:p w:rsidR="008411D2" w:rsidRDefault="008411D2" w:rsidP="008411D2">
      <w:pPr>
        <w:pStyle w:val="a3"/>
        <w:rPr>
          <w:rtl/>
        </w:rPr>
      </w:pPr>
      <w:r>
        <w:rPr>
          <w:rFonts w:hint="cs"/>
          <w:rtl/>
        </w:rPr>
        <w:t>ומעתה נראה עוד, שכאשר מכריז אדם "היום שמונה ימים לעומר", גם אם אפילו החסיר לפני זה לספור, הרי הענין השני הנ"ל, הצהרה והכרזה כנגד הביתוסין והצדוקים, מתקיים בשלימות, שהרי לענין זה בודאי אין לילה אחת קשורה לקודמתה, וכל יום ממ"ט ימי העומר, שמכריז המנין שהוא ע"פ השמועה שהוא "ממחרת החג", הרי הוא מצהיר כנגד אלו הטועים.</w:t>
      </w:r>
    </w:p>
    <w:p w:rsidR="008411D2" w:rsidRDefault="008411D2" w:rsidP="008411D2">
      <w:pPr>
        <w:pStyle w:val="a3"/>
        <w:rPr>
          <w:rtl/>
        </w:rPr>
      </w:pPr>
      <w:r>
        <w:rPr>
          <w:rFonts w:hint="cs"/>
          <w:rtl/>
        </w:rPr>
        <w:t>וכיון שכל ענין הספירה בפה והברכה, בא בשביל ענין זה (שהרי מעיקר דין "וספרתם" הוא בלב ולאו דוקא בפה, ובאמת כמו שאר הספירות (אלא שלענין הברכה יש חילוק ביניהם וכמוש"כ התוס') סגי בספירה בלב, וכנ"ל.</w:t>
      </w:r>
    </w:p>
    <w:p w:rsidR="008411D2" w:rsidRDefault="008411D2" w:rsidP="008411D2">
      <w:pPr>
        <w:pStyle w:val="11"/>
        <w:bidi/>
        <w:rPr>
          <w:rtl/>
        </w:rPr>
      </w:pPr>
      <w:r>
        <w:rPr>
          <w:rFonts w:hint="cs"/>
          <w:rtl/>
        </w:rPr>
        <w:t>ח</w:t>
      </w:r>
    </w:p>
    <w:p w:rsidR="008411D2" w:rsidRDefault="008411D2" w:rsidP="008411D2">
      <w:pPr>
        <w:pStyle w:val="a3"/>
        <w:rPr>
          <w:rtl/>
        </w:rPr>
      </w:pPr>
      <w:r>
        <w:rPr>
          <w:rFonts w:hint="cs"/>
          <w:rtl/>
        </w:rPr>
        <w:t xml:space="preserve"> והאמת אגיד, שאף שהענינים מסתדרים ומתבארים הדק היטב לפי זה, יראתי לומר דבר מחודש כזה, שלכאורה אינו מוזכר בשום מקום. עד שב"ה בסיעתא דשמיא אינה ה' לידי לאחרונה, ספר "קרואי מועד" להג"ר אליהו גרינצוויג שליט"א, סי' י"א, ומביא מ"תשובת רבינו אפרים מבונא, שנדפסה מכת"י בערוגת הבושם לרבי אברהם ב"ר עזריאל וז"ל: "נשאל מר' יעקב ב"ר מאיר: מאי שנא דמברכינן על ספירת העומר משום דכתיב בה "וספרתם לכם", ומאי שנא גבי זב וזבה כו' כתיב בהו נמי ספירת שבעה, ולא מברך אקב"ו על ספירת הזב כו'? ונ"ל לפרש לפי קט שכלי, דטעמא דהך ברכה, משום כדי להוציא מלבן של צדוקים, שאמרו וספרתם לכם ממחרת השבת, ממחרת שבת בראשית, ומשום הכי תיקון רבנן ספירה ואצרכוה ברכה מלאו דלא תסור לפרסומי דספירה ממחרת יום טוב מתחלא לה". ועי"ש שהשיא דבריו ז"ל כוונות אחרות, ולא נגע בכל מה שכתבתי.</w:t>
      </w:r>
    </w:p>
    <w:p w:rsidR="008411D2" w:rsidRPr="008720F4" w:rsidRDefault="008411D2" w:rsidP="008411D2">
      <w:pPr>
        <w:pStyle w:val="a3"/>
      </w:pPr>
      <w:r>
        <w:rPr>
          <w:rFonts w:hint="cs"/>
          <w:rtl/>
        </w:rPr>
        <w:t>וכעל כל הון ששתי על דבריו ז"ל, ונמצאו דבריי מיוסדים על אדני רבותינו הראשונים ז"ל, ועיין.</w:t>
      </w:r>
    </w:p>
    <w:p w:rsidR="00BF0497" w:rsidRDefault="008411D2" w:rsidP="008411D2">
      <w:pPr>
        <w:bidi/>
        <w:jc w:val="center"/>
        <w:rPr>
          <w:rFonts w:ascii="Nymphette" w:eastAsia="Times New Roman" w:hAnsi="Nymphette" w:cs="Nymphette"/>
          <w:sz w:val="44"/>
          <w:szCs w:val="44"/>
        </w:rPr>
      </w:pPr>
      <w:r w:rsidRPr="00760DB7">
        <w:rPr>
          <w:rFonts w:ascii="Nymphette" w:eastAsia="Times New Roman" w:hAnsi="Nymphette" w:cs="Nymphette"/>
          <w:sz w:val="44"/>
          <w:szCs w:val="44"/>
        </w:rPr>
        <w:t>g</w:t>
      </w:r>
    </w:p>
    <w:p w:rsidR="00BF0497" w:rsidRDefault="00BF0497">
      <w:pPr>
        <w:rPr>
          <w:rFonts w:ascii="Nymphette" w:eastAsia="Times New Roman" w:hAnsi="Nymphette" w:cs="Nymphette"/>
          <w:sz w:val="44"/>
          <w:szCs w:val="44"/>
        </w:rPr>
      </w:pPr>
      <w:r>
        <w:rPr>
          <w:rFonts w:ascii="Nymphette" w:eastAsia="Times New Roman" w:hAnsi="Nymphette" w:cs="Nymphette"/>
          <w:sz w:val="44"/>
          <w:szCs w:val="44"/>
        </w:rPr>
        <w:br w:type="page"/>
      </w:r>
    </w:p>
    <w:p w:rsidR="00CF324F" w:rsidRDefault="00CF324F" w:rsidP="00CF324F">
      <w:pPr>
        <w:pStyle w:val="a0"/>
        <w:rPr>
          <w:sz w:val="33"/>
        </w:rPr>
      </w:pPr>
      <w:bookmarkStart w:id="102" w:name="_Toc39817408"/>
      <w:r>
        <w:rPr>
          <w:rFonts w:hint="cs"/>
          <w:rtl/>
        </w:rPr>
        <w:lastRenderedPageBreak/>
        <w:t>בענין פסח שני</w:t>
      </w:r>
      <w:bookmarkEnd w:id="102"/>
      <w:r>
        <w:rPr>
          <w:rFonts w:hint="cs"/>
          <w:rtl/>
        </w:rPr>
        <w:t xml:space="preserve"> </w:t>
      </w:r>
    </w:p>
    <w:p w:rsidR="00CF324F" w:rsidRDefault="00CF324F" w:rsidP="00C93F24">
      <w:pPr>
        <w:pStyle w:val="a"/>
        <w:rPr>
          <w:rtl/>
        </w:rPr>
      </w:pPr>
      <w:bookmarkStart w:id="103" w:name="_Toc39817409"/>
      <w:r>
        <w:rPr>
          <w:rFonts w:hint="cs"/>
          <w:rtl/>
        </w:rPr>
        <w:t>הרב אברהם יצחק ברוך גערליצקי</w:t>
      </w:r>
      <w:bookmarkEnd w:id="103"/>
    </w:p>
    <w:p w:rsidR="00CF324F" w:rsidRDefault="00CF324F" w:rsidP="00CF324F">
      <w:pPr>
        <w:pStyle w:val="a1"/>
        <w:rPr>
          <w:rtl/>
        </w:rPr>
      </w:pPr>
      <w:r>
        <w:rPr>
          <w:rFonts w:hint="cs"/>
          <w:rtl/>
        </w:rPr>
        <w:t xml:space="preserve">ר"מ בישיבה </w:t>
      </w:r>
    </w:p>
    <w:p w:rsidR="00CF324F" w:rsidRDefault="00CF324F" w:rsidP="00CF324F">
      <w:pPr>
        <w:pStyle w:val="11"/>
      </w:pPr>
      <w:r>
        <w:rPr>
          <w:rFonts w:hint="cs"/>
          <w:rtl/>
        </w:rPr>
        <w:t xml:space="preserve">אמירת תחנון ביום ט"ו </w:t>
      </w:r>
    </w:p>
    <w:p w:rsidR="00CF324F" w:rsidRDefault="00CF324F" w:rsidP="00CF324F">
      <w:pPr>
        <w:pStyle w:val="a3"/>
        <w:rPr>
          <w:rtl/>
        </w:rPr>
      </w:pPr>
      <w:r>
        <w:rPr>
          <w:rtl/>
        </w:rPr>
        <w:t>ב</w:t>
      </w:r>
      <w:r>
        <w:rPr>
          <w:rFonts w:hint="cs"/>
          <w:rtl/>
        </w:rPr>
        <w:t xml:space="preserve">אגרות קודש ח"ב ע' שנ"ב כתב וזלה"ק: </w:t>
      </w:r>
      <w:r>
        <w:rPr>
          <w:rtl/>
        </w:rPr>
        <w:t xml:space="preserve">מה ששאל אם נוהגין לאכול מצה בפסח שני. הנה נוסף על מה שאמרתי לו בע"פ שמנהגנו - מיוסד על מנהג בית חיינו שליט"א - לאכול מצה בסעודת יום יד באייר - מצאתי עתה בספרים הנדפסים, בס' לקוטי מאיר (לר"מ בנעט מטשאראדא באונגארן) מהד"ת בעניני פ"ש העתיק מס' לקוטי מהרי"ח ח"ג, דמנהג אנשי מעשה לאכול מצה ביום יד באייר. וצ"ע הלא אכילת פ"ש הוא בליל טו אייר. ובס' זכרון יהודה כ' שבעהמ"ס אמרי אש וחותנו מוה"ר דוד דייטש נהגו לאכול מצה וגם ביצה מבושלת בליל טו אייר. ובס' דרכי חיים ושלום (להר"מ גאלד ממונקאטש) אות תרלא-ב הביא שמנהג מונקאטש הי' לאכול מצה ומרור בסעודת יום יד אייר, ואף שאכילת פ"ש הי' בליל טו מ"מ </w:t>
      </w:r>
      <w:r>
        <w:rPr>
          <w:bCs/>
          <w:rtl/>
        </w:rPr>
        <w:t>ההקרבה הי' ביום ועיקר הוא ההתחלה,</w:t>
      </w:r>
      <w:r>
        <w:rPr>
          <w:rtl/>
        </w:rPr>
        <w:t xml:space="preserve"> ובליל טו הי' ג"כ מדקדק לאכול מצה</w:t>
      </w:r>
      <w:r>
        <w:rPr>
          <w:rFonts w:hint="cs"/>
          <w:rtl/>
        </w:rPr>
        <w:t xml:space="preserve"> עכלה"ק.</w:t>
      </w:r>
      <w:r>
        <w:rPr>
          <w:rtl/>
        </w:rPr>
        <w:t xml:space="preserve"> </w:t>
      </w:r>
    </w:p>
    <w:p w:rsidR="00CF324F" w:rsidRDefault="00CF324F" w:rsidP="00CF324F">
      <w:pPr>
        <w:pStyle w:val="a3"/>
      </w:pPr>
      <w:r>
        <w:rPr>
          <w:rFonts w:hint="cs"/>
          <w:rtl/>
        </w:rPr>
        <w:t xml:space="preserve">(וראה גם בס' אוצר מנהגי חב"ד (ניסן) ע' רס"ח שהביא שכמה פעמים אמר הרבי שהמנהג פשוט הוא לאכול מצה בליל ט"ו אייר זכר לאכילת ק"פ, והזכר לשחיטת הפסח והקרבתו ביום י"ד הוא בלימוד ההלכות ואמירת תפלות, וברשימה משנת תשי"ב נאמר </w:t>
      </w:r>
      <w:r>
        <w:rPr>
          <w:bCs/>
          <w:rtl/>
        </w:rPr>
        <w:t>ש</w:t>
      </w:r>
      <w:r>
        <w:rPr>
          <w:rFonts w:hint="cs"/>
          <w:bCs/>
          <w:rtl/>
        </w:rPr>
        <w:t>בעש"ק</w:t>
      </w:r>
      <w:r>
        <w:rPr>
          <w:rtl/>
        </w:rPr>
        <w:t xml:space="preserve"> </w:t>
      </w:r>
      <w:r>
        <w:rPr>
          <w:rFonts w:hint="cs"/>
          <w:rtl/>
        </w:rPr>
        <w:t>פסח שני (כקביעות שנה זו) נטל ידיו הק' כדי לאכול מצה עיי"ש עוד).</w:t>
      </w:r>
    </w:p>
    <w:p w:rsidR="00CF324F" w:rsidRDefault="00CF324F" w:rsidP="00CF324F">
      <w:pPr>
        <w:pStyle w:val="a3"/>
      </w:pPr>
      <w:r>
        <w:rPr>
          <w:rtl/>
        </w:rPr>
        <w:t>ו</w:t>
      </w:r>
      <w:r>
        <w:rPr>
          <w:rFonts w:hint="cs"/>
          <w:rtl/>
        </w:rPr>
        <w:t xml:space="preserve">לכאורה י"ל בזה עוד עפ"י מה שנתבאר בההתועדות ש"פ בהו"ב תשמ"ג (תורת מנחם ח"ג ע' 1475) לענין אי אמירת תחנון בפסח שני, דישנם דסב"ל דגם </w:t>
      </w:r>
      <w:r>
        <w:rPr>
          <w:bCs/>
          <w:rtl/>
        </w:rPr>
        <w:t>ב</w:t>
      </w:r>
      <w:r>
        <w:rPr>
          <w:rFonts w:hint="cs"/>
          <w:bCs/>
          <w:rtl/>
        </w:rPr>
        <w:t>יום ט"ו</w:t>
      </w:r>
      <w:r>
        <w:rPr>
          <w:rtl/>
        </w:rPr>
        <w:t xml:space="preserve"> </w:t>
      </w:r>
      <w:r>
        <w:rPr>
          <w:rFonts w:hint="cs"/>
          <w:rtl/>
        </w:rPr>
        <w:t xml:space="preserve">אייר אין אומרים תחנון (ראה בס' נימוקי או"ח סי' קל"א סעי' ו להגה"ק ממונקאטש זצ"ל) כיון שאכילת קרבן פסח הי' בליל </w:t>
      </w:r>
      <w:r>
        <w:rPr>
          <w:bCs/>
          <w:rtl/>
        </w:rPr>
        <w:t>ט</w:t>
      </w:r>
      <w:r>
        <w:rPr>
          <w:rFonts w:hint="cs"/>
          <w:bCs/>
          <w:rtl/>
        </w:rPr>
        <w:t>"ו</w:t>
      </w:r>
      <w:r>
        <w:rPr>
          <w:rtl/>
        </w:rPr>
        <w:t xml:space="preserve">, </w:t>
      </w:r>
      <w:r>
        <w:rPr>
          <w:rFonts w:hint="cs"/>
          <w:rtl/>
        </w:rPr>
        <w:t xml:space="preserve">והרבי שלל דיעה זו לגמרי, דהרי הא דאוכלים קרבן פסח בליל </w:t>
      </w:r>
      <w:r>
        <w:rPr>
          <w:bCs/>
          <w:rtl/>
        </w:rPr>
        <w:t>ט</w:t>
      </w:r>
      <w:r>
        <w:rPr>
          <w:rFonts w:hint="cs"/>
          <w:bCs/>
          <w:rtl/>
        </w:rPr>
        <w:t>"ו</w:t>
      </w:r>
      <w:r>
        <w:rPr>
          <w:rtl/>
        </w:rPr>
        <w:t xml:space="preserve"> </w:t>
      </w:r>
      <w:r>
        <w:rPr>
          <w:rFonts w:hint="cs"/>
          <w:rtl/>
        </w:rPr>
        <w:t xml:space="preserve">אין זה משום יום </w:t>
      </w:r>
      <w:r>
        <w:rPr>
          <w:bCs/>
          <w:rtl/>
        </w:rPr>
        <w:t>ט</w:t>
      </w:r>
      <w:r>
        <w:rPr>
          <w:rFonts w:hint="cs"/>
          <w:bCs/>
          <w:rtl/>
        </w:rPr>
        <w:t>"ו</w:t>
      </w:r>
      <w:r>
        <w:rPr>
          <w:rtl/>
        </w:rPr>
        <w:t xml:space="preserve">, </w:t>
      </w:r>
      <w:r>
        <w:rPr>
          <w:rFonts w:hint="cs"/>
          <w:rtl/>
        </w:rPr>
        <w:t xml:space="preserve">אלא משום דבקדשים הלילה הולך אחר היום שהוא המשך ליום </w:t>
      </w:r>
      <w:r>
        <w:rPr>
          <w:bCs/>
          <w:rtl/>
        </w:rPr>
        <w:t>י</w:t>
      </w:r>
      <w:r>
        <w:rPr>
          <w:rFonts w:hint="cs"/>
          <w:bCs/>
          <w:rtl/>
        </w:rPr>
        <w:t>"ד</w:t>
      </w:r>
      <w:r>
        <w:rPr>
          <w:rtl/>
        </w:rPr>
        <w:t xml:space="preserve">, </w:t>
      </w:r>
      <w:r>
        <w:rPr>
          <w:rFonts w:hint="cs"/>
          <w:rtl/>
        </w:rPr>
        <w:t xml:space="preserve">דלענין קדשים נחשב אז לי"ד, כמו בכל קרבנות הנאכלים ליום ולילה שהלילה הולך אחר היום, ואדרבה ביום ט"ו אסור לאוכלו, במילא אין שום מקום שלא לומר תחנון ביום ט"ו עיי"ש. דלפי"ז יש להוסיף ג"כ בנוגע לאכילת מצה כנ"ל שאוכלים </w:t>
      </w:r>
      <w:r>
        <w:rPr>
          <w:bCs/>
          <w:rtl/>
        </w:rPr>
        <w:t>ב</w:t>
      </w:r>
      <w:r>
        <w:rPr>
          <w:rFonts w:hint="cs"/>
          <w:bCs/>
          <w:rtl/>
        </w:rPr>
        <w:t>יום י"ד</w:t>
      </w:r>
      <w:r>
        <w:rPr>
          <w:rtl/>
        </w:rPr>
        <w:t xml:space="preserve"> </w:t>
      </w:r>
      <w:r>
        <w:rPr>
          <w:rFonts w:hint="cs"/>
          <w:rtl/>
        </w:rPr>
        <w:t xml:space="preserve">ולא בליל ט"ו, כיון שכל האכילה בלילה הוא משום </w:t>
      </w:r>
      <w:r>
        <w:rPr>
          <w:bCs/>
          <w:rtl/>
        </w:rPr>
        <w:t>י</w:t>
      </w:r>
      <w:r>
        <w:rPr>
          <w:rFonts w:hint="cs"/>
          <w:bCs/>
          <w:rtl/>
        </w:rPr>
        <w:t>ום י"ד</w:t>
      </w:r>
      <w:r>
        <w:rPr>
          <w:rtl/>
        </w:rPr>
        <w:t>.</w:t>
      </w:r>
    </w:p>
    <w:p w:rsidR="00CF324F" w:rsidRDefault="00CF324F" w:rsidP="00CF324F">
      <w:pPr>
        <w:pStyle w:val="a3"/>
      </w:pPr>
      <w:r>
        <w:rPr>
          <w:rtl/>
        </w:rPr>
        <w:t>ו</w:t>
      </w:r>
      <w:r>
        <w:rPr>
          <w:rFonts w:hint="cs"/>
          <w:rtl/>
        </w:rPr>
        <w:t>בס' שער יששכר (להנ"ל) מאמר פסחא זעירא לפסח שני הביא מ"ש בס' מחברת הקודש (מתלמידי האריז"ל) שביום ט"ו אייר אומרים תחנון אף שאכילת קרבן פסח הי' בליל ט"ו, מ"מ כיון דאכילת פסח לא מעכבא אזלינן בתר שעת ההקרבה עיי"ש.</w:t>
      </w:r>
    </w:p>
    <w:p w:rsidR="00CF324F" w:rsidRDefault="00CF324F" w:rsidP="00CF324F">
      <w:pPr>
        <w:pStyle w:val="a3"/>
      </w:pPr>
      <w:r>
        <w:rPr>
          <w:rFonts w:hint="cs"/>
          <w:rtl/>
        </w:rPr>
        <w:t>[</w:t>
      </w:r>
      <w:r>
        <w:rPr>
          <w:rtl/>
        </w:rPr>
        <w:t>ו</w:t>
      </w:r>
      <w:r>
        <w:rPr>
          <w:rFonts w:hint="cs"/>
          <w:rtl/>
        </w:rPr>
        <w:t>יש שכתבו שהמחברת הקודש הוא שלא כהלכה, דהרי פסק הרמב"ם (הל' קרבן פסח פ"ד ה"ב) דאם בשר הפסח נטמא לפני זריקת הדם לא יזרוק הדם כיון דאי אפשר לאכול הבשר, וקרבן פסח עיקרו לאכילה, וחייב לעשות פסח שני עיי"ש, וכתב הכס"מ שם שהרמב"ם פסח כחכמים (פסחים עח,ב) ולא כר' נתן, דלר' נתן אם זרק הורצה דאכילה לא מעכבא, וקיימ"ל כחכמים דאכילה מעכבא, ולפי"ז נמצא דמ"ש המחברת הקודש דאכילה לא מעכבא הוה שלא כהילכתא.</w:t>
      </w:r>
    </w:p>
    <w:p w:rsidR="00CF324F" w:rsidRDefault="00CF324F" w:rsidP="00CF324F">
      <w:pPr>
        <w:pStyle w:val="a3"/>
        <w:rPr>
          <w:rtl/>
        </w:rPr>
      </w:pPr>
      <w:r>
        <w:rPr>
          <w:rtl/>
        </w:rPr>
        <w:lastRenderedPageBreak/>
        <w:t>א</w:t>
      </w:r>
      <w:r>
        <w:rPr>
          <w:rFonts w:hint="cs"/>
          <w:rtl/>
        </w:rPr>
        <w:t xml:space="preserve">בל נראה דלא קשה כלל, דהרי הרמב"ם (שם פ"ג ה"ד) פסק דחבורה שאבד פסחה ואמרו לאחר שישחוט עליהם, ואח"כ מצאו הראשון ואינו ידוע איזה מהן נשחט הראשון אסורין לאכול הקרבן כיון דאינו ידוע על איזה מהן חל המינוי, ומסיים שם דמ"מ פטורים מלעשות פסח שני עיי"ש, והקשה הלח"מ שם דמכאן מוכח שהרמב"ם סב"ל דאכילה לא מעכבא דלכן אף שאין יכולים לאכול הקרבן אין חייבים בפסח שני, ואילו בפ"ד פסק כחכמים דאכילה מעכבבא כנ"ל? ותירץ וז"ל: וי"ל דמאי דקאמר רב דאכילת פסחים לא מעכבא הוא שאפילו הבשר טמא בשעת זריקה לא איכפת לן מידי ובהא לית הלכתא כוותיה אלא צריך שבשעת זריקה יהיה ראוי לאכול אבל אם בשעת זריקה ראוי לאכול אע"פ שלא אכל אחר כן לא מעכבא עכ"ל. </w:t>
      </w:r>
    </w:p>
    <w:p w:rsidR="00CF324F" w:rsidRDefault="00CF324F" w:rsidP="00CF324F">
      <w:pPr>
        <w:pStyle w:val="a3"/>
      </w:pPr>
      <w:r>
        <w:rPr>
          <w:rFonts w:hint="cs"/>
          <w:rtl/>
        </w:rPr>
        <w:t xml:space="preserve">היינו דהרמב"ם סב"ל דבעינן שיהא </w:t>
      </w:r>
      <w:r>
        <w:rPr>
          <w:bCs/>
          <w:rtl/>
        </w:rPr>
        <w:t>ר</w:t>
      </w:r>
      <w:r>
        <w:rPr>
          <w:rFonts w:hint="cs"/>
          <w:bCs/>
          <w:rtl/>
        </w:rPr>
        <w:t>אוי לאכילה</w:t>
      </w:r>
      <w:r>
        <w:rPr>
          <w:rtl/>
        </w:rPr>
        <w:t xml:space="preserve"> </w:t>
      </w:r>
      <w:r>
        <w:rPr>
          <w:bCs/>
          <w:rtl/>
        </w:rPr>
        <w:t>ב</w:t>
      </w:r>
      <w:r>
        <w:rPr>
          <w:rFonts w:hint="cs"/>
          <w:bCs/>
          <w:rtl/>
        </w:rPr>
        <w:t xml:space="preserve">עת ההקרבה </w:t>
      </w:r>
      <w:r>
        <w:rPr>
          <w:rtl/>
        </w:rPr>
        <w:t>כ</w:t>
      </w:r>
      <w:r>
        <w:rPr>
          <w:rFonts w:hint="cs"/>
          <w:rtl/>
        </w:rPr>
        <w:t xml:space="preserve">יון דעיקר הקרבן לאכילה באה, ולכן בפ"ד שנטמא הבשר לפני הזריקה ליכא הקרבה כלל, משא"כ הכא בפ"ג דבעת הזריקה הי' ראוי לאכילה דבעת שנשחט הראשון ודאי היו יכולים אז לאכול, לכן ה"ז הקרבה מעליא, אלא דאח"כ בפועל נסתפקו איזה נשחט הראשון, בזה פסק דאכילה לא מעכבא דבפועל אפילו כשאינו אוכל אין זה מעכב הקרבן, וראה לקו"ש חט"ז פ' בא ע' 103 ובהערה 16 שהאריך בזה, דלפי"ז שפיר יש לתרץ ג"כ דברי המחברת הקודש דכיון דאכילה בפועל בליל ט"ו לא מעכבא, דהעיקר הוא שיהא ראוי לאכילה </w:t>
      </w:r>
      <w:r>
        <w:rPr>
          <w:rFonts w:hint="cs"/>
          <w:bCs/>
          <w:rtl/>
        </w:rPr>
        <w:t>בעת ההקרבה</w:t>
      </w:r>
      <w:r>
        <w:rPr>
          <w:rFonts w:hint="cs"/>
          <w:rtl/>
        </w:rPr>
        <w:t xml:space="preserve"> לכן אין מקום שלא לומר תחנון ביום ט"ו, כיון דרק ההקרבה </w:t>
      </w:r>
      <w:r>
        <w:rPr>
          <w:bCs/>
          <w:rtl/>
        </w:rPr>
        <w:t>ש</w:t>
      </w:r>
      <w:r>
        <w:rPr>
          <w:rFonts w:hint="cs"/>
          <w:bCs/>
          <w:rtl/>
        </w:rPr>
        <w:t>ביום י"ד</w:t>
      </w:r>
      <w:r>
        <w:rPr>
          <w:rtl/>
        </w:rPr>
        <w:t xml:space="preserve"> </w:t>
      </w:r>
      <w:r>
        <w:rPr>
          <w:rFonts w:hint="cs"/>
          <w:rtl/>
        </w:rPr>
        <w:t>מעכבא ולא האכילה שבליל ט"ו].</w:t>
      </w:r>
    </w:p>
    <w:p w:rsidR="00CF324F" w:rsidRDefault="00CF324F" w:rsidP="00CF324F">
      <w:pPr>
        <w:pStyle w:val="a3"/>
      </w:pPr>
      <w:r>
        <w:rPr>
          <w:rtl/>
        </w:rPr>
        <w:t>ו</w:t>
      </w:r>
      <w:r>
        <w:rPr>
          <w:rFonts w:hint="cs"/>
          <w:rtl/>
        </w:rPr>
        <w:t>הנה מהשיחה הנ"ל יוצא דאפילו אם הי' הדין דאכילה בליל ט"ו מעכבא מ"מ אין מקום שלא לומר תחנון (דהיינו קביעות יו"ט) ביום ט"ו כיון שהאכילה בלילה הוא משום דבקדשים הלילה הולך אחר היום ובא בהמשך ליום י"ד, משא"כ המחברת הקודש משמע דלא סב"ל מזה ולכן צריך הטעם משום דאכילה לא מעכבא, ויש לבאר בזה במאי פליגי.</w:t>
      </w:r>
    </w:p>
    <w:p w:rsidR="00CF324F" w:rsidRDefault="00CF324F" w:rsidP="00CF324F">
      <w:pPr>
        <w:pStyle w:val="11"/>
        <w:rPr>
          <w:rtl/>
        </w:rPr>
      </w:pPr>
      <w:r>
        <w:rPr>
          <w:rFonts w:hint="cs"/>
          <w:rtl/>
        </w:rPr>
        <w:t>קרבן פסח ביום ובלילה</w:t>
      </w:r>
    </w:p>
    <w:p w:rsidR="00CF324F" w:rsidRDefault="00CF324F" w:rsidP="00CF324F">
      <w:pPr>
        <w:pStyle w:val="a3"/>
      </w:pPr>
      <w:r>
        <w:rPr>
          <w:rtl/>
        </w:rPr>
        <w:t>ו</w:t>
      </w:r>
      <w:r>
        <w:rPr>
          <w:rFonts w:hint="cs"/>
          <w:rtl/>
        </w:rPr>
        <w:t>בהקדם בהא דאיתא בפסחים ג,א, דמביא שם ברייתא לגבי שלמים שנאכלים לשני ימים ולילה אחד יכול יהא נאכל גם אור ליום שלישי [הלילה שאחר יום שני] ודין הוא זבחים נאכלים ליום ולילה מה להלן לילה אחר היום גם שלמים הנאכלים לשני ימים נימא דנאכל בלילה אחר היום, ומביא קרא ד</w:t>
      </w:r>
      <w:r>
        <w:rPr>
          <w:bCs/>
          <w:rtl/>
        </w:rPr>
        <w:t>ב</w:t>
      </w:r>
      <w:r>
        <w:rPr>
          <w:rFonts w:hint="cs"/>
          <w:bCs/>
          <w:rtl/>
        </w:rPr>
        <w:t xml:space="preserve">יום </w:t>
      </w:r>
      <w:r>
        <w:rPr>
          <w:rtl/>
        </w:rPr>
        <w:t>ש</w:t>
      </w:r>
      <w:r>
        <w:rPr>
          <w:rFonts w:hint="cs"/>
          <w:rtl/>
        </w:rPr>
        <w:t xml:space="preserve">ני אתה אוכל ולא בלילה, יכול ישרף מיד ודין הוא זבחים נאכלים ליום ולילה מה להלן תיכף לאכילה שריפה אף כאן ישרף מיד בלילה ת"ל ביום כו' ביום אתה שורפו ולא בלילה עיי"ש, ורש"י שם בד"ה זבחים הביא דוגמא לקרבנות הנאכלים ליום ולילה כגון תודה </w:t>
      </w:r>
      <w:r>
        <w:rPr>
          <w:bCs/>
          <w:rtl/>
        </w:rPr>
        <w:t>ו</w:t>
      </w:r>
      <w:r>
        <w:rPr>
          <w:rFonts w:hint="cs"/>
          <w:bCs/>
          <w:rtl/>
        </w:rPr>
        <w:t xml:space="preserve">קרבן פסח </w:t>
      </w:r>
      <w:r>
        <w:rPr>
          <w:rtl/>
        </w:rPr>
        <w:t>ע</w:t>
      </w:r>
      <w:r>
        <w:rPr>
          <w:rFonts w:hint="cs"/>
          <w:rtl/>
        </w:rPr>
        <w:t>יי"ש, ותמהו ע"ז הרבה אחרונים דמה שייך כאן קרבן פסח, הלא פסח אינו נאכל כלל ביום י"ד אלא בלילה, הרי דלא שייך לומר שם דנאכל ליום ולילה כמו בשאר קרבנות שהלילה בא בהמשך להיום, דכאן אדרבה ביום אסור לאכלו והוא סוג קרבן בפני עצמו עיי"ש.</w:t>
      </w:r>
    </w:p>
    <w:p w:rsidR="00CF324F" w:rsidRDefault="00CF324F" w:rsidP="00CF324F">
      <w:pPr>
        <w:pStyle w:val="a3"/>
      </w:pPr>
      <w:r>
        <w:rPr>
          <w:rtl/>
        </w:rPr>
        <w:t>ו</w:t>
      </w:r>
      <w:r>
        <w:rPr>
          <w:rFonts w:hint="cs"/>
          <w:rtl/>
        </w:rPr>
        <w:t xml:space="preserve">יש מתרצים דברי רש"י עפ"י הגר"ח, דהנה בזבחים נו,ב, פליגי ריו"ח וחזקי' בנוגע לשלמים הנאכלים לשני ימים ולילה אחד אם הוה נותר [שחייב כרת על אכילתו] בליל שלישי, דריו"ח סב"ל דהוה נותר כיון דאסור באכילה, וחזקי' סב"ל דאינו נותר עד הבוקר כיון דלא אינתיק לשריפה עיי"ש. ובפשטות פלוגתתם הוא דריו"ח סב"ל דאיסור נותר הוא מסובב מאיסור אכילה דמיד דנפקע זמן אכילתו חל איסור נותר, ולכן הוה נותר בלילה, משא"כ חזקי' </w:t>
      </w:r>
      <w:r>
        <w:rPr>
          <w:rFonts w:hint="cs"/>
          <w:rtl/>
        </w:rPr>
        <w:lastRenderedPageBreak/>
        <w:t>סב"ל דנותר הוא דין בפ"ע שאינו קשור דוקא עם זמן אכילתו, וכאן לא חל איסור נותר עד הבוקר וכפי שהאריכו בזה באחרונים, וראה לקו"ש חכ"ז ע' 36 וע' 41 בהערה 31 דבפשוטו של מקרא האיסור נותר בא מצד איסור האכילה.</w:t>
      </w:r>
    </w:p>
    <w:p w:rsidR="00CF324F" w:rsidRDefault="00CF324F" w:rsidP="00CF324F">
      <w:pPr>
        <w:pStyle w:val="a3"/>
      </w:pPr>
      <w:r>
        <w:rPr>
          <w:rFonts w:hint="cs"/>
          <w:rtl/>
        </w:rPr>
        <w:t xml:space="preserve">והנה בפסחים קכ,ב, פליגי רבנן ור"א בן עזריה, דלרבנן זמנו של קרבן פסח הוא כל ליל ט"ו (אלא דמדרבנן עשו סייג עד חצות כמו בכל קרבנות כמבואר בריש ברכות) וראב"ע סב"ל דנאכל מה"ת רק עד חצות ופליגי בדרשות דקראי עיי"ש, ובס' אור זרוע (פסחים סי' רל"א) הביא תוספתא בפסחים פ"ה דאיתא שם דהפסח אינו נאכל </w:t>
      </w:r>
      <w:r>
        <w:rPr>
          <w:bCs/>
          <w:rtl/>
        </w:rPr>
        <w:t>א</w:t>
      </w:r>
      <w:r>
        <w:rPr>
          <w:rFonts w:hint="cs"/>
          <w:bCs/>
          <w:rtl/>
        </w:rPr>
        <w:t>לא עד חצות</w:t>
      </w:r>
      <w:r>
        <w:rPr>
          <w:rtl/>
        </w:rPr>
        <w:t xml:space="preserve"> </w:t>
      </w:r>
      <w:r>
        <w:rPr>
          <w:rFonts w:hint="cs"/>
          <w:rtl/>
        </w:rPr>
        <w:t xml:space="preserve">אבל לא נעשה נותר עד עלות השחר, ודייק דמלשון התוספתא דקאמר ד"אינו נאכל </w:t>
      </w:r>
      <w:r>
        <w:rPr>
          <w:bCs/>
          <w:rtl/>
        </w:rPr>
        <w:t>א</w:t>
      </w:r>
      <w:r>
        <w:rPr>
          <w:rFonts w:hint="cs"/>
          <w:bCs/>
          <w:rtl/>
        </w:rPr>
        <w:t>לא עד חצות</w:t>
      </w:r>
      <w:r>
        <w:rPr>
          <w:rtl/>
        </w:rPr>
        <w:t xml:space="preserve">" </w:t>
      </w:r>
      <w:r>
        <w:rPr>
          <w:rFonts w:hint="cs"/>
          <w:rtl/>
        </w:rPr>
        <w:t xml:space="preserve">משמע דקאי לפי ראב"ע דלחכמים שהוא רק מדרבנן לא שייך לשון זה ומ"מ לא נעשה נותר גם לדידיה עד עלות השחר, </w:t>
      </w:r>
      <w:r>
        <w:rPr>
          <w:rtl/>
        </w:rPr>
        <w:t>ו</w:t>
      </w:r>
      <w:r>
        <w:rPr>
          <w:rFonts w:hint="cs"/>
          <w:rtl/>
        </w:rPr>
        <w:t>לפי"ז יש להקשות על ריו"ח מתוספתא הנ"ל, דאיך קאמר ריו"ח דאיסור נותר חל מיד בהפקעת זמן האכילה הרי לראב"ע מוכח (כנ"ל מהתוספתא) דאף דבחצות נפקע זמן אכילת קרבן פסח מ"מ לא נעשה נותר מן התורה עד הבוקר?</w:t>
      </w:r>
    </w:p>
    <w:p w:rsidR="00CF324F" w:rsidRDefault="00CF324F" w:rsidP="00CF324F">
      <w:pPr>
        <w:pStyle w:val="a3"/>
      </w:pPr>
      <w:r>
        <w:rPr>
          <w:rtl/>
        </w:rPr>
        <w:t>ו</w:t>
      </w:r>
      <w:r>
        <w:rPr>
          <w:rFonts w:hint="cs"/>
          <w:rtl/>
        </w:rPr>
        <w:t xml:space="preserve">ביאר בזה הגר"ח (ראה הגש"פ - בריסק ע' פ"ב וע' פ"ה, ובשיעורי ר' שמואל פסחים שם) דבקרבן פסח יש ב' דינים: הא') שהוא כמו כל </w:t>
      </w:r>
      <w:r>
        <w:rPr>
          <w:bCs/>
          <w:rtl/>
        </w:rPr>
        <w:t>ק</w:t>
      </w:r>
      <w:r>
        <w:rPr>
          <w:rFonts w:hint="cs"/>
          <w:bCs/>
          <w:rtl/>
        </w:rPr>
        <w:t>דשים קלים</w:t>
      </w:r>
      <w:r>
        <w:rPr>
          <w:rtl/>
        </w:rPr>
        <w:t xml:space="preserve"> </w:t>
      </w:r>
      <w:r>
        <w:rPr>
          <w:rFonts w:hint="cs"/>
          <w:rtl/>
        </w:rPr>
        <w:t xml:space="preserve">הנאכלים ליום ולילה, והב') שיש שם מצות </w:t>
      </w:r>
      <w:r>
        <w:rPr>
          <w:bCs/>
          <w:rtl/>
        </w:rPr>
        <w:t>ק</w:t>
      </w:r>
      <w:r>
        <w:rPr>
          <w:rFonts w:hint="cs"/>
          <w:bCs/>
          <w:rtl/>
        </w:rPr>
        <w:t>רבן פסח</w:t>
      </w:r>
      <w:r>
        <w:rPr>
          <w:rtl/>
        </w:rPr>
        <w:t>, (</w:t>
      </w:r>
      <w:r>
        <w:rPr>
          <w:rFonts w:hint="cs"/>
          <w:rtl/>
        </w:rPr>
        <w:t>וכן האריך גם לבאר בס' אור שמח הל' חמץ ומצה פ"ו ה"א), ואף דלפי"ז הי' צריך לומר לפי ראב"ע דאף דמצד מצות אכילת קרבן פסח יש הגבלה דחצות, אבל אכתי אפשר לאוכלו אחר כך משום קדשים קלים, (וכדסב"ל כן באמת להאור שמח עיי"ש) והרי נת"ל דאחר חצות ה"ז נותר מדרבנן כו', הנה הביאור בזה דגילתה התורה דין מיוחד בהאי קדשים קלים של קרבן פסח שאפשר לאוכלו רק כשיש שם קיום מצוות קרבן פסח, ואם מצד קרבן פסח אי אפשר לאוכלו שוב אי אפשר לאוכלו גם מצד קדשים קלים שבו.</w:t>
      </w:r>
    </w:p>
    <w:p w:rsidR="00CF324F" w:rsidRDefault="00CF324F" w:rsidP="00CF324F">
      <w:pPr>
        <w:pStyle w:val="a3"/>
      </w:pPr>
      <w:r>
        <w:rPr>
          <w:rtl/>
        </w:rPr>
        <w:t>ד</w:t>
      </w:r>
      <w:r>
        <w:rPr>
          <w:rFonts w:hint="cs"/>
          <w:rtl/>
        </w:rPr>
        <w:t xml:space="preserve">לפי"ז שפיר יש לתרץ שיטת ריו"ח דלא קשה עליו מראב"ע, דאף שהפסח נאכל עד חצות לא הוה נותר מה"ת עד הבוקר, דשאני הכא דמצד הקרבן עצמו מצד קדשים קלים שבו הלא נאכל ליום ולילה דזמן אכילתו הוה יום ולילה, במילא לא שייך שיהא נותר בחצות, ואף דלפועל מצד קרבן פסח שבו אי אפשר לאוכלו אחר חצות, זהו רק מצד הגברא דארי' הוא דרביע עלי' </w:t>
      </w:r>
      <w:r>
        <w:rPr>
          <w:bCs/>
          <w:rtl/>
        </w:rPr>
        <w:t>ד</w:t>
      </w:r>
      <w:r>
        <w:rPr>
          <w:rFonts w:hint="cs"/>
          <w:bCs/>
          <w:rtl/>
        </w:rPr>
        <w:t xml:space="preserve">לפועל </w:t>
      </w:r>
      <w:r>
        <w:rPr>
          <w:rtl/>
        </w:rPr>
        <w:t>א</w:t>
      </w:r>
      <w:r>
        <w:rPr>
          <w:rFonts w:hint="cs"/>
          <w:rtl/>
        </w:rPr>
        <w:t xml:space="preserve">סור לאוכלו אחר חצות אבל מצד עצם זמן הקרבן ה"ה כל הלילה, ונפק"מ גם לענין פיגול אם חשב לאוכלו אחר חצות שלא נעשה פיגול כו' כיון דזמן אכילתו הוא ביום ובלילה, ויש להביא דוגמא לזה מהמבואר בלקו"ש שם חכ"ז בהערה 31 הנ"ל דאף שלרש"י בפשוטו של מקרא יש איסור משום סייג </w:t>
      </w:r>
      <w:r>
        <w:rPr>
          <w:bCs/>
          <w:rtl/>
        </w:rPr>
        <w:t>מ</w:t>
      </w:r>
      <w:r>
        <w:rPr>
          <w:rFonts w:hint="cs"/>
          <w:bCs/>
          <w:rtl/>
        </w:rPr>
        <w:t xml:space="preserve">ן התורה </w:t>
      </w:r>
      <w:r>
        <w:rPr>
          <w:rtl/>
        </w:rPr>
        <w:t>ש</w:t>
      </w:r>
      <w:r>
        <w:rPr>
          <w:rFonts w:hint="cs"/>
          <w:rtl/>
        </w:rPr>
        <w:t>לא לאכלו אחר חצות כפי שמבאר שם מ"מ לא נעשה נותר עד הבוקר כי גם אחר חצות נקרא זמן אכילתו עיי"ש כיון דזה אינו אלא משום סייג וזהו ע"ד הנ"ל.</w:t>
      </w:r>
    </w:p>
    <w:p w:rsidR="00CF324F" w:rsidRDefault="00CF324F" w:rsidP="00CF324F">
      <w:pPr>
        <w:pStyle w:val="a3"/>
      </w:pPr>
      <w:r>
        <w:rPr>
          <w:rtl/>
        </w:rPr>
        <w:t>ו</w:t>
      </w:r>
      <w:r>
        <w:rPr>
          <w:rFonts w:hint="cs"/>
          <w:rtl/>
        </w:rPr>
        <w:t>לפי"ז מתורץ גם הקושיא על רש"י דשפיר הביא רש"י דוגמא מזבחים הנאכלים ליום ולילה מקרבן פסח, די"ל דכוונת רש"י מצד דין קדשים קלים שבו דזמנו הוא ליום ולילה, אלא דלפועל מצד קרבן פסח אמרה התורה דבעינן לילה דוקא.</w:t>
      </w:r>
    </w:p>
    <w:p w:rsidR="00CF324F" w:rsidRDefault="00CF324F" w:rsidP="00CF324F">
      <w:pPr>
        <w:pStyle w:val="11"/>
        <w:rPr>
          <w:rtl/>
        </w:rPr>
      </w:pPr>
      <w:r>
        <w:rPr>
          <w:rFonts w:hint="cs"/>
          <w:rtl/>
        </w:rPr>
        <w:t>אכילת ק"פ בליל ט"ו האם הוא משום י"ד או ט"ו</w:t>
      </w:r>
    </w:p>
    <w:p w:rsidR="00CF324F" w:rsidRDefault="00CF324F" w:rsidP="00CF324F">
      <w:pPr>
        <w:pStyle w:val="a3"/>
      </w:pPr>
      <w:r>
        <w:rPr>
          <w:rtl/>
        </w:rPr>
        <w:t>מ</w:t>
      </w:r>
      <w:r>
        <w:rPr>
          <w:rFonts w:hint="cs"/>
          <w:rtl/>
        </w:rPr>
        <w:t xml:space="preserve">יהו י"ל גם באופן אחר, דהנה יש אחרונים שחקרו בגדר קרבן פסח אם הוא חובת י"ד או חובת ט"ו, היינו די"ל </w:t>
      </w:r>
      <w:r>
        <w:rPr>
          <w:bCs/>
          <w:rtl/>
        </w:rPr>
        <w:t>א</w:t>
      </w:r>
      <w:r>
        <w:rPr>
          <w:rFonts w:hint="cs"/>
          <w:bCs/>
          <w:rtl/>
        </w:rPr>
        <w:t>)</w:t>
      </w:r>
      <w:r>
        <w:rPr>
          <w:rtl/>
        </w:rPr>
        <w:t xml:space="preserve"> </w:t>
      </w:r>
      <w:r>
        <w:rPr>
          <w:rFonts w:hint="cs"/>
          <w:rtl/>
        </w:rPr>
        <w:t xml:space="preserve">שהיא חובת </w:t>
      </w:r>
      <w:r>
        <w:rPr>
          <w:bCs/>
          <w:rtl/>
        </w:rPr>
        <w:t>י</w:t>
      </w:r>
      <w:r>
        <w:rPr>
          <w:rFonts w:hint="cs"/>
          <w:bCs/>
          <w:rtl/>
        </w:rPr>
        <w:t>ום י"ד</w:t>
      </w:r>
      <w:r>
        <w:rPr>
          <w:rtl/>
        </w:rPr>
        <w:t xml:space="preserve"> </w:t>
      </w:r>
      <w:r>
        <w:rPr>
          <w:rFonts w:hint="cs"/>
          <w:rtl/>
        </w:rPr>
        <w:t xml:space="preserve">והאכילה בלילה בא בהמשך ליום י"ד כנ"ל </w:t>
      </w:r>
      <w:r>
        <w:rPr>
          <w:rFonts w:hint="cs"/>
          <w:rtl/>
        </w:rPr>
        <w:lastRenderedPageBreak/>
        <w:t xml:space="preserve">דהלילה הולך אחר היום אלא שגילתה התורה דכאן בעינן אכילה </w:t>
      </w:r>
      <w:r>
        <w:rPr>
          <w:bCs/>
          <w:rtl/>
        </w:rPr>
        <w:t>ב</w:t>
      </w:r>
      <w:r>
        <w:rPr>
          <w:rFonts w:hint="cs"/>
          <w:bCs/>
          <w:rtl/>
        </w:rPr>
        <w:t>לילה</w:t>
      </w:r>
      <w:r>
        <w:rPr>
          <w:rtl/>
        </w:rPr>
        <w:t xml:space="preserve"> </w:t>
      </w:r>
      <w:r>
        <w:rPr>
          <w:rFonts w:hint="cs"/>
          <w:rtl/>
        </w:rPr>
        <w:t xml:space="preserve">דוקא, </w:t>
      </w:r>
      <w:r>
        <w:rPr>
          <w:bCs/>
          <w:rtl/>
        </w:rPr>
        <w:t>ב</w:t>
      </w:r>
      <w:r>
        <w:rPr>
          <w:rFonts w:hint="cs"/>
          <w:bCs/>
          <w:rtl/>
        </w:rPr>
        <w:t>)</w:t>
      </w:r>
      <w:r>
        <w:rPr>
          <w:rtl/>
        </w:rPr>
        <w:t xml:space="preserve"> </w:t>
      </w:r>
      <w:r>
        <w:rPr>
          <w:rFonts w:hint="cs"/>
          <w:rtl/>
        </w:rPr>
        <w:t xml:space="preserve">או אפ"ל שהקרבן היא </w:t>
      </w:r>
      <w:r>
        <w:rPr>
          <w:bCs/>
          <w:rtl/>
        </w:rPr>
        <w:t>ח</w:t>
      </w:r>
      <w:r>
        <w:rPr>
          <w:rFonts w:hint="cs"/>
          <w:bCs/>
          <w:rtl/>
        </w:rPr>
        <w:t>ובת ט"ו</w:t>
      </w:r>
      <w:r>
        <w:rPr>
          <w:rtl/>
        </w:rPr>
        <w:t xml:space="preserve"> </w:t>
      </w:r>
      <w:r>
        <w:rPr>
          <w:rFonts w:hint="cs"/>
          <w:rtl/>
        </w:rPr>
        <w:t xml:space="preserve">דזהו יום יציאת מצרים, אלא דכיון דאין עבודה בלילה לכן בעינן ההקרבה ביום י"ד דוקא, </w:t>
      </w:r>
      <w:r>
        <w:rPr>
          <w:bCs/>
          <w:rtl/>
        </w:rPr>
        <w:t>ג</w:t>
      </w:r>
      <w:r>
        <w:rPr>
          <w:rFonts w:hint="cs"/>
          <w:bCs/>
          <w:rtl/>
        </w:rPr>
        <w:t>)</w:t>
      </w:r>
      <w:r>
        <w:rPr>
          <w:rtl/>
        </w:rPr>
        <w:t xml:space="preserve"> </w:t>
      </w:r>
      <w:r>
        <w:rPr>
          <w:rFonts w:hint="cs"/>
          <w:rtl/>
        </w:rPr>
        <w:t xml:space="preserve">או אפ"ל שבאמת יש שני זמנים נפרדים, דחובת ההקרבה הוא חובת י"ד וחובת האכילה היא חובת ט"ו, וי"ל דנפק"מ גם לגבי קטן המתגדל ביום ט"ו אם מחוייב אז בקרבן פסח מדאורייתא, דאם הוא חובת י"ד י"ל שהוא פטור, אבל אם הוא חובת ט"ו י"ל דחייב מדאורייתא ואפילו </w:t>
      </w:r>
      <w:r>
        <w:rPr>
          <w:bCs/>
          <w:rtl/>
        </w:rPr>
        <w:t>ב</w:t>
      </w:r>
      <w:r>
        <w:rPr>
          <w:rFonts w:hint="cs"/>
          <w:bCs/>
          <w:rtl/>
        </w:rPr>
        <w:t>הקרבת י"ד</w:t>
      </w:r>
      <w:r>
        <w:rPr>
          <w:rtl/>
        </w:rPr>
        <w:t xml:space="preserve"> </w:t>
      </w:r>
      <w:r>
        <w:rPr>
          <w:rFonts w:hint="cs"/>
          <w:rtl/>
        </w:rPr>
        <w:t xml:space="preserve">כדביאר הרבי בכ"מ (ראה לקו"ש חכ"ו פ' בא ב' וחי"ז ערב פסח, ובארוכה בלקו"ש חל"ה פ' וירא א' ועוד) שיש עליו חיוב מדאורייתא גם לפני שנתגדל לעשות הכל לקיים חיוביו כשיתגדל עיי"ש, וכן י"ל אפילו לפי אופן הג' דכיון דחיוב אכילה היא </w:t>
      </w:r>
      <w:r>
        <w:rPr>
          <w:bCs/>
          <w:rtl/>
        </w:rPr>
        <w:t>ח</w:t>
      </w:r>
      <w:r>
        <w:rPr>
          <w:rFonts w:hint="cs"/>
          <w:bCs/>
          <w:rtl/>
        </w:rPr>
        <w:t>ובת ט"ו</w:t>
      </w:r>
      <w:r>
        <w:rPr>
          <w:rtl/>
        </w:rPr>
        <w:t xml:space="preserve">, </w:t>
      </w:r>
      <w:r>
        <w:rPr>
          <w:rFonts w:hint="cs"/>
          <w:rtl/>
        </w:rPr>
        <w:t xml:space="preserve">ואי אפשר לאכילה בלי הקרבה לכן מחוייב אפילו בהקרבה. </w:t>
      </w:r>
    </w:p>
    <w:p w:rsidR="00CF324F" w:rsidRDefault="00CF324F" w:rsidP="00CF324F">
      <w:pPr>
        <w:pStyle w:val="a3"/>
      </w:pPr>
      <w:r>
        <w:rPr>
          <w:rtl/>
        </w:rPr>
        <w:t>ו</w:t>
      </w:r>
      <w:r>
        <w:rPr>
          <w:rFonts w:hint="cs"/>
          <w:rtl/>
        </w:rPr>
        <w:t xml:space="preserve">ראה ספורנו שמות יב,כז, על הפסוק ואמרתם זבח פסח וז"ל: זה הזבח נעשה בשביל הפסיחה שהיתה עתידה להעשות בחצי הלילה של אחריו ומפני שאין זבח בלילה הוצרך לעשותו בזה הזמן הנמשך אחר הלילה של אחריו בענין הקרבנות עכ"ל, דמבואר בדבריו דסב"ל כאופן הב' דמן הראוי לקבוע זמן הקרבת קרבן פסח בליל ט"ו שאז הי' הזמן שפסח ה' על בתי ישראל, אלא מכיון שאין זבח בלילה קבעוהו ליום י"ד שנחשב ליום אחד עם הלילה הבא אחריו לענין הקרבנות, נמצא מזה דסב"ל שהקרבת הקרבן ביום י"ד אינו משום יום י"ד, אלא משום שהוא יום אחד עם </w:t>
      </w:r>
      <w:r>
        <w:rPr>
          <w:bCs/>
          <w:rtl/>
        </w:rPr>
        <w:t>ט</w:t>
      </w:r>
      <w:r>
        <w:rPr>
          <w:rFonts w:hint="cs"/>
          <w:bCs/>
          <w:rtl/>
        </w:rPr>
        <w:t>"ו</w:t>
      </w:r>
      <w:r>
        <w:rPr>
          <w:rtl/>
        </w:rPr>
        <w:t xml:space="preserve"> </w:t>
      </w:r>
      <w:r>
        <w:rPr>
          <w:rFonts w:hint="cs"/>
          <w:rtl/>
        </w:rPr>
        <w:t>שאז היתה הפסיחה.</w:t>
      </w:r>
    </w:p>
    <w:p w:rsidR="00CF324F" w:rsidRDefault="00CF324F" w:rsidP="00CF324F">
      <w:pPr>
        <w:pStyle w:val="a3"/>
      </w:pPr>
      <w:r>
        <w:rPr>
          <w:rtl/>
        </w:rPr>
        <w:t>ו</w:t>
      </w:r>
      <w:r>
        <w:rPr>
          <w:rFonts w:hint="cs"/>
          <w:rtl/>
        </w:rPr>
        <w:t xml:space="preserve">עי' פסחים קכ,ב, דדריש קרא דבלילה </w:t>
      </w:r>
      <w:r>
        <w:rPr>
          <w:bCs/>
          <w:rtl/>
        </w:rPr>
        <w:t>ה</w:t>
      </w:r>
      <w:r>
        <w:rPr>
          <w:rFonts w:hint="cs"/>
          <w:bCs/>
          <w:rtl/>
        </w:rPr>
        <w:t>זה</w:t>
      </w:r>
      <w:r>
        <w:rPr>
          <w:rtl/>
        </w:rPr>
        <w:t xml:space="preserve"> </w:t>
      </w:r>
      <w:r>
        <w:rPr>
          <w:rFonts w:hint="cs"/>
          <w:rtl/>
        </w:rPr>
        <w:t xml:space="preserve">דוקא, דקס"ד דכיון דפסח קדשים קלים לכן כמו ששלמים נאכלים לשני ימים ולילה אחד גם קרבן פסח יהא נאכל לשני לילות ויום אחד קמ"ל דנאכל רק בלילה הזה, וברשב"ם שם הביא דרש"י בברכות ט,א, פירש דלא שיש הו"א דמותר לאכול ק"פ </w:t>
      </w:r>
      <w:r>
        <w:rPr>
          <w:bCs/>
          <w:rtl/>
        </w:rPr>
        <w:t>ב</w:t>
      </w:r>
      <w:r>
        <w:rPr>
          <w:rFonts w:hint="cs"/>
          <w:bCs/>
          <w:rtl/>
        </w:rPr>
        <w:t>יום</w:t>
      </w:r>
      <w:r>
        <w:rPr>
          <w:rtl/>
        </w:rPr>
        <w:t xml:space="preserve"> </w:t>
      </w:r>
      <w:r>
        <w:rPr>
          <w:rFonts w:hint="cs"/>
          <w:rtl/>
        </w:rPr>
        <w:t xml:space="preserve">ט"ו דהרי בעינן לילה דוקא, אלא הפי' דקס"ד שיש שהות זמן ביום שלא יפסל בהמתנת היום שיהא מותר לאכלו בלילה השני, אבל הרשב"ם עצמו חולק וסב"ל דכל מה דידעינן דביום לא היינו ביום </w:t>
      </w:r>
      <w:r>
        <w:rPr>
          <w:bCs/>
          <w:rtl/>
        </w:rPr>
        <w:t>י</w:t>
      </w:r>
      <w:r>
        <w:rPr>
          <w:rFonts w:hint="cs"/>
          <w:bCs/>
          <w:rtl/>
        </w:rPr>
        <w:t>"ד</w:t>
      </w:r>
      <w:r>
        <w:rPr>
          <w:rtl/>
        </w:rPr>
        <w:t xml:space="preserve">, </w:t>
      </w:r>
      <w:r>
        <w:rPr>
          <w:rFonts w:hint="cs"/>
          <w:rtl/>
        </w:rPr>
        <w:t>אבל אכתי נימא דביום ט"ו מותר לאכלו עיי"ש.</w:t>
      </w:r>
    </w:p>
    <w:p w:rsidR="00CF324F" w:rsidRDefault="00CF324F" w:rsidP="00CF324F">
      <w:pPr>
        <w:pStyle w:val="a3"/>
      </w:pPr>
      <w:r>
        <w:rPr>
          <w:rtl/>
        </w:rPr>
        <w:t>ו</w:t>
      </w:r>
      <w:r>
        <w:rPr>
          <w:rFonts w:hint="cs"/>
          <w:rtl/>
        </w:rPr>
        <w:t xml:space="preserve">ביאר בס' משאת משה שם דרש"י ורשב"ם פליגי בהנ"ל, דרש"י סב"ל דקרבן פסח הוה </w:t>
      </w:r>
      <w:r>
        <w:rPr>
          <w:bCs/>
          <w:rtl/>
        </w:rPr>
        <w:t>ח</w:t>
      </w:r>
      <w:r>
        <w:rPr>
          <w:rFonts w:hint="cs"/>
          <w:bCs/>
          <w:rtl/>
        </w:rPr>
        <w:t>ובת י"ד</w:t>
      </w:r>
      <w:r>
        <w:rPr>
          <w:rtl/>
        </w:rPr>
        <w:t xml:space="preserve">, </w:t>
      </w:r>
      <w:r>
        <w:rPr>
          <w:rFonts w:hint="cs"/>
          <w:rtl/>
        </w:rPr>
        <w:t xml:space="preserve">ובמילא בעצם הי' צריך לאכלו ביום י"ד, וכיון דמ"מ אמרה התורה דבעינן לילה דוקא הרי מוכח דזהו מהמצוות דבעינן לילה דוקא כדמצינו במצוות שונות שהגבילה התורה ללילה דוקא או ליום דוקא, ולכן ליכא הו"א לאוכלו ביום ט"ו אלא שלא יפסל לגבי לילה שני', משא"כ הרשב"ם סב"ל דקרבן פסח הוה </w:t>
      </w:r>
      <w:r>
        <w:rPr>
          <w:bCs/>
          <w:rtl/>
        </w:rPr>
        <w:t>ח</w:t>
      </w:r>
      <w:r>
        <w:rPr>
          <w:rFonts w:hint="cs"/>
          <w:bCs/>
          <w:rtl/>
        </w:rPr>
        <w:t>ובת ט"ו</w:t>
      </w:r>
      <w:r>
        <w:rPr>
          <w:rtl/>
        </w:rPr>
        <w:t xml:space="preserve">, </w:t>
      </w:r>
      <w:r>
        <w:rPr>
          <w:rFonts w:hint="cs"/>
          <w:rtl/>
        </w:rPr>
        <w:t>ונמצא דמהא דגילתה התורה שלא לאוכלו ביום י"ד ליכא הוכחה דבעינן לילה דוקא אלא משום דאכתי לא הגיע זמן הקרבן [ורק ההקרבה דשייך ביום דוקא כנ"ל הוא ביום י"ד] ובמילא ליכא הוכחה דאכילת פסח צריך לילה דוקא ולכן הו"א דאפשר לאוכלו גם ביום ט"ו. עיי"ש.</w:t>
      </w:r>
    </w:p>
    <w:p w:rsidR="00CF324F" w:rsidRDefault="00CF324F" w:rsidP="00CF324F">
      <w:pPr>
        <w:pStyle w:val="a3"/>
      </w:pPr>
      <w:r>
        <w:rPr>
          <w:rtl/>
        </w:rPr>
        <w:t>ו</w:t>
      </w:r>
      <w:r>
        <w:rPr>
          <w:rFonts w:hint="cs"/>
          <w:rtl/>
        </w:rPr>
        <w:t>לפי כל זה י"ל דרש"י לשיטתו קאי בדף ג,א, דאכילת קרבן בלילה הוא מחמת יום י"ד כיון שהוא חובת י"ד כנ"ל והלילה הולך אחר היום, אלא דכאן אמרה התורה דבעינן לילה דוקא ומתורץ קושיית הצל"ח, וראה גם בר"ה כ,ב, ברש"י ד"ה חצות שכ"כ שאכילת קרבן בלילה נמשך אחר יום י"ד ובגליוני הש"ס להגר"י ענגל שם האריך בזה לשיטת רש"י דמצות אכילת קרבן פסח אינו חלק מגוף היו"ט אלא חובת י"ד עיי"ש.</w:t>
      </w:r>
    </w:p>
    <w:p w:rsidR="00CF324F" w:rsidRDefault="00CF324F" w:rsidP="00CF324F">
      <w:pPr>
        <w:pStyle w:val="a3"/>
      </w:pPr>
      <w:r>
        <w:rPr>
          <w:rtl/>
        </w:rPr>
        <w:t>ו</w:t>
      </w:r>
      <w:r>
        <w:rPr>
          <w:rFonts w:hint="cs"/>
          <w:rtl/>
        </w:rPr>
        <w:t xml:space="preserve">לפי כל זה לכאורה יש לבאר ג"כ דביאור הרבי לגבי תחנון בפסח שני מתאים לשיטת רש"י דכל האכילה בלילה הוא </w:t>
      </w:r>
      <w:r>
        <w:rPr>
          <w:bCs/>
          <w:rtl/>
        </w:rPr>
        <w:t>מ</w:t>
      </w:r>
      <w:r>
        <w:rPr>
          <w:rFonts w:hint="cs"/>
          <w:bCs/>
          <w:rtl/>
        </w:rPr>
        <w:t>חמת י"ד</w:t>
      </w:r>
      <w:r>
        <w:rPr>
          <w:rtl/>
        </w:rPr>
        <w:t xml:space="preserve">, </w:t>
      </w:r>
      <w:r>
        <w:rPr>
          <w:rFonts w:hint="cs"/>
          <w:rtl/>
        </w:rPr>
        <w:t xml:space="preserve">ולכן אפילו אם אכילה הי' מעכבא אין מקום שלא </w:t>
      </w:r>
      <w:r>
        <w:rPr>
          <w:rFonts w:hint="cs"/>
          <w:rtl/>
        </w:rPr>
        <w:lastRenderedPageBreak/>
        <w:t xml:space="preserve">לומר תחנון בט"ו, משא"כ המחברת הקודש י"ל דאזיל בשיטת הרשב"ם שהיא </w:t>
      </w:r>
      <w:r>
        <w:rPr>
          <w:bCs/>
          <w:rtl/>
        </w:rPr>
        <w:t>ח</w:t>
      </w:r>
      <w:r>
        <w:rPr>
          <w:rFonts w:hint="cs"/>
          <w:bCs/>
          <w:rtl/>
        </w:rPr>
        <w:t>ובת ט"ו</w:t>
      </w:r>
      <w:r>
        <w:rPr>
          <w:rtl/>
        </w:rPr>
        <w:t xml:space="preserve">, </w:t>
      </w:r>
      <w:r>
        <w:rPr>
          <w:rFonts w:hint="cs"/>
          <w:rtl/>
        </w:rPr>
        <w:t>ולכן אם הי' הדין דאכילה מעכבא שפיר לא היו אומרים תחנון בט"ו כיון דיוט ט"ו הוה יום חובת הקרבן.</w:t>
      </w:r>
    </w:p>
    <w:p w:rsidR="00CF324F" w:rsidRDefault="00CF324F" w:rsidP="00CF324F">
      <w:pPr>
        <w:pStyle w:val="11"/>
        <w:rPr>
          <w:rtl/>
        </w:rPr>
      </w:pPr>
      <w:r>
        <w:rPr>
          <w:rFonts w:hint="cs"/>
          <w:rtl/>
        </w:rPr>
        <w:t>חילוק בין פסח ראשון לפסח שני</w:t>
      </w:r>
    </w:p>
    <w:p w:rsidR="00CF324F" w:rsidRDefault="00CF324F" w:rsidP="00CF324F">
      <w:pPr>
        <w:pStyle w:val="a3"/>
      </w:pPr>
      <w:r>
        <w:rPr>
          <w:rtl/>
        </w:rPr>
        <w:t>א</w:t>
      </w:r>
      <w:r>
        <w:rPr>
          <w:rFonts w:hint="cs"/>
          <w:rtl/>
        </w:rPr>
        <w:t>בל עי' לקו"ש חט"ז פ' בא ב' בארוכה בביאור שיטת הרמב"ם שמנה שחיטת הפסח ואכילת הפסח לב' מצוות, וכבר הקשו בזה (ר"ד הבבלי בס' מעשה נסים סי' ה' ועוד) שהרמב"ם עצמו קבע הכלל (ספהמ"צ שורש י"א) דדברים המעכבים זה את זה נמנין למצוה אחת וכיון שבק"פ פסק הרמב"ם (הל' ק"פ פ"ב הי"ד) שבלי אכילת ק"פ לא קיים מצות הקרבה א"כ למה הן נמנין לב' מצוות?</w:t>
      </w:r>
    </w:p>
    <w:p w:rsidR="00CF324F" w:rsidRDefault="00CF324F" w:rsidP="00CF324F">
      <w:pPr>
        <w:pStyle w:val="a3"/>
      </w:pPr>
      <w:r>
        <w:rPr>
          <w:rtl/>
        </w:rPr>
        <w:t>ו</w:t>
      </w:r>
      <w:r>
        <w:rPr>
          <w:rFonts w:hint="cs"/>
          <w:rtl/>
        </w:rPr>
        <w:t xml:space="preserve">מבאר שם בסעי' ג' (חידושים וביאורים לש"ס ח"א סי' י') כיון שמצות השחיטה נאמרה </w:t>
      </w:r>
      <w:r>
        <w:rPr>
          <w:bCs/>
          <w:rtl/>
        </w:rPr>
        <w:t>ל</w:t>
      </w:r>
      <w:r>
        <w:rPr>
          <w:rFonts w:hint="cs"/>
          <w:bCs/>
          <w:rtl/>
        </w:rPr>
        <w:t>זמנה המיוחד</w:t>
      </w:r>
      <w:r>
        <w:rPr>
          <w:rtl/>
        </w:rPr>
        <w:t xml:space="preserve"> </w:t>
      </w:r>
      <w:r>
        <w:rPr>
          <w:rFonts w:hint="cs"/>
          <w:rtl/>
        </w:rPr>
        <w:t xml:space="preserve">ומצות אכילה נצטוו </w:t>
      </w:r>
      <w:r>
        <w:rPr>
          <w:bCs/>
          <w:rtl/>
        </w:rPr>
        <w:t>ב</w:t>
      </w:r>
      <w:r>
        <w:rPr>
          <w:rFonts w:hint="cs"/>
          <w:bCs/>
          <w:rtl/>
        </w:rPr>
        <w:t>זמן אחר המיוחד לה</w:t>
      </w:r>
      <w:r>
        <w:rPr>
          <w:rtl/>
        </w:rPr>
        <w:t xml:space="preserve"> </w:t>
      </w:r>
      <w:r>
        <w:rPr>
          <w:rFonts w:hint="cs"/>
          <w:rtl/>
        </w:rPr>
        <w:t xml:space="preserve">עם עוד אופני אכילה, דמצות שחיטה ק"פ הוא </w:t>
      </w:r>
      <w:r>
        <w:rPr>
          <w:bCs/>
          <w:rtl/>
        </w:rPr>
        <w:t>ב</w:t>
      </w:r>
      <w:r>
        <w:rPr>
          <w:rFonts w:hint="cs"/>
          <w:bCs/>
          <w:rtl/>
        </w:rPr>
        <w:t>יום י"ד</w:t>
      </w:r>
      <w:r>
        <w:rPr>
          <w:rtl/>
        </w:rPr>
        <w:t xml:space="preserve">, </w:t>
      </w:r>
      <w:r>
        <w:rPr>
          <w:rFonts w:hint="cs"/>
          <w:rtl/>
        </w:rPr>
        <w:t xml:space="preserve">ומצות אכילת ק"פ הוא </w:t>
      </w:r>
      <w:r>
        <w:rPr>
          <w:bCs/>
          <w:rtl/>
        </w:rPr>
        <w:t>ב</w:t>
      </w:r>
      <w:r>
        <w:rPr>
          <w:rFonts w:hint="cs"/>
          <w:bCs/>
          <w:rtl/>
        </w:rPr>
        <w:t>ליל ט"ו</w:t>
      </w:r>
      <w:r>
        <w:rPr>
          <w:rtl/>
        </w:rPr>
        <w:t xml:space="preserve"> </w:t>
      </w:r>
      <w:r>
        <w:rPr>
          <w:rFonts w:hint="cs"/>
          <w:rtl/>
        </w:rPr>
        <w:t>הנה מחמת זה הן נמנות למצוות נפרדות.</w:t>
      </w:r>
    </w:p>
    <w:p w:rsidR="00CF324F" w:rsidRDefault="00CF324F" w:rsidP="00CF324F">
      <w:pPr>
        <w:pStyle w:val="a3"/>
      </w:pPr>
      <w:r>
        <w:rPr>
          <w:rtl/>
        </w:rPr>
        <w:t>ו</w:t>
      </w:r>
      <w:r>
        <w:rPr>
          <w:rFonts w:hint="cs"/>
          <w:rtl/>
        </w:rPr>
        <w:t xml:space="preserve">ממשיך לבאר בזה בנוגע לפסח שני, דלכאורה למה נמנה שם מצות אכילה למצוה בפ"ע ולא נמנה במצוה אחת עם אכילת ק"פ </w:t>
      </w:r>
      <w:r>
        <w:rPr>
          <w:bCs/>
          <w:rtl/>
        </w:rPr>
        <w:t>ב</w:t>
      </w:r>
      <w:r>
        <w:rPr>
          <w:rFonts w:hint="cs"/>
          <w:bCs/>
          <w:rtl/>
        </w:rPr>
        <w:t>פסח ראשון</w:t>
      </w:r>
      <w:r>
        <w:rPr>
          <w:rtl/>
        </w:rPr>
        <w:t xml:space="preserve">? </w:t>
      </w:r>
      <w:r>
        <w:rPr>
          <w:rFonts w:hint="cs"/>
          <w:rtl/>
        </w:rPr>
        <w:t xml:space="preserve">דאף שהם בזמנים שונים אבל בתוכנם הם אותה מצוה, החיוב לאכול את הקרבן פסח על מצות ומרורים בלילה שאחר ההקרבה? ומבאר בזה משום שיש חילוק בין האכילות באופן שבו מתבטא הקשר עם הזמן, דבפסח ראשון יום י"ד הוא יום של חג רק מחמת שחיטת הפסח שבו אבל מצ"ע אין בו חשיבות מיוחדת, אבל ליל ט"ו הוא נבדל ומיוחד מצ"ע כי זהו הזמן דיצי"מ שאז אירעו הנסים וכו', ומחמת החשיבות דזמן זה, יש אז המצוה דאכילת ק"פ, אבל אין הדברים כן בפסח שני, דחיוב אכילה בליל ט"ו באייר אינה משום שאז יש חשיבות באותו הזמן מצ"ע, אלא שזהו רק משום שאז הוא הלילה שלאחרי ההקרבה די"ד אייר, ולכן אין אכילה זו יכולה לימנות במצוה אחת עם אכילת פסח ראשון כי בפסח ראשון הנה הזמן עצמו </w:t>
      </w:r>
      <w:r>
        <w:rPr>
          <w:bCs/>
          <w:rtl/>
        </w:rPr>
        <w:t>ה</w:t>
      </w:r>
      <w:r>
        <w:rPr>
          <w:rFonts w:hint="cs"/>
          <w:bCs/>
          <w:rtl/>
        </w:rPr>
        <w:t>וא פרט וחלק מהמצוה</w:t>
      </w:r>
      <w:r>
        <w:rPr>
          <w:rtl/>
        </w:rPr>
        <w:t xml:space="preserve">, </w:t>
      </w:r>
      <w:r>
        <w:rPr>
          <w:rFonts w:hint="cs"/>
          <w:rtl/>
        </w:rPr>
        <w:t>אבל בפסח שני אין לזמן עצמו שום שייכות לתוכנה של האכילה עיי"ש בארוכה.</w:t>
      </w:r>
    </w:p>
    <w:p w:rsidR="00CF324F" w:rsidRDefault="00CF324F" w:rsidP="00CF324F">
      <w:pPr>
        <w:pStyle w:val="a3"/>
      </w:pPr>
      <w:r>
        <w:rPr>
          <w:rtl/>
        </w:rPr>
        <w:t>ו</w:t>
      </w:r>
      <w:r>
        <w:rPr>
          <w:rFonts w:hint="cs"/>
          <w:rtl/>
        </w:rPr>
        <w:t xml:space="preserve">הנה אף דמגוף הדבר מהא שהרמב"ם מנה הקרבה ואכילה לב' מצוות וכפי שנת' בהשיחה משום שקיומם הם </w:t>
      </w:r>
      <w:r>
        <w:rPr>
          <w:bCs/>
          <w:rtl/>
        </w:rPr>
        <w:t>ב</w:t>
      </w:r>
      <w:r>
        <w:rPr>
          <w:rFonts w:hint="cs"/>
          <w:bCs/>
          <w:rtl/>
        </w:rPr>
        <w:t>זמנים נפרדים</w:t>
      </w:r>
      <w:r>
        <w:rPr>
          <w:rtl/>
        </w:rPr>
        <w:t xml:space="preserve">, </w:t>
      </w:r>
      <w:r>
        <w:rPr>
          <w:rFonts w:hint="cs"/>
          <w:rtl/>
        </w:rPr>
        <w:t xml:space="preserve">אין להוכיח דסב"ל כאופן הג', דהרי גם בפסח שני מנאן לב' מצוות כנ"ל ושם מפורש בהשיחה שהאכילה בלילה היא משום שהלילה הולך אחר היום וכאופן הב'. </w:t>
      </w:r>
    </w:p>
    <w:p w:rsidR="00CF324F" w:rsidRDefault="00CF324F" w:rsidP="00CF324F">
      <w:pPr>
        <w:pStyle w:val="a3"/>
        <w:rPr>
          <w:rtl/>
        </w:rPr>
      </w:pPr>
      <w:r>
        <w:rPr>
          <w:rtl/>
        </w:rPr>
        <w:t>א</w:t>
      </w:r>
      <w:r>
        <w:rPr>
          <w:rFonts w:hint="cs"/>
          <w:rtl/>
        </w:rPr>
        <w:t xml:space="preserve">בל מ"מ מהא שנתבאר בהשיחה שהאכילה דפסח ראשון בלילה קשורה עם הגאולה והנסים שבליל ט"ו והזמן גופא הוה פרט וחלק מהמצוה (וראה גם בסעי' ו' שם בזה) משמע מזה דבנוגע לפסח ראשון סב"ל </w:t>
      </w:r>
      <w:r>
        <w:rPr>
          <w:bCs/>
          <w:rtl/>
        </w:rPr>
        <w:t>כ</w:t>
      </w:r>
      <w:r>
        <w:rPr>
          <w:rFonts w:hint="cs"/>
          <w:bCs/>
          <w:rtl/>
        </w:rPr>
        <w:t>אופן הג'</w:t>
      </w:r>
      <w:r>
        <w:rPr>
          <w:rtl/>
        </w:rPr>
        <w:t xml:space="preserve">, </w:t>
      </w:r>
      <w:r>
        <w:rPr>
          <w:rFonts w:hint="cs"/>
          <w:rtl/>
        </w:rPr>
        <w:t xml:space="preserve">שהחיובים הם בזמנים נפרדים, ההקרבה היא חיוב של יום י"ד והאכילה היא חיוב של יום ט"ו, ומה שאמר הרבי בהשיחה דתשמ"ג הנ"ל דאכילת ק"פ קשור עם יום י"ד כי בקדשים הלילה הולך אחר היום, ה"ז קאי רק בנוגע </w:t>
      </w:r>
      <w:r>
        <w:rPr>
          <w:bCs/>
          <w:rtl/>
        </w:rPr>
        <w:t>ל</w:t>
      </w:r>
      <w:r>
        <w:rPr>
          <w:rFonts w:hint="cs"/>
          <w:bCs/>
          <w:rtl/>
        </w:rPr>
        <w:t>פסח שני</w:t>
      </w:r>
      <w:r>
        <w:rPr>
          <w:rtl/>
        </w:rPr>
        <w:t xml:space="preserve">, </w:t>
      </w:r>
      <w:r>
        <w:rPr>
          <w:rFonts w:hint="cs"/>
          <w:rtl/>
        </w:rPr>
        <w:t xml:space="preserve">וכמ"ש כן גם בלקו"ש הנ"ל, אבל בפסח ראשון החיוב דאכילה הוא מצד הזמן דט"ו, אבל בכל אופן בנוגע לפסח שני י"ל כנ"ל דהרבי סב"ל דאכילת ליל ט"ו הוא משום יום י"ד כנ"ל, משא"כ המחברת הקודש סב"ל שכל הק"פ הוא חובת </w:t>
      </w:r>
      <w:r>
        <w:rPr>
          <w:bCs/>
          <w:rtl/>
        </w:rPr>
        <w:t>ט</w:t>
      </w:r>
      <w:r>
        <w:rPr>
          <w:rFonts w:hint="cs"/>
          <w:bCs/>
          <w:rtl/>
        </w:rPr>
        <w:t xml:space="preserve">"ו </w:t>
      </w:r>
      <w:r>
        <w:rPr>
          <w:rtl/>
        </w:rPr>
        <w:t>ו</w:t>
      </w:r>
      <w:r>
        <w:rPr>
          <w:rFonts w:hint="cs"/>
          <w:rtl/>
        </w:rPr>
        <w:t xml:space="preserve">לכן אם הי' הדין דאכילה מעכבא הי' מקום </w:t>
      </w:r>
      <w:r>
        <w:rPr>
          <w:rFonts w:hint="cs"/>
          <w:rtl/>
        </w:rPr>
        <w:lastRenderedPageBreak/>
        <w:t xml:space="preserve">שלא לומר תחנון אז. </w:t>
      </w:r>
    </w:p>
    <w:p w:rsidR="00825FC6" w:rsidRDefault="00825FC6" w:rsidP="006C232A">
      <w:pPr>
        <w:bidi/>
        <w:spacing w:after="240"/>
        <w:jc w:val="center"/>
        <w:rPr>
          <w:rFonts w:ascii="Nymphette" w:eastAsia="Times New Roman" w:hAnsi="Nymphette" w:cs="Nymphette"/>
          <w:sz w:val="44"/>
          <w:szCs w:val="44"/>
          <w:rtl/>
        </w:rPr>
      </w:pPr>
      <w:r w:rsidRPr="00760DB7">
        <w:rPr>
          <w:rFonts w:ascii="Nymphette" w:eastAsia="Times New Roman" w:hAnsi="Nymphette" w:cs="Nymphette"/>
          <w:sz w:val="44"/>
          <w:szCs w:val="44"/>
        </w:rPr>
        <w:t>g</w:t>
      </w:r>
    </w:p>
    <w:p w:rsidR="006C232A" w:rsidRDefault="006C232A" w:rsidP="006C232A">
      <w:pPr>
        <w:pStyle w:val="a0"/>
        <w:rPr>
          <w:rFonts w:cs="David"/>
          <w:rtl/>
        </w:rPr>
      </w:pPr>
      <w:bookmarkStart w:id="104" w:name="_Toc39817410"/>
      <w:r>
        <w:rPr>
          <w:rFonts w:hint="cs"/>
          <w:rtl/>
        </w:rPr>
        <w:t>ניחום אבלים באבלים עצמם</w:t>
      </w:r>
      <w:bookmarkEnd w:id="104"/>
      <w:r>
        <w:rPr>
          <w:rFonts w:cs="David"/>
          <w:rtl/>
        </w:rPr>
        <w:t> </w:t>
      </w:r>
    </w:p>
    <w:p w:rsidR="006C232A" w:rsidRDefault="006C232A" w:rsidP="00C93F24">
      <w:pPr>
        <w:pStyle w:val="a"/>
        <w:rPr>
          <w:rtl/>
        </w:rPr>
      </w:pPr>
      <w:bookmarkStart w:id="105" w:name="_Toc39817411"/>
      <w:r>
        <w:rPr>
          <w:rtl/>
        </w:rPr>
        <w:t xml:space="preserve">הרב </w:t>
      </w:r>
      <w:r>
        <w:rPr>
          <w:rFonts w:hint="cs"/>
          <w:rtl/>
        </w:rPr>
        <w:t xml:space="preserve">יעקב </w:t>
      </w:r>
      <w:r>
        <w:rPr>
          <w:rtl/>
        </w:rPr>
        <w:t>יהודה ליב אלטיין</w:t>
      </w:r>
      <w:bookmarkEnd w:id="105"/>
    </w:p>
    <w:p w:rsidR="006C232A" w:rsidRDefault="006C232A" w:rsidP="006C232A">
      <w:pPr>
        <w:pStyle w:val="a1"/>
        <w:rPr>
          <w:rtl/>
        </w:rPr>
      </w:pPr>
      <w:r>
        <w:rPr>
          <w:rtl/>
        </w:rPr>
        <w:t>תושב השכונה</w:t>
      </w:r>
    </w:p>
    <w:p w:rsidR="006C232A" w:rsidRPr="004C3605" w:rsidRDefault="006C232A" w:rsidP="006C232A">
      <w:pPr>
        <w:pStyle w:val="a3"/>
        <w:rPr>
          <w:rtl/>
        </w:rPr>
      </w:pPr>
      <w:r>
        <w:rPr>
          <w:rtl/>
        </w:rPr>
        <w:t>בשתי</w:t>
      </w:r>
      <w:r w:rsidRPr="004C3605">
        <w:rPr>
          <w:rFonts w:ascii="Cambria" w:hAnsi="Cambria" w:cs="Cambria" w:hint="cs"/>
          <w:rtl/>
        </w:rPr>
        <w:t> </w:t>
      </w:r>
      <w:r>
        <w:rPr>
          <w:rFonts w:hint="cs"/>
          <w:rtl/>
        </w:rPr>
        <w:t>אגרות</w:t>
      </w:r>
      <w:r w:rsidRPr="004C3605">
        <w:rPr>
          <w:rFonts w:ascii="Cambria" w:hAnsi="Cambria" w:cs="Cambria" w:hint="cs"/>
          <w:rtl/>
        </w:rPr>
        <w:t> </w:t>
      </w:r>
      <w:r>
        <w:rPr>
          <w:rFonts w:hint="cs"/>
          <w:rtl/>
        </w:rPr>
        <w:t>הרבי</w:t>
      </w:r>
      <w:r w:rsidRPr="004C3605">
        <w:rPr>
          <w:rFonts w:ascii="Cambria" w:hAnsi="Cambria" w:cs="Cambria" w:hint="cs"/>
          <w:rtl/>
        </w:rPr>
        <w:t> </w:t>
      </w:r>
      <w:r>
        <w:rPr>
          <w:rFonts w:hint="cs"/>
          <w:rtl/>
        </w:rPr>
        <w:t>אחרי</w:t>
      </w:r>
      <w:r w:rsidRPr="004C3605">
        <w:rPr>
          <w:rFonts w:ascii="Cambria" w:hAnsi="Cambria" w:cs="Cambria" w:hint="cs"/>
          <w:rtl/>
        </w:rPr>
        <w:t> </w:t>
      </w:r>
      <w:r>
        <w:rPr>
          <w:rFonts w:hint="cs"/>
          <w:rtl/>
        </w:rPr>
        <w:t>י</w:t>
      </w:r>
      <w:r w:rsidRPr="004C3605">
        <w:rPr>
          <w:rFonts w:ascii="Cambria" w:hAnsi="Cambria" w:cs="Cambria" w:hint="cs"/>
          <w:rtl/>
        </w:rPr>
        <w:t> </w:t>
      </w:r>
      <w:r>
        <w:rPr>
          <w:rFonts w:hint="cs"/>
          <w:rtl/>
        </w:rPr>
        <w:t>שבט</w:t>
      </w:r>
      <w:r w:rsidRPr="004C3605">
        <w:rPr>
          <w:rFonts w:ascii="Cambria" w:hAnsi="Cambria" w:cs="Cambria" w:hint="cs"/>
          <w:rtl/>
        </w:rPr>
        <w:t> </w:t>
      </w:r>
      <w:r>
        <w:rPr>
          <w:rFonts w:hint="cs"/>
          <w:rtl/>
        </w:rPr>
        <w:t>תשי</w:t>
      </w:r>
      <w:r w:rsidRPr="004C3605">
        <w:rPr>
          <w:rFonts w:ascii="Cambria" w:hAnsi="Cambria" w:cs="Cambria" w:hint="cs"/>
          <w:rtl/>
        </w:rPr>
        <w:t> </w:t>
      </w:r>
      <w:r>
        <w:rPr>
          <w:rtl/>
        </w:rPr>
        <w:t>(</w:t>
      </w:r>
      <w:r>
        <w:rPr>
          <w:rFonts w:hint="cs"/>
          <w:rtl/>
        </w:rPr>
        <w:t>אגק</w:t>
      </w:r>
      <w:r w:rsidRPr="004C3605">
        <w:rPr>
          <w:rFonts w:ascii="Cambria" w:hAnsi="Cambria" w:cs="Cambria" w:hint="cs"/>
          <w:rtl/>
        </w:rPr>
        <w:t> </w:t>
      </w:r>
      <w:r>
        <w:rPr>
          <w:rFonts w:hint="cs"/>
          <w:rtl/>
        </w:rPr>
        <w:t>חג</w:t>
      </w:r>
      <w:r>
        <w:rPr>
          <w:rtl/>
        </w:rPr>
        <w:t>)</w:t>
      </w:r>
      <w:r w:rsidRPr="004C3605">
        <w:rPr>
          <w:rFonts w:ascii="Cambria" w:hAnsi="Cambria" w:cs="Cambria" w:hint="cs"/>
          <w:rtl/>
        </w:rPr>
        <w:t> </w:t>
      </w:r>
      <w:r>
        <w:rPr>
          <w:rFonts w:hint="cs"/>
          <w:rtl/>
        </w:rPr>
        <w:t>כותב</w:t>
      </w:r>
      <w:r>
        <w:rPr>
          <w:rtl/>
        </w:rPr>
        <w:t>:</w:t>
      </w:r>
      <w:r w:rsidRPr="004C3605">
        <w:rPr>
          <w:rFonts w:ascii="Cambria" w:hAnsi="Cambria" w:cs="Cambria" w:hint="cs"/>
          <w:rtl/>
        </w:rPr>
        <w:t> </w:t>
      </w:r>
      <w:r w:rsidRPr="001701C1">
        <w:rPr>
          <w:rtl/>
        </w:rPr>
        <w:t>איתא ברבנו יונה פ"ג דברכות דניחום</w:t>
      </w:r>
      <w:r w:rsidRPr="004C3605">
        <w:rPr>
          <w:rFonts w:ascii="Cambria" w:hAnsi="Cambria" w:cs="Cambria" w:hint="cs"/>
          <w:rtl/>
        </w:rPr>
        <w:t> </w:t>
      </w:r>
      <w:r w:rsidRPr="001701C1">
        <w:rPr>
          <w:rFonts w:hint="cs"/>
          <w:rtl/>
        </w:rPr>
        <w:t>אבלים</w:t>
      </w:r>
      <w:r w:rsidRPr="004C3605">
        <w:rPr>
          <w:rFonts w:ascii="Cambria" w:hAnsi="Cambria" w:cs="Cambria" w:hint="cs"/>
          <w:rtl/>
        </w:rPr>
        <w:t> </w:t>
      </w:r>
      <w:r w:rsidRPr="001701C1">
        <w:rPr>
          <w:rFonts w:hint="cs"/>
          <w:rtl/>
        </w:rPr>
        <w:t>מה</w:t>
      </w:r>
      <w:r w:rsidRPr="001701C1">
        <w:rPr>
          <w:rtl/>
        </w:rPr>
        <w:t>"</w:t>
      </w:r>
      <w:r w:rsidRPr="001701C1">
        <w:rPr>
          <w:rFonts w:hint="cs"/>
          <w:rtl/>
        </w:rPr>
        <w:t>ת</w:t>
      </w:r>
      <w:r w:rsidRPr="001701C1">
        <w:rPr>
          <w:rtl/>
        </w:rPr>
        <w:t xml:space="preserve"> </w:t>
      </w:r>
      <w:r w:rsidRPr="001701C1">
        <w:rPr>
          <w:rFonts w:hint="cs"/>
          <w:rtl/>
        </w:rPr>
        <w:t>אפילו</w:t>
      </w:r>
      <w:r w:rsidRPr="004C3605">
        <w:rPr>
          <w:rFonts w:ascii="Cambria" w:hAnsi="Cambria" w:cs="Cambria" w:hint="cs"/>
          <w:rtl/>
        </w:rPr>
        <w:t> </w:t>
      </w:r>
      <w:r w:rsidRPr="001701C1">
        <w:rPr>
          <w:rFonts w:hint="cs"/>
          <w:rtl/>
        </w:rPr>
        <w:t>אבלים</w:t>
      </w:r>
      <w:r w:rsidRPr="004C3605">
        <w:rPr>
          <w:rFonts w:ascii="Cambria" w:hAnsi="Cambria" w:cs="Cambria" w:hint="cs"/>
          <w:rtl/>
        </w:rPr>
        <w:t> </w:t>
      </w:r>
      <w:r w:rsidRPr="001701C1">
        <w:rPr>
          <w:rFonts w:hint="cs"/>
          <w:rtl/>
        </w:rPr>
        <w:t>בעצמם</w:t>
      </w:r>
      <w:r w:rsidRPr="001701C1">
        <w:rPr>
          <w:rtl/>
        </w:rPr>
        <w:t xml:space="preserve"> </w:t>
      </w:r>
      <w:r w:rsidRPr="001701C1">
        <w:rPr>
          <w:rFonts w:hint="cs"/>
          <w:rtl/>
        </w:rPr>
        <w:t>ינחמו</w:t>
      </w:r>
      <w:r w:rsidRPr="001701C1">
        <w:rPr>
          <w:rtl/>
        </w:rPr>
        <w:t xml:space="preserve"> </w:t>
      </w:r>
      <w:r w:rsidRPr="001701C1">
        <w:rPr>
          <w:rFonts w:hint="cs"/>
          <w:rtl/>
        </w:rPr>
        <w:t>זה</w:t>
      </w:r>
      <w:r w:rsidRPr="001701C1">
        <w:rPr>
          <w:rtl/>
        </w:rPr>
        <w:t xml:space="preserve"> </w:t>
      </w:r>
      <w:r w:rsidRPr="001701C1">
        <w:rPr>
          <w:rFonts w:hint="cs"/>
          <w:rtl/>
        </w:rPr>
        <w:t>את</w:t>
      </w:r>
      <w:r w:rsidRPr="001701C1">
        <w:rPr>
          <w:rtl/>
        </w:rPr>
        <w:t xml:space="preserve"> </w:t>
      </w:r>
      <w:r w:rsidRPr="001701C1">
        <w:rPr>
          <w:rFonts w:hint="cs"/>
          <w:rtl/>
        </w:rPr>
        <w:t>זה</w:t>
      </w:r>
      <w:r w:rsidR="00FD2ECE" w:rsidRPr="004C3605">
        <w:rPr>
          <w:rFonts w:hint="cs"/>
          <w:rtl/>
        </w:rPr>
        <w:t>.</w:t>
      </w:r>
    </w:p>
    <w:p w:rsidR="006C232A" w:rsidRDefault="006C232A" w:rsidP="006C232A">
      <w:pPr>
        <w:pStyle w:val="a3"/>
        <w:rPr>
          <w:rtl/>
        </w:rPr>
      </w:pPr>
      <w:r>
        <w:rPr>
          <w:rtl/>
        </w:rPr>
        <w:t>ומקשה</w:t>
      </w:r>
      <w:r w:rsidRPr="004C3605">
        <w:rPr>
          <w:rFonts w:ascii="Cambria" w:hAnsi="Cambria" w:cs="Cambria" w:hint="cs"/>
          <w:rtl/>
        </w:rPr>
        <w:t> </w:t>
      </w:r>
      <w:r>
        <w:rPr>
          <w:rFonts w:hint="cs"/>
          <w:rtl/>
        </w:rPr>
        <w:t>דבמה</w:t>
      </w:r>
      <w:r w:rsidRPr="004C3605">
        <w:rPr>
          <w:rFonts w:ascii="Cambria" w:hAnsi="Cambria" w:cs="Cambria" w:hint="cs"/>
          <w:rtl/>
        </w:rPr>
        <w:t> </w:t>
      </w:r>
      <w:r>
        <w:rPr>
          <w:rFonts w:hint="cs"/>
          <w:rtl/>
        </w:rPr>
        <w:t>ינחם</w:t>
      </w:r>
      <w:r w:rsidRPr="004C3605">
        <w:rPr>
          <w:rFonts w:ascii="Cambria" w:hAnsi="Cambria" w:cs="Cambria" w:hint="cs"/>
          <w:rtl/>
        </w:rPr>
        <w:t> </w:t>
      </w:r>
      <w:r>
        <w:rPr>
          <w:rFonts w:hint="cs"/>
          <w:rtl/>
        </w:rPr>
        <w:t>אבל</w:t>
      </w:r>
      <w:r w:rsidRPr="004C3605">
        <w:rPr>
          <w:rFonts w:ascii="Cambria" w:hAnsi="Cambria" w:cs="Cambria" w:hint="cs"/>
          <w:rtl/>
        </w:rPr>
        <w:t> </w:t>
      </w:r>
      <w:r>
        <w:rPr>
          <w:rFonts w:hint="cs"/>
          <w:rtl/>
        </w:rPr>
        <w:t>את</w:t>
      </w:r>
      <w:r w:rsidRPr="004C3605">
        <w:rPr>
          <w:rFonts w:ascii="Cambria" w:hAnsi="Cambria" w:cs="Cambria" w:hint="cs"/>
          <w:rtl/>
        </w:rPr>
        <w:t> </w:t>
      </w:r>
      <w:r>
        <w:rPr>
          <w:rFonts w:hint="cs"/>
          <w:rtl/>
        </w:rPr>
        <w:t>חבירו</w:t>
      </w:r>
      <w:r w:rsidRPr="004C3605">
        <w:rPr>
          <w:rFonts w:ascii="Cambria" w:hAnsi="Cambria" w:cs="Cambria" w:hint="cs"/>
          <w:rtl/>
        </w:rPr>
        <w:t> </w:t>
      </w:r>
      <w:r>
        <w:rPr>
          <w:rFonts w:hint="cs"/>
          <w:rtl/>
        </w:rPr>
        <w:t>האבל</w:t>
      </w:r>
      <w:r w:rsidRPr="004C3605">
        <w:rPr>
          <w:rFonts w:ascii="Cambria" w:hAnsi="Cambria" w:cs="Cambria" w:hint="cs"/>
          <w:rtl/>
        </w:rPr>
        <w:t> </w:t>
      </w:r>
      <w:r>
        <w:rPr>
          <w:rFonts w:hint="cs"/>
          <w:rtl/>
        </w:rPr>
        <w:t>והוא</w:t>
      </w:r>
      <w:r w:rsidRPr="004C3605">
        <w:rPr>
          <w:rFonts w:ascii="Cambria" w:hAnsi="Cambria" w:cs="Cambria" w:hint="cs"/>
          <w:rtl/>
        </w:rPr>
        <w:t> </w:t>
      </w:r>
      <w:r>
        <w:rPr>
          <w:rFonts w:hint="cs"/>
          <w:rtl/>
        </w:rPr>
        <w:t>בעצמו</w:t>
      </w:r>
      <w:r w:rsidRPr="004C3605">
        <w:rPr>
          <w:rFonts w:ascii="Cambria" w:hAnsi="Cambria" w:cs="Cambria" w:hint="cs"/>
          <w:rtl/>
        </w:rPr>
        <w:t> </w:t>
      </w:r>
      <w:r>
        <w:rPr>
          <w:rFonts w:hint="cs"/>
          <w:rtl/>
        </w:rPr>
        <w:t>שרוי</w:t>
      </w:r>
      <w:r w:rsidRPr="004C3605">
        <w:rPr>
          <w:rFonts w:ascii="Cambria" w:hAnsi="Cambria" w:cs="Cambria" w:hint="cs"/>
          <w:rtl/>
        </w:rPr>
        <w:t> </w:t>
      </w:r>
      <w:r>
        <w:rPr>
          <w:rFonts w:hint="cs"/>
          <w:rtl/>
        </w:rPr>
        <w:t>באבלות</w:t>
      </w:r>
      <w:r w:rsidRPr="004C3605">
        <w:rPr>
          <w:rFonts w:ascii="Cambria" w:hAnsi="Cambria" w:cs="Cambria" w:hint="cs"/>
          <w:rtl/>
        </w:rPr>
        <w:t> </w:t>
      </w:r>
      <w:r>
        <w:rPr>
          <w:rtl/>
        </w:rPr>
        <w:t>כ</w:t>
      </w:r>
      <w:r>
        <w:rPr>
          <w:rFonts w:hint="cs"/>
          <w:rtl/>
        </w:rPr>
        <w:t>מו</w:t>
      </w:r>
      <w:r>
        <w:rPr>
          <w:rtl/>
        </w:rPr>
        <w:t>תו</w:t>
      </w:r>
      <w:r w:rsidRPr="004C3605">
        <w:rPr>
          <w:rFonts w:ascii="Cambria" w:hAnsi="Cambria" w:cs="Cambria" w:hint="cs"/>
          <w:rtl/>
        </w:rPr>
        <w:t> </w:t>
      </w:r>
      <w:r>
        <w:rPr>
          <w:rFonts w:hint="cs"/>
          <w:rtl/>
        </w:rPr>
        <w:t>ועיי"</w:t>
      </w:r>
      <w:r>
        <w:rPr>
          <w:rtl/>
        </w:rPr>
        <w:t>ש</w:t>
      </w:r>
      <w:r w:rsidR="00FD2ECE">
        <w:rPr>
          <w:rFonts w:hint="cs"/>
          <w:rtl/>
        </w:rPr>
        <w:t>,</w:t>
      </w:r>
    </w:p>
    <w:p w:rsidR="006C232A" w:rsidRPr="004C3605" w:rsidRDefault="006C232A" w:rsidP="006C232A">
      <w:pPr>
        <w:pStyle w:val="a3"/>
        <w:rPr>
          <w:rtl/>
        </w:rPr>
      </w:pPr>
      <w:r w:rsidRPr="004C3605">
        <w:rPr>
          <w:rFonts w:ascii="Cambria" w:hAnsi="Cambria" w:cs="Cambria" w:hint="cs"/>
          <w:rtl/>
        </w:rPr>
        <w:t> </w:t>
      </w:r>
      <w:r>
        <w:rPr>
          <w:rFonts w:hint="cs"/>
          <w:rtl/>
        </w:rPr>
        <w:t>ה</w:t>
      </w:r>
      <w:r w:rsidRPr="004C3605">
        <w:rPr>
          <w:rFonts w:hint="cs"/>
          <w:rtl/>
        </w:rPr>
        <w:t>תירוץ</w:t>
      </w:r>
      <w:r w:rsidRPr="004C3605">
        <w:rPr>
          <w:rFonts w:ascii="Cambria" w:hAnsi="Cambria" w:cs="Cambria" w:hint="cs"/>
          <w:rtl/>
        </w:rPr>
        <w:t>  </w:t>
      </w:r>
      <w:r w:rsidRPr="004C3605">
        <w:rPr>
          <w:rFonts w:hint="cs"/>
          <w:rtl/>
        </w:rPr>
        <w:t>דזה</w:t>
      </w:r>
      <w:r w:rsidRPr="004C3605">
        <w:rPr>
          <w:rFonts w:ascii="Cambria" w:hAnsi="Cambria" w:cs="Cambria" w:hint="cs"/>
          <w:rtl/>
        </w:rPr>
        <w:t> </w:t>
      </w:r>
      <w:r w:rsidRPr="004C3605">
        <w:rPr>
          <w:rFonts w:hint="cs"/>
          <w:rtl/>
        </w:rPr>
        <w:t>עצמו</w:t>
      </w:r>
      <w:r w:rsidRPr="004C3605">
        <w:rPr>
          <w:rFonts w:ascii="Cambria" w:hAnsi="Cambria" w:cs="Cambria" w:hint="cs"/>
          <w:rtl/>
        </w:rPr>
        <w:t> </w:t>
      </w:r>
      <w:r w:rsidRPr="004C3605">
        <w:rPr>
          <w:rFonts w:hint="cs"/>
          <w:rtl/>
        </w:rPr>
        <w:t>שמראה</w:t>
      </w:r>
      <w:r w:rsidRPr="004C3605">
        <w:rPr>
          <w:rFonts w:ascii="Cambria" w:hAnsi="Cambria" w:cs="Cambria" w:hint="cs"/>
          <w:rtl/>
        </w:rPr>
        <w:t> </w:t>
      </w:r>
      <w:r w:rsidRPr="004C3605">
        <w:rPr>
          <w:rFonts w:hint="cs"/>
          <w:rtl/>
        </w:rPr>
        <w:t>להאבל</w:t>
      </w:r>
      <w:r w:rsidRPr="004C3605">
        <w:rPr>
          <w:rFonts w:ascii="Cambria" w:hAnsi="Cambria" w:cs="Cambria" w:hint="cs"/>
          <w:rtl/>
        </w:rPr>
        <w:t> </w:t>
      </w:r>
      <w:r w:rsidRPr="004C3605">
        <w:rPr>
          <w:rFonts w:hint="cs"/>
          <w:rtl/>
        </w:rPr>
        <w:t>שאינו</w:t>
      </w:r>
      <w:r w:rsidRPr="004C3605">
        <w:rPr>
          <w:rFonts w:ascii="Cambria" w:hAnsi="Cambria" w:cs="Cambria" w:hint="cs"/>
          <w:rtl/>
        </w:rPr>
        <w:t> </w:t>
      </w:r>
      <w:r w:rsidRPr="004C3605">
        <w:rPr>
          <w:rFonts w:hint="cs"/>
          <w:rtl/>
        </w:rPr>
        <w:t>בודד</w:t>
      </w:r>
      <w:r w:rsidRPr="004C3605">
        <w:rPr>
          <w:rFonts w:ascii="Cambria" w:hAnsi="Cambria" w:cs="Cambria" w:hint="cs"/>
          <w:rtl/>
        </w:rPr>
        <w:t> </w:t>
      </w:r>
      <w:r w:rsidRPr="004C3605">
        <w:rPr>
          <w:rFonts w:hint="cs"/>
          <w:rtl/>
        </w:rPr>
        <w:t>בצערו</w:t>
      </w:r>
      <w:r w:rsidRPr="004C3605">
        <w:rPr>
          <w:rFonts w:ascii="Cambria" w:hAnsi="Cambria" w:cs="Cambria" w:hint="cs"/>
          <w:rtl/>
        </w:rPr>
        <w:t> </w:t>
      </w:r>
      <w:r w:rsidRPr="004C3605">
        <w:rPr>
          <w:rFonts w:hint="cs"/>
          <w:rtl/>
        </w:rPr>
        <w:t>זה</w:t>
      </w:r>
      <w:r w:rsidRPr="004C3605">
        <w:rPr>
          <w:rFonts w:ascii="Cambria" w:hAnsi="Cambria" w:cs="Cambria" w:hint="cs"/>
          <w:rtl/>
        </w:rPr>
        <w:t> </w:t>
      </w:r>
      <w:r w:rsidRPr="004C3605">
        <w:rPr>
          <w:rFonts w:hint="cs"/>
          <w:rtl/>
        </w:rPr>
        <w:t>גופא</w:t>
      </w:r>
      <w:r w:rsidRPr="004C3605">
        <w:rPr>
          <w:rFonts w:ascii="Cambria" w:hAnsi="Cambria" w:cs="Cambria" w:hint="cs"/>
          <w:rtl/>
        </w:rPr>
        <w:t> </w:t>
      </w:r>
      <w:r w:rsidRPr="004C3605">
        <w:rPr>
          <w:rFonts w:hint="cs"/>
          <w:rtl/>
        </w:rPr>
        <w:t>נחמה</w:t>
      </w:r>
      <w:r w:rsidRPr="004C3605">
        <w:rPr>
          <w:rFonts w:ascii="Cambria" w:hAnsi="Cambria" w:cs="Cambria" w:hint="cs"/>
          <w:rtl/>
        </w:rPr>
        <w:t> </w:t>
      </w:r>
      <w:r w:rsidRPr="004C3605">
        <w:rPr>
          <w:rFonts w:hint="cs"/>
          <w:rtl/>
        </w:rPr>
        <w:t>היא</w:t>
      </w:r>
      <w:r w:rsidR="00FD2ECE" w:rsidRPr="004C3605">
        <w:rPr>
          <w:rFonts w:hint="cs"/>
          <w:rtl/>
        </w:rPr>
        <w:t>.</w:t>
      </w:r>
    </w:p>
    <w:p w:rsidR="00FD2ECE" w:rsidRPr="004C3605" w:rsidRDefault="00FD2ECE" w:rsidP="00FD2ECE">
      <w:pPr>
        <w:pStyle w:val="a3"/>
        <w:rPr>
          <w:rtl/>
        </w:rPr>
      </w:pPr>
      <w:r w:rsidRPr="004C3605">
        <w:rPr>
          <w:rFonts w:hint="cs"/>
          <w:rtl/>
        </w:rPr>
        <w:t>ולגוף השאלה יש להעיר מרש"י יחזקאל (כד, כב) לא תנהגו אבלות כי אין מנחמים לכם שאין בכחם שלא יהי' אבל ואין אבלות במקום מנחמים (ביחזקאל שם מסופר שהקב"ה יביא מגפה ומצוה לא לנהוג אבלות ועל זה  מבאר רש"י הטעם לפי שאין מנחמים כי כולם אבלים),</w:t>
      </w:r>
    </w:p>
    <w:p w:rsidR="00FD2ECE" w:rsidRPr="004C3605" w:rsidRDefault="00FD2ECE" w:rsidP="00FD2ECE">
      <w:pPr>
        <w:pStyle w:val="a3"/>
        <w:rPr>
          <w:rtl/>
        </w:rPr>
      </w:pPr>
      <w:r w:rsidRPr="004C3605">
        <w:rPr>
          <w:rFonts w:hint="cs"/>
          <w:rtl/>
        </w:rPr>
        <w:t>הרי שלפי רש"י אבל אכן אינו יכול לנחם אבל אחר, האם יש כאן פלוגתא.</w:t>
      </w:r>
    </w:p>
    <w:p w:rsidR="00FD2ECE" w:rsidRPr="004C3605" w:rsidRDefault="00FD2ECE" w:rsidP="00FD2ECE">
      <w:pPr>
        <w:pStyle w:val="a3"/>
        <w:rPr>
          <w:rtl/>
        </w:rPr>
      </w:pPr>
      <w:r w:rsidRPr="004C3605">
        <w:rPr>
          <w:rFonts w:hint="cs"/>
          <w:rtl/>
        </w:rPr>
        <w:t>והנה לפני כמה שנים כשיצא לאור כרך זה של אג"ק והי' מענין אותי חפשתי את הרבינו יונה, ומצאתי רק תחילת הענין שניחום אבלים מה"ת שלכן שייך שידחה ק"ש כבמשנה ברכות שם קברו את המת כו',</w:t>
      </w:r>
    </w:p>
    <w:p w:rsidR="006C232A" w:rsidRPr="004C3605" w:rsidRDefault="006C232A" w:rsidP="006C232A">
      <w:pPr>
        <w:pStyle w:val="a3"/>
        <w:rPr>
          <w:rtl/>
        </w:rPr>
      </w:pPr>
      <w:r w:rsidRPr="004C3605">
        <w:rPr>
          <w:rtl/>
        </w:rPr>
        <w:t>אבל</w:t>
      </w:r>
      <w:r w:rsidRPr="004C3605">
        <w:rPr>
          <w:rFonts w:ascii="Cambria" w:hAnsi="Cambria" w:cs="Cambria" w:hint="cs"/>
          <w:rtl/>
        </w:rPr>
        <w:t> </w:t>
      </w:r>
      <w:r w:rsidRPr="004C3605">
        <w:rPr>
          <w:rFonts w:hint="cs"/>
          <w:rtl/>
        </w:rPr>
        <w:t>לא</w:t>
      </w:r>
      <w:r w:rsidRPr="004C3605">
        <w:rPr>
          <w:rFonts w:ascii="Cambria" w:hAnsi="Cambria" w:cs="Cambria" w:hint="cs"/>
          <w:rtl/>
        </w:rPr>
        <w:t> </w:t>
      </w:r>
      <w:r w:rsidRPr="004C3605">
        <w:rPr>
          <w:rFonts w:hint="cs"/>
          <w:rtl/>
        </w:rPr>
        <w:t>מצאתי</w:t>
      </w:r>
      <w:r w:rsidRPr="004C3605">
        <w:rPr>
          <w:rFonts w:ascii="Cambria" w:hAnsi="Cambria" w:cs="Cambria" w:hint="cs"/>
          <w:rtl/>
        </w:rPr>
        <w:t> </w:t>
      </w:r>
      <w:r w:rsidRPr="004C3605">
        <w:rPr>
          <w:rFonts w:hint="cs"/>
          <w:rtl/>
        </w:rPr>
        <w:t>שם</w:t>
      </w:r>
      <w:r w:rsidRPr="004C3605">
        <w:rPr>
          <w:rFonts w:ascii="Cambria" w:hAnsi="Cambria" w:cs="Cambria" w:hint="cs"/>
          <w:rtl/>
        </w:rPr>
        <w:t> </w:t>
      </w:r>
      <w:r w:rsidRPr="004C3605">
        <w:rPr>
          <w:rFonts w:hint="cs"/>
          <w:rtl/>
        </w:rPr>
        <w:t>ההמשך</w:t>
      </w:r>
      <w:r w:rsidRPr="004C3605">
        <w:rPr>
          <w:rFonts w:ascii="Cambria" w:hAnsi="Cambria" w:cs="Cambria" w:hint="cs"/>
          <w:rtl/>
        </w:rPr>
        <w:t> </w:t>
      </w:r>
      <w:r w:rsidRPr="004C3605">
        <w:rPr>
          <w:rFonts w:hint="cs"/>
          <w:rtl/>
        </w:rPr>
        <w:t>ואבלים</w:t>
      </w:r>
      <w:r w:rsidRPr="004C3605">
        <w:rPr>
          <w:rFonts w:ascii="Cambria" w:hAnsi="Cambria" w:cs="Cambria" w:hint="cs"/>
          <w:rtl/>
        </w:rPr>
        <w:t> </w:t>
      </w:r>
      <w:r w:rsidRPr="004C3605">
        <w:rPr>
          <w:rFonts w:hint="cs"/>
          <w:rtl/>
        </w:rPr>
        <w:t>עצמם</w:t>
      </w:r>
      <w:r w:rsidRPr="004C3605">
        <w:rPr>
          <w:rFonts w:ascii="Cambria" w:hAnsi="Cambria" w:cs="Cambria" w:hint="cs"/>
          <w:rtl/>
        </w:rPr>
        <w:t> </w:t>
      </w:r>
      <w:r w:rsidRPr="004C3605">
        <w:rPr>
          <w:rFonts w:hint="cs"/>
          <w:rtl/>
        </w:rPr>
        <w:t>ינחמו</w:t>
      </w:r>
      <w:r w:rsidRPr="004C3605">
        <w:rPr>
          <w:rFonts w:ascii="Cambria" w:hAnsi="Cambria" w:cs="Cambria" w:hint="cs"/>
          <w:rtl/>
        </w:rPr>
        <w:t> </w:t>
      </w:r>
      <w:r w:rsidRPr="004C3605">
        <w:rPr>
          <w:rFonts w:hint="cs"/>
          <w:rtl/>
        </w:rPr>
        <w:t>זא</w:t>
      </w:r>
      <w:r w:rsidR="00FD2ECE" w:rsidRPr="004C3605">
        <w:rPr>
          <w:rFonts w:hint="cs"/>
          <w:rtl/>
        </w:rPr>
        <w:t>"</w:t>
      </w:r>
      <w:r w:rsidRPr="004C3605">
        <w:rPr>
          <w:rFonts w:hint="cs"/>
          <w:rtl/>
        </w:rPr>
        <w:t>ז</w:t>
      </w:r>
      <w:r w:rsidR="00FD2ECE" w:rsidRPr="004C3605">
        <w:rPr>
          <w:rFonts w:hint="cs"/>
          <w:rtl/>
        </w:rPr>
        <w:t>,</w:t>
      </w:r>
      <w:r w:rsidRPr="004C3605">
        <w:rPr>
          <w:rFonts w:ascii="Cambria" w:hAnsi="Cambria" w:cs="Cambria" w:hint="cs"/>
          <w:rtl/>
        </w:rPr>
        <w:t> </w:t>
      </w:r>
    </w:p>
    <w:p w:rsidR="006C232A" w:rsidRPr="004C3605" w:rsidRDefault="006C232A" w:rsidP="006C232A">
      <w:pPr>
        <w:pStyle w:val="a3"/>
        <w:rPr>
          <w:rtl/>
        </w:rPr>
      </w:pPr>
      <w:r w:rsidRPr="004C3605">
        <w:rPr>
          <w:rtl/>
        </w:rPr>
        <w:t>לאח</w:t>
      </w:r>
      <w:r w:rsidR="00FD2ECE" w:rsidRPr="004C3605">
        <w:rPr>
          <w:rFonts w:hint="cs"/>
          <w:rtl/>
        </w:rPr>
        <w:t>"</w:t>
      </w:r>
      <w:r w:rsidRPr="004C3605">
        <w:rPr>
          <w:rtl/>
        </w:rPr>
        <w:t>ז</w:t>
      </w:r>
      <w:r w:rsidRPr="004C3605">
        <w:rPr>
          <w:rFonts w:ascii="Cambria" w:hAnsi="Cambria" w:cs="Cambria" w:hint="cs"/>
          <w:rtl/>
        </w:rPr>
        <w:t> </w:t>
      </w:r>
      <w:r w:rsidRPr="004C3605">
        <w:rPr>
          <w:rFonts w:hint="cs"/>
          <w:rtl/>
        </w:rPr>
        <w:t>מצאתי</w:t>
      </w:r>
      <w:r w:rsidRPr="004C3605">
        <w:rPr>
          <w:rFonts w:ascii="Cambria" w:hAnsi="Cambria" w:cs="Cambria" w:hint="cs"/>
          <w:rtl/>
        </w:rPr>
        <w:t> </w:t>
      </w:r>
      <w:r w:rsidRPr="004C3605">
        <w:rPr>
          <w:rFonts w:hint="cs"/>
          <w:rtl/>
        </w:rPr>
        <w:t>בס</w:t>
      </w:r>
      <w:r w:rsidRPr="004C3605">
        <w:rPr>
          <w:rFonts w:ascii="Cambria" w:hAnsi="Cambria" w:cs="Cambria" w:hint="cs"/>
          <w:rtl/>
        </w:rPr>
        <w:t> </w:t>
      </w:r>
      <w:r w:rsidRPr="004C3605">
        <w:rPr>
          <w:rFonts w:hint="cs"/>
          <w:rtl/>
        </w:rPr>
        <w:t>כלבו</w:t>
      </w:r>
      <w:r w:rsidRPr="004C3605">
        <w:rPr>
          <w:rFonts w:ascii="Cambria" w:hAnsi="Cambria" w:cs="Cambria" w:hint="cs"/>
          <w:rtl/>
        </w:rPr>
        <w:t> </w:t>
      </w:r>
      <w:r w:rsidRPr="004C3605">
        <w:rPr>
          <w:rFonts w:hint="cs"/>
          <w:rtl/>
        </w:rPr>
        <w:t>על</w:t>
      </w:r>
      <w:r w:rsidRPr="004C3605">
        <w:rPr>
          <w:rFonts w:ascii="Cambria" w:hAnsi="Cambria" w:cs="Cambria" w:hint="cs"/>
          <w:rtl/>
        </w:rPr>
        <w:t> </w:t>
      </w:r>
      <w:r w:rsidRPr="004C3605">
        <w:rPr>
          <w:rFonts w:hint="cs"/>
          <w:rtl/>
        </w:rPr>
        <w:t>הלכות</w:t>
      </w:r>
      <w:r w:rsidRPr="004C3605">
        <w:rPr>
          <w:rFonts w:ascii="Cambria" w:hAnsi="Cambria" w:cs="Cambria" w:hint="cs"/>
          <w:rtl/>
        </w:rPr>
        <w:t> </w:t>
      </w:r>
      <w:r w:rsidRPr="004C3605">
        <w:rPr>
          <w:rFonts w:hint="cs"/>
          <w:rtl/>
        </w:rPr>
        <w:t>אבלות</w:t>
      </w:r>
      <w:r w:rsidR="00FD2ECE" w:rsidRPr="004C3605">
        <w:rPr>
          <w:rFonts w:hint="cs"/>
          <w:rtl/>
        </w:rPr>
        <w:t xml:space="preserve"> </w:t>
      </w:r>
      <w:r w:rsidRPr="004C3605">
        <w:rPr>
          <w:rFonts w:hint="cs"/>
          <w:rtl/>
        </w:rPr>
        <w:t>ע</w:t>
      </w:r>
      <w:r w:rsidR="00FD2ECE" w:rsidRPr="004C3605">
        <w:rPr>
          <w:rFonts w:hint="cs"/>
          <w:rtl/>
        </w:rPr>
        <w:t>'</w:t>
      </w:r>
      <w:r w:rsidRPr="004C3605">
        <w:rPr>
          <w:rFonts w:ascii="Cambria" w:hAnsi="Cambria" w:cs="Cambria" w:hint="cs"/>
          <w:rtl/>
        </w:rPr>
        <w:t> </w:t>
      </w:r>
      <w:r w:rsidRPr="004C3605">
        <w:rPr>
          <w:rtl/>
        </w:rPr>
        <w:t>297</w:t>
      </w:r>
      <w:r w:rsidRPr="004C3605">
        <w:rPr>
          <w:rFonts w:ascii="Cambria" w:hAnsi="Cambria" w:cs="Cambria" w:hint="cs"/>
          <w:rtl/>
        </w:rPr>
        <w:t> </w:t>
      </w:r>
      <w:r w:rsidRPr="004C3605">
        <w:rPr>
          <w:rFonts w:hint="cs"/>
          <w:rtl/>
        </w:rPr>
        <w:t>נחום</w:t>
      </w:r>
      <w:r w:rsidRPr="004C3605">
        <w:rPr>
          <w:rFonts w:ascii="Cambria" w:hAnsi="Cambria" w:cs="Cambria" w:hint="cs"/>
          <w:rtl/>
        </w:rPr>
        <w:t> </w:t>
      </w:r>
      <w:r w:rsidRPr="004C3605">
        <w:rPr>
          <w:rFonts w:hint="cs"/>
          <w:rtl/>
        </w:rPr>
        <w:t>אבלים</w:t>
      </w:r>
      <w:r w:rsidRPr="004C3605">
        <w:rPr>
          <w:rtl/>
        </w:rPr>
        <w:t>:</w:t>
      </w:r>
      <w:r w:rsidRPr="004C3605">
        <w:rPr>
          <w:rFonts w:ascii="Cambria" w:hAnsi="Cambria" w:cs="Cambria" w:hint="cs"/>
          <w:rtl/>
        </w:rPr>
        <w:t> </w:t>
      </w:r>
      <w:r w:rsidRPr="004C3605">
        <w:rPr>
          <w:rFonts w:hint="cs"/>
          <w:rtl/>
        </w:rPr>
        <w:t>ראה</w:t>
      </w:r>
      <w:r w:rsidRPr="004C3605">
        <w:rPr>
          <w:rFonts w:ascii="Cambria" w:hAnsi="Cambria" w:cs="Cambria" w:hint="cs"/>
          <w:rtl/>
        </w:rPr>
        <w:t> </w:t>
      </w:r>
      <w:r w:rsidRPr="004C3605">
        <w:rPr>
          <w:rFonts w:hint="cs"/>
          <w:rtl/>
        </w:rPr>
        <w:t>ברבינו</w:t>
      </w:r>
      <w:r w:rsidRPr="004C3605">
        <w:rPr>
          <w:rFonts w:ascii="Cambria" w:hAnsi="Cambria" w:cs="Cambria" w:hint="cs"/>
          <w:rtl/>
        </w:rPr>
        <w:t> </w:t>
      </w:r>
      <w:r w:rsidRPr="004C3605">
        <w:rPr>
          <w:rFonts w:hint="cs"/>
          <w:rtl/>
        </w:rPr>
        <w:t>יו</w:t>
      </w:r>
      <w:r w:rsidRPr="004C3605">
        <w:rPr>
          <w:rtl/>
        </w:rPr>
        <w:t>נה</w:t>
      </w:r>
      <w:r w:rsidRPr="004C3605">
        <w:rPr>
          <w:rFonts w:ascii="Cambria" w:hAnsi="Cambria" w:cs="Cambria" w:hint="cs"/>
          <w:rtl/>
        </w:rPr>
        <w:t> </w:t>
      </w:r>
      <w:r w:rsidRPr="004C3605">
        <w:rPr>
          <w:rFonts w:hint="cs"/>
          <w:rtl/>
        </w:rPr>
        <w:t>פ</w:t>
      </w:r>
      <w:r w:rsidR="00FD2ECE" w:rsidRPr="004C3605">
        <w:rPr>
          <w:rFonts w:hint="cs"/>
          <w:rtl/>
        </w:rPr>
        <w:t>"</w:t>
      </w:r>
      <w:r w:rsidRPr="004C3605">
        <w:rPr>
          <w:rFonts w:hint="cs"/>
          <w:rtl/>
        </w:rPr>
        <w:t>ג</w:t>
      </w:r>
      <w:r w:rsidR="00FD2ECE" w:rsidRPr="004C3605">
        <w:rPr>
          <w:rFonts w:hint="cs"/>
          <w:rtl/>
        </w:rPr>
        <w:t>.</w:t>
      </w:r>
    </w:p>
    <w:p w:rsidR="006C232A" w:rsidRDefault="006C232A" w:rsidP="006C232A">
      <w:pPr>
        <w:bidi/>
        <w:spacing w:after="240"/>
        <w:jc w:val="center"/>
        <w:rPr>
          <w:rFonts w:ascii="Nymphette" w:eastAsia="Times New Roman" w:hAnsi="Nymphette" w:cs="Nymphette"/>
          <w:sz w:val="44"/>
          <w:szCs w:val="44"/>
          <w:rtl/>
        </w:rPr>
      </w:pPr>
      <w:r w:rsidRPr="00760DB7">
        <w:rPr>
          <w:rFonts w:ascii="Nymphette" w:eastAsia="Times New Roman" w:hAnsi="Nymphette" w:cs="Nymphette"/>
          <w:sz w:val="44"/>
          <w:szCs w:val="44"/>
        </w:rPr>
        <w:t>g</w:t>
      </w:r>
    </w:p>
    <w:p w:rsidR="00760DB7" w:rsidRPr="00760DB7" w:rsidRDefault="00760DB7" w:rsidP="004C3605">
      <w:pPr>
        <w:pStyle w:val="a0"/>
        <w:bidi w:val="0"/>
        <w:rPr>
          <w:rtl/>
        </w:rPr>
      </w:pPr>
      <w:bookmarkStart w:id="106" w:name="_Toc39817412"/>
      <w:r w:rsidRPr="00760DB7">
        <w:rPr>
          <w:rFonts w:hint="cs"/>
          <w:rtl/>
        </w:rPr>
        <w:t>הערה בלקוטי שיחות י"ז שמיני שיחה א'</w:t>
      </w:r>
      <w:bookmarkEnd w:id="106"/>
    </w:p>
    <w:p w:rsidR="00760DB7" w:rsidRPr="00760DB7" w:rsidRDefault="00760DB7" w:rsidP="00C93F24">
      <w:pPr>
        <w:pStyle w:val="a"/>
        <w:rPr>
          <w:rtl/>
        </w:rPr>
      </w:pPr>
      <w:r w:rsidRPr="00760DB7">
        <w:rPr>
          <w:rFonts w:hint="cs"/>
          <w:rtl/>
        </w:rPr>
        <w:t xml:space="preserve"> </w:t>
      </w:r>
      <w:bookmarkStart w:id="107" w:name="_Toc39817413"/>
      <w:r w:rsidRPr="00760DB7">
        <w:rPr>
          <w:rFonts w:hint="cs"/>
          <w:rtl/>
        </w:rPr>
        <w:t>הרב אברהם אלטר הלוי הבר</w:t>
      </w:r>
      <w:bookmarkEnd w:id="107"/>
    </w:p>
    <w:p w:rsidR="00760DB7" w:rsidRPr="00760DB7" w:rsidRDefault="00760DB7" w:rsidP="001F3DBE">
      <w:pPr>
        <w:pStyle w:val="a1"/>
      </w:pPr>
      <w:r w:rsidRPr="00760DB7">
        <w:rPr>
          <w:rFonts w:hint="cs"/>
          <w:rtl/>
        </w:rPr>
        <w:t>משפיע בנחלת הר חב"ד</w:t>
      </w:r>
    </w:p>
    <w:p w:rsidR="00760DB7" w:rsidRPr="00760DB7" w:rsidRDefault="00760DB7" w:rsidP="004B0C42">
      <w:pPr>
        <w:pStyle w:val="a3"/>
        <w:rPr>
          <w:rtl/>
        </w:rPr>
      </w:pPr>
      <w:r w:rsidRPr="00760DB7">
        <w:rPr>
          <w:rFonts w:hint="cs"/>
          <w:rtl/>
        </w:rPr>
        <w:t xml:space="preserve">באות ה', מביא שהחידוש שיהיה בימות המשיח "ונגלה כבוד הוי' וראו כל בשר, שאעפ"י שכבוד הוי' הוא באין ערוך להבריאה, הוא יהיה אז בגילוי באופן של "וראו כל בשר" בראיה מוחשית של הבשר הגשמי, עד כדי כך שכבוד הוי' יהי' (לא בדרך חידוש, אלא) בדרך פשיטות בעולם הגשמי." </w:t>
      </w:r>
    </w:p>
    <w:p w:rsidR="00760DB7" w:rsidRPr="00760DB7" w:rsidRDefault="00760DB7" w:rsidP="004B0C42">
      <w:pPr>
        <w:pStyle w:val="a3"/>
        <w:rPr>
          <w:rtl/>
        </w:rPr>
      </w:pPr>
      <w:r w:rsidRPr="00760DB7">
        <w:rPr>
          <w:rFonts w:hint="cs"/>
          <w:rtl/>
        </w:rPr>
        <w:t>וממשיך הרבי, כלומר "שזה שהבשר הגשמי יראה כבוד הוי' יהיה זה מצד התכונות והטבע הגשמי מציאותו (דאז), שזהו האופן האמיתי של "בדרך פשיטות".</w:t>
      </w:r>
    </w:p>
    <w:p w:rsidR="00760DB7" w:rsidRPr="00760DB7" w:rsidRDefault="00760DB7" w:rsidP="004B0C42">
      <w:pPr>
        <w:pStyle w:val="a3"/>
        <w:rPr>
          <w:rtl/>
        </w:rPr>
      </w:pPr>
      <w:r w:rsidRPr="00760DB7">
        <w:rPr>
          <w:rFonts w:hint="cs"/>
          <w:rtl/>
        </w:rPr>
        <w:lastRenderedPageBreak/>
        <w:t>כי כאשר הבשר רואה את כבוד הוי' מצד שכבוד הוי' הוא בלי גבול ויכול לרדת למטה עד לבשר הגשמי, אזי הגילוי אלקות הוא עדיין באופן של חידוש בעולם הגשמי, כיון שמה שהבשר רואה את כבוד הוי' הרי זה לא מצד טבע הבשר.</w:t>
      </w:r>
    </w:p>
    <w:p w:rsidR="00760DB7" w:rsidRPr="00760DB7" w:rsidRDefault="00760DB7" w:rsidP="004B0C42">
      <w:pPr>
        <w:pStyle w:val="a3"/>
        <w:rPr>
          <w:rtl/>
        </w:rPr>
      </w:pPr>
      <w:r w:rsidRPr="00760DB7">
        <w:rPr>
          <w:rFonts w:hint="cs"/>
          <w:rtl/>
        </w:rPr>
        <w:t>ובהערה 19 מוסיף שאמנם בקי"ס ובמתן תורה ראו הכל גילוי האוא"ס ב"ה, וזה ג"כ נקרא "בדרך פשיטות", אבל כיון שזהו מצד הגילוי מלמעלה, הרי זה עדיין לא פשיטות אמיתית, שהיא תהיה רק לעתיד לבוא.</w:t>
      </w:r>
    </w:p>
    <w:p w:rsidR="00760DB7" w:rsidRPr="00760DB7" w:rsidRDefault="00760DB7" w:rsidP="004B0C42">
      <w:pPr>
        <w:pStyle w:val="a3"/>
        <w:rPr>
          <w:rtl/>
        </w:rPr>
      </w:pPr>
      <w:r w:rsidRPr="00760DB7">
        <w:rPr>
          <w:rFonts w:hint="cs"/>
          <w:rtl/>
        </w:rPr>
        <w:t>ובאות ו', שואל הרבי "הרי זה שהעולם עכשיו לא רואה אלקות, הרי זה כיון שהוא נברא כך, וכיון שזהו עצם מציאותו, א"כ איך שייך שלע"ל "וראו כל בשר" מצד הבשר עצמו, הרי זה היפך מגדרו של הבשר ?".</w:t>
      </w:r>
    </w:p>
    <w:p w:rsidR="00760DB7" w:rsidRPr="00760DB7" w:rsidRDefault="00760DB7" w:rsidP="004B0C42">
      <w:pPr>
        <w:pStyle w:val="a3"/>
        <w:rPr>
          <w:rtl/>
        </w:rPr>
      </w:pPr>
      <w:r w:rsidRPr="00760DB7">
        <w:rPr>
          <w:rFonts w:hint="cs"/>
          <w:rtl/>
        </w:rPr>
        <w:t>ולאח"ז בשיחה הוא לא עונה ישירות על השאלה, אלא מקדים ביאור דברי אדמו"ר הזקן בתניא פל"ז שהגילוי אוא"ס ב"ה בעוה"ז שיהיה בימות המשיח (ותחה"מ) "תלוי במעשינו ועבודתינו כל זמן משך הגלות", וע"ז שואל מהו הדיוק "כל זמן משך הגלות" הרי מעשינו ועבודתינו במשך כל הזמן פועלים את הגילוי דלע"ל, וא"כ מדוע מדגיש אדה"ז בזמן הגלות.</w:t>
      </w:r>
    </w:p>
    <w:p w:rsidR="00760DB7" w:rsidRPr="00760DB7" w:rsidRDefault="00760DB7" w:rsidP="004B0C42">
      <w:pPr>
        <w:pStyle w:val="a3"/>
        <w:rPr>
          <w:rtl/>
        </w:rPr>
      </w:pPr>
      <w:r w:rsidRPr="00760DB7">
        <w:rPr>
          <w:rFonts w:hint="cs"/>
          <w:rtl/>
        </w:rPr>
        <w:t>ועונה ע"ז תחילה בקיצור, שבכדי שהגילוי של ימוה"מ ותחה"מ יהיה נרגש מצד טבע העולם עצמו, הר"ז רק כאשר ההמשכה שע"י המצוות תהיה באופן שהיא תפעל ותהפוך את הגשמיות עצמו של העוה"ז, וזה בעיקר בזמן הגלות, כפי שמבאר בהמשך.</w:t>
      </w:r>
    </w:p>
    <w:p w:rsidR="00760DB7" w:rsidRPr="00760DB7" w:rsidRDefault="00760DB7" w:rsidP="004B0C42">
      <w:pPr>
        <w:pStyle w:val="a3"/>
        <w:rPr>
          <w:rtl/>
        </w:rPr>
      </w:pPr>
      <w:r w:rsidRPr="00760DB7">
        <w:rPr>
          <w:rFonts w:hint="cs"/>
          <w:rtl/>
        </w:rPr>
        <w:t>ובכדי לבאר זאת, מקדים שהטעם שמעשה המצוות פועלים המשכה שתהפוך את המהות של העולם, הוא בכללות מפני ש"בראשית בשביל התורה ובשביל ישראל" שישראל ע"י תומ"צ יפעלו גילוי אלקות בעולם, וא"כ יוצא שבעצם העולם עצמו (בפנימיותו) "תובע" שיושלם התכלית שלו, שהוא גילוי אלקות בעולם (ע"י תומ"צ וישראל).</w:t>
      </w:r>
    </w:p>
    <w:p w:rsidR="00760DB7" w:rsidRPr="00760DB7" w:rsidRDefault="00760DB7" w:rsidP="004B0C42">
      <w:pPr>
        <w:pStyle w:val="a3"/>
        <w:rPr>
          <w:rtl/>
        </w:rPr>
      </w:pPr>
      <w:r w:rsidRPr="00760DB7">
        <w:rPr>
          <w:rFonts w:hint="cs"/>
          <w:rtl/>
        </w:rPr>
        <w:t>וממשיך שזה עדיין לא מספיק, מאחר שהבריאה  מצד עצם מציאותה לא נרגש בה התכלית שצריך להיות בה, א"כ יוצא שהמשכת האלקות שע"י תומ"צ הר"ז עדיין כמו דבר שמיתוסף על הבריאה (ולא מהבריאה עצמה).</w:t>
      </w:r>
    </w:p>
    <w:p w:rsidR="00760DB7" w:rsidRPr="00760DB7" w:rsidRDefault="00760DB7" w:rsidP="004B0C42">
      <w:pPr>
        <w:pStyle w:val="a3"/>
        <w:rPr>
          <w:rtl/>
        </w:rPr>
      </w:pPr>
      <w:r w:rsidRPr="00760DB7">
        <w:rPr>
          <w:rFonts w:hint="cs"/>
          <w:rtl/>
        </w:rPr>
        <w:t xml:space="preserve">וזה (שההמשכה תהיה בהבריאה מצד עצמה) מתבאר ע"י שנאמר שהגילוי דלעתיד תלוי במעשינו ועבודתינו </w:t>
      </w:r>
      <w:r w:rsidRPr="00760DB7">
        <w:rPr>
          <w:rFonts w:hint="cs"/>
          <w:bCs/>
          <w:rtl/>
        </w:rPr>
        <w:t>בזמן הגלות</w:t>
      </w:r>
      <w:r w:rsidRPr="00760DB7">
        <w:rPr>
          <w:rFonts w:hint="cs"/>
          <w:rtl/>
        </w:rPr>
        <w:t xml:space="preserve">, </w:t>
      </w:r>
    </w:p>
    <w:p w:rsidR="00760DB7" w:rsidRPr="00760DB7" w:rsidRDefault="00760DB7" w:rsidP="004B0C42">
      <w:pPr>
        <w:pStyle w:val="a3"/>
        <w:rPr>
          <w:rtl/>
        </w:rPr>
      </w:pPr>
      <w:r w:rsidRPr="00760DB7">
        <w:rPr>
          <w:rFonts w:hint="cs"/>
          <w:rtl/>
        </w:rPr>
        <w:t xml:space="preserve">ובהמשך מביא תחילה שמבואר בחסידות שבזמן הגלות, מאיר כח המס"נ יותר מבזמן הבית, כי ההסתר וההעלם של זמן הגלות מעורר ומגלה את כח המס"נ (שמצד עצם הנשמה המיוחדת בעצמותו ית' </w:t>
      </w:r>
      <w:r w:rsidRPr="00760DB7">
        <w:rPr>
          <w:rtl/>
        </w:rPr>
        <w:t>–</w:t>
      </w:r>
      <w:r w:rsidRPr="00760DB7">
        <w:rPr>
          <w:rFonts w:hint="cs"/>
          <w:rtl/>
        </w:rPr>
        <w:t xml:space="preserve"> סוף הערה 31, המעתיק), ואיך זה, הרי העלם וגילוי הם הפכים? הנה בזה מבאר שכיון שתכלית הבריאה שיהיה "דירה לו ית' בתחתונים", שהעולם עצמו יהיה דירה להקב"ה גם מצד טבעו, לכן ברא הקב"ה את העולם באופן שמשתקף בו הכוונה והתכלית של העולם, </w:t>
      </w:r>
    </w:p>
    <w:p w:rsidR="00760DB7" w:rsidRPr="00760DB7" w:rsidRDefault="00760DB7" w:rsidP="004B0C42">
      <w:pPr>
        <w:pStyle w:val="a3"/>
        <w:rPr>
          <w:rtl/>
        </w:rPr>
      </w:pPr>
      <w:r w:rsidRPr="00760DB7">
        <w:rPr>
          <w:rFonts w:hint="cs"/>
          <w:rtl/>
        </w:rPr>
        <w:t>והיות שעולם נברא באופן של העלם והסתר בשביל שיהיה גילוי גדול יותר, יתרון האור מן החושך, (נראה לי דכאן הכוונה שהיתרון הוא כשהאור בא מתוך החושך עצמו, -המעתיק) לכן העולם הוסדר שההעלם יגלה אור גדול יותר.</w:t>
      </w:r>
    </w:p>
    <w:p w:rsidR="00760DB7" w:rsidRPr="00760DB7" w:rsidRDefault="00760DB7" w:rsidP="004B0C42">
      <w:pPr>
        <w:pStyle w:val="a3"/>
        <w:rPr>
          <w:rtl/>
        </w:rPr>
      </w:pPr>
      <w:r w:rsidRPr="00760DB7">
        <w:rPr>
          <w:rFonts w:hint="cs"/>
          <w:rtl/>
        </w:rPr>
        <w:lastRenderedPageBreak/>
        <w:t>וכיון שבעולם עצמו (כמו שהוא העלם לפני שמתגלה הכוונה שבו) משתקף בו הכוונה שזהו בשביל תוספת יתרון אור (ע"י קיום המצוות), לכן הגילוי אלקות בעולם (שע"י קיום המצוות) קשור עם המציאות של העולם עצמו.</w:t>
      </w:r>
    </w:p>
    <w:p w:rsidR="00760DB7" w:rsidRPr="00760DB7" w:rsidRDefault="00760DB7" w:rsidP="004B0C42">
      <w:pPr>
        <w:pStyle w:val="a3"/>
        <w:rPr>
          <w:rtl/>
        </w:rPr>
      </w:pPr>
      <w:r w:rsidRPr="00760DB7">
        <w:rPr>
          <w:rFonts w:hint="cs"/>
          <w:rtl/>
        </w:rPr>
        <w:t xml:space="preserve">וזוהי ההסברה בדברי אדמו"ר הזקן שהגילוי דלעתיד תלוי במעשינו ועבודתינו כל זמן משך הגלות, - כי המס"נ שבזמן הגלות מתגלה בהעלם של העולם, שהכוונה בו גילוי אלקות ע"י תומ"צ. </w:t>
      </w:r>
    </w:p>
    <w:p w:rsidR="00760DB7" w:rsidRPr="00760DB7" w:rsidRDefault="00760DB7" w:rsidP="004B0C42">
      <w:pPr>
        <w:pStyle w:val="a3"/>
        <w:rPr>
          <w:rtl/>
        </w:rPr>
      </w:pPr>
      <w:r w:rsidRPr="00760DB7">
        <w:rPr>
          <w:rFonts w:hint="cs"/>
          <w:rtl/>
        </w:rPr>
        <w:t>ולכן הגילוי האלקות שיהיה לע"ל יהיה באופן ש"ונגלה כבוד הוי' וראו כל בשר" , ממש מצד תכונות הבשר.</w:t>
      </w:r>
    </w:p>
    <w:p w:rsidR="00760DB7" w:rsidRPr="00760DB7" w:rsidRDefault="00760DB7" w:rsidP="004B0C42">
      <w:pPr>
        <w:pStyle w:val="a3"/>
        <w:rPr>
          <w:rtl/>
        </w:rPr>
      </w:pPr>
      <w:r w:rsidRPr="00760DB7">
        <w:rPr>
          <w:rFonts w:hint="cs"/>
          <w:rtl/>
        </w:rPr>
        <w:t>ע"כ בערך מהשיחה, חלק גדול הוא כמעט ציטוט מהשיחה.</w:t>
      </w:r>
    </w:p>
    <w:p w:rsidR="00760DB7" w:rsidRPr="00760DB7" w:rsidRDefault="00760DB7" w:rsidP="004B0C42">
      <w:pPr>
        <w:pStyle w:val="a3"/>
        <w:rPr>
          <w:rtl/>
        </w:rPr>
      </w:pPr>
      <w:r w:rsidRPr="00760DB7">
        <w:rPr>
          <w:rFonts w:hint="cs"/>
          <w:rtl/>
        </w:rPr>
        <w:t>אך עדיין צריך להבין:</w:t>
      </w:r>
    </w:p>
    <w:p w:rsidR="00760DB7" w:rsidRPr="00760DB7" w:rsidRDefault="00760DB7" w:rsidP="004B0C42">
      <w:pPr>
        <w:pStyle w:val="a3"/>
        <w:rPr>
          <w:rtl/>
        </w:rPr>
      </w:pPr>
      <w:r w:rsidRPr="00760DB7">
        <w:rPr>
          <w:rFonts w:hint="cs"/>
          <w:rtl/>
        </w:rPr>
        <w:t xml:space="preserve">קודם כל מהו ההסבר שכיון שהתכלית של הבריאה היא בשביל ישראל והתורה, לכן </w:t>
      </w:r>
      <w:r w:rsidRPr="00760DB7">
        <w:rPr>
          <w:rFonts w:hint="cs"/>
          <w:bCs/>
          <w:rtl/>
        </w:rPr>
        <w:t>העולם בעצמו בפנימיותו דורש</w:t>
      </w:r>
      <w:r w:rsidRPr="00760DB7">
        <w:rPr>
          <w:rFonts w:hint="cs"/>
          <w:rtl/>
        </w:rPr>
        <w:t xml:space="preserve"> שיתגלה בו גילוי האלקות בעולם.</w:t>
      </w:r>
    </w:p>
    <w:p w:rsidR="00760DB7" w:rsidRPr="00760DB7" w:rsidRDefault="00760DB7" w:rsidP="004B0C42">
      <w:pPr>
        <w:pStyle w:val="a3"/>
        <w:rPr>
          <w:rtl/>
        </w:rPr>
      </w:pPr>
      <w:r w:rsidRPr="00760DB7">
        <w:rPr>
          <w:rFonts w:hint="cs"/>
          <w:rtl/>
        </w:rPr>
        <w:t>אח"כ אומר שזה עדיין לא מספיק אלא זה דוקא ע"י העבודה במס"נ שבזמן הגלות, שבזה כלשון השיחה "משתקף" כוונת הבריאה שהיא עצמה תהיה דירה בתחתונים,</w:t>
      </w:r>
    </w:p>
    <w:p w:rsidR="00760DB7" w:rsidRPr="00760DB7" w:rsidRDefault="00760DB7" w:rsidP="004B0C42">
      <w:pPr>
        <w:pStyle w:val="a3"/>
        <w:rPr>
          <w:rtl/>
        </w:rPr>
      </w:pPr>
      <w:r w:rsidRPr="00760DB7">
        <w:rPr>
          <w:rFonts w:hint="cs"/>
          <w:rtl/>
        </w:rPr>
        <w:t>מהו הפירוש וההסבר שבזה משתקף כוונת הבריאה, ולמה עי"ז דוקא יהיה הגילוי לע"ל וראו כל בשר מצד הבשר עצמו.</w:t>
      </w:r>
    </w:p>
    <w:p w:rsidR="00760DB7" w:rsidRPr="00760DB7" w:rsidRDefault="00760DB7" w:rsidP="004B0C42">
      <w:pPr>
        <w:pStyle w:val="a3"/>
        <w:rPr>
          <w:rtl/>
        </w:rPr>
      </w:pPr>
      <w:r w:rsidRPr="00760DB7">
        <w:rPr>
          <w:rFonts w:hint="cs"/>
          <w:rtl/>
        </w:rPr>
        <w:t>וגם, מדוע מביא את כל ההקדמה של: הענין דבראשית בשביל ישראל והתורה, כנ"ל, וכן מה שבמביא שבעולם משתקף הכוונה כו', - הרי לכאורה יכול לענות מיד, שזהו מפני שדוקא ההעלם שבזמן הגלות מעורר את כח המס"נ, לכן יהיה הגילוי מצד העולם עצמו.</w:t>
      </w:r>
    </w:p>
    <w:p w:rsidR="00760DB7" w:rsidRPr="00760DB7" w:rsidRDefault="00760DB7" w:rsidP="004B0C42">
      <w:pPr>
        <w:pStyle w:val="a3"/>
        <w:rPr>
          <w:rtl/>
        </w:rPr>
      </w:pPr>
      <w:r w:rsidRPr="00760DB7">
        <w:rPr>
          <w:rFonts w:hint="cs"/>
          <w:rtl/>
        </w:rPr>
        <w:t>אלא שבזה ברור התשובה לכך, - כי בלי הענין שבעולם משתקף הכוונה, הרי יהיה אפשר לומר שזהו מצד טבע העולם (כמו שאר הטבעיים שבעולם) שההעלם מעורר מס"נ, ורק לאחרי שמבאר שאין זה סתם טבע העולם, כ"א שזהו מפני שמשתקף בו הכוונה, זה נותן הסבר לכך שהגילוי יהיה בעולם עצמו.</w:t>
      </w:r>
    </w:p>
    <w:p w:rsidR="00760DB7" w:rsidRPr="00760DB7" w:rsidRDefault="00760DB7" w:rsidP="004B0C42">
      <w:pPr>
        <w:pStyle w:val="a3"/>
        <w:rPr>
          <w:rtl/>
        </w:rPr>
      </w:pPr>
      <w:r w:rsidRPr="00760DB7">
        <w:rPr>
          <w:rFonts w:hint="cs"/>
          <w:rtl/>
        </w:rPr>
        <w:t>אך עדיין לא מובן לשם מה מביא את ההתחלה ש"בראשית בשביל ישראל ובשביל התורה" וכו'-.</w:t>
      </w:r>
    </w:p>
    <w:p w:rsidR="00760DB7" w:rsidRPr="00760DB7" w:rsidRDefault="00760DB7" w:rsidP="004B0C42">
      <w:pPr>
        <w:pStyle w:val="a3"/>
        <w:rPr>
          <w:rtl/>
        </w:rPr>
      </w:pPr>
      <w:r w:rsidRPr="00760DB7">
        <w:rPr>
          <w:rFonts w:hint="cs"/>
          <w:rtl/>
        </w:rPr>
        <w:t xml:space="preserve">וכן אינו מובן כ"כ מהו הפירוש שבעולם </w:t>
      </w:r>
      <w:r w:rsidRPr="00760DB7">
        <w:rPr>
          <w:rFonts w:hint="cs"/>
          <w:bCs/>
          <w:rtl/>
        </w:rPr>
        <w:t>משתקף</w:t>
      </w:r>
      <w:r w:rsidRPr="00760DB7">
        <w:rPr>
          <w:rFonts w:hint="cs"/>
          <w:rtl/>
        </w:rPr>
        <w:t xml:space="preserve"> הכוונה וכו'.</w:t>
      </w:r>
    </w:p>
    <w:p w:rsidR="00760DB7" w:rsidRPr="00760DB7" w:rsidRDefault="00760DB7" w:rsidP="004B0C42">
      <w:pPr>
        <w:pStyle w:val="a3"/>
        <w:rPr>
          <w:rtl/>
        </w:rPr>
      </w:pPr>
      <w:r w:rsidRPr="00760DB7">
        <w:rPr>
          <w:rFonts w:hint="cs"/>
          <w:rtl/>
        </w:rPr>
        <w:t xml:space="preserve">ונראה לי שההסבר לזה יובן, ממאמר שבו מבואר הענין בדומה לזה, באותיות וסגנון אחרות, </w:t>
      </w:r>
    </w:p>
    <w:p w:rsidR="00760DB7" w:rsidRPr="00760DB7" w:rsidRDefault="00760DB7" w:rsidP="004B0C42">
      <w:pPr>
        <w:pStyle w:val="a3"/>
        <w:rPr>
          <w:rtl/>
        </w:rPr>
      </w:pPr>
      <w:r w:rsidRPr="00760DB7">
        <w:rPr>
          <w:rFonts w:hint="cs"/>
          <w:rtl/>
        </w:rPr>
        <w:t xml:space="preserve">והוא במאמר ונחה עליו משנת תשכ"ה (מלוקט ב'), ושם מבאר באות ו' ש"כוונת הצמצום (הראשון) הוא בכדי שהגילוי דאוא"ס יהיה גם בעולמות, דקודם הצמצום, כשהיה אוא"ס ממלא מקום החלל, לא היה אפשר להיות מציאות העולמות, ובמילא לא היה הגילוי בעולמות, וע"י הצמצום נתחדש שהגילוי דאוא"ס יהיה גם בעולמות", ומבאר בזה שהפירוש הוא שע"י הצמצום יהיה בעולם אלקות בפשיטות, ולא כמו בביהמ"ק שהיה ראיית אלקות, </w:t>
      </w:r>
      <w:r w:rsidRPr="00760DB7">
        <w:rPr>
          <w:rFonts w:hint="cs"/>
          <w:rtl/>
        </w:rPr>
        <w:lastRenderedPageBreak/>
        <w:t>אך אי"ז ממש פשיטות אלקות, משא"כ לע"ל יהיה "ראיית אלקות כמו דבר טבעי ממש, וכמ"ש וראו כל בשר דהתכונות של עיני בשר יהיו באופן כזה שיראו אלקות" .</w:t>
      </w:r>
    </w:p>
    <w:p w:rsidR="00760DB7" w:rsidRPr="00760DB7" w:rsidRDefault="00760DB7" w:rsidP="004B0C42">
      <w:pPr>
        <w:pStyle w:val="a3"/>
        <w:rPr>
          <w:rtl/>
        </w:rPr>
      </w:pPr>
      <w:r w:rsidRPr="00760DB7">
        <w:rPr>
          <w:rFonts w:hint="cs"/>
          <w:rtl/>
        </w:rPr>
        <w:t>וע"ז שואל שצריך להבין זאת, איך זה יתכן "הרי הגילוי דאוא"ס הבל"ג ומציאות העולמות הם ב' הפכים, שלכן כשהיה אוא"ס ממלא מקום החלל לא היה אפשר להיות התהוות העולמות.... (וא"כ) היאך אפשר שהמציאות דעולמות (ועאכו"כ המציאות דבשר הגשמי) תהי' באופן שבמציאותה יהיה בה גילוי אלקות".</w:t>
      </w:r>
    </w:p>
    <w:p w:rsidR="00760DB7" w:rsidRPr="00760DB7" w:rsidRDefault="00760DB7" w:rsidP="004B0C42">
      <w:pPr>
        <w:pStyle w:val="a3"/>
        <w:rPr>
          <w:rtl/>
        </w:rPr>
      </w:pPr>
      <w:r w:rsidRPr="00760DB7">
        <w:rPr>
          <w:rFonts w:hint="cs"/>
          <w:rtl/>
        </w:rPr>
        <w:t xml:space="preserve">ועונה ע"ז "דמכיון שכוונת הצמצום היא בשביל הגילוי ... הרי שפנימיות הצמצום (ובמילא גם העולמות שנתהוו מהצמצום) אינו סותר להגילוי, </w:t>
      </w:r>
      <w:r w:rsidRPr="00760DB7">
        <w:rPr>
          <w:rFonts w:hint="cs"/>
          <w:bCs/>
          <w:rtl/>
        </w:rPr>
        <w:t>ואדרבה זהו (ענין הגילוי) ענינו הפנימי דהצמצום".</w:t>
      </w:r>
    </w:p>
    <w:p w:rsidR="00760DB7" w:rsidRPr="00760DB7" w:rsidRDefault="00760DB7" w:rsidP="004B0C42">
      <w:pPr>
        <w:pStyle w:val="a3"/>
        <w:rPr>
          <w:rtl/>
        </w:rPr>
      </w:pPr>
      <w:r w:rsidRPr="00760DB7">
        <w:rPr>
          <w:rFonts w:hint="cs"/>
          <w:rtl/>
        </w:rPr>
        <w:t>ומסיים, "אלא שבכדי לגלות הפנימיות דהצמצום, זה נעשה ע"י העבודה דישראל ובפרט בזמן הגלות".</w:t>
      </w:r>
    </w:p>
    <w:p w:rsidR="00760DB7" w:rsidRPr="00760DB7" w:rsidRDefault="00760DB7" w:rsidP="004B0C42">
      <w:pPr>
        <w:pStyle w:val="a3"/>
        <w:rPr>
          <w:rtl/>
        </w:rPr>
      </w:pPr>
      <w:r w:rsidRPr="00760DB7">
        <w:rPr>
          <w:rFonts w:hint="cs"/>
          <w:rtl/>
        </w:rPr>
        <w:t>ומבאר באות ט' דהעבודה בזמן הגלות ובפרט בעקבתא דמשיחא, שהוא במס"נ, וההעלם עצמו של הגלות פועל את התגלות המס"נ.....ע"י העבודה דמס"נ בזמן הגלות מתגלה בפועל ענינו הפנימי דההעלם... שענינו הוא בשביל הגילוי.</w:t>
      </w:r>
    </w:p>
    <w:p w:rsidR="00760DB7" w:rsidRPr="00760DB7" w:rsidRDefault="00760DB7" w:rsidP="004B0C42">
      <w:pPr>
        <w:pStyle w:val="a3"/>
        <w:rPr>
          <w:rtl/>
        </w:rPr>
      </w:pPr>
      <w:r w:rsidRPr="00760DB7">
        <w:rPr>
          <w:rFonts w:hint="cs"/>
          <w:rtl/>
        </w:rPr>
        <w:t>והפירוש, דכיון שישראל ע"י עבודתם במס"נ בזה"ג ה"ה מגלים את פנימיות הגלות ופנימיות הצמצום הראשון שהוא בשביל הגילוי בעולם עצמו, לכן לע"ל יהיה הגילוי בהבשר עצמו.</w:t>
      </w:r>
    </w:p>
    <w:p w:rsidR="00760DB7" w:rsidRPr="00760DB7" w:rsidRDefault="00760DB7" w:rsidP="004B0C42">
      <w:pPr>
        <w:pStyle w:val="a3"/>
        <w:rPr>
          <w:rtl/>
        </w:rPr>
      </w:pPr>
      <w:r w:rsidRPr="00760DB7">
        <w:rPr>
          <w:rFonts w:hint="cs"/>
          <w:rtl/>
        </w:rPr>
        <w:t>וכ"ז הוא לכאורה אותו ענין המובא בלקו"ש הנ"ל, אלא באותיות אחרות מעט, אבל אותו תוכן.</w:t>
      </w:r>
    </w:p>
    <w:p w:rsidR="00760DB7" w:rsidRPr="00760DB7" w:rsidRDefault="00760DB7" w:rsidP="004B0C42">
      <w:pPr>
        <w:pStyle w:val="a3"/>
        <w:rPr>
          <w:rtl/>
        </w:rPr>
      </w:pPr>
      <w:r w:rsidRPr="00760DB7">
        <w:rPr>
          <w:rFonts w:hint="cs"/>
          <w:rtl/>
        </w:rPr>
        <w:t xml:space="preserve">ולכאורה עדיין קשה, גם על המאמר ונחה עליו, </w:t>
      </w:r>
    </w:p>
    <w:p w:rsidR="00760DB7" w:rsidRPr="00760DB7" w:rsidRDefault="00760DB7" w:rsidP="004B0C42">
      <w:pPr>
        <w:pStyle w:val="a3"/>
        <w:rPr>
          <w:rtl/>
        </w:rPr>
      </w:pPr>
      <w:r w:rsidRPr="00760DB7">
        <w:rPr>
          <w:rFonts w:hint="cs"/>
          <w:rtl/>
        </w:rPr>
        <w:t>דלכאורה אינו מובן כ"כ מה נותן לנו הענין דכוונת הצמצום היא בשביל הגילוי, הרי סוכ"ס אוא"ס הבל"ג לא היה יכול להיות בעולמות, ולכן בכדי שיהיו העולמות, פעל עליו הצמצום שלא יאיר במקום החלל, וא"כ איך עכשיו יכול אוא"ס להיות בגילוי בעולמות.</w:t>
      </w:r>
    </w:p>
    <w:p w:rsidR="00760DB7" w:rsidRPr="00760DB7" w:rsidRDefault="00760DB7" w:rsidP="004B0C42">
      <w:pPr>
        <w:pStyle w:val="a3"/>
        <w:rPr>
          <w:rtl/>
        </w:rPr>
      </w:pPr>
      <w:r w:rsidRPr="00760DB7">
        <w:rPr>
          <w:rFonts w:hint="cs"/>
          <w:rtl/>
        </w:rPr>
        <w:t xml:space="preserve">ועניתי ע"ז דנראה לי לכאורה הביאור בזה, דשרש </w:t>
      </w:r>
      <w:r w:rsidRPr="00760DB7">
        <w:rPr>
          <w:rFonts w:hint="cs"/>
          <w:bCs/>
          <w:rtl/>
        </w:rPr>
        <w:t>פנימיות</w:t>
      </w:r>
      <w:r w:rsidRPr="00760DB7">
        <w:rPr>
          <w:rFonts w:hint="cs"/>
          <w:rtl/>
        </w:rPr>
        <w:t xml:space="preserve"> הצמצום הוא למעלה מהאור הבל"ג, (דשם אוא"ס הבל"ג והעולמות </w:t>
      </w:r>
      <w:r w:rsidRPr="00760DB7">
        <w:rPr>
          <w:rtl/>
        </w:rPr>
        <w:t>–</w:t>
      </w:r>
      <w:r w:rsidRPr="00760DB7">
        <w:rPr>
          <w:rFonts w:hint="cs"/>
          <w:rtl/>
        </w:rPr>
        <w:t xml:space="preserve">שהם בעלי גבול- שוים ממש לפניו), ולכן כשמתגלה </w:t>
      </w:r>
      <w:r w:rsidRPr="00760DB7">
        <w:rPr>
          <w:rFonts w:hint="cs"/>
          <w:bCs/>
          <w:rtl/>
        </w:rPr>
        <w:t>פנימיות</w:t>
      </w:r>
      <w:r w:rsidRPr="00760DB7">
        <w:rPr>
          <w:rFonts w:hint="cs"/>
          <w:rtl/>
        </w:rPr>
        <w:t xml:space="preserve"> הצמצום ביכלתו להמשיך את גילוי אוא"ס הבל"ג בתוך מציאות העולמות, וכן העולמות, שנתהוו מהצמצום, נתהוו באופן כזה שכשמתגלה פנימיותם (שבא מפנימיות הצמצום) הם באופן שיוכלו לקבל את אוא"ס הבל"ג במציאותם שיהיה אלקות בפשיטות ממש ומציאות בהתחדשות, (כן נראה לי הביאור בזה, ואם טעיתי ה' יכפר בעדי)</w:t>
      </w:r>
    </w:p>
    <w:p w:rsidR="00760DB7" w:rsidRPr="00760DB7" w:rsidRDefault="00760DB7" w:rsidP="004B0C42">
      <w:pPr>
        <w:pStyle w:val="a3"/>
        <w:rPr>
          <w:rtl/>
        </w:rPr>
      </w:pPr>
      <w:r w:rsidRPr="00760DB7">
        <w:rPr>
          <w:rFonts w:hint="cs"/>
          <w:rtl/>
        </w:rPr>
        <w:t>אלא דבכדי לגלות את פנימיות וכוונת הצמצום, זהו דוקא ע"י העבודה בזמן הגלות כנ"ל.</w:t>
      </w:r>
    </w:p>
    <w:p w:rsidR="00760DB7" w:rsidRPr="00760DB7" w:rsidRDefault="00760DB7" w:rsidP="004B0C42">
      <w:pPr>
        <w:pStyle w:val="a3"/>
        <w:rPr>
          <w:rtl/>
        </w:rPr>
      </w:pPr>
      <w:r w:rsidRPr="00760DB7">
        <w:rPr>
          <w:rFonts w:hint="cs"/>
          <w:rtl/>
        </w:rPr>
        <w:t xml:space="preserve">ולכאורה נראה לי שזהו גם הביאור בהשיחה כאן בלקוטי שיחות, אלא שבמאמר מבואר זה באותיות הקבלה וכו', וכאן בלקוטי שיחות מביא זה שזהו הפירוש העמוק במה ש"בראשית בשביל ישראל ובשביל התורה", והיינו דאין זה רק שהתכלית הוא דבר נפרד מהבריאה, כ"א שהבריאה עצמה היא באופן שהתכלית שלה הוא הגילוי אור שע"י ישראל והתורה, וא"כ זהו </w:t>
      </w:r>
      <w:r w:rsidRPr="00760DB7">
        <w:rPr>
          <w:rFonts w:hint="cs"/>
          <w:rtl/>
        </w:rPr>
        <w:lastRenderedPageBreak/>
        <w:t>אותו ענין כבהמאמר ונחה עליו הנ"ל, וגם כאן צריך לבאר כבהמאמר ונחה, דהיינו שהקב"ה (שהוא למעלה מהעלם וגילוי, ושניהם שוים אצלו) ברא את הבריאה באופן זה שפנימיותה והתכלית שלה הוא הגילוי ע"י ישראל והתורה.</w:t>
      </w:r>
    </w:p>
    <w:p w:rsidR="00760DB7" w:rsidRPr="00760DB7" w:rsidRDefault="00760DB7" w:rsidP="004B0C42">
      <w:pPr>
        <w:pStyle w:val="a3"/>
        <w:rPr>
          <w:rtl/>
        </w:rPr>
      </w:pPr>
      <w:r w:rsidRPr="00760DB7">
        <w:rPr>
          <w:rFonts w:hint="cs"/>
          <w:rtl/>
        </w:rPr>
        <w:t>וזהו בעצם הפירוש שבעולם משתקף כוונת הבריאה.</w:t>
      </w:r>
    </w:p>
    <w:p w:rsidR="00760DB7" w:rsidRPr="00760DB7" w:rsidRDefault="00760DB7" w:rsidP="004B0C42">
      <w:pPr>
        <w:pStyle w:val="a3"/>
        <w:rPr>
          <w:rtl/>
        </w:rPr>
      </w:pPr>
      <w:r w:rsidRPr="00760DB7">
        <w:rPr>
          <w:rFonts w:hint="cs"/>
          <w:rtl/>
        </w:rPr>
        <w:t>וע"י זה מבואר כל הנ"ל, כך נראה לי לכאורה.</w:t>
      </w:r>
    </w:p>
    <w:p w:rsidR="00760DB7" w:rsidRPr="00760DB7" w:rsidRDefault="00760DB7" w:rsidP="004B0C42">
      <w:pPr>
        <w:pStyle w:val="a3"/>
        <w:rPr>
          <w:rtl/>
        </w:rPr>
      </w:pPr>
      <w:r w:rsidRPr="00760DB7">
        <w:rPr>
          <w:rFonts w:hint="cs"/>
          <w:rtl/>
        </w:rPr>
        <w:t xml:space="preserve">ואגב, ענין זה דכיון דזהו הכונה הפנימית של הבריאה מופיע בכו"כ מקומות בשיחות ומאמרי כ"ק אדמו"ר, וכמו גם במאמר החודש הזה לכם תשל"ה (מלוקט ד') באות ז', וזלה"ק "וזהו שהמחשבה לברוא את העולם היתה בניסן, שהמחשבה היא הכוונה והתכלית של העשיה שלאחרי המחשבה, כי הכוונה והתכלית דבריאת העולם דתשרי (מדידה והגבלה) הוא שיהיה בו הגילוי דניסן שלמעלה מהגבלה, אלא שבכדי שתושלם הכוונה שגם בהגבול יהיה גילוי הבל"ג, היתה הבריאה בפועל באופן שבגילוי לא היה נרגש בה הכוונה... וע"י מעשינו ועבודתינו ובפרט בזמן הגלות מתגלה </w:t>
      </w:r>
      <w:r w:rsidRPr="00760DB7">
        <w:rPr>
          <w:rFonts w:hint="cs"/>
          <w:bCs/>
          <w:rtl/>
        </w:rPr>
        <w:t>שהפנימיות</w:t>
      </w:r>
      <w:r w:rsidRPr="00760DB7">
        <w:rPr>
          <w:rFonts w:hint="cs"/>
          <w:rtl/>
        </w:rPr>
        <w:t xml:space="preserve"> (הכוונה והתכלית) דהגבול שנברא בתשרי הוא שיהיה בו גילוי הבל"ג.."). וזהו בעצם אותו ענין כבהנ"ל.</w:t>
      </w:r>
    </w:p>
    <w:p w:rsidR="00760DB7" w:rsidRPr="00760DB7" w:rsidRDefault="00760DB7" w:rsidP="00760DB7">
      <w:pPr>
        <w:bidi/>
        <w:spacing w:after="240"/>
        <w:jc w:val="center"/>
        <w:rPr>
          <w:rFonts w:ascii="Nymphette" w:eastAsia="Times New Roman" w:hAnsi="Nymphette" w:cs="Nymphette"/>
          <w:sz w:val="44"/>
          <w:szCs w:val="44"/>
          <w:rtl/>
        </w:rPr>
      </w:pPr>
      <w:bookmarkStart w:id="108" w:name="_Toc26492275"/>
      <w:r w:rsidRPr="00760DB7">
        <w:rPr>
          <w:rFonts w:ascii="Nymphette" w:eastAsia="Times New Roman" w:hAnsi="Nymphette" w:cs="Nymphette"/>
          <w:sz w:val="44"/>
          <w:szCs w:val="44"/>
        </w:rPr>
        <w:t>g</w:t>
      </w:r>
    </w:p>
    <w:p w:rsidR="00AC425E" w:rsidRDefault="00AC425E" w:rsidP="00AC425E">
      <w:pPr>
        <w:pStyle w:val="a0"/>
        <w:rPr>
          <w:rFonts w:eastAsia="David Libre"/>
        </w:rPr>
      </w:pPr>
      <w:bookmarkStart w:id="109" w:name="_Toc39817414"/>
      <w:r>
        <w:rPr>
          <w:rFonts w:eastAsia="David Libre"/>
          <w:rtl/>
        </w:rPr>
        <w:t>יישר כח על מצוה</w:t>
      </w:r>
      <w:bookmarkEnd w:id="109"/>
    </w:p>
    <w:p w:rsidR="00AC425E" w:rsidRPr="00AC425E" w:rsidRDefault="00AC425E" w:rsidP="00C93F24">
      <w:pPr>
        <w:pStyle w:val="a"/>
        <w:rPr>
          <w:rtl/>
        </w:rPr>
      </w:pPr>
      <w:bookmarkStart w:id="110" w:name="_Toc39817415"/>
      <w:r w:rsidRPr="00AC425E">
        <w:rPr>
          <w:rtl/>
        </w:rPr>
        <w:t>הרב מרדכי דובער ווילהעלם</w:t>
      </w:r>
      <w:bookmarkEnd w:id="110"/>
      <w:r w:rsidRPr="00AC425E">
        <w:rPr>
          <w:rtl/>
        </w:rPr>
        <w:t xml:space="preserve"> </w:t>
      </w:r>
    </w:p>
    <w:p w:rsidR="00AC425E" w:rsidRPr="00C60FEE" w:rsidRDefault="00AC425E" w:rsidP="00AC425E">
      <w:pPr>
        <w:pStyle w:val="a1"/>
        <w:rPr>
          <w:rtl/>
        </w:rPr>
      </w:pPr>
      <w:r>
        <w:rPr>
          <w:rtl/>
        </w:rPr>
        <w:t>ר"מ במתיבתא לויבאוויטש, טאראנטא</w:t>
      </w:r>
    </w:p>
    <w:p w:rsidR="00AC425E" w:rsidRDefault="00AC425E" w:rsidP="004B0C42">
      <w:pPr>
        <w:pStyle w:val="a3"/>
      </w:pPr>
      <w:r>
        <w:rPr>
          <w:rtl/>
        </w:rPr>
        <w:t>בשיחה לתלמידי השלוחים שחזרו מאוסטרליא יום ג' ,כ"ז ניסן, היתשכ"ט. אמר כ"ק אדמו"ר זי"ע:</w:t>
      </w:r>
    </w:p>
    <w:p w:rsidR="00AC425E" w:rsidRDefault="00AC425E" w:rsidP="004B0C42">
      <w:pPr>
        <w:pStyle w:val="a3"/>
      </w:pPr>
      <w:r>
        <w:rPr>
          <w:rtl/>
        </w:rPr>
        <w:t xml:space="preserve">"לא נהוג להביע "יישר כח" על מצוה". </w:t>
      </w:r>
    </w:p>
    <w:p w:rsidR="00AC425E" w:rsidRDefault="00AC425E" w:rsidP="004B0C42">
      <w:pPr>
        <w:pStyle w:val="a3"/>
      </w:pPr>
      <w:r>
        <w:rPr>
          <w:rtl/>
        </w:rPr>
        <w:t xml:space="preserve">ויש להעיר ממ"ש הרש"ש פרק ד' משנה א' ממסכת שביעית "ובזה יישבתי המנהג שאומרים לכהנים אחר ירידתם מן הדוכן ישר כחכם, אשר רבים לעגו ע"ז, כיון שהם מצווים בכך ועוברים בג' עשין אם לא יברכו".  </w:t>
      </w:r>
    </w:p>
    <w:p w:rsidR="00AC425E" w:rsidRDefault="00AC425E" w:rsidP="004B0C42">
      <w:pPr>
        <w:pStyle w:val="a3"/>
      </w:pPr>
      <w:r>
        <w:rPr>
          <w:rtl/>
        </w:rPr>
        <w:t xml:space="preserve">ועיין מה שהעירו על זה בנפש חיה [מרגלית] סוף סימן קכח. ויסודי ישורון מערכת נשיאת כפים סימן כב. </w:t>
      </w:r>
    </w:p>
    <w:p w:rsidR="00CE4E4A" w:rsidRDefault="00AC425E" w:rsidP="00AC425E">
      <w:pPr>
        <w:bidi/>
        <w:spacing w:after="240"/>
        <w:jc w:val="center"/>
        <w:rPr>
          <w:rFonts w:ascii="Nymphette" w:eastAsia="Times New Roman" w:hAnsi="Nymphette" w:cs="Nymphette"/>
          <w:sz w:val="44"/>
          <w:szCs w:val="44"/>
        </w:rPr>
      </w:pPr>
      <w:r w:rsidRPr="00760DB7">
        <w:rPr>
          <w:rFonts w:ascii="Nymphette" w:eastAsia="Times New Roman" w:hAnsi="Nymphette" w:cs="Nymphette"/>
          <w:sz w:val="44"/>
          <w:szCs w:val="44"/>
        </w:rPr>
        <w:t>g</w:t>
      </w:r>
    </w:p>
    <w:p w:rsidR="00CE4E4A" w:rsidRDefault="00CE4E4A">
      <w:pPr>
        <w:rPr>
          <w:rFonts w:ascii="Nymphette" w:eastAsia="Times New Roman" w:hAnsi="Nymphette" w:cs="Nymphette"/>
          <w:sz w:val="44"/>
          <w:szCs w:val="44"/>
        </w:rPr>
      </w:pPr>
      <w:r>
        <w:rPr>
          <w:rFonts w:ascii="Nymphette" w:eastAsia="Times New Roman" w:hAnsi="Nymphette" w:cs="Nymphette"/>
          <w:sz w:val="44"/>
          <w:szCs w:val="44"/>
        </w:rPr>
        <w:br w:type="page"/>
      </w:r>
    </w:p>
    <w:p w:rsidR="00AC425E" w:rsidRDefault="00AC425E" w:rsidP="00AC425E">
      <w:pPr>
        <w:pStyle w:val="a0"/>
        <w:rPr>
          <w:rFonts w:eastAsia="David Libre"/>
          <w:highlight w:val="white"/>
          <w:rtl/>
        </w:rPr>
      </w:pPr>
      <w:bookmarkStart w:id="111" w:name="_Toc39817416"/>
      <w:r>
        <w:rPr>
          <w:rFonts w:eastAsia="David Libre"/>
          <w:highlight w:val="white"/>
          <w:rtl/>
        </w:rPr>
        <w:lastRenderedPageBreak/>
        <w:t>נושקים הציציות שש פעמים</w:t>
      </w:r>
      <w:bookmarkEnd w:id="111"/>
    </w:p>
    <w:p w:rsidR="00FD2ECE" w:rsidRPr="00C60FEE" w:rsidRDefault="00BF0497" w:rsidP="00BF0497">
      <w:pPr>
        <w:pStyle w:val="a"/>
        <w:rPr>
          <w:rtl/>
        </w:rPr>
      </w:pPr>
      <w:bookmarkStart w:id="112" w:name="_Toc39817417"/>
      <w:r>
        <w:rPr>
          <w:rFonts w:hint="cs"/>
          <w:rtl/>
        </w:rPr>
        <w:t>הנ"ל</w:t>
      </w:r>
      <w:bookmarkEnd w:id="112"/>
    </w:p>
    <w:p w:rsidR="00AC425E" w:rsidRDefault="00AC425E" w:rsidP="004B0C42">
      <w:pPr>
        <w:pStyle w:val="a3"/>
        <w:rPr>
          <w:highlight w:val="white"/>
        </w:rPr>
      </w:pPr>
      <w:r>
        <w:rPr>
          <w:highlight w:val="white"/>
          <w:rtl/>
        </w:rPr>
        <w:t>בהערות וביאורים גליון תתנה (עמ' 78), הקשה הרי"מ וואולבערג על מה שכתוב בהיום יום כ"ב סיון: "נושקים הציציות שש פעמים, היינו באמירת תיבות: ציצית, ציצית, לציצית, אמת, קיימת, לעד". דלכאורה צ"ב, דמנינא למה לי, מספיק אם הי' אומר באיזה מילים מנשקים הציצית, ומובן שהוא שש פעמים עיי"ש ובגליון תתנו מה שתירצו.</w:t>
      </w:r>
    </w:p>
    <w:p w:rsidR="00AC425E" w:rsidRDefault="00AC425E" w:rsidP="004B0C42">
      <w:pPr>
        <w:pStyle w:val="a3"/>
        <w:rPr>
          <w:highlight w:val="white"/>
        </w:rPr>
      </w:pPr>
      <w:r>
        <w:rPr>
          <w:highlight w:val="white"/>
          <w:rtl/>
        </w:rPr>
        <w:t>ויש לומר בעוד אופן והוא כפי הנהוג שהש"ץ אומר אמת ב' פעמים [היינו אני ה' אלוקיכם, אמת. בלחש. ובקול רם ה' אלוקיכם, אמת.]  ועל זה בא המנין [שש פעמים] לומר, שאין הש"ץ נושק הציצית רק באחד מהב' פעמים.</w:t>
      </w:r>
    </w:p>
    <w:p w:rsidR="00AC425E" w:rsidRDefault="00AC425E" w:rsidP="004B0C42">
      <w:pPr>
        <w:pStyle w:val="a3"/>
        <w:rPr>
          <w:highlight w:val="white"/>
        </w:rPr>
      </w:pPr>
      <w:r>
        <w:rPr>
          <w:highlight w:val="white"/>
          <w:rtl/>
        </w:rPr>
        <w:t>ומה שנשאר לנו לברר הוא באיזה מהב' פעמים נושק הש"ץ ציציותיו. ויש לומר שזה תלוי באם נשיקת הציצית באמירת אמת הוא מטעם היותו סיום פרשת ציצית אז יש לנשק הציצית באמירתו בפעם הא' ואם נשיקת הציצית באמירת אמת הוא מטעם היותו התחלת ברכת אמת ויציב אז יש לנשק הציצית באמירתו בפעם הב' שהוא "אינו מן המנין אלא נוסח ברכת אמת ויציב הוא"</w:t>
      </w:r>
      <w:r>
        <w:rPr>
          <w:highlight w:val="white"/>
          <w:vertAlign w:val="superscript"/>
        </w:rPr>
        <w:footnoteReference w:id="30"/>
      </w:r>
      <w:r>
        <w:rPr>
          <w:highlight w:val="white"/>
          <w:rtl/>
        </w:rPr>
        <w:t xml:space="preserve"> ויל"ע.</w:t>
      </w:r>
    </w:p>
    <w:p w:rsidR="00760DB7" w:rsidRDefault="00760DB7" w:rsidP="00760DB7">
      <w:pPr>
        <w:bidi/>
        <w:spacing w:after="240"/>
        <w:jc w:val="center"/>
        <w:rPr>
          <w:rFonts w:ascii="Nymphette" w:eastAsia="Times New Roman" w:hAnsi="Nymphette" w:cs="Nymphette"/>
          <w:sz w:val="44"/>
          <w:szCs w:val="44"/>
          <w:rtl/>
        </w:rPr>
      </w:pPr>
      <w:r w:rsidRPr="00760DB7">
        <w:rPr>
          <w:rFonts w:ascii="Nymphette" w:eastAsia="Times New Roman" w:hAnsi="Nymphette" w:cs="Nymphette"/>
          <w:sz w:val="44"/>
          <w:szCs w:val="44"/>
        </w:rPr>
        <w:t>g</w:t>
      </w:r>
    </w:p>
    <w:p w:rsidR="00E22432" w:rsidRDefault="00E22432" w:rsidP="00E22432">
      <w:pPr>
        <w:pStyle w:val="a0"/>
        <w:rPr>
          <w:rtl/>
        </w:rPr>
      </w:pPr>
      <w:bookmarkStart w:id="113" w:name="_Toc39817418"/>
      <w:r w:rsidRPr="00235A24">
        <w:rPr>
          <w:rFonts w:hint="cs"/>
          <w:rtl/>
        </w:rPr>
        <w:t>בענין כתיבת שם ליב עם יוד אחד או שתי יודים</w:t>
      </w:r>
      <w:bookmarkEnd w:id="113"/>
    </w:p>
    <w:p w:rsidR="00E22432" w:rsidRDefault="00E22432" w:rsidP="00C93F24">
      <w:pPr>
        <w:pStyle w:val="a"/>
        <w:rPr>
          <w:rtl/>
        </w:rPr>
      </w:pPr>
      <w:r>
        <w:rPr>
          <w:rFonts w:hint="cs"/>
          <w:rtl/>
        </w:rPr>
        <w:t xml:space="preserve"> </w:t>
      </w:r>
      <w:bookmarkStart w:id="114" w:name="_Toc39817419"/>
      <w:r>
        <w:rPr>
          <w:rFonts w:hint="cs"/>
          <w:rtl/>
        </w:rPr>
        <w:t>הרב דוד ניסן ברעסמן</w:t>
      </w:r>
      <w:bookmarkEnd w:id="114"/>
    </w:p>
    <w:p w:rsidR="00E22432" w:rsidRDefault="00E22432" w:rsidP="00E22432">
      <w:pPr>
        <w:pStyle w:val="a1"/>
        <w:rPr>
          <w:rtl/>
        </w:rPr>
      </w:pPr>
      <w:r>
        <w:rPr>
          <w:rFonts w:hint="cs"/>
          <w:rtl/>
        </w:rPr>
        <w:t>לאס אנדזשעלעס</w:t>
      </w:r>
    </w:p>
    <w:p w:rsidR="00E22432" w:rsidRDefault="00E22432" w:rsidP="004B0C42">
      <w:pPr>
        <w:pStyle w:val="a3"/>
        <w:rPr>
          <w:rtl/>
        </w:rPr>
      </w:pPr>
      <w:r>
        <w:rPr>
          <w:rFonts w:hint="cs"/>
          <w:rtl/>
        </w:rPr>
        <w:t>בקשר ליארטצייט של האח של הרבי נשיא דורינו, הרב החסיד ישראל ארי' ליב, רציתי לעכב על אופן כתיבת שמו "ליב".</w:t>
      </w:r>
    </w:p>
    <w:p w:rsidR="00E22432" w:rsidRDefault="00E22432" w:rsidP="004B0C42">
      <w:pPr>
        <w:pStyle w:val="a3"/>
        <w:rPr>
          <w:rtl/>
        </w:rPr>
      </w:pPr>
      <w:r>
        <w:rPr>
          <w:rFonts w:hint="cs"/>
          <w:rtl/>
        </w:rPr>
        <w:t>ויש להעיר שבפתח דבר לספר המאמרים חלק ה' קונטרס י"ג אייר תנש"א רשום שמו "ישראל ארי' ל</w:t>
      </w:r>
      <w:r w:rsidRPr="00EA681C">
        <w:rPr>
          <w:rFonts w:hint="cs"/>
          <w:b/>
          <w:bCs/>
          <w:rtl/>
        </w:rPr>
        <w:t>יי</w:t>
      </w:r>
      <w:r>
        <w:rPr>
          <w:rFonts w:hint="cs"/>
          <w:rtl/>
        </w:rPr>
        <w:t>ב" בשני יודי"ן. אולם ברוב שיחות כתוב שמו "ישראל ארי' ל</w:t>
      </w:r>
      <w:r w:rsidRPr="00EA681C">
        <w:rPr>
          <w:rFonts w:hint="cs"/>
          <w:b/>
          <w:bCs/>
          <w:rtl/>
        </w:rPr>
        <w:t>י</w:t>
      </w:r>
      <w:r>
        <w:rPr>
          <w:rFonts w:hint="cs"/>
          <w:rtl/>
        </w:rPr>
        <w:t>ב" ביו"ד אחד, לדוגמא בספר השיחות תנש"א עמ' 514. ועל המצבה שלו כתוב " ישראל ארי' ליב" ,ויש לעיין בכל זה.</w:t>
      </w:r>
    </w:p>
    <w:p w:rsidR="00E22432" w:rsidRDefault="00E22432" w:rsidP="004B0C42">
      <w:pPr>
        <w:pStyle w:val="a3"/>
        <w:rPr>
          <w:rtl/>
        </w:rPr>
      </w:pPr>
      <w:r>
        <w:rPr>
          <w:rFonts w:hint="cs"/>
          <w:rtl/>
        </w:rPr>
        <w:t>אולם לגופו של דבר מצינו שכל הספרי גיטין על כתיבת שמות ( כמו: בית שמואל, קב נקי, אהלי שם, גט מסודר וכו') בשם של ליב, כתיבתו "ליב" עם יו"ד אחד. והיו"ד משמש לתנועה צירה. ויש פלא בדבר שהרי ידועה שיש הרבה מאד ת"ח, חסידים ואנשי מעשה שחתמו את שמם "לייב" עם שני יודי"ן. וגם הרבה ספרי אשכנז גם בהישנים והנאמאנים שני יודים המה לצירה.</w:t>
      </w:r>
    </w:p>
    <w:p w:rsidR="00E22432" w:rsidRPr="008C4804" w:rsidRDefault="00E22432" w:rsidP="008C4804">
      <w:pPr>
        <w:pStyle w:val="a3"/>
        <w:rPr>
          <w:rtl/>
        </w:rPr>
      </w:pPr>
      <w:r w:rsidRPr="008C4804">
        <w:rPr>
          <w:rFonts w:hint="cs"/>
          <w:rtl/>
        </w:rPr>
        <w:t xml:space="preserve">ויש לומר בפשטות שאין כאן מסמרת ברזל איך חייב לכתוב את השם "ליב" אם דוקא </w:t>
      </w:r>
      <w:r w:rsidRPr="008C4804">
        <w:rPr>
          <w:rFonts w:hint="cs"/>
          <w:rtl/>
        </w:rPr>
        <w:lastRenderedPageBreak/>
        <w:t xml:space="preserve">ביו"ד אחד או שני יודי"ן. ובעבר היה באופן של נהרו נהרו פשטי' - שהיו שכתבו את שמם "לייב" והיה שכתבו את שמם "ליב". שהרי השם ליב </w:t>
      </w:r>
      <w:r w:rsidRPr="008C4804">
        <w:t xml:space="preserve"> (Leib)</w:t>
      </w:r>
      <w:r w:rsidRPr="008C4804">
        <w:rPr>
          <w:rFonts w:hint="cs"/>
          <w:rtl/>
        </w:rPr>
        <w:t xml:space="preserve"> זה תרגם להחיה של ארי' הוא לעז או לשם יהוד' או לשם ארי' ואינו נמצא במקרא של תנ"ך. ולכן התנועה של צירה היה כתיבתו תלוי במנהג המשפחה או המקום. ועם הזמן המסדרי גיטין לדורותם (החל מהבית שמואל והטיב גיטין והבאים אחרי') קבעו לכתיבת גיטין ללעז שתנועת צירה יהי' עם יו"ד אחד. ושני יודי"ן ירמז לתנועה של פתח חריף ( כמו</w:t>
      </w:r>
      <w:r w:rsidRPr="008C4804">
        <w:t xml:space="preserve"> </w:t>
      </w:r>
      <w:r w:rsidRPr="008C4804">
        <w:rPr>
          <w:rFonts w:hint="cs"/>
          <w:rtl/>
        </w:rPr>
        <w:t xml:space="preserve">המבטא של המילה </w:t>
      </w:r>
      <w:r w:rsidRPr="008C4804">
        <w:t>(eye</w:t>
      </w:r>
      <w:r w:rsidRPr="008C4804">
        <w:rPr>
          <w:rFonts w:hint="cs"/>
          <w:rtl/>
        </w:rPr>
        <w:t>.</w:t>
      </w:r>
      <w:r w:rsidRPr="00BD272D">
        <w:rPr>
          <w:rStyle w:val="FootnoteReference"/>
          <w:rtl/>
        </w:rPr>
        <w:footnoteReference w:id="31"/>
      </w:r>
      <w:r w:rsidRPr="00BD272D">
        <w:rPr>
          <w:rFonts w:hint="cs"/>
          <w:vertAlign w:val="superscript"/>
          <w:rtl/>
        </w:rPr>
        <w:t xml:space="preserve"> </w:t>
      </w:r>
    </w:p>
    <w:p w:rsidR="00E22432" w:rsidRDefault="00E22432" w:rsidP="004B0C42">
      <w:pPr>
        <w:pStyle w:val="a3"/>
        <w:rPr>
          <w:rtl/>
        </w:rPr>
      </w:pPr>
      <w:r>
        <w:rPr>
          <w:rFonts w:hint="cs"/>
          <w:rtl/>
        </w:rPr>
        <w:t>(</w:t>
      </w:r>
      <w:r w:rsidRPr="005F5DEF">
        <w:rPr>
          <w:rFonts w:hint="cs"/>
          <w:rtl/>
        </w:rPr>
        <w:t>וראוי להעיר בספר</w:t>
      </w:r>
      <w:r>
        <w:rPr>
          <w:rFonts w:hint="cs"/>
          <w:rtl/>
        </w:rPr>
        <w:t xml:space="preserve"> מאמרים תשי"א עמ' 106 " </w:t>
      </w:r>
      <w:r w:rsidRPr="005F5DEF">
        <w:rPr>
          <w:rFonts w:hint="cs"/>
          <w:rtl/>
        </w:rPr>
        <w:t>כ</w:t>
      </w:r>
      <w:r w:rsidRPr="005F5DEF">
        <w:rPr>
          <w:rtl/>
        </w:rPr>
        <w:t>"</w:t>
      </w:r>
      <w:r w:rsidRPr="005F5DEF">
        <w:rPr>
          <w:rFonts w:hint="cs"/>
          <w:rtl/>
        </w:rPr>
        <w:t>ק</w:t>
      </w:r>
      <w:r w:rsidRPr="005F5DEF">
        <w:rPr>
          <w:rtl/>
        </w:rPr>
        <w:t xml:space="preserve"> </w:t>
      </w:r>
      <w:r w:rsidRPr="005F5DEF">
        <w:rPr>
          <w:rFonts w:hint="cs"/>
          <w:rtl/>
        </w:rPr>
        <w:t>מו</w:t>
      </w:r>
      <w:r w:rsidRPr="005F5DEF">
        <w:rPr>
          <w:rtl/>
        </w:rPr>
        <w:t>"</w:t>
      </w:r>
      <w:r w:rsidRPr="005F5DEF">
        <w:rPr>
          <w:rFonts w:hint="cs"/>
          <w:rtl/>
        </w:rPr>
        <w:t>ח</w:t>
      </w:r>
      <w:r w:rsidRPr="005F5DEF">
        <w:rPr>
          <w:rtl/>
        </w:rPr>
        <w:t xml:space="preserve"> </w:t>
      </w:r>
      <w:r w:rsidRPr="005F5DEF">
        <w:rPr>
          <w:rFonts w:hint="cs"/>
          <w:rtl/>
        </w:rPr>
        <w:t>אדמו</w:t>
      </w:r>
      <w:r w:rsidRPr="005F5DEF">
        <w:rPr>
          <w:rtl/>
        </w:rPr>
        <w:t>"</w:t>
      </w:r>
      <w:r w:rsidRPr="005F5DEF">
        <w:rPr>
          <w:rFonts w:hint="cs"/>
          <w:rtl/>
        </w:rPr>
        <w:t>ר</w:t>
      </w:r>
      <w:r w:rsidRPr="005F5DEF">
        <w:rPr>
          <w:rtl/>
        </w:rPr>
        <w:t xml:space="preserve"> </w:t>
      </w:r>
      <w:r w:rsidRPr="005F5DEF">
        <w:rPr>
          <w:rFonts w:hint="cs"/>
          <w:rtl/>
        </w:rPr>
        <w:t>הכ</w:t>
      </w:r>
      <w:r w:rsidRPr="005F5DEF">
        <w:rPr>
          <w:rtl/>
        </w:rPr>
        <w:t>"</w:t>
      </w:r>
      <w:r w:rsidRPr="005F5DEF">
        <w:rPr>
          <w:rFonts w:hint="cs"/>
          <w:rtl/>
        </w:rPr>
        <w:t>מ</w:t>
      </w:r>
      <w:r w:rsidRPr="005F5DEF">
        <w:rPr>
          <w:rtl/>
        </w:rPr>
        <w:t xml:space="preserve"> </w:t>
      </w:r>
      <w:r w:rsidRPr="005F5DEF">
        <w:rPr>
          <w:rFonts w:hint="cs"/>
          <w:rtl/>
        </w:rPr>
        <w:t>כותב</w:t>
      </w:r>
      <w:r w:rsidRPr="005F5DEF">
        <w:rPr>
          <w:rtl/>
        </w:rPr>
        <w:t xml:space="preserve"> </w:t>
      </w:r>
      <w:r w:rsidRPr="005F5DEF">
        <w:rPr>
          <w:rFonts w:hint="cs"/>
          <w:rtl/>
        </w:rPr>
        <w:t>בכ</w:t>
      </w:r>
      <w:r w:rsidRPr="005F5DEF">
        <w:rPr>
          <w:rtl/>
        </w:rPr>
        <w:t>"</w:t>
      </w:r>
      <w:r w:rsidRPr="005F5DEF">
        <w:rPr>
          <w:rFonts w:hint="cs"/>
          <w:rtl/>
        </w:rPr>
        <w:t>מ</w:t>
      </w:r>
      <w:r w:rsidRPr="005F5DEF">
        <w:rPr>
          <w:rtl/>
        </w:rPr>
        <w:t xml:space="preserve"> - </w:t>
      </w:r>
      <w:r w:rsidRPr="005F5DEF">
        <w:rPr>
          <w:rFonts w:hint="cs"/>
          <w:rtl/>
        </w:rPr>
        <w:t>שיינא</w:t>
      </w:r>
      <w:r w:rsidRPr="005F5DEF">
        <w:rPr>
          <w:rtl/>
        </w:rPr>
        <w:t xml:space="preserve"> </w:t>
      </w:r>
      <w:r w:rsidRPr="005F5DEF">
        <w:rPr>
          <w:rFonts w:hint="cs"/>
          <w:rtl/>
        </w:rPr>
        <w:t>מלא</w:t>
      </w:r>
      <w:r w:rsidRPr="005F5DEF">
        <w:rPr>
          <w:rtl/>
        </w:rPr>
        <w:t xml:space="preserve"> </w:t>
      </w:r>
      <w:r w:rsidRPr="005F5DEF">
        <w:rPr>
          <w:rFonts w:hint="cs"/>
          <w:rtl/>
        </w:rPr>
        <w:t>בשני</w:t>
      </w:r>
      <w:r w:rsidRPr="005F5DEF">
        <w:rPr>
          <w:rtl/>
        </w:rPr>
        <w:t xml:space="preserve"> </w:t>
      </w:r>
      <w:r w:rsidRPr="005F5DEF">
        <w:rPr>
          <w:rFonts w:hint="cs"/>
          <w:rtl/>
        </w:rPr>
        <w:t>יודי</w:t>
      </w:r>
      <w:r w:rsidRPr="005F5DEF">
        <w:rPr>
          <w:rtl/>
        </w:rPr>
        <w:t>"</w:t>
      </w:r>
      <w:r w:rsidRPr="005F5DEF">
        <w:rPr>
          <w:rFonts w:hint="cs"/>
          <w:rtl/>
        </w:rPr>
        <w:t>ם</w:t>
      </w:r>
      <w:r w:rsidRPr="005F5DEF">
        <w:rPr>
          <w:rtl/>
        </w:rPr>
        <w:t>.</w:t>
      </w:r>
      <w:r>
        <w:rPr>
          <w:rFonts w:hint="cs"/>
          <w:rtl/>
        </w:rPr>
        <w:t>" וכן כתיבתו בקב נקי, ושה לא כמו שכתוב בב"ש בשו"ע.)</w:t>
      </w:r>
    </w:p>
    <w:p w:rsidR="00E22432" w:rsidRDefault="00E22432" w:rsidP="004B0C42">
      <w:pPr>
        <w:pStyle w:val="a3"/>
        <w:rPr>
          <w:rtl/>
        </w:rPr>
      </w:pPr>
      <w:r>
        <w:rPr>
          <w:rFonts w:hint="cs"/>
          <w:rtl/>
        </w:rPr>
        <w:t>אולם יש נפקא מינ' טובא שאם הבעל השם ממשיך במנהג של אבותיו לחתום את שמו כמו "לייב" עם שתי יודים - יש לדון אם יש עדיפות לכתוב כמו החתימה שלו או עכ"פ להסכים לכתוב כחתימתו אם הוא מתעקש שככה צריך להיות.</w:t>
      </w:r>
      <w:r w:rsidRPr="00BD272D">
        <w:rPr>
          <w:vertAlign w:val="superscript"/>
          <w:rtl/>
        </w:rPr>
        <w:footnoteReference w:id="32"/>
      </w:r>
      <w:r>
        <w:rPr>
          <w:rFonts w:hint="cs"/>
          <w:rtl/>
        </w:rPr>
        <w:t xml:space="preserve"> לכל הפחות לא נראה שזה יפסל את הכתובה בדיעבד.</w:t>
      </w:r>
    </w:p>
    <w:p w:rsidR="00E22432" w:rsidRDefault="00E22432" w:rsidP="004B0C42">
      <w:pPr>
        <w:pStyle w:val="a3"/>
        <w:rPr>
          <w:rtl/>
        </w:rPr>
      </w:pPr>
      <w:r>
        <w:rPr>
          <w:rFonts w:hint="cs"/>
          <w:rtl/>
        </w:rPr>
        <w:t>אשמח לשמוע ממעלתכם על עוד הוראות על הנושא.</w:t>
      </w:r>
    </w:p>
    <w:p w:rsidR="00E22432" w:rsidRDefault="00E22432" w:rsidP="004B0C42">
      <w:pPr>
        <w:pStyle w:val="a3"/>
      </w:pPr>
      <w:r>
        <w:rPr>
          <w:rFonts w:hint="cs"/>
          <w:rtl/>
        </w:rPr>
        <w:t>אין כאן מקום לכנס בנוגע לבעל שחותם את שמו "לייב" איך לכתוב שמו בגט</w:t>
      </w:r>
      <w:r>
        <w:rPr>
          <w:rStyle w:val="FootnoteReference"/>
          <w:rFonts w:ascii="Arial" w:hAnsi="Arial" w:cs="Arial"/>
          <w:rtl/>
        </w:rPr>
        <w:footnoteReference w:id="33"/>
      </w:r>
      <w:r>
        <w:rPr>
          <w:rFonts w:hint="cs"/>
          <w:rtl/>
        </w:rPr>
        <w:t xml:space="preserve">, ובכלל בכגון דא בלשון הרבי " אולי כדאי להעיר: לא תהי' כזאת בישראל </w:t>
      </w:r>
      <w:r>
        <w:rPr>
          <w:rtl/>
        </w:rPr>
        <w:t>–</w:t>
      </w:r>
      <w:r>
        <w:rPr>
          <w:rFonts w:hint="cs"/>
          <w:rtl/>
        </w:rPr>
        <w:t xml:space="preserve"> אפילו בחו"ל, ועאכו"כ בארץ ישרא</w:t>
      </w:r>
      <w:r w:rsidRPr="00BD272D">
        <w:rPr>
          <w:rFonts w:hint="cs"/>
          <w:rtl/>
        </w:rPr>
        <w:t>ל."</w:t>
      </w:r>
      <w:r w:rsidRPr="00BD272D">
        <w:rPr>
          <w:vertAlign w:val="superscript"/>
          <w:rtl/>
        </w:rPr>
        <w:footnoteReference w:id="34"/>
      </w:r>
    </w:p>
    <w:p w:rsidR="00CE4E4A" w:rsidRDefault="00E22432" w:rsidP="00E22432">
      <w:pPr>
        <w:bidi/>
        <w:jc w:val="center"/>
        <w:rPr>
          <w:rFonts w:ascii="Nymphette" w:eastAsia="Times New Roman" w:hAnsi="Nymphette" w:cs="Nymphette"/>
          <w:sz w:val="44"/>
          <w:szCs w:val="44"/>
        </w:rPr>
      </w:pPr>
      <w:r w:rsidRPr="00760DB7">
        <w:rPr>
          <w:rFonts w:ascii="Nymphette" w:eastAsia="Times New Roman" w:hAnsi="Nymphette" w:cs="Nymphette"/>
          <w:sz w:val="44"/>
          <w:szCs w:val="44"/>
        </w:rPr>
        <w:t>g</w:t>
      </w:r>
    </w:p>
    <w:p w:rsidR="00CE4E4A" w:rsidRDefault="00CE4E4A">
      <w:pPr>
        <w:rPr>
          <w:rFonts w:ascii="Nymphette" w:eastAsia="Times New Roman" w:hAnsi="Nymphette" w:cs="Nymphette"/>
          <w:sz w:val="44"/>
          <w:szCs w:val="44"/>
        </w:rPr>
      </w:pPr>
      <w:r>
        <w:rPr>
          <w:rFonts w:ascii="Nymphette" w:eastAsia="Times New Roman" w:hAnsi="Nymphette" w:cs="Nymphette"/>
          <w:sz w:val="44"/>
          <w:szCs w:val="44"/>
        </w:rPr>
        <w:br w:type="page"/>
      </w:r>
    </w:p>
    <w:p w:rsidR="00C93F24" w:rsidRDefault="00C93F24" w:rsidP="00C93F24">
      <w:pPr>
        <w:pStyle w:val="a0"/>
        <w:bidi w:val="0"/>
        <w:rPr>
          <w:rtl/>
        </w:rPr>
      </w:pPr>
      <w:bookmarkStart w:id="115" w:name="_Toc39817420"/>
      <w:r w:rsidRPr="006C232A">
        <w:rPr>
          <w:rFonts w:hint="cs"/>
          <w:rtl/>
        </w:rPr>
        <w:lastRenderedPageBreak/>
        <w:t>להבדיל בין הטמא ובין הטה</w:t>
      </w:r>
      <w:r>
        <w:rPr>
          <w:rFonts w:hint="cs"/>
          <w:rtl/>
        </w:rPr>
        <w:t>ו</w:t>
      </w:r>
      <w:r w:rsidRPr="006C232A">
        <w:rPr>
          <w:rFonts w:hint="cs"/>
          <w:rtl/>
        </w:rPr>
        <w:t>ר</w:t>
      </w:r>
      <w:bookmarkEnd w:id="115"/>
      <w:r w:rsidRPr="00C93F24">
        <w:rPr>
          <w:rFonts w:hint="cs"/>
          <w:rtl/>
        </w:rPr>
        <w:t xml:space="preserve"> </w:t>
      </w:r>
    </w:p>
    <w:p w:rsidR="006C232A" w:rsidRPr="00C93F24" w:rsidRDefault="006C232A" w:rsidP="00C93F24">
      <w:pPr>
        <w:pStyle w:val="a"/>
        <w:rPr>
          <w:rtl/>
        </w:rPr>
      </w:pPr>
      <w:bookmarkStart w:id="116" w:name="_Toc39817421"/>
      <w:r w:rsidRPr="00C93F24">
        <w:rPr>
          <w:rFonts w:hint="cs"/>
          <w:rtl/>
        </w:rPr>
        <w:t>הרב לוי לברטוב</w:t>
      </w:r>
      <w:bookmarkEnd w:id="116"/>
    </w:p>
    <w:p w:rsidR="006C232A" w:rsidRPr="00C60FEE" w:rsidRDefault="006C232A" w:rsidP="006C232A">
      <w:pPr>
        <w:pStyle w:val="a1"/>
      </w:pPr>
      <w:r w:rsidRPr="00C60FEE">
        <w:rPr>
          <w:rtl/>
        </w:rPr>
        <w:t>'כולל מנחם' שע"י מזכירות כ"ק אדמו"ר</w:t>
      </w:r>
    </w:p>
    <w:p w:rsidR="00CF324F" w:rsidRPr="00CF324F" w:rsidRDefault="00CF324F" w:rsidP="00CF324F">
      <w:pPr>
        <w:pStyle w:val="11"/>
        <w:bidi/>
        <w:rPr>
          <w:rFonts w:ascii="Times New Roman" w:hAnsi="Times New Roman" w:cs="Times New Roman"/>
          <w:sz w:val="24"/>
          <w:szCs w:val="24"/>
        </w:rPr>
      </w:pPr>
      <w:r w:rsidRPr="00CF324F">
        <w:rPr>
          <w:rtl/>
        </w:rPr>
        <w:t>א.</w:t>
      </w:r>
    </w:p>
    <w:p w:rsidR="00CF324F" w:rsidRPr="00CF324F" w:rsidRDefault="00CF324F" w:rsidP="00CF324F">
      <w:pPr>
        <w:pStyle w:val="a3"/>
      </w:pPr>
      <w:r w:rsidRPr="00CF324F">
        <w:rPr>
          <w:rtl/>
        </w:rPr>
        <w:t>בלקו"ש ח"ז שמיני ב', הרבי מבאר ביאור נפלא ברש"י שבסוף הסדרה. אבל לכאורה דרוש ביאור, דהנה יש רש"י כמעט זהה בסוף פ' קדושים (אליו מציין הרבי בשיחה כמה פעמים), ולפי ביאורי כ"ק בשיחה בפרשת שמיני הוא כולו מוקשה לכאורה. וכדלהלן.</w:t>
      </w:r>
    </w:p>
    <w:p w:rsidR="00CF324F" w:rsidRPr="00CF324F" w:rsidRDefault="00CF324F" w:rsidP="006C232A">
      <w:pPr>
        <w:pStyle w:val="a3"/>
      </w:pPr>
      <w:r w:rsidRPr="00CF324F">
        <w:rPr>
          <w:rtl/>
        </w:rPr>
        <w:t xml:space="preserve">שמיני יא, מז: </w:t>
      </w:r>
      <w:r w:rsidR="006C232A" w:rsidRPr="006C232A">
        <w:rPr>
          <w:rFonts w:hint="cs"/>
          <w:rtl/>
        </w:rPr>
        <w:t>להבדיל בין הטמא ובין הטהר ובין החיה הנאכלת ובין החיה אשר לא תאכל</w:t>
      </w:r>
      <w:r w:rsidR="006C232A">
        <w:rPr>
          <w:rFonts w:ascii="Cambria" w:hAnsi="Cambria" w:cs="Cambria" w:hint="cs"/>
          <w:rtl/>
        </w:rPr>
        <w:t>:</w:t>
      </w:r>
    </w:p>
    <w:p w:rsidR="00CF324F" w:rsidRPr="00CF324F" w:rsidRDefault="00CF324F" w:rsidP="00CF324F">
      <w:pPr>
        <w:pStyle w:val="a3"/>
        <w:rPr>
          <w:rtl/>
        </w:rPr>
      </w:pPr>
      <w:r w:rsidRPr="00CF324F">
        <w:rPr>
          <w:rtl/>
        </w:rPr>
        <w:t>ומפרש רש"י:</w:t>
      </w:r>
      <w:r w:rsidRPr="00CF324F">
        <w:rPr>
          <w:rFonts w:ascii="Cambria" w:hAnsi="Cambria" w:cs="Cambria" w:hint="cs"/>
          <w:rtl/>
        </w:rPr>
        <w:t> </w:t>
      </w:r>
    </w:p>
    <w:p w:rsidR="00CF324F" w:rsidRPr="00CF324F" w:rsidRDefault="00CF324F" w:rsidP="00CF324F">
      <w:pPr>
        <w:pStyle w:val="a3"/>
        <w:rPr>
          <w:rtl/>
        </w:rPr>
      </w:pPr>
      <w:r w:rsidRPr="00CF324F">
        <w:rPr>
          <w:b/>
          <w:bCs/>
          <w:rtl/>
        </w:rPr>
        <w:t>בין הטמא ובין הטהר</w:t>
      </w:r>
      <w:r w:rsidRPr="00CF324F">
        <w:rPr>
          <w:rtl/>
        </w:rPr>
        <w:t>: צריך לומר בין חמור לפרה? והלא כבר מפורשים הם, אלא בין טמאה לך לטהורה לך, בין נשחט חציו של קנה לנשחט רובו:</w:t>
      </w:r>
    </w:p>
    <w:p w:rsidR="00CF324F" w:rsidRPr="00CF324F" w:rsidRDefault="00CF324F" w:rsidP="00CF324F">
      <w:pPr>
        <w:pStyle w:val="a3"/>
        <w:rPr>
          <w:rtl/>
        </w:rPr>
      </w:pPr>
      <w:r w:rsidRPr="00CF324F">
        <w:rPr>
          <w:rtl/>
        </w:rPr>
        <w:t>ובין החיה הנאכלת: צריך לומר בין צבי לערוד? והלא כבר מפורשים הם, אלא בין שנולדו בה סימני טרפה כשרה, לנולדו בה סימני טרפה פסולה:</w:t>
      </w:r>
    </w:p>
    <w:p w:rsidR="00CF324F" w:rsidRPr="00CF324F" w:rsidRDefault="00CF324F" w:rsidP="00CF324F">
      <w:pPr>
        <w:pStyle w:val="a3"/>
      </w:pPr>
      <w:r w:rsidRPr="00CF324F">
        <w:rPr>
          <w:rtl/>
        </w:rPr>
        <w:t>ותורף ביאור השיחה הוא (חלק מלקמן הוא מהקיצורים שנערכו ע"י הרמ"מ פלדמן):</w:t>
      </w:r>
    </w:p>
    <w:p w:rsidR="00CF324F" w:rsidRPr="00CF324F" w:rsidRDefault="00CF324F" w:rsidP="00CF324F">
      <w:pPr>
        <w:pStyle w:val="a3"/>
      </w:pPr>
      <w:r w:rsidRPr="00CF324F">
        <w:rPr>
          <w:rtl/>
        </w:rPr>
        <w:t>לשון "להבדיל" שייך רק בדברים הדומים זה לזה. ולכן מביא רש"י קס"ד שמדובר בהבדלה בין"חמור לפרה" ובין "צבי לערוד", מפני שמינים אלו דומים בתכונותיהם. אבל רש"י דוחה פירוש זה מפני ש"מפורשים הם" - שכבר נתפרשו בתורה, והיות שיש פה ייתור בהפסוק (כמבואר שם בהערות), צ"ל שמרבה דין חדש.</w:t>
      </w:r>
      <w:r w:rsidRPr="00CF324F">
        <w:rPr>
          <w:rFonts w:ascii="Cambria" w:hAnsi="Cambria" w:cs="Cambria" w:hint="cs"/>
          <w:rtl/>
        </w:rPr>
        <w:t> </w:t>
      </w:r>
    </w:p>
    <w:p w:rsidR="00CF324F" w:rsidRPr="00CF324F" w:rsidRDefault="00CF324F" w:rsidP="00CF324F">
      <w:pPr>
        <w:pStyle w:val="a3"/>
      </w:pPr>
      <w:r w:rsidRPr="00CF324F">
        <w:rPr>
          <w:rtl/>
        </w:rPr>
        <w:t xml:space="preserve">וכמבואר שם, קושיית רש"י </w:t>
      </w:r>
      <w:r w:rsidRPr="00CF324F">
        <w:rPr>
          <w:b/>
          <w:bCs/>
          <w:rtl/>
        </w:rPr>
        <w:t>אינו שלא שייך</w:t>
      </w:r>
      <w:r w:rsidRPr="00CF324F">
        <w:rPr>
          <w:rtl/>
        </w:rPr>
        <w:t xml:space="preserve"> לשון הבדלה בין פרה לחמור וכו', שהרי באמת הם דומים זה לזה - אלא קושייתו הוא </w:t>
      </w:r>
      <w:r w:rsidRPr="00CF324F">
        <w:rPr>
          <w:b/>
          <w:bCs/>
          <w:rtl/>
        </w:rPr>
        <w:t>שמפורשים</w:t>
      </w:r>
      <w:r w:rsidRPr="00CF324F">
        <w:rPr>
          <w:rtl/>
        </w:rPr>
        <w:t xml:space="preserve"> הם בפרשה, ולכן צ"ל שלא זהו כוונת הפסוק.</w:t>
      </w:r>
    </w:p>
    <w:p w:rsidR="00CF324F" w:rsidRPr="00CF324F" w:rsidRDefault="00CF324F" w:rsidP="00CF324F">
      <w:pPr>
        <w:pStyle w:val="a3"/>
      </w:pPr>
      <w:r w:rsidRPr="00CF324F">
        <w:rPr>
          <w:rtl/>
        </w:rPr>
        <w:t>בהמשך השיחה הרבי מבאר כמה עניינים מופלאים בהלכה ברש"י. ומהם:</w:t>
      </w:r>
    </w:p>
    <w:p w:rsidR="00CF324F" w:rsidRPr="00CF324F" w:rsidRDefault="00CF324F" w:rsidP="00CF324F">
      <w:pPr>
        <w:pStyle w:val="a3"/>
      </w:pPr>
      <w:r>
        <w:rPr>
          <w:rFonts w:hint="cs"/>
          <w:rtl/>
        </w:rPr>
        <w:t xml:space="preserve">א) </w:t>
      </w:r>
      <w:r w:rsidRPr="00CF324F">
        <w:rPr>
          <w:rtl/>
        </w:rPr>
        <w:t>הדין הוא שכדי שהשחיטה תהיה כשרה צריך לשחוט רוב של שני הסימנים, ואם כן קשה מדוע אומר רש"י "בין נשחט חציו של קנה" ולא "חציו של ושט" [או "חציו של סימן" – המורה גם על הושט]? והביאור: ושט שניקב במשהו הוא טריפה, ואם כן אם לא שחט רובו של ושט, אזי גלי לן למפרע שהבהמה היתה טרפה מתחילת השחיטה, ואם כן ההבדל בין הטהורה לטמאה היא יותר ממשהו, דבתחילת השחיטה הווי טמאה, ואינה טהורה עד שישחט רובו, ואם כן אין מתאים הלשון "להבדיל" שמשמעו הבדל בין ב' דברים הקרובים ודומים. ולכן נקט רש"י "חציו של קנה", דאין נקב פוסל בקנה, ואם כן ההבדל בין טמאה לטהורה הוא במשהו.</w:t>
      </w:r>
      <w:r w:rsidRPr="00CF324F">
        <w:rPr>
          <w:rFonts w:ascii="Cambria" w:hAnsi="Cambria" w:cs="Cambria" w:hint="cs"/>
          <w:rtl/>
        </w:rPr>
        <w:t> </w:t>
      </w:r>
    </w:p>
    <w:p w:rsidR="00DF0F6D" w:rsidRDefault="00CF324F" w:rsidP="00DF0F6D">
      <w:pPr>
        <w:pStyle w:val="a3"/>
        <w:rPr>
          <w:rtl/>
        </w:rPr>
      </w:pPr>
      <w:r>
        <w:rPr>
          <w:rFonts w:hint="cs"/>
          <w:rtl/>
        </w:rPr>
        <w:t xml:space="preserve">ב) </w:t>
      </w:r>
      <w:r w:rsidRPr="00CF324F">
        <w:rPr>
          <w:rtl/>
        </w:rPr>
        <w:t xml:space="preserve">בהערה 20 הרבי מבאר שעל פי פירוש רש"י יובן גם סדר הכתוב: בתחילת הכתוב נאמר בין הטמא ואח"כ "ובין הטהור", ובסיום הכתוב - "הנאכלת </w:t>
      </w:r>
      <w:r w:rsidRPr="00CF324F">
        <w:rPr>
          <w:b/>
          <w:bCs/>
          <w:rtl/>
        </w:rPr>
        <w:t>ואח"כ</w:t>
      </w:r>
      <w:r w:rsidRPr="00CF324F">
        <w:rPr>
          <w:rtl/>
        </w:rPr>
        <w:t xml:space="preserve"> "אשר לא תאכל", "כי </w:t>
      </w:r>
      <w:r w:rsidRPr="00CF324F">
        <w:rPr>
          <w:rtl/>
        </w:rPr>
        <w:lastRenderedPageBreak/>
        <w:t>בשחיטה, החזקה היא טמא, וכן בהתחלתה (במשהו הראשון - שרק בסופה מתברר שהי' דרך הכשרתה) ורק לאחרי שיודעים בודאי שנשחט רובו, הוא טהור . . משא"כ בנולדו בה סימני טריפה, הרי כל זמן שאין אנו יודעים שהם סימני טריפה פסולה, היא בחזקת היתר - "נאכלת", ורק לאחרי שיודעים בודאי שנולדו בה סימני טריפה פסולה - "לא תאכל" (ועפי"ז יומתק גם</w:t>
      </w:r>
      <w:r w:rsidR="00DF0F6D">
        <w:rPr>
          <w:rFonts w:hint="cs"/>
          <w:rtl/>
        </w:rPr>
        <w:t xml:space="preserve"> מ"ש לא תאכל בלשון עתיד)</w:t>
      </w:r>
      <w:r w:rsidR="00DF0F6D" w:rsidRPr="00DF0F6D">
        <w:rPr>
          <w:rFonts w:hint="cs"/>
          <w:rtl/>
        </w:rPr>
        <w:t xml:space="preserve"> </w:t>
      </w:r>
      <w:r w:rsidR="00DF0F6D">
        <w:rPr>
          <w:rFonts w:hint="cs"/>
          <w:rtl/>
        </w:rPr>
        <w:t>."</w:t>
      </w:r>
    </w:p>
    <w:p w:rsidR="00BD272D" w:rsidRDefault="00CF324F" w:rsidP="00CE4E4A">
      <w:pPr>
        <w:pStyle w:val="a3"/>
        <w:rPr>
          <w:rtl/>
        </w:rPr>
      </w:pPr>
      <w:r w:rsidRPr="00CF324F">
        <w:rPr>
          <w:rtl/>
        </w:rPr>
        <w:t>ע"כ הנוגע לענייננו.</w:t>
      </w:r>
    </w:p>
    <w:p w:rsidR="00CF324F" w:rsidRPr="00CF324F" w:rsidRDefault="00CF324F" w:rsidP="00CF324F">
      <w:pPr>
        <w:pStyle w:val="11"/>
        <w:bidi/>
      </w:pPr>
      <w:r w:rsidRPr="00CF324F">
        <w:rPr>
          <w:rtl/>
        </w:rPr>
        <w:t>ב.</w:t>
      </w:r>
    </w:p>
    <w:p w:rsidR="00CF324F" w:rsidRPr="00CF324F" w:rsidRDefault="00CF324F" w:rsidP="00CF324F">
      <w:pPr>
        <w:pStyle w:val="a3"/>
        <w:rPr>
          <w:rtl/>
        </w:rPr>
      </w:pPr>
      <w:r w:rsidRPr="00CF324F">
        <w:rPr>
          <w:rtl/>
        </w:rPr>
        <w:t>והנה, זה לשון רש"י בפרשת קדושים:</w:t>
      </w:r>
    </w:p>
    <w:p w:rsidR="00DF0F6D" w:rsidRDefault="00DF0F6D" w:rsidP="00DF0F6D">
      <w:pPr>
        <w:pStyle w:val="a3"/>
        <w:rPr>
          <w:rtl/>
        </w:rPr>
      </w:pPr>
      <w:r>
        <w:rPr>
          <w:rtl/>
        </w:rPr>
        <w:t xml:space="preserve">קדושים כ, כז: </w:t>
      </w:r>
      <w:r w:rsidRPr="00DF0F6D">
        <w:rPr>
          <w:rFonts w:hint="cs"/>
          <w:rtl/>
        </w:rPr>
        <w:t>והבדלתם בין הבהמה הטהרה לטמאה ובין העוף הטמא לטהר ולא תשקצו את נפשתיכם בבהמה ובעוף ובכל אשר תרמש האדמה אשר הבדלתי לכם לטמא</w:t>
      </w:r>
      <w:r w:rsidR="00CF324F" w:rsidRPr="00CF324F">
        <w:rPr>
          <w:rtl/>
        </w:rPr>
        <w:t>:</w:t>
      </w:r>
      <w:r w:rsidR="00CF324F" w:rsidRPr="00CF324F">
        <w:rPr>
          <w:rtl/>
        </w:rPr>
        <w:br/>
      </w:r>
      <w:r w:rsidRPr="00CF324F">
        <w:rPr>
          <w:rtl/>
        </w:rPr>
        <w:t>ומפרש רש"י:</w:t>
      </w:r>
    </w:p>
    <w:p w:rsidR="00CF324F" w:rsidRPr="00CF324F" w:rsidRDefault="00CF324F" w:rsidP="00CF324F">
      <w:pPr>
        <w:pStyle w:val="a3"/>
        <w:rPr>
          <w:rtl/>
        </w:rPr>
      </w:pPr>
      <w:r w:rsidRPr="00DF0F6D">
        <w:rPr>
          <w:b/>
          <w:bCs/>
          <w:rtl/>
        </w:rPr>
        <w:t>והבדלתם בין הבהמה הטהרה לטמאה</w:t>
      </w:r>
      <w:r w:rsidRPr="00CF324F">
        <w:rPr>
          <w:rtl/>
        </w:rPr>
        <w:t>: אין צריך לומר בין פרה לחמור, שהרי מובדלין ונכרין הם, אלא בין טהורה לך לטמאה לך, בין שנשחט רובו של סימן לנשחט חציו. וכמה בין רובו לחציו, מלא שערה:</w:t>
      </w:r>
    </w:p>
    <w:p w:rsidR="00CF324F" w:rsidRPr="00CF324F" w:rsidRDefault="00CF324F" w:rsidP="00CF324F">
      <w:pPr>
        <w:pStyle w:val="a3"/>
      </w:pPr>
      <w:r w:rsidRPr="00CF324F">
        <w:rPr>
          <w:rtl/>
        </w:rPr>
        <w:t>ולולא ביאורי כ"ק, היינו רואים שיש כמה הבדלים בדיוקי הלשונות, אבל זה לא הי' שאלה כ"כ. אבל לפי ביאור כ"ק, ההבדלים ביניהם משמעותיים מאוד:</w:t>
      </w:r>
    </w:p>
    <w:p w:rsidR="00CF324F" w:rsidRPr="00CF324F" w:rsidRDefault="00DF0F6D" w:rsidP="00DF0F6D">
      <w:pPr>
        <w:pStyle w:val="a3"/>
        <w:rPr>
          <w:rtl/>
        </w:rPr>
      </w:pPr>
      <w:r>
        <w:rPr>
          <w:rFonts w:hint="cs"/>
          <w:rtl/>
        </w:rPr>
        <w:t xml:space="preserve">א) </w:t>
      </w:r>
      <w:r w:rsidR="00CF324F" w:rsidRPr="00CF324F">
        <w:rPr>
          <w:rtl/>
        </w:rPr>
        <w:t xml:space="preserve">קושיית רש"י בפ' קדושים הוא "שהרי מובדלין וניכרין הם" - היינו </w:t>
      </w:r>
      <w:r w:rsidR="00CF324F" w:rsidRPr="00DF0F6D">
        <w:rPr>
          <w:b/>
          <w:bCs/>
          <w:rtl/>
        </w:rPr>
        <w:t>שא"א לומר</w:t>
      </w:r>
      <w:r w:rsidR="00CF324F" w:rsidRPr="00CF324F">
        <w:rPr>
          <w:rtl/>
        </w:rPr>
        <w:t xml:space="preserve"> לשון הבדלה בין פרה לחמור, ולכן צריכים לפרש שמדובר בנשחט</w:t>
      </w:r>
      <w:r>
        <w:rPr>
          <w:rtl/>
        </w:rPr>
        <w:t xml:space="preserve"> רובו לחציו - וזהו היפך מפירושו</w:t>
      </w:r>
      <w:r>
        <w:rPr>
          <w:rFonts w:hint="cs"/>
          <w:rtl/>
        </w:rPr>
        <w:t xml:space="preserve"> מפ' שמיני! </w:t>
      </w:r>
      <w:r w:rsidR="00CF324F" w:rsidRPr="00CF324F">
        <w:rPr>
          <w:rtl/>
        </w:rPr>
        <w:t>ולכאורה, מהו החילוק בין שמיני לקדושים, שבשמיני שייך הבדלה בין פרה לחמור (אלא שמפורשים הם), ובקדושים לא שייך הבלדה ביניהם (שהרי מובדלין וניכרין הם)?! בהערה 13 ובשולי הגליון הרבי מביא הפירוש דפ' קדושים, בכדי להדגיש הדיוק שבפ' שמיני - אבל אינו מבאר טעם החילוק.</w:t>
      </w:r>
      <w:r w:rsidR="00CF324F" w:rsidRPr="00CF324F">
        <w:rPr>
          <w:rFonts w:ascii="Cambria" w:hAnsi="Cambria" w:cs="Cambria" w:hint="cs"/>
          <w:rtl/>
        </w:rPr>
        <w:t> </w:t>
      </w:r>
    </w:p>
    <w:p w:rsidR="00CF324F" w:rsidRPr="00CF324F" w:rsidRDefault="00DF0F6D" w:rsidP="00CF324F">
      <w:pPr>
        <w:pStyle w:val="a3"/>
        <w:rPr>
          <w:rtl/>
        </w:rPr>
      </w:pPr>
      <w:r>
        <w:rPr>
          <w:rFonts w:hint="cs"/>
          <w:rtl/>
        </w:rPr>
        <w:t xml:space="preserve">ב) </w:t>
      </w:r>
      <w:r w:rsidR="00CF324F" w:rsidRPr="00CF324F">
        <w:rPr>
          <w:rtl/>
        </w:rPr>
        <w:t xml:space="preserve">רש"י נוקט פה "רובו של </w:t>
      </w:r>
      <w:r w:rsidR="00CF324F" w:rsidRPr="00DF0F6D">
        <w:rPr>
          <w:b/>
          <w:bCs/>
          <w:rtl/>
        </w:rPr>
        <w:t>סימן</w:t>
      </w:r>
      <w:r w:rsidR="00CF324F" w:rsidRPr="00CF324F">
        <w:rPr>
          <w:rtl/>
        </w:rPr>
        <w:t>". ולכאורה, אם בפרשת שמיני נוקט "קנה" מפני שדוקא בו שייך הבדלה כחוט השערה, למה בפרשת קדושים נוקט "סימן" סתם (ראה בהערה)?!</w:t>
      </w:r>
      <w:r w:rsidR="00CF324F" w:rsidRPr="00CF324F">
        <w:rPr>
          <w:rFonts w:ascii="Cambria" w:hAnsi="Cambria" w:cs="Cambria" w:hint="cs"/>
          <w:rtl/>
        </w:rPr>
        <w:t> </w:t>
      </w:r>
    </w:p>
    <w:p w:rsidR="00CF324F" w:rsidRPr="00CF324F" w:rsidRDefault="00DF0F6D" w:rsidP="00DF0F6D">
      <w:pPr>
        <w:pStyle w:val="a3"/>
        <w:rPr>
          <w:rtl/>
        </w:rPr>
      </w:pPr>
      <w:r>
        <w:rPr>
          <w:rFonts w:hint="cs"/>
          <w:rtl/>
        </w:rPr>
        <w:t xml:space="preserve">ג) </w:t>
      </w:r>
      <w:r w:rsidR="00CF324F" w:rsidRPr="00CF324F">
        <w:rPr>
          <w:rtl/>
        </w:rPr>
        <w:t>בפר</w:t>
      </w:r>
      <w:r>
        <w:rPr>
          <w:rtl/>
        </w:rPr>
        <w:t xml:space="preserve">שת קדושים הפסוק נוקט בסדר הפכי: </w:t>
      </w:r>
      <w:r w:rsidRPr="00DF0F6D">
        <w:rPr>
          <w:rFonts w:hint="cs"/>
          <w:b/>
          <w:bCs/>
          <w:rtl/>
        </w:rPr>
        <w:t>והבדלתם בין הבהמה הטהרה לטמאה</w:t>
      </w:r>
      <w:r w:rsidR="00CF324F" w:rsidRPr="00CF324F">
        <w:rPr>
          <w:rtl/>
        </w:rPr>
        <w:t xml:space="preserve"> - טהורה לפני טמאה. והרי לפי ביאור הרבי, מקדימים טמאה לפני טהורה מפני שבהמה בחזקת איסור עומדת (או משום שהבהמה אסורה מהתחלת השחיטה עד שהשחיטה נגמרת) - וא"כ למה פה הסדר הוא הפוך?!</w:t>
      </w:r>
    </w:p>
    <w:p w:rsidR="00CF324F" w:rsidRPr="00CF324F" w:rsidRDefault="00CF324F" w:rsidP="00CF324F">
      <w:pPr>
        <w:pStyle w:val="11"/>
        <w:bidi/>
      </w:pPr>
      <w:r w:rsidRPr="00CF324F">
        <w:rPr>
          <w:rtl/>
        </w:rPr>
        <w:t>ג.</w:t>
      </w:r>
    </w:p>
    <w:p w:rsidR="00CF324F" w:rsidRPr="00CF324F" w:rsidRDefault="00CF324F" w:rsidP="00CF324F">
      <w:pPr>
        <w:pStyle w:val="a3"/>
        <w:rPr>
          <w:rtl/>
        </w:rPr>
      </w:pPr>
      <w:r w:rsidRPr="00CF324F">
        <w:rPr>
          <w:rtl/>
        </w:rPr>
        <w:t>ונראה לבאר:</w:t>
      </w:r>
    </w:p>
    <w:p w:rsidR="00CF324F" w:rsidRPr="00CF324F" w:rsidRDefault="00CF324F" w:rsidP="00CF324F">
      <w:pPr>
        <w:pStyle w:val="a3"/>
        <w:rPr>
          <w:rtl/>
        </w:rPr>
      </w:pPr>
      <w:r w:rsidRPr="00DF0F6D">
        <w:rPr>
          <w:b/>
          <w:bCs/>
          <w:rtl/>
        </w:rPr>
        <w:t>המשכיל לדוד</w:t>
      </w:r>
      <w:r w:rsidRPr="00CF324F">
        <w:rPr>
          <w:rtl/>
        </w:rPr>
        <w:t xml:space="preserve"> על אתר בפ' קדושים שואל קלאץ קשיא בכל העניין: </w:t>
      </w:r>
      <w:r w:rsidRPr="00CF324F">
        <w:rPr>
          <w:rFonts w:ascii="Cambria" w:hAnsi="Cambria" w:cs="Cambria" w:hint="cs"/>
          <w:rtl/>
        </w:rPr>
        <w:t>  </w:t>
      </w:r>
    </w:p>
    <w:p w:rsidR="00CF324F" w:rsidRPr="00CF324F" w:rsidRDefault="00CF324F" w:rsidP="00CF324F">
      <w:pPr>
        <w:pStyle w:val="a3"/>
        <w:rPr>
          <w:rtl/>
        </w:rPr>
      </w:pPr>
      <w:r w:rsidRPr="00CF324F">
        <w:rPr>
          <w:rtl/>
        </w:rPr>
        <w:t>"קשה, דבס"פ שמיני כתיב גם כן להבדיל בין הטמא וכו' ופירש רש"י שם כמו הכא . . ותרתי קראי למה לי? וגם בזה תמהני מהרא"ם ומהר"ב ק"א שלא העירו . . ".</w:t>
      </w:r>
    </w:p>
    <w:p w:rsidR="00CF324F" w:rsidRPr="00CF324F" w:rsidRDefault="00CF324F" w:rsidP="00CF324F">
      <w:pPr>
        <w:pStyle w:val="a3"/>
      </w:pPr>
      <w:r w:rsidRPr="00CF324F">
        <w:rPr>
          <w:rtl/>
        </w:rPr>
        <w:lastRenderedPageBreak/>
        <w:t>הוא מתרץ לפי דרכו, אבל ה</w:t>
      </w:r>
      <w:r w:rsidRPr="00DF0F6D">
        <w:rPr>
          <w:b/>
          <w:bCs/>
          <w:rtl/>
        </w:rPr>
        <w:t xml:space="preserve">באר בשדה </w:t>
      </w:r>
      <w:r w:rsidRPr="00CF324F">
        <w:rPr>
          <w:rtl/>
        </w:rPr>
        <w:t>כותב וז"ל:</w:t>
      </w:r>
    </w:p>
    <w:p w:rsidR="00CF324F" w:rsidRPr="00CF324F" w:rsidRDefault="00CF324F" w:rsidP="00CF324F">
      <w:pPr>
        <w:pStyle w:val="a3"/>
        <w:rPr>
          <w:rtl/>
        </w:rPr>
      </w:pPr>
      <w:r w:rsidRPr="00CF324F">
        <w:rPr>
          <w:rtl/>
        </w:rPr>
        <w:t>"ולענ"ד התם מיירי לעניין שיהא יודע ומכיר בהן, כמ"ש שם רבינו, והכא מיירי לענין מעשה, שאם יהיו זהירים ויבדילו ביניהם אז יהיו מובדלים להיות לו יתברך כמ"ש אח"כ ואבדיל אתכם מן העמים להיות לי."</w:t>
      </w:r>
    </w:p>
    <w:p w:rsidR="00CF324F" w:rsidRPr="00CF324F" w:rsidRDefault="00CF324F" w:rsidP="00CF324F">
      <w:pPr>
        <w:pStyle w:val="a3"/>
      </w:pPr>
      <w:r w:rsidRPr="00CF324F">
        <w:rPr>
          <w:rtl/>
        </w:rPr>
        <w:t>[והבנה זו יומתק מהמשך העניינים בפ' שמיני ופ' קדושים:</w:t>
      </w:r>
    </w:p>
    <w:p w:rsidR="00CF324F" w:rsidRPr="00CF324F" w:rsidRDefault="00CF324F" w:rsidP="00CF324F">
      <w:pPr>
        <w:pStyle w:val="a3"/>
        <w:rPr>
          <w:rtl/>
        </w:rPr>
      </w:pPr>
      <w:r w:rsidRPr="00CF324F">
        <w:rPr>
          <w:rtl/>
        </w:rPr>
        <w:t xml:space="preserve">פרשת שמיני מדבר בלימוד </w:t>
      </w:r>
      <w:r w:rsidRPr="00DF0F6D">
        <w:rPr>
          <w:b/>
          <w:bCs/>
          <w:rtl/>
        </w:rPr>
        <w:t>הלכות</w:t>
      </w:r>
      <w:r w:rsidRPr="00CF324F">
        <w:rPr>
          <w:rtl/>
        </w:rPr>
        <w:t xml:space="preserve"> כשרות, וכלשון רש"י, "לא בלבד השונה, אלא שתהא יודע ומכיר ובקי בהן".</w:t>
      </w:r>
      <w:r w:rsidRPr="00CF324F">
        <w:rPr>
          <w:rFonts w:ascii="Cambria" w:hAnsi="Cambria" w:cs="Cambria" w:hint="cs"/>
          <w:rtl/>
        </w:rPr>
        <w:t> </w:t>
      </w:r>
      <w:r w:rsidRPr="00CF324F">
        <w:rPr>
          <w:rtl/>
        </w:rPr>
        <w:t xml:space="preserve"> </w:t>
      </w:r>
      <w:r w:rsidRPr="00CF324F">
        <w:rPr>
          <w:rFonts w:hint="cs"/>
          <w:rtl/>
        </w:rPr>
        <w:t>הלכות</w:t>
      </w:r>
      <w:r w:rsidRPr="00CF324F">
        <w:rPr>
          <w:rtl/>
        </w:rPr>
        <w:t xml:space="preserve"> </w:t>
      </w:r>
      <w:r w:rsidRPr="00CF324F">
        <w:rPr>
          <w:rFonts w:hint="cs"/>
          <w:rtl/>
        </w:rPr>
        <w:t>אלו</w:t>
      </w:r>
      <w:r w:rsidRPr="00CF324F">
        <w:rPr>
          <w:rtl/>
        </w:rPr>
        <w:t xml:space="preserve"> </w:t>
      </w:r>
      <w:r w:rsidRPr="00CF324F">
        <w:rPr>
          <w:rFonts w:hint="cs"/>
          <w:rtl/>
        </w:rPr>
        <w:t>לא</w:t>
      </w:r>
      <w:r w:rsidRPr="00CF324F">
        <w:rPr>
          <w:rtl/>
        </w:rPr>
        <w:t xml:space="preserve"> </w:t>
      </w:r>
      <w:r w:rsidRPr="00CF324F">
        <w:rPr>
          <w:rFonts w:hint="cs"/>
          <w:rtl/>
        </w:rPr>
        <w:t>היו</w:t>
      </w:r>
      <w:r w:rsidRPr="00CF324F">
        <w:rPr>
          <w:rtl/>
        </w:rPr>
        <w:t xml:space="preserve"> </w:t>
      </w:r>
      <w:r w:rsidRPr="00CF324F">
        <w:rPr>
          <w:rFonts w:hint="cs"/>
          <w:rtl/>
        </w:rPr>
        <w:t>נוגעים</w:t>
      </w:r>
      <w:r w:rsidRPr="00CF324F">
        <w:rPr>
          <w:rtl/>
        </w:rPr>
        <w:t xml:space="preserve"> </w:t>
      </w:r>
      <w:r w:rsidRPr="00CF324F">
        <w:rPr>
          <w:rFonts w:hint="cs"/>
          <w:rtl/>
        </w:rPr>
        <w:t>למעשה</w:t>
      </w:r>
      <w:r w:rsidRPr="00CF324F">
        <w:rPr>
          <w:rtl/>
        </w:rPr>
        <w:t xml:space="preserve"> בזמן ההוא במדבר, וכמו שמבאר כ"ק בשיחת ש"פ שמיני תשד"מ שזהו הטעם שהקב"ה לא ציווה לבנ"י הלכות כשרות מיד לאחרי מ"ת, וחיכה עד לאחרי שמונת ימי המילואים, כשנה לאחרי זה, מפני שכל דיני כשרות לא היו נוגעים למעשה במדבר: לא היו להם כל מיני חיות ובהמות, וגם לא היו צריכים לדעת הלכות שחיטה מפני שלא שחטו הבהמות שלהם, שהרי הי' להם שליו (ראה שם הטעם שגם בזה אין צריכים לדעת הלכות שחיטה).</w:t>
      </w:r>
    </w:p>
    <w:p w:rsidR="00CF324F" w:rsidRPr="00CF324F" w:rsidRDefault="00CF324F" w:rsidP="00CF324F">
      <w:pPr>
        <w:pStyle w:val="a3"/>
        <w:rPr>
          <w:rtl/>
        </w:rPr>
      </w:pPr>
      <w:r w:rsidRPr="00CF324F">
        <w:rPr>
          <w:rtl/>
        </w:rPr>
        <w:t>אבל בסוף פרשת קדושים התורה מדברת ב"עונשין על האזהרות" שבפ' אחרי מות, ואחר שמונה כל העונשין על עריות וכו', מסיים באזהרה כללית: שכשבנ"י יירשו את א"י, אז "והבדלתם בין הבהמה הטהורה לטמאה . . ולא תשקצו את נפשותיכם בבהמה ובעוף וגו'" - וכשיקיימו אזהרות אלו, "ואבדיל אתכם מן העמים להיות לי". היינו שמדובר באזהרה על קיום הלכות כשרות בפועל, כשיגיעו לארץ ישראל.]</w:t>
      </w:r>
    </w:p>
    <w:p w:rsidR="00CF324F" w:rsidRPr="00CF324F" w:rsidRDefault="00CF324F" w:rsidP="00CF324F">
      <w:pPr>
        <w:pStyle w:val="a3"/>
      </w:pPr>
      <w:r w:rsidRPr="00CF324F">
        <w:rPr>
          <w:rtl/>
        </w:rPr>
        <w:t>ועפ"ז: ההבנה של "והבדלתם" שבפרשת שמיני שונה לחלוטין מ"להבדיל" שבפרשת קדושים: בפרשת שמיני, מדובר ב"להבדיל" בלימוד הלכה, "שתהא יודע ומכיר ובקי בהן". אבל בפרשת קדושים מדובר ב"הבדלתם" בנוגע למעשה (יותר), שתבדיל בין דברים כשרים לדברים אסורים, ואז הקב"ה יבדיל אתכם מן העמים.</w:t>
      </w:r>
    </w:p>
    <w:p w:rsidR="00CF324F" w:rsidRPr="00CF324F" w:rsidRDefault="00CF324F" w:rsidP="00CF324F">
      <w:pPr>
        <w:pStyle w:val="11"/>
        <w:bidi/>
      </w:pPr>
      <w:r w:rsidRPr="00CF324F">
        <w:rPr>
          <w:rtl/>
        </w:rPr>
        <w:t>ד.</w:t>
      </w:r>
    </w:p>
    <w:p w:rsidR="00CF324F" w:rsidRPr="00CF324F" w:rsidRDefault="00CF324F" w:rsidP="00CF324F">
      <w:pPr>
        <w:pStyle w:val="a3"/>
        <w:rPr>
          <w:rtl/>
        </w:rPr>
      </w:pPr>
      <w:r w:rsidRPr="00CF324F">
        <w:rPr>
          <w:rtl/>
        </w:rPr>
        <w:t>ועפ"ז אולי יש לתרץ השאלות דלעיל:</w:t>
      </w:r>
    </w:p>
    <w:p w:rsidR="00CF324F" w:rsidRPr="00CF324F" w:rsidRDefault="00CF324F" w:rsidP="00CF324F">
      <w:pPr>
        <w:pStyle w:val="a3"/>
        <w:rPr>
          <w:rtl/>
        </w:rPr>
      </w:pPr>
      <w:r w:rsidRPr="00CF324F">
        <w:rPr>
          <w:rtl/>
        </w:rPr>
        <w:t xml:space="preserve">כשמדובר בלימוד </w:t>
      </w:r>
      <w:r w:rsidRPr="00DF0F6D">
        <w:rPr>
          <w:b/>
          <w:bCs/>
          <w:rtl/>
        </w:rPr>
        <w:t>העניין</w:t>
      </w:r>
      <w:r w:rsidRPr="00CF324F">
        <w:rPr>
          <w:rtl/>
        </w:rPr>
        <w:t xml:space="preserve">, שפיר שייך "להבדיל" בין פרה לחמור ובין צבי לערוד, שהרי לגבי בן אדם שאינו בקי בהם - </w:t>
      </w:r>
      <w:r w:rsidRPr="00DF0F6D">
        <w:rPr>
          <w:b/>
          <w:bCs/>
          <w:rtl/>
        </w:rPr>
        <w:t>אינם</w:t>
      </w:r>
      <w:r w:rsidRPr="00CF324F">
        <w:rPr>
          <w:rtl/>
        </w:rPr>
        <w:t xml:space="preserve"> מובדלים בהבנתו, וצריך "להבדיל" ולהיות בקי בהחילוק שביניהם. ולכן קושיית רש"י הוא רק ש"מפורשים הם".</w:t>
      </w:r>
    </w:p>
    <w:p w:rsidR="00CF324F" w:rsidRPr="00CF324F" w:rsidRDefault="00CF324F" w:rsidP="00CF324F">
      <w:pPr>
        <w:pStyle w:val="a3"/>
        <w:rPr>
          <w:rtl/>
        </w:rPr>
      </w:pPr>
      <w:r w:rsidRPr="00CF324F">
        <w:rPr>
          <w:rtl/>
        </w:rPr>
        <w:t xml:space="preserve">אבל כשמדובר ב"והבדלתם" במעשה, לא </w:t>
      </w:r>
      <w:r w:rsidRPr="00DF0F6D">
        <w:rPr>
          <w:b/>
          <w:bCs/>
          <w:rtl/>
        </w:rPr>
        <w:t>שייך</w:t>
      </w:r>
      <w:r w:rsidRPr="00CF324F">
        <w:rPr>
          <w:rtl/>
        </w:rPr>
        <w:t xml:space="preserve"> "להבדיל" בין חמור לפרה, שהרי "מובדלין וניכרין הם", היינו שכל אחד ניכר ועומד בפני עצמו. ולכן צריך לומר שמדובר בהבדלה בין שחיטה כשירה לשחיטה פסולה, ששם באמת צריך לפעול הבדלה.</w:t>
      </w:r>
    </w:p>
    <w:p w:rsidR="00CF324F" w:rsidRPr="00CF324F" w:rsidRDefault="00CF324F" w:rsidP="00CF324F">
      <w:pPr>
        <w:pStyle w:val="a3"/>
      </w:pPr>
      <w:r w:rsidRPr="00CF324F">
        <w:rPr>
          <w:rtl/>
        </w:rPr>
        <w:t>ועפ"ז מובן גם למה בפ' שמיני נוקט רש"י "קנה", ובפ' קדושים נוקט "סימן":</w:t>
      </w:r>
    </w:p>
    <w:p w:rsidR="00CF324F" w:rsidRPr="00CF324F" w:rsidRDefault="00CF324F" w:rsidP="00CF324F">
      <w:pPr>
        <w:pStyle w:val="a3"/>
        <w:rPr>
          <w:rtl/>
        </w:rPr>
      </w:pPr>
      <w:r w:rsidRPr="00CF324F">
        <w:rPr>
          <w:rtl/>
        </w:rPr>
        <w:t>כשמדובר בלימוד הלכה, בהבנת העניין, אז יש חילוק גדול בין ושט לקנה: בוושט שנשחט חציו, גלי לן למפרע שנפסל בהתחלתו, משא"כ בקנה שנשחט חציו, נפסל רק מצד זה שלא נשחט רובו. ולכן בשמיני נוקט דוקא קנה.</w:t>
      </w:r>
    </w:p>
    <w:p w:rsidR="00CF324F" w:rsidRPr="00CF324F" w:rsidRDefault="00CF324F" w:rsidP="00CF324F">
      <w:pPr>
        <w:pStyle w:val="a3"/>
      </w:pPr>
      <w:r w:rsidRPr="00CF324F">
        <w:rPr>
          <w:rtl/>
        </w:rPr>
        <w:t xml:space="preserve">אבל בנוגע </w:t>
      </w:r>
      <w:r w:rsidRPr="00DF0F6D">
        <w:rPr>
          <w:b/>
          <w:bCs/>
          <w:rtl/>
        </w:rPr>
        <w:t>לפועל</w:t>
      </w:r>
      <w:r w:rsidRPr="00CF324F">
        <w:rPr>
          <w:rtl/>
        </w:rPr>
        <w:t xml:space="preserve"> אין חילוק ביניהם - הקנה פסול בחציו וכשר ברובו, וכן הוושט פסול </w:t>
      </w:r>
      <w:r w:rsidRPr="00CF324F">
        <w:rPr>
          <w:rtl/>
        </w:rPr>
        <w:lastRenderedPageBreak/>
        <w:t xml:space="preserve">בחציו וכשר ברובו, ובשניהם החילוק בין כשרות לפסלות </w:t>
      </w:r>
      <w:r w:rsidRPr="00DF0F6D">
        <w:rPr>
          <w:b/>
          <w:bCs/>
          <w:rtl/>
        </w:rPr>
        <w:t>בנוגע לפועל</w:t>
      </w:r>
      <w:r w:rsidRPr="00CF324F">
        <w:rPr>
          <w:rtl/>
        </w:rPr>
        <w:t xml:space="preserve"> הוא כחוט השערה.</w:t>
      </w:r>
    </w:p>
    <w:p w:rsidR="00CF324F" w:rsidRPr="00CF324F" w:rsidRDefault="00CF324F" w:rsidP="00CF324F">
      <w:pPr>
        <w:pStyle w:val="a3"/>
      </w:pPr>
      <w:r w:rsidRPr="00CF324F">
        <w:rPr>
          <w:rtl/>
        </w:rPr>
        <w:t>וכן אולי י"ל גם בעניין השלישי, שבפ' שמיני הכתוב מקדים טמא לטהור, ובפ' קדושים מקדים טהור לטמא:</w:t>
      </w:r>
      <w:r w:rsidRPr="00CF324F">
        <w:rPr>
          <w:rFonts w:ascii="Cambria" w:hAnsi="Cambria" w:cs="Cambria" w:hint="cs"/>
          <w:rtl/>
        </w:rPr>
        <w:t> </w:t>
      </w:r>
    </w:p>
    <w:p w:rsidR="00CF324F" w:rsidRPr="00CF324F" w:rsidRDefault="00CF324F" w:rsidP="00CF324F">
      <w:pPr>
        <w:pStyle w:val="a3"/>
        <w:rPr>
          <w:rtl/>
        </w:rPr>
      </w:pPr>
      <w:r w:rsidRPr="00CF324F">
        <w:rPr>
          <w:rtl/>
        </w:rPr>
        <w:t xml:space="preserve">כשמדובר </w:t>
      </w:r>
      <w:r w:rsidRPr="00DF0F6D">
        <w:rPr>
          <w:b/>
          <w:bCs/>
          <w:rtl/>
        </w:rPr>
        <w:t>בהגיון</w:t>
      </w:r>
      <w:r w:rsidRPr="00CF324F">
        <w:rPr>
          <w:rtl/>
        </w:rPr>
        <w:t xml:space="preserve"> ולימוד העניין, יש להקדים בהמה טמאה לבהמה טהורה - בהמה שנשחטה כראוי לבהמה שלא נשחטה כראוי - מפני שבהמה בחזקת איסור עומדת עד שייודע שנשחטה כראוי, או מפני שבתחילת השחיטה אסורה עד שנשחט רוב סימנים. אבל כשמדובר בנוגע </w:t>
      </w:r>
      <w:r w:rsidRPr="00DF0F6D">
        <w:rPr>
          <w:b/>
          <w:bCs/>
          <w:rtl/>
        </w:rPr>
        <w:t>לפועל</w:t>
      </w:r>
      <w:r w:rsidRPr="00CF324F">
        <w:rPr>
          <w:rtl/>
        </w:rPr>
        <w:t xml:space="preserve">, יש סברא חזקה יותר: רוב בהמות שנשחטות כשירות, כנראה במוחש. ולכן גם מקדים עוף טמא לטהור, מפני שרוב עופות טמיאות, וכמ"ש </w:t>
      </w:r>
      <w:r w:rsidRPr="00DF0F6D">
        <w:rPr>
          <w:b/>
          <w:bCs/>
          <w:rtl/>
        </w:rPr>
        <w:t>בנחלת יעקב</w:t>
      </w:r>
      <w:r w:rsidRPr="00CF324F">
        <w:rPr>
          <w:rtl/>
        </w:rPr>
        <w:t xml:space="preserve"> על אתר בפ' קדושים.</w:t>
      </w:r>
      <w:r w:rsidRPr="00CF324F">
        <w:rPr>
          <w:rFonts w:ascii="Cambria" w:hAnsi="Cambria" w:cs="Cambria" w:hint="cs"/>
          <w:rtl/>
        </w:rPr>
        <w:t> </w:t>
      </w:r>
    </w:p>
    <w:p w:rsidR="00CF324F" w:rsidRPr="00CF324F" w:rsidRDefault="00CF324F" w:rsidP="00CF324F">
      <w:pPr>
        <w:pStyle w:val="11"/>
        <w:bidi/>
      </w:pPr>
      <w:r w:rsidRPr="00CF324F">
        <w:rPr>
          <w:rtl/>
        </w:rPr>
        <w:t>ה.</w:t>
      </w:r>
    </w:p>
    <w:p w:rsidR="00CF324F" w:rsidRPr="00CF324F" w:rsidRDefault="00CF324F" w:rsidP="00CF324F">
      <w:pPr>
        <w:pStyle w:val="a3"/>
      </w:pPr>
      <w:r w:rsidRPr="00CF324F">
        <w:rPr>
          <w:rtl/>
        </w:rPr>
        <w:t>ויש להעיר שעל פי ביאור הרבי יומתקו כמה דיוקים אחרים:</w:t>
      </w:r>
    </w:p>
    <w:p w:rsidR="00CF324F" w:rsidRPr="00CF324F" w:rsidRDefault="00DF0F6D" w:rsidP="00CF324F">
      <w:pPr>
        <w:pStyle w:val="a3"/>
        <w:rPr>
          <w:rtl/>
        </w:rPr>
      </w:pPr>
      <w:r>
        <w:rPr>
          <w:rFonts w:hint="cs"/>
          <w:rtl/>
        </w:rPr>
        <w:t xml:space="preserve">א) </w:t>
      </w:r>
      <w:r w:rsidR="00CF324F" w:rsidRPr="00CF324F">
        <w:rPr>
          <w:rtl/>
        </w:rPr>
        <w:t>בפ' שמיני, רש"י מעתיק בהדיבור המתחיל רק המילים "בין הטמא ובין הטהור", אבל בקדושים מעתיק "</w:t>
      </w:r>
      <w:r w:rsidR="00CF324F" w:rsidRPr="00DF0F6D">
        <w:rPr>
          <w:b/>
          <w:bCs/>
          <w:rtl/>
        </w:rPr>
        <w:t>והבדלתם</w:t>
      </w:r>
      <w:r w:rsidR="00CF324F" w:rsidRPr="00CF324F">
        <w:rPr>
          <w:rtl/>
        </w:rPr>
        <w:t xml:space="preserve"> בין הבהמה הטהרה לטמאה". והביאור י"ל: בפ' שמיני, הכרחו של רש"י שלא מדובר "בין חמור לפרה" הוא מזה "שמפורשים מהם", לא מהמילה "להבדיל", ולכן אין טעם להעתיק "להבדיל". משא"כ בפ' קדושים, הכרחו של רש"י הוא מהמילה "והבדלתם" - הרי "מובדלין וניכרין הם" - ולכן מעתיק אותו בהדיבור המתחיל.</w:t>
      </w:r>
    </w:p>
    <w:p w:rsidR="00CF324F" w:rsidRPr="00CF324F" w:rsidRDefault="00DF0F6D" w:rsidP="00CF324F">
      <w:pPr>
        <w:pStyle w:val="a3"/>
        <w:rPr>
          <w:rtl/>
        </w:rPr>
      </w:pPr>
      <w:r>
        <w:rPr>
          <w:rFonts w:hint="cs"/>
          <w:rtl/>
        </w:rPr>
        <w:t xml:space="preserve">ב) </w:t>
      </w:r>
      <w:r w:rsidR="00CF324F" w:rsidRPr="00CF324F">
        <w:rPr>
          <w:rtl/>
        </w:rPr>
        <w:t xml:space="preserve">בפ' שמיני רש"י כותב בלשון של קושיא ותירוץ, "צריך לומר בין פרה לחמור? והלא כבר מפורשים הם! אלא כו'". אבל בפ' קדושים כותב בניחותא, "אין צריך לומר בין פרה לחמור, שהרי מובדלין ונכרין הם, אלא כו'". והביאור אולי י"ל: בפ' שמיני אפשר לפרש בעצם שמדובר "בין פרה לחמור", ושפיר שייך "להבדיל" ביניהם, וזה ששוללים פירוש זה הוא רק מצד סיבה מבחוץ, "והלא כבר מפורשים הם". ולכן צריך תמי' בכדי לשלול אותו. </w:t>
      </w:r>
      <w:r w:rsidR="00CF324F" w:rsidRPr="00CF324F">
        <w:rPr>
          <w:rtl/>
        </w:rPr>
        <w:br/>
        <w:t>משא"כ בפ' קדושים, פאסט נישט בכלל הלשון "והבדלתם" בין חמור לפרה, ולכן כותב בניחותא כדבר הפשוט, "אין צריך לומר" וכו'.</w:t>
      </w:r>
      <w:r w:rsidR="00CF324F" w:rsidRPr="00CF324F">
        <w:rPr>
          <w:rFonts w:ascii="Cambria" w:hAnsi="Cambria" w:cs="Cambria" w:hint="cs"/>
          <w:rtl/>
        </w:rPr>
        <w:t> </w:t>
      </w:r>
    </w:p>
    <w:p w:rsidR="00CF324F" w:rsidRPr="00CF324F" w:rsidRDefault="00CF324F" w:rsidP="006C232A">
      <w:pPr>
        <w:pStyle w:val="a3"/>
      </w:pPr>
      <w:r w:rsidRPr="00CF324F">
        <w:rPr>
          <w:rtl/>
        </w:rPr>
        <w:t>(ואגב יש להעיר שבפ' שמיני מבאר רש"י גם סוג השני בהפסוק - ו</w:t>
      </w:r>
      <w:r w:rsidR="006C232A" w:rsidRPr="006C232A">
        <w:rPr>
          <w:rFonts w:hint="cs"/>
          <w:rtl/>
        </w:rPr>
        <w:t>בין החיה הנאכלת ובין החיה אשר לא תאכל</w:t>
      </w:r>
      <w:r w:rsidR="006C232A">
        <w:rPr>
          <w:rFonts w:ascii="Cambria" w:hAnsi="Cambria" w:cs="Cambria" w:hint="cs"/>
          <w:color w:val="202122"/>
          <w:sz w:val="32"/>
          <w:szCs w:val="32"/>
          <w:shd w:val="clear" w:color="auto" w:fill="FFFFFF"/>
          <w:rtl/>
        </w:rPr>
        <w:t xml:space="preserve"> </w:t>
      </w:r>
      <w:r w:rsidRPr="00CF324F">
        <w:rPr>
          <w:rtl/>
        </w:rPr>
        <w:t xml:space="preserve">- אבל </w:t>
      </w:r>
      <w:r w:rsidR="006C232A">
        <w:rPr>
          <w:rtl/>
        </w:rPr>
        <w:t>בפסוק דקדושים אינו מבאר הפשט ב"</w:t>
      </w:r>
      <w:r w:rsidR="006C232A" w:rsidRPr="00DF0F6D">
        <w:rPr>
          <w:rFonts w:hint="cs"/>
          <w:rtl/>
        </w:rPr>
        <w:t>ובין העוף הטמא לטהר</w:t>
      </w:r>
      <w:r w:rsidRPr="00CF324F">
        <w:rPr>
          <w:rtl/>
        </w:rPr>
        <w:t xml:space="preserve">", </w:t>
      </w:r>
      <w:r w:rsidRPr="00CF324F">
        <w:rPr>
          <w:rFonts w:hint="cs"/>
          <w:rtl/>
        </w:rPr>
        <w:t>ולכאורה</w:t>
      </w:r>
      <w:r w:rsidRPr="00CF324F">
        <w:rPr>
          <w:rtl/>
        </w:rPr>
        <w:t xml:space="preserve"> </w:t>
      </w:r>
      <w:r w:rsidRPr="00CF324F">
        <w:rPr>
          <w:rFonts w:hint="cs"/>
          <w:rtl/>
        </w:rPr>
        <w:t>טעמא</w:t>
      </w:r>
      <w:r w:rsidRPr="00CF324F">
        <w:rPr>
          <w:rtl/>
        </w:rPr>
        <w:t xml:space="preserve"> </w:t>
      </w:r>
      <w:r w:rsidRPr="00CF324F">
        <w:rPr>
          <w:rFonts w:hint="cs"/>
          <w:rtl/>
        </w:rPr>
        <w:t>בעי</w:t>
      </w:r>
      <w:r w:rsidRPr="00CF324F">
        <w:rPr>
          <w:rtl/>
        </w:rPr>
        <w:t xml:space="preserve">, </w:t>
      </w:r>
      <w:r w:rsidRPr="00CF324F">
        <w:rPr>
          <w:rFonts w:hint="cs"/>
          <w:rtl/>
        </w:rPr>
        <w:t>שהרי</w:t>
      </w:r>
      <w:r w:rsidRPr="00CF324F">
        <w:rPr>
          <w:rtl/>
        </w:rPr>
        <w:t xml:space="preserve"> </w:t>
      </w:r>
      <w:r w:rsidRPr="00CF324F">
        <w:rPr>
          <w:rFonts w:hint="cs"/>
          <w:rtl/>
        </w:rPr>
        <w:t>לכאורה</w:t>
      </w:r>
      <w:r w:rsidRPr="00CF324F">
        <w:rPr>
          <w:rtl/>
        </w:rPr>
        <w:t xml:space="preserve"> </w:t>
      </w:r>
      <w:r w:rsidRPr="00CF324F">
        <w:rPr>
          <w:rFonts w:hint="cs"/>
          <w:rtl/>
        </w:rPr>
        <w:t>גם</w:t>
      </w:r>
      <w:r w:rsidRPr="00CF324F">
        <w:rPr>
          <w:rtl/>
        </w:rPr>
        <w:t xml:space="preserve"> </w:t>
      </w:r>
      <w:r w:rsidRPr="00CF324F">
        <w:rPr>
          <w:rFonts w:hint="cs"/>
          <w:rtl/>
        </w:rPr>
        <w:t>בזה</w:t>
      </w:r>
      <w:r w:rsidRPr="00CF324F">
        <w:rPr>
          <w:rtl/>
        </w:rPr>
        <w:t xml:space="preserve"> </w:t>
      </w:r>
      <w:r w:rsidRPr="00CF324F">
        <w:rPr>
          <w:rFonts w:hint="cs"/>
          <w:rtl/>
        </w:rPr>
        <w:t>אפשר</w:t>
      </w:r>
      <w:r w:rsidRPr="00CF324F">
        <w:rPr>
          <w:rtl/>
        </w:rPr>
        <w:t xml:space="preserve"> </w:t>
      </w:r>
      <w:r w:rsidRPr="00CF324F">
        <w:rPr>
          <w:rFonts w:hint="cs"/>
          <w:rtl/>
        </w:rPr>
        <w:t>להקשות</w:t>
      </w:r>
      <w:r w:rsidRPr="00CF324F">
        <w:rPr>
          <w:rtl/>
        </w:rPr>
        <w:t>, "</w:t>
      </w:r>
      <w:r w:rsidRPr="00CF324F">
        <w:rPr>
          <w:rFonts w:hint="cs"/>
          <w:rtl/>
        </w:rPr>
        <w:t>הרי</w:t>
      </w:r>
      <w:r w:rsidRPr="00CF324F">
        <w:rPr>
          <w:rtl/>
        </w:rPr>
        <w:t xml:space="preserve"> </w:t>
      </w:r>
      <w:r w:rsidRPr="00CF324F">
        <w:rPr>
          <w:rFonts w:hint="cs"/>
          <w:rtl/>
        </w:rPr>
        <w:t>מובדלין</w:t>
      </w:r>
      <w:r w:rsidRPr="00CF324F">
        <w:rPr>
          <w:rtl/>
        </w:rPr>
        <w:t xml:space="preserve"> </w:t>
      </w:r>
      <w:r w:rsidRPr="00CF324F">
        <w:rPr>
          <w:rFonts w:hint="cs"/>
          <w:rtl/>
        </w:rPr>
        <w:t>וניכרין</w:t>
      </w:r>
      <w:r w:rsidRPr="00CF324F">
        <w:rPr>
          <w:rtl/>
        </w:rPr>
        <w:t xml:space="preserve"> </w:t>
      </w:r>
      <w:r w:rsidRPr="00CF324F">
        <w:rPr>
          <w:rFonts w:hint="cs"/>
          <w:rtl/>
        </w:rPr>
        <w:t>הם</w:t>
      </w:r>
      <w:r w:rsidRPr="00CF324F">
        <w:rPr>
          <w:rtl/>
        </w:rPr>
        <w:t xml:space="preserve">"?) </w:t>
      </w:r>
      <w:r w:rsidRPr="00CF324F">
        <w:rPr>
          <w:rFonts w:hint="cs"/>
          <w:rtl/>
        </w:rPr>
        <w:t>ויל</w:t>
      </w:r>
      <w:r w:rsidRPr="00CF324F">
        <w:rPr>
          <w:rtl/>
        </w:rPr>
        <w:t>"</w:t>
      </w:r>
      <w:r w:rsidRPr="00CF324F">
        <w:rPr>
          <w:rFonts w:hint="cs"/>
          <w:rtl/>
        </w:rPr>
        <w:t>ע</w:t>
      </w:r>
      <w:r w:rsidRPr="00CF324F">
        <w:rPr>
          <w:rtl/>
        </w:rPr>
        <w:t>.)</w:t>
      </w:r>
    </w:p>
    <w:p w:rsidR="00CE4E4A" w:rsidRDefault="00CF324F" w:rsidP="00CF324F">
      <w:pPr>
        <w:bidi/>
        <w:jc w:val="center"/>
        <w:rPr>
          <w:rFonts w:ascii="Nymphette" w:eastAsia="Times New Roman" w:hAnsi="Nymphette" w:cs="Nymphette"/>
          <w:sz w:val="44"/>
          <w:szCs w:val="44"/>
        </w:rPr>
      </w:pPr>
      <w:r w:rsidRPr="00CF324F">
        <w:rPr>
          <w:rFonts w:ascii="Times New Roman" w:eastAsia="Times New Roman" w:hAnsi="Times New Roman" w:cs="Times New Roman"/>
          <w:sz w:val="24"/>
          <w:szCs w:val="24"/>
        </w:rPr>
        <w:br/>
      </w:r>
      <w:r w:rsidRPr="00760DB7">
        <w:rPr>
          <w:rFonts w:ascii="Nymphette" w:eastAsia="Times New Roman" w:hAnsi="Nymphette" w:cs="Nymphette"/>
          <w:sz w:val="44"/>
          <w:szCs w:val="44"/>
        </w:rPr>
        <w:t>g</w:t>
      </w:r>
    </w:p>
    <w:p w:rsidR="00CE4E4A" w:rsidRDefault="00CE4E4A">
      <w:pPr>
        <w:rPr>
          <w:rFonts w:ascii="Nymphette" w:eastAsia="Times New Roman" w:hAnsi="Nymphette" w:cs="Nymphette"/>
          <w:sz w:val="44"/>
          <w:szCs w:val="44"/>
        </w:rPr>
      </w:pPr>
      <w:r>
        <w:rPr>
          <w:rFonts w:ascii="Nymphette" w:eastAsia="Times New Roman" w:hAnsi="Nymphette" w:cs="Nymphette"/>
          <w:sz w:val="44"/>
          <w:szCs w:val="44"/>
        </w:rPr>
        <w:br w:type="page"/>
      </w:r>
    </w:p>
    <w:p w:rsidR="00E22432" w:rsidRPr="00242F6F" w:rsidRDefault="00E22432" w:rsidP="00E22432">
      <w:pPr>
        <w:pStyle w:val="a0"/>
        <w:rPr>
          <w:rtl/>
        </w:rPr>
      </w:pPr>
      <w:bookmarkStart w:id="117" w:name="_Toc39817422"/>
      <w:r>
        <w:rPr>
          <w:rFonts w:hint="cs"/>
          <w:rtl/>
        </w:rPr>
        <w:lastRenderedPageBreak/>
        <w:t xml:space="preserve">כמה </w:t>
      </w:r>
      <w:r w:rsidRPr="00242F6F">
        <w:rPr>
          <w:rtl/>
        </w:rPr>
        <w:t>הערות בלקו"ש חי"ב פ' אחרי</w:t>
      </w:r>
      <w:bookmarkEnd w:id="117"/>
    </w:p>
    <w:p w:rsidR="00E22432" w:rsidRDefault="00E22432" w:rsidP="00C93F24">
      <w:pPr>
        <w:pStyle w:val="a"/>
        <w:rPr>
          <w:rtl/>
        </w:rPr>
      </w:pPr>
      <w:bookmarkStart w:id="118" w:name="_Toc39817423"/>
      <w:r>
        <w:rPr>
          <w:rFonts w:hint="cs"/>
          <w:rtl/>
        </w:rPr>
        <w:t>הרב שמואל וגנר</w:t>
      </w:r>
      <w:bookmarkEnd w:id="118"/>
    </w:p>
    <w:p w:rsidR="00E22432" w:rsidRDefault="00E22432" w:rsidP="00BF0497">
      <w:pPr>
        <w:pStyle w:val="a1"/>
        <w:spacing w:after="0"/>
        <w:rPr>
          <w:rtl/>
        </w:rPr>
      </w:pPr>
      <w:r>
        <w:rPr>
          <w:rFonts w:hint="cs"/>
          <w:rtl/>
        </w:rPr>
        <w:t xml:space="preserve">מלמד בתות"ל אושען פארקוויי </w:t>
      </w:r>
    </w:p>
    <w:p w:rsidR="00E22432" w:rsidRDefault="00E22432" w:rsidP="00BF0497">
      <w:pPr>
        <w:pStyle w:val="a1"/>
        <w:spacing w:after="0"/>
        <w:rPr>
          <w:rtl/>
        </w:rPr>
      </w:pPr>
      <w:r>
        <w:rPr>
          <w:rFonts w:hint="cs"/>
          <w:rtl/>
        </w:rPr>
        <w:t>חבר המערכת מלפנים</w:t>
      </w:r>
    </w:p>
    <w:p w:rsidR="00E22432" w:rsidRDefault="006049DD" w:rsidP="004B0C42">
      <w:pPr>
        <w:pStyle w:val="11"/>
        <w:bidi/>
        <w:rPr>
          <w:rtl/>
        </w:rPr>
      </w:pPr>
      <w:r>
        <w:rPr>
          <w:rFonts w:hint="cs"/>
          <w:rtl/>
        </w:rPr>
        <w:t>א.</w:t>
      </w:r>
    </w:p>
    <w:p w:rsidR="00E22432" w:rsidRDefault="00E22432" w:rsidP="004B0C42">
      <w:pPr>
        <w:pStyle w:val="a3"/>
      </w:pPr>
      <w:r>
        <w:rPr>
          <w:rFonts w:hint="cs"/>
          <w:rtl/>
        </w:rPr>
        <w:t xml:space="preserve">בלקו"ש חי"ב (הנלמד עכשיו ע"י כו"כ מאנ"ש בתור "פרויקט לקוטי שיחות") פ' אחרי הערה 35 הרבי מברר שיטת רש"י בנוגע לכתיבת המשנה. דהנה, שיטת הרמב"ם ברור (בהקדמתו ליד החזקה), שרבינו הקדוש סידר וגם כתב המשנה. אבל מפרש"י בשבת (יג, ב ד"ה </w:t>
      </w:r>
      <w:r w:rsidRPr="003342E2">
        <w:rPr>
          <w:rtl/>
        </w:rPr>
        <w:t>מגילת תענית</w:t>
      </w:r>
      <w:r>
        <w:rPr>
          <w:rFonts w:hint="cs"/>
          <w:rtl/>
        </w:rPr>
        <w:t xml:space="preserve">) וסוכה (כח, ב ד"ה </w:t>
      </w:r>
      <w:r w:rsidRPr="003342E2">
        <w:rPr>
          <w:rtl/>
        </w:rPr>
        <w:t>מקרי ומתני</w:t>
      </w:r>
      <w:r>
        <w:rPr>
          <w:rFonts w:hint="cs"/>
          <w:rtl/>
        </w:rPr>
        <w:t xml:space="preserve">) ועוד, רצו כמה מהאחרונים (ר"י חגיז ועוד, ראה לקמן) להוכיח שלשיטת רש"י רבינו הקדוש רק סידר המשניות אבל לא כתבם. והרבי מוכיח מפרש"י בב"מ פ' השוכר את הפועלים (פו, א ד"ה </w:t>
      </w:r>
      <w:r w:rsidRPr="003342E2">
        <w:rPr>
          <w:rtl/>
        </w:rPr>
        <w:t>סוף המשנה</w:t>
      </w:r>
      <w:r>
        <w:rPr>
          <w:rFonts w:hint="cs"/>
          <w:rtl/>
        </w:rPr>
        <w:t xml:space="preserve"> וד"ה </w:t>
      </w:r>
      <w:r w:rsidRPr="003342E2">
        <w:rPr>
          <w:rtl/>
        </w:rPr>
        <w:t>סוף ה</w:t>
      </w:r>
      <w:r>
        <w:rPr>
          <w:rFonts w:hint="cs"/>
          <w:rtl/>
        </w:rPr>
        <w:t>וראה) שרש"י סובר כהרמב"ם שרבינו הקדוש גם כתב המשניות, והרבי מבאר דברי רש"י בשבת וסוכה שלא יסתרו לזה, עיי"ש.</w:t>
      </w:r>
    </w:p>
    <w:p w:rsidR="00E22432" w:rsidRDefault="00E22432" w:rsidP="004B0C42">
      <w:pPr>
        <w:pStyle w:val="a3"/>
        <w:rPr>
          <w:rtl/>
        </w:rPr>
      </w:pPr>
      <w:r>
        <w:rPr>
          <w:rFonts w:hint="cs"/>
          <w:rtl/>
        </w:rPr>
        <w:t xml:space="preserve">בסוף ההערה עומד הרבי על דברי רש"י בב"מ ס"פ אלו מציאות (לג, א) ד"ה </w:t>
      </w:r>
      <w:r w:rsidRPr="002F39C4">
        <w:rPr>
          <w:rtl/>
        </w:rPr>
        <w:t>ואינה מדה</w:t>
      </w:r>
      <w:r>
        <w:rPr>
          <w:rFonts w:hint="cs"/>
          <w:rtl/>
        </w:rPr>
        <w:t>, וז"ל, "ואינה מדה:</w:t>
      </w:r>
      <w:r w:rsidRPr="002F39C4">
        <w:rPr>
          <w:rtl/>
        </w:rPr>
        <w:t xml:space="preserve"> שהמשנה וגמרא יפים ממנה מפני שתלוין בגירסא ומשתכחים שבימיהם לא היה גמרא בכתב וגם לא היה ניתן לכתוב אלא לפי שנתמעטו הלבבות התחילו דורות [אחרונים] לכתבו</w:t>
      </w:r>
      <w:r>
        <w:rPr>
          <w:rFonts w:hint="cs"/>
          <w:rtl/>
        </w:rPr>
        <w:t xml:space="preserve">". דלכאורה מוכח מזה דלא היה המשנה אז (בימי רבי, כדמוקים לה הגמרא) בכתב, דאם הי' כתוב איך ישתכח ולמה תלוי בגירסא? ומבאר הרבי (בתירוץ ב') שלעולם אמרינן דרבי כתבה. ומ"מ, אפילו לאחר שכתבה היו לומדים בביהמ"ד בע"פ, כי שוב חלה דרז"ל (גיטין ס, ב ותמורה יד, ב) דברים שבע"פ אי אתה רשאי לאומרן בכתב, ורק כשחל ספק בלימודם יצאו לראות מה כתוב בספר. וזהו דברי רש"י "שתלוין בגירסא ומשתכחים" </w:t>
      </w:r>
      <w:r>
        <w:rPr>
          <w:rtl/>
        </w:rPr>
        <w:t>–</w:t>
      </w:r>
      <w:r>
        <w:rPr>
          <w:rFonts w:hint="cs"/>
          <w:rtl/>
        </w:rPr>
        <w:t xml:space="preserve"> אף שכבר נכתבו.</w:t>
      </w:r>
    </w:p>
    <w:p w:rsidR="00E22432" w:rsidRDefault="00E22432" w:rsidP="004B0C42">
      <w:pPr>
        <w:pStyle w:val="a3"/>
        <w:rPr>
          <w:rtl/>
        </w:rPr>
      </w:pPr>
      <w:r>
        <w:rPr>
          <w:rFonts w:hint="cs"/>
          <w:rtl/>
        </w:rPr>
        <w:t>והנה, גם החיד"א בפירושו פתח עינים על הש"ס (ב"מ לג, א ד"ה מדה ואינה מדה) דש בסוגיא זו דשיטת רש"י. החיד"א מביא בזה שיטת הר"י חגיז (ואחריו הר"י חזן) שרש"י חולק על שיטת הרמב"ם וסייעתו, ולפי רש"י רבינו הקדוש לא כתב המשנה (וגם רב אשי לא כתב הגמ'). ומביאים ראי' מפרש"י זה, כנ"ל. והחיד"א מקשה על דבריהם באריכות, ומביא כו"כ ראיות שאין שייך שרבינו הקדוש לא כתב המשנה, ומסיק שרש"י סובר כמו הרמב"ם.</w:t>
      </w:r>
    </w:p>
    <w:p w:rsidR="00E22432" w:rsidRDefault="00E22432" w:rsidP="004B0C42">
      <w:pPr>
        <w:pStyle w:val="a3"/>
        <w:rPr>
          <w:rtl/>
        </w:rPr>
      </w:pPr>
      <w:r>
        <w:rPr>
          <w:rFonts w:hint="cs"/>
          <w:rtl/>
        </w:rPr>
        <w:t>את פרש"י הנ"ל בב"מ מבאר החיד"א ע"פ דיוק בדברי רש"י: רש"י מתחיל "</w:t>
      </w:r>
      <w:r w:rsidRPr="00426195">
        <w:rPr>
          <w:b/>
          <w:bCs/>
          <w:rtl/>
        </w:rPr>
        <w:t>שהמשנה</w:t>
      </w:r>
      <w:r w:rsidRPr="002F39C4">
        <w:rPr>
          <w:rtl/>
        </w:rPr>
        <w:t xml:space="preserve"> </w:t>
      </w:r>
      <w:r w:rsidRPr="00426195">
        <w:rPr>
          <w:b/>
          <w:bCs/>
          <w:rtl/>
        </w:rPr>
        <w:t>וגמרא</w:t>
      </w:r>
      <w:r w:rsidRPr="002F39C4">
        <w:rPr>
          <w:rtl/>
        </w:rPr>
        <w:t xml:space="preserve"> יפים ממנה מפני שתלוין בגירסא ומשתכחים</w:t>
      </w:r>
      <w:r>
        <w:rPr>
          <w:rFonts w:hint="cs"/>
          <w:rtl/>
        </w:rPr>
        <w:t>", ומסיים "</w:t>
      </w:r>
      <w:r w:rsidRPr="002F39C4">
        <w:rPr>
          <w:rtl/>
        </w:rPr>
        <w:t xml:space="preserve">שבימיהם לא היה </w:t>
      </w:r>
      <w:r w:rsidRPr="00426195">
        <w:rPr>
          <w:b/>
          <w:bCs/>
          <w:rtl/>
        </w:rPr>
        <w:t>גמרא</w:t>
      </w:r>
      <w:r w:rsidRPr="002F39C4">
        <w:rPr>
          <w:rtl/>
        </w:rPr>
        <w:t xml:space="preserve"> בכתב</w:t>
      </w:r>
      <w:r>
        <w:rPr>
          <w:rFonts w:hint="cs"/>
          <w:rtl/>
        </w:rPr>
        <w:t>", שאדרבה, מוכח מזה שהמשנה כן הי' בכתב! וזה שרש"י אומר בתחילה שגם המשנה לא הי' בכתב (שלכן משתכח) הוא מתרץ ע"פ ביאור הישרש יעקב שאכן בתחילת ימיו של רבי לא הסכימו לו לכותבן, ורק אח"כ הסכימו משום "עת לעשות" (גיטין ס, א). ועפי"ז, תחילת דברי רש"י מוסבים על תחילת ימי רבי, שאז גם המשנה לא נכתבה, והמשך דברי רש"י מוסבים על המשך הזמן שאז כבר נכתבה המשנה, ורק הגמרא לא הי' בכתב.</w:t>
      </w:r>
    </w:p>
    <w:p w:rsidR="00E22432" w:rsidRDefault="00E22432" w:rsidP="004B0C42">
      <w:pPr>
        <w:pStyle w:val="a3"/>
        <w:rPr>
          <w:rtl/>
        </w:rPr>
      </w:pPr>
      <w:r>
        <w:rPr>
          <w:rFonts w:hint="cs"/>
          <w:rtl/>
        </w:rPr>
        <w:t>וכד דייקת, הרבי בהערה זו מסיק כמו החיד"א, ולאו מטעמי'. מ"מ, ע"פ דברי הרבי יתורץ דיוקו הנ"ל של החיד"א בפרש"י, ולא משום ב' תקופות בימי רבי כביאור החיד"א:</w:t>
      </w:r>
    </w:p>
    <w:p w:rsidR="00E22432" w:rsidRPr="00F47859" w:rsidRDefault="00E22432" w:rsidP="004B0C42">
      <w:pPr>
        <w:pStyle w:val="a3"/>
      </w:pPr>
      <w:r>
        <w:rPr>
          <w:rFonts w:hint="cs"/>
          <w:rtl/>
        </w:rPr>
        <w:lastRenderedPageBreak/>
        <w:t>הרבי מבאר (כנ"ל) שאף לאחר כתיבת המשנה עדיין לא למדו מהספר אלא בע"פ. לפי"ז כמה מדויקים דברי רש"י, "</w:t>
      </w:r>
      <w:r w:rsidRPr="00426195">
        <w:rPr>
          <w:b/>
          <w:bCs/>
          <w:rtl/>
        </w:rPr>
        <w:t>שהמשנה</w:t>
      </w:r>
      <w:r w:rsidRPr="002F39C4">
        <w:rPr>
          <w:rtl/>
        </w:rPr>
        <w:t xml:space="preserve"> </w:t>
      </w:r>
      <w:r w:rsidRPr="00426195">
        <w:rPr>
          <w:b/>
          <w:bCs/>
          <w:rtl/>
        </w:rPr>
        <w:t>וגמרא</w:t>
      </w:r>
      <w:r w:rsidRPr="00F47859">
        <w:rPr>
          <w:rFonts w:hint="cs"/>
          <w:rtl/>
        </w:rPr>
        <w:t xml:space="preserve"> </w:t>
      </w:r>
      <w:r w:rsidRPr="002F39C4">
        <w:rPr>
          <w:rtl/>
        </w:rPr>
        <w:t>יפים ממנה מפני שתלוין בגירסא ומשתכחים</w:t>
      </w:r>
      <w:r>
        <w:rPr>
          <w:rFonts w:hint="cs"/>
          <w:rtl/>
        </w:rPr>
        <w:t>", אף "</w:t>
      </w:r>
      <w:r w:rsidRPr="002F39C4">
        <w:rPr>
          <w:rtl/>
        </w:rPr>
        <w:t>שבימיהם</w:t>
      </w:r>
      <w:r>
        <w:rPr>
          <w:rFonts w:hint="cs"/>
          <w:rtl/>
        </w:rPr>
        <w:t xml:space="preserve"> </w:t>
      </w:r>
      <w:r w:rsidRPr="002F39C4">
        <w:rPr>
          <w:rtl/>
        </w:rPr>
        <w:t xml:space="preserve">לא היה </w:t>
      </w:r>
      <w:r w:rsidRPr="00426195">
        <w:rPr>
          <w:b/>
          <w:bCs/>
          <w:rtl/>
        </w:rPr>
        <w:t>גמרא</w:t>
      </w:r>
      <w:r w:rsidRPr="002F39C4">
        <w:rPr>
          <w:rtl/>
        </w:rPr>
        <w:t xml:space="preserve"> בכתב</w:t>
      </w:r>
      <w:r>
        <w:rPr>
          <w:rFonts w:hint="cs"/>
          <w:rtl/>
        </w:rPr>
        <w:t xml:space="preserve">" </w:t>
      </w:r>
      <w:r>
        <w:rPr>
          <w:rtl/>
        </w:rPr>
        <w:t>–</w:t>
      </w:r>
      <w:r>
        <w:rPr>
          <w:rFonts w:hint="cs"/>
          <w:rtl/>
        </w:rPr>
        <w:t xml:space="preserve"> אבל המשנה כן הי' בכתב!</w:t>
      </w:r>
    </w:p>
    <w:p w:rsidR="006049DD" w:rsidRDefault="006049DD" w:rsidP="004B0C42">
      <w:pPr>
        <w:pStyle w:val="11"/>
        <w:bidi/>
        <w:rPr>
          <w:rtl/>
        </w:rPr>
      </w:pPr>
      <w:r>
        <w:rPr>
          <w:rFonts w:hint="cs"/>
          <w:rtl/>
        </w:rPr>
        <w:t>ב.</w:t>
      </w:r>
    </w:p>
    <w:p w:rsidR="00E22432" w:rsidRDefault="00E22432" w:rsidP="004B0C42">
      <w:pPr>
        <w:pStyle w:val="a3"/>
      </w:pPr>
      <w:r>
        <w:rPr>
          <w:rFonts w:hint="cs"/>
          <w:rtl/>
        </w:rPr>
        <w:t xml:space="preserve">בהערה הנ"ל מתרץ הרבי דברי רש"י בסוכה (כח, ב) וז"ל, מדובר בשם . . ובלשון שב"ת"ר" </w:t>
      </w:r>
      <w:r>
        <w:rPr>
          <w:rtl/>
        </w:rPr>
        <w:t>–</w:t>
      </w:r>
      <w:r>
        <w:rPr>
          <w:rFonts w:hint="cs"/>
          <w:rtl/>
        </w:rPr>
        <w:t xml:space="preserve"> היינו בזמן </w:t>
      </w:r>
      <w:r w:rsidRPr="00AF08C3">
        <w:rPr>
          <w:rFonts w:hint="cs"/>
          <w:b/>
          <w:bCs/>
          <w:rtl/>
        </w:rPr>
        <w:t>שקודם</w:t>
      </w:r>
      <w:r>
        <w:rPr>
          <w:rFonts w:hint="cs"/>
          <w:rtl/>
        </w:rPr>
        <w:t xml:space="preserve"> חתימת המשנה ע"י רבי, עכ"ל.</w:t>
      </w:r>
    </w:p>
    <w:p w:rsidR="00E22432" w:rsidRDefault="00E22432" w:rsidP="004B0C42">
      <w:pPr>
        <w:pStyle w:val="a3"/>
        <w:rPr>
          <w:rtl/>
        </w:rPr>
      </w:pPr>
      <w:r>
        <w:rPr>
          <w:rFonts w:hint="cs"/>
          <w:rtl/>
        </w:rPr>
        <w:t>נציע את דברי הגמ' והרש"י שם:</w:t>
      </w:r>
    </w:p>
    <w:p w:rsidR="00E22432" w:rsidRDefault="00E22432" w:rsidP="004B0C42">
      <w:pPr>
        <w:pStyle w:val="a3"/>
        <w:rPr>
          <w:rtl/>
        </w:rPr>
      </w:pPr>
      <w:r>
        <w:rPr>
          <w:rFonts w:hint="cs"/>
          <w:rtl/>
        </w:rPr>
        <w:t>"</w:t>
      </w:r>
      <w:r w:rsidRPr="00F767A6">
        <w:rPr>
          <w:rtl/>
        </w:rPr>
        <w:t xml:space="preserve">ת"ר כל שבעת הימים אדם עושה סוכתו קבע וביתו עראי כיצד היו לו כלים נאים מעלן לסוכה מצעות נאות מעלן לסוכה אוכל ושותה ומטייל בסוכה מה"מ </w:t>
      </w:r>
      <w:r w:rsidRPr="00AF08C3">
        <w:rPr>
          <w:rtl/>
        </w:rPr>
        <w:t>דת"ר</w:t>
      </w:r>
      <w:r>
        <w:rPr>
          <w:rFonts w:hint="cs"/>
          <w:rtl/>
        </w:rPr>
        <w:t xml:space="preserve"> </w:t>
      </w:r>
      <w:r w:rsidRPr="00AF08C3">
        <w:rPr>
          <w:rtl/>
        </w:rPr>
        <w:t>תשבו כעין תדורו מכאן אמרו כל שבעת הימים עושה אדם סוכתו קבע וביתו עראי כיצד היו לו כלים נאים מעלן לסוכה מצעות נאות מעלן לסוכה אוכל ושות' ומטייל בסוכה ומשנן בסוכה</w:t>
      </w:r>
      <w:r>
        <w:rPr>
          <w:rFonts w:hint="cs"/>
          <w:rtl/>
        </w:rPr>
        <w:t xml:space="preserve"> </w:t>
      </w:r>
      <w:r w:rsidRPr="00AF08C3">
        <w:rPr>
          <w:rtl/>
        </w:rPr>
        <w:t>איני והאמר רבא מקרא ומתנא במטללתא ותנוי בר ממטללתא ל"ק הא במגרס הא בעיוני</w:t>
      </w:r>
      <w:r>
        <w:rPr>
          <w:rFonts w:hint="cs"/>
          <w:rtl/>
        </w:rPr>
        <w:t xml:space="preserve">". וברש"י שם [הרבי אינו כותב לאיזה ד"ה הוא מציין, אבל לכאו' הכונה הוא לד"ה </w:t>
      </w:r>
      <w:r w:rsidRPr="00AF08C3">
        <w:rPr>
          <w:rtl/>
        </w:rPr>
        <w:t>מקרי ומתני</w:t>
      </w:r>
      <w:r>
        <w:rPr>
          <w:rFonts w:hint="cs"/>
          <w:rtl/>
        </w:rPr>
        <w:t>], "מקרי ומתני:</w:t>
      </w:r>
      <w:r>
        <w:rPr>
          <w:rFonts w:hint="cs"/>
        </w:rPr>
        <w:t xml:space="preserve"> </w:t>
      </w:r>
      <w:r w:rsidRPr="00AF08C3">
        <w:rPr>
          <w:rtl/>
        </w:rPr>
        <w:t>לקרות שבכתב ולשנות משניות הערוכות ושגורות בפה</w:t>
      </w:r>
      <w:r>
        <w:rPr>
          <w:rFonts w:hint="cs"/>
          <w:rtl/>
        </w:rPr>
        <w:t>". דלכאורה משמע מזה (כמו שמוכיח הר"י חגיז) שהמשניות היו רק שגורות בפה, אבל לא בכתב? מתרץ הרבי שסוגיא זו היא "ת"ר" (-ברייתא), והי' קודם חתימת המשנה ע"י רבי, שאז ודאי היו המשניות רק שגורות בפה.</w:t>
      </w:r>
    </w:p>
    <w:p w:rsidR="00E22432" w:rsidRDefault="00E22432" w:rsidP="004B0C42">
      <w:pPr>
        <w:pStyle w:val="a3"/>
        <w:rPr>
          <w:rtl/>
        </w:rPr>
      </w:pPr>
      <w:r>
        <w:rPr>
          <w:rFonts w:hint="cs"/>
          <w:rtl/>
        </w:rPr>
        <w:t xml:space="preserve">ולכאורה צריך להבין, התינח אם דברי רש"י אלו היו בד"ה משנן בסוכה שמועתק מהברייתא. אבל אם נכונים הדברים כנ"ל שהמ"מ לרש"י הוא לד"ה מקרי ומתני (שהרי בד"ה ומשנן בסוכה אין לכאורה משמעות שהמשנה לא הי' בכתב), הלא מפרש רש"י דברי </w:t>
      </w:r>
      <w:r w:rsidRPr="002462EF">
        <w:rPr>
          <w:rFonts w:hint="cs"/>
          <w:b/>
          <w:bCs/>
          <w:rtl/>
        </w:rPr>
        <w:t>רבא</w:t>
      </w:r>
      <w:r>
        <w:rPr>
          <w:rFonts w:hint="cs"/>
          <w:rtl/>
        </w:rPr>
        <w:t>, ולא הברייתא!</w:t>
      </w:r>
    </w:p>
    <w:p w:rsidR="00E22432" w:rsidRDefault="00E22432" w:rsidP="004B0C42">
      <w:pPr>
        <w:pStyle w:val="a3"/>
        <w:rPr>
          <w:rtl/>
        </w:rPr>
      </w:pPr>
      <w:r>
        <w:rPr>
          <w:rFonts w:hint="cs"/>
          <w:rtl/>
        </w:rPr>
        <w:t xml:space="preserve">ואולי יש לתרץ ע"פ דיוק בדברי הגמ', שמקשה על הברייתא "איני והאמר רבא". ולכאורה איך שייך להקשות על ברייתא מדברי אמורא? ומבואר בזה בספרי כללי הש"ס (יבין שמועה כלל כ"א, ועוד </w:t>
      </w:r>
      <w:r>
        <w:rPr>
          <w:rtl/>
        </w:rPr>
        <w:t>–</w:t>
      </w:r>
      <w:r>
        <w:rPr>
          <w:rFonts w:hint="cs"/>
          <w:rtl/>
        </w:rPr>
        <w:t xml:space="preserve"> ומביאים הוכחה לזה מסוגייתנו! </w:t>
      </w:r>
      <w:r>
        <w:rPr>
          <w:rtl/>
        </w:rPr>
        <w:t>–</w:t>
      </w:r>
      <w:r>
        <w:rPr>
          <w:rFonts w:hint="cs"/>
          <w:rtl/>
        </w:rPr>
        <w:t xml:space="preserve">  הובאו דבריהם בבית אהרן כללי הש"ס ח"ט ע' קלז ואילך), דהקושיא מדברי האמורא הוא מפני שבאמת יש עוד ברייתא שחולק על הברייתא שהבאנו, וזה שהאמורא סובר כברייתא האחרת מוכיח שהברייתא שהבאנו לאו בר סמכא הוא, ולכן מקשים על הגמ' שמתחילה הביא ברייתא זו כבר סמכא. ובסוגייתנו, הגמ' התחילה בת"ר אחד שאינו מסיים עם הדין ד"משנן בסוכה", ולאח"ז עוד ת"ר שמסיים עם דין "משנן בסוכה". בהשקפ"ר היינו סוברים שת"ר הב', דמשנן בסוכה, דוקא, ות"ר הא' לאו דוקא, וע"ז מקשה הגמ' "איני והאמר רבא" דמוכח מדבריו שברייתא הא' דוקא ואין סומכים על ברייתא הב'.</w:t>
      </w:r>
    </w:p>
    <w:p w:rsidR="00E22432" w:rsidRDefault="00E22432" w:rsidP="004B0C42">
      <w:pPr>
        <w:pStyle w:val="a3"/>
        <w:rPr>
          <w:rtl/>
        </w:rPr>
      </w:pPr>
      <w:r>
        <w:rPr>
          <w:rFonts w:hint="cs"/>
          <w:rtl/>
        </w:rPr>
        <w:t>היוצא מכלל הנ"ל הוא שדברי רבא אכן מיוסדים על ברייתא. ועפי"ז שפיר יש לבאר תירוץ רבינו שרש"י הנ"ל (בדברי רבא) "מדובר בשם . . ובלשון שב"ת"ר".</w:t>
      </w:r>
    </w:p>
    <w:p w:rsidR="00E22432" w:rsidRPr="00351D1B" w:rsidRDefault="00E22432" w:rsidP="004B0C42">
      <w:pPr>
        <w:pStyle w:val="a3"/>
        <w:rPr>
          <w:rtl/>
        </w:rPr>
      </w:pPr>
      <w:r>
        <w:rPr>
          <w:rFonts w:hint="cs"/>
          <w:rtl/>
        </w:rPr>
        <w:t>ולהעיר, שבסוכה (מה, ב) איתא, "</w:t>
      </w:r>
      <w:r w:rsidRPr="00467137">
        <w:rPr>
          <w:rtl/>
        </w:rPr>
        <w:t>אמר חזקיה א"ר ירמיה משום רשב"י ראיתי בני עלייה והן מועטין אם אלף הן אני ובני מהן אם מאה הם אני ובני מהן אם שנים הן אני ובני הן ומי זוטרי כולי האי והא אמר רבא תמני סרי אלפי דרא הוה דקמיה קודשא בריך הוא שנאמר</w:t>
      </w:r>
      <w:r>
        <w:rPr>
          <w:rFonts w:hint="cs"/>
          <w:rtl/>
        </w:rPr>
        <w:t xml:space="preserve"> </w:t>
      </w:r>
      <w:r w:rsidRPr="00467137">
        <w:rPr>
          <w:rtl/>
        </w:rPr>
        <w:t xml:space="preserve">סביב </w:t>
      </w:r>
      <w:r w:rsidRPr="00467137">
        <w:rPr>
          <w:rtl/>
        </w:rPr>
        <w:lastRenderedPageBreak/>
        <w:t>שמנה עשר אלף ל"ק הא דמסתכלי באספקלריא המאירה הא דלא מסתכלי באספקלריא המאירה</w:t>
      </w:r>
      <w:r>
        <w:rPr>
          <w:rFonts w:hint="cs"/>
          <w:rtl/>
        </w:rPr>
        <w:t xml:space="preserve"> </w:t>
      </w:r>
      <w:r w:rsidRPr="00467137">
        <w:rPr>
          <w:rtl/>
        </w:rPr>
        <w:t>ודמסתכלי באספקלריא המאירה מי זוטרי כולי האי והא אמר אביי לא פחות עלמא מתלתין ושיתא צדיקי דמקבלי אפי שכינה בכל יום שנאמר</w:t>
      </w:r>
      <w:r>
        <w:rPr>
          <w:rFonts w:hint="cs"/>
          <w:rtl/>
        </w:rPr>
        <w:t xml:space="preserve"> </w:t>
      </w:r>
      <w:r w:rsidRPr="00467137">
        <w:rPr>
          <w:rtl/>
        </w:rPr>
        <w:t>אשרי כל חוכי לו ל"ו בגימטריא תלתין ושיתא הוו ל"ק הא דעיילי בבר הא דעיילי בלא בר</w:t>
      </w:r>
      <w:r>
        <w:rPr>
          <w:rFonts w:hint="cs"/>
          <w:rtl/>
        </w:rPr>
        <w:t>", היינו שמקשים על דברי רשב"י מדברי רבא ואביי. וז"ל ר"ח שם, "</w:t>
      </w:r>
      <w:r w:rsidRPr="00467137">
        <w:rPr>
          <w:rtl/>
        </w:rPr>
        <w:t>והלא אביי ורבא דאחרונים הן לגבי רשב"י ואיך מקשינן מדבריהם עליו אלא ללמדך המסורת שהיה בידם בדברי אביי ורבא כך היה בידי הראשונים בקבלה כהל"מ ואינם דבריהם שאלו הדברים וכיוצא בהן אי אפשר להאמר אלא בקבלה מן הנביאים ואלו הדברים שקיבלו מרבותיהם היו מגידין</w:t>
      </w:r>
      <w:r>
        <w:rPr>
          <w:rFonts w:hint="cs"/>
          <w:rtl/>
        </w:rPr>
        <w:t>". ועפי"ז מתורץ בסוגייתנו בדף כח ג"כ, שיכול להקשות מדברי רבא על הברייתא מכיון שדברי רבא מקובלים מדורות הראשונים, ומבואר תירוץ רבינו בהע' 35.</w:t>
      </w:r>
    </w:p>
    <w:p w:rsidR="00E22432" w:rsidRPr="00351D1B" w:rsidRDefault="00E22432" w:rsidP="004B0C42">
      <w:pPr>
        <w:pStyle w:val="a3"/>
        <w:rPr>
          <w:rtl/>
        </w:rPr>
      </w:pPr>
      <w:r>
        <w:rPr>
          <w:rFonts w:hint="cs"/>
          <w:rtl/>
        </w:rPr>
        <w:t>אלא, דלכאורה יש לחלק כדיוק דבריו של ר"ח, "ש</w:t>
      </w:r>
      <w:r w:rsidRPr="00351D1B">
        <w:rPr>
          <w:rFonts w:hint="cs"/>
          <w:b/>
          <w:bCs/>
          <w:rtl/>
        </w:rPr>
        <w:t>אלו הדברים וכיוצא בהן</w:t>
      </w:r>
      <w:r>
        <w:rPr>
          <w:rFonts w:hint="cs"/>
          <w:rtl/>
        </w:rPr>
        <w:t xml:space="preserve"> אי אפשר להאמר אלא בקבלה מן הנביאים", היינו בענינים רוחניים בדוגמת הנידון בסוגיא זו ("בני עלייה", "צדיקי דמקבלי אפי שכינה" וכו') אומרים ש"</w:t>
      </w:r>
      <w:r w:rsidRPr="00467137">
        <w:rPr>
          <w:rtl/>
        </w:rPr>
        <w:t>המסורת שהיה בידם בדברי אביי ורבא כך היה בידי הראשונים</w:t>
      </w:r>
      <w:r>
        <w:rPr>
          <w:rFonts w:hint="cs"/>
          <w:rtl/>
        </w:rPr>
        <w:t xml:space="preserve">". משא"כ בעניני הלכה התלוי' בסברא וראיות וכו' </w:t>
      </w:r>
      <w:r>
        <w:rPr>
          <w:rtl/>
        </w:rPr>
        <w:t>–</w:t>
      </w:r>
      <w:r>
        <w:rPr>
          <w:rFonts w:hint="cs"/>
          <w:rtl/>
        </w:rPr>
        <w:t xml:space="preserve"> כמו סוגייתנו בדף כח בדיני ישיבה בסוכה </w:t>
      </w:r>
      <w:r>
        <w:rPr>
          <w:rtl/>
        </w:rPr>
        <w:t>–</w:t>
      </w:r>
      <w:r>
        <w:rPr>
          <w:rFonts w:hint="cs"/>
          <w:rtl/>
        </w:rPr>
        <w:t xml:space="preserve"> אולי אין כוונת ר"ח לומר שגם שם דברי רבא ואביי הם בקבלה, ועצ"ע.</w:t>
      </w:r>
    </w:p>
    <w:p w:rsidR="00E22432" w:rsidRPr="00FA15AD" w:rsidRDefault="006049DD" w:rsidP="00CF324F">
      <w:pPr>
        <w:pStyle w:val="11"/>
        <w:bidi/>
      </w:pPr>
      <w:r>
        <w:rPr>
          <w:rFonts w:hint="cs"/>
          <w:rtl/>
        </w:rPr>
        <w:t>ג.</w:t>
      </w:r>
    </w:p>
    <w:p w:rsidR="00E22432" w:rsidRPr="00385253" w:rsidRDefault="00E22432" w:rsidP="004B0C42">
      <w:pPr>
        <w:pStyle w:val="a3"/>
      </w:pPr>
      <w:r w:rsidRPr="00385253">
        <w:rPr>
          <w:rFonts w:hint="cs"/>
          <w:rtl/>
        </w:rPr>
        <w:t xml:space="preserve">בלקו"ש חי"ב פ' אחרי, הרבי שואל </w:t>
      </w:r>
      <w:r>
        <w:rPr>
          <w:rFonts w:hint="cs"/>
          <w:rtl/>
        </w:rPr>
        <w:t>למה</w:t>
      </w:r>
      <w:r w:rsidRPr="00385253">
        <w:rPr>
          <w:rFonts w:hint="cs"/>
          <w:rtl/>
        </w:rPr>
        <w:t xml:space="preserve"> </w:t>
      </w:r>
      <w:r>
        <w:rPr>
          <w:rFonts w:hint="cs"/>
          <w:rtl/>
        </w:rPr>
        <w:t>מ</w:t>
      </w:r>
      <w:r w:rsidRPr="00385253">
        <w:rPr>
          <w:rFonts w:hint="cs"/>
          <w:rtl/>
        </w:rPr>
        <w:t>ביא רש"י (</w:t>
      </w:r>
      <w:r>
        <w:rPr>
          <w:rFonts w:hint="cs"/>
          <w:rtl/>
        </w:rPr>
        <w:t>אחרי</w:t>
      </w:r>
      <w:r w:rsidRPr="00385253">
        <w:rPr>
          <w:rFonts w:hint="cs"/>
          <w:rtl/>
        </w:rPr>
        <w:t xml:space="preserve"> יח, ב ד"ה אני ה' אלקיכם) דוגמא של "סופן לנתק בעריות בימי עזרא",</w:t>
      </w:r>
      <w:r>
        <w:rPr>
          <w:rFonts w:hint="cs"/>
          <w:rtl/>
        </w:rPr>
        <w:t xml:space="preserve"> </w:t>
      </w:r>
      <w:r w:rsidRPr="00385253">
        <w:rPr>
          <w:rFonts w:hint="cs"/>
          <w:rtl/>
        </w:rPr>
        <w:t xml:space="preserve">ושביק הדוגמא מה שאירע באותו הדור, </w:t>
      </w:r>
      <w:r>
        <w:rPr>
          <w:rFonts w:hint="cs"/>
          <w:rtl/>
        </w:rPr>
        <w:t>"וישמע משה את העם בוכה למשפחותיו".</w:t>
      </w:r>
    </w:p>
    <w:p w:rsidR="00E22432" w:rsidRDefault="00E22432" w:rsidP="004B0C42">
      <w:pPr>
        <w:pStyle w:val="a3"/>
        <w:rPr>
          <w:rtl/>
        </w:rPr>
      </w:pPr>
      <w:r w:rsidRPr="00385253">
        <w:rPr>
          <w:rFonts w:hint="cs"/>
          <w:rtl/>
        </w:rPr>
        <w:t>ושם בהע' 16</w:t>
      </w:r>
      <w:r>
        <w:rPr>
          <w:rFonts w:hint="cs"/>
          <w:rtl/>
        </w:rPr>
        <w:t xml:space="preserve"> וז"ל</w:t>
      </w:r>
      <w:r w:rsidRPr="00385253">
        <w:rPr>
          <w:rFonts w:hint="cs"/>
          <w:rtl/>
        </w:rPr>
        <w:t>, ואין לתרץ שמכיון שלא עברו אז על איסור עריות, כ"א בכו</w:t>
      </w:r>
      <w:r>
        <w:rPr>
          <w:rFonts w:hint="cs"/>
          <w:rtl/>
        </w:rPr>
        <w:t xml:space="preserve"> על האיסור, לא יתכן לומר שבשביל זה יבוא עליהם בגזירה וכו' </w:t>
      </w:r>
      <w:r>
        <w:rPr>
          <w:rtl/>
        </w:rPr>
        <w:t>–</w:t>
      </w:r>
      <w:r>
        <w:rPr>
          <w:rFonts w:hint="cs"/>
          <w:rtl/>
        </w:rPr>
        <w:t xml:space="preserve"> דהרי מוכח שגם זהו ענין חמור ביותר, דהרי בשביל זה "ויחר אף ה' מאד ובעיני משה רע (ולהפי' שבכו "על עריות הנאסרות להם", מוכרח לומר שהחרון אף וכו' היתה בשביל בכי' זו), עכ"ל.</w:t>
      </w:r>
    </w:p>
    <w:p w:rsidR="00E22432" w:rsidRDefault="00E22432" w:rsidP="004B0C42">
      <w:pPr>
        <w:pStyle w:val="a3"/>
        <w:rPr>
          <w:rtl/>
        </w:rPr>
      </w:pPr>
      <w:r>
        <w:rPr>
          <w:rFonts w:hint="cs"/>
          <w:rtl/>
        </w:rPr>
        <w:t xml:space="preserve">ויש לומר בדא"פ, שעפ"ז יומתקו דברי רש"י בס"פ קדושים (כ, כו ד"ה ואבדל אתכם מן העמים להיות לי), "שלא יאמר אדם נפשי קצה בבשר חזיר, אי אפשי ללבוש כלאים, אבל יאמר אפשי ומה אעשה ואבי שבשמים גזר עלי וכו'". דלכאו' יש לדייק, אמאי הביא רש"י ב' דוגמאות הללו דוקא? התינח בשר חזיר, עלה קאי בהפסוק שלפנ"ז (כה) "והבדלתם בין הבהמה הטהרה לטמאה וגו'". אבל כלאים מאן דכר שמי' </w:t>
      </w:r>
      <w:r>
        <w:rPr>
          <w:rtl/>
        </w:rPr>
        <w:t>–</w:t>
      </w:r>
      <w:r>
        <w:rPr>
          <w:rFonts w:hint="cs"/>
          <w:rtl/>
        </w:rPr>
        <w:t xml:space="preserve"> הלא יותר הוה לי' להביא דוגמא מאיסורי עריות עלייהו קאי בכל הפסוקים עד פסוק כד!?</w:t>
      </w:r>
    </w:p>
    <w:p w:rsidR="00E22432" w:rsidRPr="00F47859" w:rsidRDefault="00E22432" w:rsidP="004B0C42">
      <w:pPr>
        <w:pStyle w:val="a3"/>
      </w:pPr>
      <w:r>
        <w:rPr>
          <w:rFonts w:hint="cs"/>
          <w:rtl/>
        </w:rPr>
        <w:t>אלא שע"פ דברי כ"ק אדמו"ר בהע' 16 אולי י"ל שמצד חומר הענין של מחשבת ג"ע אל יוציא אדם מפיו, ואפילו לא יחשוב, ש"אפשי בהם". ודו"ק.</w:t>
      </w:r>
    </w:p>
    <w:p w:rsidR="00E22432" w:rsidRDefault="00E22432" w:rsidP="00E22432">
      <w:pPr>
        <w:bidi/>
        <w:jc w:val="center"/>
        <w:rPr>
          <w:rFonts w:ascii="Nymphette" w:eastAsia="Times New Roman" w:hAnsi="Nymphette" w:cs="Nymphette"/>
          <w:sz w:val="44"/>
          <w:szCs w:val="44"/>
          <w:rtl/>
        </w:rPr>
      </w:pPr>
      <w:r w:rsidRPr="00760DB7">
        <w:rPr>
          <w:rFonts w:ascii="Nymphette" w:eastAsia="Times New Roman" w:hAnsi="Nymphette" w:cs="Nymphette"/>
          <w:sz w:val="44"/>
          <w:szCs w:val="44"/>
        </w:rPr>
        <w:t>g</w:t>
      </w:r>
    </w:p>
    <w:p w:rsidR="00BF0497" w:rsidRDefault="00BF0497">
      <w:pPr>
        <w:rPr>
          <w:rFonts w:ascii="Nymphette" w:eastAsia="Times New Roman" w:hAnsi="Nymphette" w:cs="Nymphette"/>
          <w:sz w:val="44"/>
          <w:szCs w:val="44"/>
          <w:rtl/>
        </w:rPr>
      </w:pPr>
      <w:r>
        <w:rPr>
          <w:rFonts w:ascii="Nymphette" w:eastAsia="Times New Roman" w:hAnsi="Nymphette" w:cs="Times New Roman"/>
          <w:sz w:val="44"/>
          <w:szCs w:val="44"/>
          <w:rtl/>
        </w:rPr>
        <w:br w:type="page"/>
      </w:r>
    </w:p>
    <w:p w:rsidR="00760DB7" w:rsidRDefault="00760DB7" w:rsidP="00AC425E">
      <w:pPr>
        <w:pStyle w:val="12"/>
        <w:rPr>
          <w:rtl/>
        </w:rPr>
      </w:pPr>
      <w:bookmarkStart w:id="119" w:name="_Toc39817424"/>
      <w:r w:rsidRPr="00760DB7">
        <w:rPr>
          <w:rFonts w:hint="cs"/>
          <w:rtl/>
        </w:rPr>
        <w:lastRenderedPageBreak/>
        <w:t>הגדת רבינו</w:t>
      </w:r>
      <w:bookmarkEnd w:id="119"/>
    </w:p>
    <w:p w:rsidR="00C43231" w:rsidRPr="00760DB7" w:rsidRDefault="00C43231" w:rsidP="00C43231">
      <w:pPr>
        <w:pStyle w:val="a0"/>
        <w:bidi w:val="0"/>
        <w:rPr>
          <w:rtl/>
        </w:rPr>
      </w:pPr>
      <w:bookmarkStart w:id="120" w:name="_Toc39817425"/>
      <w:r w:rsidRPr="00760DB7">
        <w:rPr>
          <w:rFonts w:hint="cs"/>
          <w:rtl/>
        </w:rPr>
        <w:t>הזכרת שו"ע אדמו"ר הזקן בהגדש"פ עם ליקוטי טעמים ומנהגים</w:t>
      </w:r>
      <w:bookmarkEnd w:id="120"/>
    </w:p>
    <w:p w:rsidR="00C43231" w:rsidRPr="00760DB7" w:rsidRDefault="00C43231" w:rsidP="00C93F24">
      <w:pPr>
        <w:pStyle w:val="a"/>
        <w:rPr>
          <w:rtl/>
        </w:rPr>
      </w:pPr>
      <w:bookmarkStart w:id="121" w:name="_Toc39817426"/>
      <w:r w:rsidRPr="00760DB7">
        <w:rPr>
          <w:rFonts w:hint="cs"/>
          <w:rtl/>
        </w:rPr>
        <w:t>הרב שמואל רסקין</w:t>
      </w:r>
      <w:bookmarkEnd w:id="121"/>
    </w:p>
    <w:p w:rsidR="00C43231" w:rsidRPr="00760DB7" w:rsidRDefault="00C43231" w:rsidP="00C43231">
      <w:pPr>
        <w:pStyle w:val="a1"/>
        <w:rPr>
          <w:rtl/>
        </w:rPr>
      </w:pPr>
      <w:r w:rsidRPr="00760DB7">
        <w:rPr>
          <w:rFonts w:hint="cs"/>
          <w:rtl/>
        </w:rPr>
        <w:t>שליח בחולון, ארה"ק</w:t>
      </w:r>
    </w:p>
    <w:p w:rsidR="00C43231" w:rsidRPr="00760DB7" w:rsidRDefault="00C43231" w:rsidP="00C43231">
      <w:pPr>
        <w:pStyle w:val="a3"/>
        <w:rPr>
          <w:rtl/>
        </w:rPr>
      </w:pPr>
      <w:r w:rsidRPr="00760DB7">
        <w:rPr>
          <w:rFonts w:hint="cs"/>
          <w:rtl/>
        </w:rPr>
        <w:t>כשמעיינים בליקוטי הטעמים בהגדה, ואף בהעברה בעלמא, רואים דבר פלא: בעניינים רבים מאוד אין מציין כ"ק אדמו"ר לשו"ע אדמו"ר הזקן, אלא לשו"ע המחבר ונ"כ. ולפעמים כן מציין, וגם אז לעתים הוא בציון "שו"ע אדה"ז" ולעתים "שו"ע רבינו".</w:t>
      </w:r>
    </w:p>
    <w:p w:rsidR="00C43231" w:rsidRPr="00760DB7" w:rsidRDefault="00C43231" w:rsidP="00C43231">
      <w:pPr>
        <w:pStyle w:val="a3"/>
        <w:rPr>
          <w:rtl/>
        </w:rPr>
      </w:pPr>
      <w:r w:rsidRPr="00760DB7">
        <w:rPr>
          <w:rFonts w:hint="cs"/>
          <w:rtl/>
        </w:rPr>
        <w:t>והדבר צ"ע.</w:t>
      </w:r>
    </w:p>
    <w:p w:rsidR="00C43231" w:rsidRPr="00760DB7" w:rsidRDefault="00C43231" w:rsidP="00C43231">
      <w:pPr>
        <w:pStyle w:val="a3"/>
        <w:rPr>
          <w:rtl/>
        </w:rPr>
      </w:pPr>
      <w:r w:rsidRPr="00760DB7">
        <w:rPr>
          <w:rFonts w:hint="cs"/>
          <w:rtl/>
        </w:rPr>
        <w:t>ונראה כי יש בזה שיטה כללית ויסודית המתאימה עם כל דרך ההגדה של הרבי. ובהקדם:</w:t>
      </w:r>
    </w:p>
    <w:p w:rsidR="00C43231" w:rsidRPr="00760DB7" w:rsidRDefault="00C43231" w:rsidP="00C43231">
      <w:pPr>
        <w:pStyle w:val="a3"/>
        <w:rPr>
          <w:rtl/>
        </w:rPr>
      </w:pPr>
      <w:r w:rsidRPr="00760DB7">
        <w:rPr>
          <w:rFonts w:hint="cs"/>
          <w:rtl/>
        </w:rPr>
        <w:t xml:space="preserve">ההגדה נחלקת לד' מחלוקות, כמפורש בכותרתה, "דינים מנהגים מקורות וטעמים להגדה של פסח" </w:t>
      </w:r>
      <w:r w:rsidRPr="00760DB7">
        <w:rPr>
          <w:rtl/>
        </w:rPr>
        <w:t>–</w:t>
      </w:r>
      <w:r w:rsidRPr="00760DB7">
        <w:rPr>
          <w:rFonts w:hint="cs"/>
          <w:rtl/>
        </w:rPr>
        <w:t xml:space="preserve"> ועל כן מבקש כ"ק לתת "מקורות וטעמים" לכמה עניינים:</w:t>
      </w:r>
    </w:p>
    <w:p w:rsidR="00C43231" w:rsidRPr="00760DB7" w:rsidRDefault="00C43231" w:rsidP="00C43231">
      <w:pPr>
        <w:pStyle w:val="a3"/>
      </w:pPr>
      <w:r w:rsidRPr="00760DB7">
        <w:rPr>
          <w:rFonts w:hint="cs"/>
          <w:rtl/>
        </w:rPr>
        <w:t xml:space="preserve">א) להגדה של פסח </w:t>
      </w:r>
      <w:r w:rsidRPr="00760DB7">
        <w:rPr>
          <w:rtl/>
        </w:rPr>
        <w:t>–</w:t>
      </w:r>
      <w:r w:rsidRPr="00760DB7">
        <w:rPr>
          <w:rFonts w:hint="cs"/>
          <w:rtl/>
        </w:rPr>
        <w:t xml:space="preserve"> לנוסח ההגדה שבסידור אדמו"ר.</w:t>
      </w:r>
    </w:p>
    <w:p w:rsidR="00C43231" w:rsidRPr="00760DB7" w:rsidRDefault="00C43231" w:rsidP="00C43231">
      <w:pPr>
        <w:pStyle w:val="a3"/>
      </w:pPr>
      <w:r w:rsidRPr="00760DB7">
        <w:rPr>
          <w:rFonts w:hint="cs"/>
          <w:rtl/>
        </w:rPr>
        <w:t xml:space="preserve">ב) דינים </w:t>
      </w:r>
      <w:r w:rsidRPr="00760DB7">
        <w:rPr>
          <w:rtl/>
        </w:rPr>
        <w:t>–</w:t>
      </w:r>
      <w:r w:rsidRPr="00760DB7">
        <w:rPr>
          <w:rFonts w:hint="cs"/>
          <w:rtl/>
        </w:rPr>
        <w:t xml:space="preserve"> לדינים המופיעים בסידור, </w:t>
      </w:r>
      <w:r w:rsidRPr="00760DB7">
        <w:rPr>
          <w:rFonts w:hint="cs"/>
          <w:b/>
          <w:bCs/>
          <w:rtl/>
        </w:rPr>
        <w:t>וכן לדינים שבשו"ע אדמו"ר</w:t>
      </w:r>
      <w:r w:rsidRPr="00760DB7">
        <w:rPr>
          <w:rFonts w:hint="cs"/>
          <w:rtl/>
        </w:rPr>
        <w:t>, וכפי שנראה בס"ד.</w:t>
      </w:r>
    </w:p>
    <w:p w:rsidR="00C43231" w:rsidRPr="00760DB7" w:rsidRDefault="00C43231" w:rsidP="00C43231">
      <w:pPr>
        <w:pStyle w:val="a3"/>
      </w:pPr>
      <w:r w:rsidRPr="00760DB7">
        <w:rPr>
          <w:rFonts w:hint="cs"/>
          <w:rtl/>
        </w:rPr>
        <w:t xml:space="preserve">ג) מנהגים </w:t>
      </w:r>
      <w:r w:rsidRPr="00760DB7">
        <w:rPr>
          <w:rtl/>
        </w:rPr>
        <w:t>–</w:t>
      </w:r>
      <w:r w:rsidRPr="00760DB7">
        <w:rPr>
          <w:rFonts w:hint="cs"/>
          <w:rtl/>
        </w:rPr>
        <w:t xml:space="preserve"> מקורות וטעמים למנהגים המחודשים שמביא כ"ק אדמו"ר בהגדה כמנהגי חב"ד.</w:t>
      </w:r>
    </w:p>
    <w:p w:rsidR="00C43231" w:rsidRPr="00760DB7" w:rsidRDefault="00C43231" w:rsidP="00C43231">
      <w:pPr>
        <w:pStyle w:val="a3"/>
        <w:rPr>
          <w:rtl/>
        </w:rPr>
      </w:pPr>
      <w:r w:rsidRPr="00760DB7">
        <w:rPr>
          <w:rFonts w:hint="cs"/>
          <w:rtl/>
        </w:rPr>
        <w:t>על פי הבנה זו, ואחר העיון בגוף ההגדה נראים הכללים הבאים (ובהמשך נראה בס"ד כיצד זה מתאים בתוך פרטי ההגדה):</w:t>
      </w:r>
    </w:p>
    <w:p w:rsidR="00C43231" w:rsidRPr="00760DB7" w:rsidRDefault="00C43231" w:rsidP="00C43231">
      <w:pPr>
        <w:pStyle w:val="a3"/>
      </w:pPr>
      <w:r w:rsidRPr="00760DB7">
        <w:rPr>
          <w:rFonts w:hint="cs"/>
          <w:rtl/>
        </w:rPr>
        <w:t xml:space="preserve">א) בכל פעם שמביא כ"ק אדמו"ר זי"ע מקור לדין שמפורש בסידור או בשו"ע, לא יציין כ"ק אדמו"ר לשו"ע אדמו"ר </w:t>
      </w:r>
      <w:r w:rsidRPr="00760DB7">
        <w:rPr>
          <w:rtl/>
        </w:rPr>
        <w:t>–</w:t>
      </w:r>
      <w:r w:rsidRPr="00760DB7">
        <w:rPr>
          <w:rFonts w:hint="cs"/>
          <w:rtl/>
        </w:rPr>
        <w:t xml:space="preserve"> שכן הוא מי שיש להביא לו מקור, ואין מביאים מקור לשו"ע אדה"ז משו"ע אדה"ז (וכן לא משו"ע אדה"ז לסידור אדה"ז).</w:t>
      </w:r>
    </w:p>
    <w:p w:rsidR="00C43231" w:rsidRPr="00760DB7" w:rsidRDefault="00C43231" w:rsidP="00C43231">
      <w:pPr>
        <w:pStyle w:val="a3"/>
      </w:pPr>
      <w:r w:rsidRPr="00760DB7">
        <w:rPr>
          <w:rFonts w:hint="cs"/>
          <w:rtl/>
        </w:rPr>
        <w:t xml:space="preserve">ב) ועל כן יביא מקור </w:t>
      </w:r>
      <w:r w:rsidRPr="00760DB7">
        <w:rPr>
          <w:rtl/>
        </w:rPr>
        <w:t>–</w:t>
      </w:r>
      <w:r w:rsidRPr="00760DB7">
        <w:rPr>
          <w:rFonts w:hint="cs"/>
          <w:rtl/>
        </w:rPr>
        <w:t xml:space="preserve"> לא מהמקור הראשון לדין זה (כמו: רא"ש, מהר"י ברונא וכיו"ב) אלא למקור של </w:t>
      </w:r>
      <w:r w:rsidRPr="00760DB7">
        <w:rPr>
          <w:rFonts w:hint="cs"/>
          <w:b/>
          <w:bCs/>
          <w:rtl/>
        </w:rPr>
        <w:t>אדה"ז</w:t>
      </w:r>
      <w:r w:rsidRPr="00760DB7">
        <w:rPr>
          <w:rFonts w:hint="cs"/>
          <w:rtl/>
        </w:rPr>
        <w:t xml:space="preserve"> </w:t>
      </w:r>
      <w:r w:rsidRPr="00760DB7">
        <w:rPr>
          <w:rtl/>
        </w:rPr>
        <w:t>–</w:t>
      </w:r>
      <w:r w:rsidRPr="00760DB7">
        <w:rPr>
          <w:rFonts w:hint="cs"/>
          <w:rtl/>
        </w:rPr>
        <w:t xml:space="preserve"> דהיינו, שו"ע ונ"כ.</w:t>
      </w:r>
    </w:p>
    <w:p w:rsidR="00C43231" w:rsidRPr="00760DB7" w:rsidRDefault="00C43231" w:rsidP="00C43231">
      <w:pPr>
        <w:pStyle w:val="a3"/>
      </w:pPr>
      <w:r w:rsidRPr="00760DB7">
        <w:rPr>
          <w:rFonts w:hint="cs"/>
          <w:rtl/>
        </w:rPr>
        <w:t xml:space="preserve">ג) דברים המוסכמים, ומפורשים בשו"ע אדה"ז על אתר </w:t>
      </w:r>
      <w:r w:rsidRPr="00760DB7">
        <w:rPr>
          <w:rtl/>
        </w:rPr>
        <w:t>–</w:t>
      </w:r>
      <w:r w:rsidRPr="00760DB7">
        <w:rPr>
          <w:rFonts w:hint="cs"/>
          <w:rtl/>
        </w:rPr>
        <w:t xml:space="preserve"> לא יציין להם מקור, שכן פשיטא שאת דברי אדה"ז על אתר מכיר הלומד. </w:t>
      </w:r>
    </w:p>
    <w:p w:rsidR="00C43231" w:rsidRPr="00760DB7" w:rsidRDefault="00C43231" w:rsidP="00C43231">
      <w:pPr>
        <w:pStyle w:val="a3"/>
      </w:pPr>
      <w:r w:rsidRPr="00760DB7">
        <w:rPr>
          <w:rFonts w:hint="cs"/>
          <w:rtl/>
        </w:rPr>
        <w:t xml:space="preserve">ד) לא פעם ידייק ויבחר במקור מסויים על פני אחרים </w:t>
      </w:r>
      <w:r w:rsidRPr="00760DB7">
        <w:rPr>
          <w:rtl/>
        </w:rPr>
        <w:t>–</w:t>
      </w:r>
      <w:r w:rsidRPr="00760DB7">
        <w:rPr>
          <w:rFonts w:hint="cs"/>
          <w:rtl/>
        </w:rPr>
        <w:t xml:space="preserve"> אף שיש רבים אחרים דוגמתו </w:t>
      </w:r>
      <w:r w:rsidRPr="00760DB7">
        <w:rPr>
          <w:rtl/>
        </w:rPr>
        <w:t>–</w:t>
      </w:r>
      <w:r w:rsidRPr="00760DB7">
        <w:rPr>
          <w:rFonts w:hint="cs"/>
          <w:rtl/>
        </w:rPr>
        <w:t xml:space="preserve"> כיון שהוא מבאר את </w:t>
      </w:r>
      <w:r w:rsidRPr="00760DB7">
        <w:rPr>
          <w:rFonts w:hint="cs"/>
          <w:b/>
          <w:bCs/>
          <w:rtl/>
        </w:rPr>
        <w:t>דיוק הלשון</w:t>
      </w:r>
      <w:r w:rsidRPr="00760DB7">
        <w:rPr>
          <w:rFonts w:hint="cs"/>
          <w:rtl/>
        </w:rPr>
        <w:t xml:space="preserve"> או </w:t>
      </w:r>
      <w:r w:rsidRPr="00760DB7">
        <w:rPr>
          <w:rFonts w:hint="cs"/>
          <w:b/>
          <w:bCs/>
          <w:rtl/>
        </w:rPr>
        <w:t>הלשון המדויקת</w:t>
      </w:r>
      <w:r w:rsidRPr="00760DB7">
        <w:rPr>
          <w:rFonts w:hint="cs"/>
          <w:rtl/>
        </w:rPr>
        <w:t xml:space="preserve"> של אדה"ז בשולחנו, וזאת אע"פ שאינו מפרש שהוא מפרש דין מסוים בשוע"ר, וכפי שנראה בס"ד.</w:t>
      </w:r>
    </w:p>
    <w:p w:rsidR="00C43231" w:rsidRPr="00760DB7" w:rsidRDefault="00C43231" w:rsidP="00C43231">
      <w:pPr>
        <w:pStyle w:val="a3"/>
      </w:pPr>
      <w:r w:rsidRPr="00760DB7">
        <w:rPr>
          <w:rFonts w:hint="cs"/>
          <w:rtl/>
        </w:rPr>
        <w:t xml:space="preserve">ה) כשמביא מקור לדברי אדה"ז, במקום </w:t>
      </w:r>
      <w:r w:rsidRPr="00760DB7">
        <w:rPr>
          <w:rFonts w:hint="cs"/>
          <w:b/>
          <w:bCs/>
          <w:rtl/>
        </w:rPr>
        <w:t>אחר</w:t>
      </w:r>
      <w:r w:rsidRPr="00760DB7">
        <w:rPr>
          <w:rFonts w:hint="cs"/>
          <w:rtl/>
        </w:rPr>
        <w:t xml:space="preserve"> בשולחנו, וכפי שנראה בדוגמאות דלהלן, </w:t>
      </w:r>
      <w:r w:rsidRPr="00760DB7">
        <w:rPr>
          <w:rFonts w:hint="cs"/>
          <w:rtl/>
        </w:rPr>
        <w:lastRenderedPageBreak/>
        <w:t xml:space="preserve">יכתוב "שו"ע </w:t>
      </w:r>
      <w:r w:rsidRPr="00760DB7">
        <w:rPr>
          <w:rFonts w:hint="cs"/>
          <w:b/>
          <w:bCs/>
          <w:rtl/>
        </w:rPr>
        <w:t>רבינו</w:t>
      </w:r>
      <w:r w:rsidRPr="00760DB7">
        <w:rPr>
          <w:rFonts w:hint="cs"/>
          <w:rtl/>
        </w:rPr>
        <w:t xml:space="preserve">" כיוון שהדגש הוא על היות אדה"ז "רבינו" </w:t>
      </w:r>
      <w:r w:rsidRPr="00760DB7">
        <w:rPr>
          <w:rtl/>
        </w:rPr>
        <w:t>–</w:t>
      </w:r>
      <w:r w:rsidRPr="00760DB7">
        <w:rPr>
          <w:rFonts w:hint="cs"/>
          <w:rtl/>
        </w:rPr>
        <w:t xml:space="preserve"> כלומר נשוא החיבור, והעובדה שהוא כותב כן, הרי היא הוכחה שזהו טעם דינו במקום אחר.</w:t>
      </w:r>
    </w:p>
    <w:p w:rsidR="00C43231" w:rsidRPr="00760DB7" w:rsidRDefault="00C43231" w:rsidP="00C43231">
      <w:pPr>
        <w:pStyle w:val="a3"/>
      </w:pPr>
      <w:r w:rsidRPr="00760DB7">
        <w:rPr>
          <w:rFonts w:hint="cs"/>
          <w:rtl/>
        </w:rPr>
        <w:t xml:space="preserve">ו) כשמביא מקור </w:t>
      </w:r>
      <w:r w:rsidRPr="00760DB7">
        <w:rPr>
          <w:rFonts w:hint="cs"/>
          <w:b/>
          <w:bCs/>
          <w:rtl/>
        </w:rPr>
        <w:t>למנהגים</w:t>
      </w:r>
      <w:r w:rsidRPr="00760DB7">
        <w:rPr>
          <w:rFonts w:hint="cs"/>
          <w:rtl/>
        </w:rPr>
        <w:t xml:space="preserve"> שאינם מפורשים באדה"ז </w:t>
      </w:r>
      <w:r w:rsidRPr="00760DB7">
        <w:rPr>
          <w:rtl/>
        </w:rPr>
        <w:t>–</w:t>
      </w:r>
      <w:r w:rsidRPr="00760DB7">
        <w:rPr>
          <w:rFonts w:hint="cs"/>
          <w:rtl/>
        </w:rPr>
        <w:t xml:space="preserve"> וודאי עדיף להביא מקור מאדה"ז שהוא מקור הסמכות שלנו, ובמקרים כאלו יכתוב "שו"ע </w:t>
      </w:r>
      <w:r w:rsidRPr="00760DB7">
        <w:rPr>
          <w:rFonts w:hint="cs"/>
          <w:b/>
          <w:bCs/>
          <w:rtl/>
        </w:rPr>
        <w:t>אדה</w:t>
      </w:r>
      <w:r w:rsidRPr="00760DB7">
        <w:rPr>
          <w:rFonts w:hint="cs"/>
          <w:rtl/>
        </w:rPr>
        <w:t>"</w:t>
      </w:r>
      <w:r w:rsidRPr="00760DB7">
        <w:rPr>
          <w:rFonts w:hint="cs"/>
          <w:b/>
          <w:bCs/>
          <w:rtl/>
        </w:rPr>
        <w:t>ז</w:t>
      </w:r>
      <w:r w:rsidRPr="00760DB7">
        <w:rPr>
          <w:rFonts w:hint="cs"/>
          <w:rtl/>
        </w:rPr>
        <w:t>".</w:t>
      </w:r>
    </w:p>
    <w:p w:rsidR="00C43231" w:rsidRPr="00760DB7" w:rsidRDefault="00C43231" w:rsidP="00C43231">
      <w:pPr>
        <w:pStyle w:val="a3"/>
        <w:rPr>
          <w:rtl/>
        </w:rPr>
      </w:pPr>
      <w:r w:rsidRPr="00760DB7">
        <w:rPr>
          <w:rFonts w:hint="cs"/>
          <w:rtl/>
        </w:rPr>
        <w:t xml:space="preserve">ז) לפעמים יביא שו"ע ונ"כ ואז יציין גם כן "שו"ע אדה"ז" </w:t>
      </w:r>
      <w:r w:rsidRPr="00760DB7">
        <w:rPr>
          <w:rtl/>
        </w:rPr>
        <w:t>–</w:t>
      </w:r>
      <w:r w:rsidRPr="00760DB7">
        <w:rPr>
          <w:rFonts w:hint="cs"/>
          <w:rtl/>
        </w:rPr>
        <w:t xml:space="preserve"> כשהכוונה שמקור הדין דאדה"ז כאן הוא בשו"ע ונ"כ, והא ראיה </w:t>
      </w:r>
      <w:r w:rsidRPr="00760DB7">
        <w:rPr>
          <w:rtl/>
        </w:rPr>
        <w:t>–</w:t>
      </w:r>
      <w:r w:rsidRPr="00760DB7">
        <w:rPr>
          <w:rFonts w:hint="cs"/>
          <w:rtl/>
        </w:rPr>
        <w:t xml:space="preserve"> שכ"כ בשו"ע אדה"ז כאן.</w:t>
      </w:r>
    </w:p>
    <w:p w:rsidR="00C43231" w:rsidRPr="00760DB7" w:rsidRDefault="00C43231" w:rsidP="00C43231">
      <w:pPr>
        <w:pStyle w:val="a3"/>
        <w:rPr>
          <w:rtl/>
        </w:rPr>
      </w:pPr>
      <w:r w:rsidRPr="00760DB7">
        <w:rPr>
          <w:rFonts w:hint="cs"/>
          <w:rtl/>
        </w:rPr>
        <w:t>ומן הכלל אל הפרטים, בכו"כ דוגמאות, ואגב אורחא יתבארו בס"ד כמה וכמה עניינים נוספים שאינם קשורים לכלל האמור:</w:t>
      </w:r>
    </w:p>
    <w:p w:rsidR="00C43231" w:rsidRPr="00760DB7" w:rsidRDefault="00C43231" w:rsidP="00C43231">
      <w:pPr>
        <w:pStyle w:val="11"/>
        <w:bidi/>
        <w:rPr>
          <w:rtl/>
        </w:rPr>
      </w:pPr>
      <w:r w:rsidRPr="00760DB7">
        <w:rPr>
          <w:rFonts w:hint="cs"/>
          <w:rtl/>
        </w:rPr>
        <w:t>א.</w:t>
      </w:r>
    </w:p>
    <w:p w:rsidR="00C43231" w:rsidRPr="00760DB7" w:rsidRDefault="00C43231" w:rsidP="00C43231">
      <w:pPr>
        <w:pStyle w:val="a3"/>
        <w:rPr>
          <w:rtl/>
        </w:rPr>
      </w:pPr>
      <w:r w:rsidRPr="00760DB7">
        <w:rPr>
          <w:rFonts w:hint="cs"/>
          <w:rtl/>
        </w:rPr>
        <w:t>ב'קדש', ד"ה ד' כוסות:</w:t>
      </w:r>
    </w:p>
    <w:p w:rsidR="00C43231" w:rsidRPr="00760DB7" w:rsidRDefault="00C43231" w:rsidP="00C43231">
      <w:pPr>
        <w:pStyle w:val="a3"/>
        <w:rPr>
          <w:rtl/>
        </w:rPr>
      </w:pPr>
      <w:r w:rsidRPr="00760DB7">
        <w:rPr>
          <w:rFonts w:hint="cs"/>
          <w:rtl/>
        </w:rPr>
        <w:t xml:space="preserve">"ד' כוסות </w:t>
      </w:r>
      <w:r w:rsidRPr="00760DB7">
        <w:rPr>
          <w:rtl/>
        </w:rPr>
        <w:t>–</w:t>
      </w:r>
      <w:r w:rsidRPr="00760DB7">
        <w:rPr>
          <w:rFonts w:hint="cs"/>
          <w:rtl/>
        </w:rPr>
        <w:t xml:space="preserve"> מצוה מדברי סופרים, ואף נשים חייבות בה, שאף הן היו באותו הנס של יציאת מצרים (תוד"ה היו פסחים קח, ב)".</w:t>
      </w:r>
    </w:p>
    <w:p w:rsidR="00C43231" w:rsidRPr="00760DB7" w:rsidRDefault="00C43231" w:rsidP="00C43231">
      <w:pPr>
        <w:pStyle w:val="a3"/>
        <w:rPr>
          <w:rtl/>
        </w:rPr>
      </w:pPr>
      <w:r w:rsidRPr="00760DB7">
        <w:rPr>
          <w:rFonts w:hint="cs"/>
          <w:rtl/>
        </w:rPr>
        <w:t xml:space="preserve">דברים אלו </w:t>
      </w:r>
      <w:r w:rsidRPr="00760DB7">
        <w:rPr>
          <w:rFonts w:hint="cs"/>
          <w:b/>
          <w:bCs/>
          <w:rtl/>
        </w:rPr>
        <w:t>מפורשים</w:t>
      </w:r>
      <w:r w:rsidRPr="00760DB7">
        <w:rPr>
          <w:rFonts w:hint="cs"/>
          <w:rtl/>
        </w:rPr>
        <w:t xml:space="preserve"> בגמ' שם: "ואמר ריב"ל נשים חייבות בארבעה כוסות הללו שאף הן היו באותו הנס". ומדוע מציין הרבי לתוס'? </w:t>
      </w:r>
    </w:p>
    <w:p w:rsidR="00C43231" w:rsidRPr="00760DB7" w:rsidRDefault="00C43231" w:rsidP="00C43231">
      <w:pPr>
        <w:pStyle w:val="a3"/>
        <w:rPr>
          <w:rtl/>
        </w:rPr>
      </w:pPr>
      <w:r w:rsidRPr="00760DB7">
        <w:rPr>
          <w:rFonts w:hint="cs"/>
          <w:rtl/>
        </w:rPr>
        <w:t xml:space="preserve">ועוד, אם כבר מציין הרבי לתוס', למה לא מציין לתוד"ה </w:t>
      </w:r>
      <w:r w:rsidRPr="00760DB7">
        <w:rPr>
          <w:rFonts w:hint="cs"/>
          <w:b/>
          <w:bCs/>
          <w:rtl/>
        </w:rPr>
        <w:t>שאף</w:t>
      </w:r>
      <w:r w:rsidRPr="00760DB7">
        <w:rPr>
          <w:rFonts w:hint="cs"/>
          <w:rtl/>
        </w:rPr>
        <w:t xml:space="preserve"> </w:t>
      </w:r>
      <w:r w:rsidRPr="00760DB7">
        <w:rPr>
          <w:rtl/>
        </w:rPr>
        <w:t>–</w:t>
      </w:r>
      <w:r w:rsidRPr="00760DB7">
        <w:rPr>
          <w:rFonts w:hint="cs"/>
          <w:rtl/>
        </w:rPr>
        <w:t xml:space="preserve"> שמבאר ש"אי לאו האי טעמא לא היו חייבות משום דנשים פטורות ממ"ע שהזמ"ג".</w:t>
      </w:r>
    </w:p>
    <w:p w:rsidR="00C43231" w:rsidRPr="00760DB7" w:rsidRDefault="00C43231" w:rsidP="00C43231">
      <w:pPr>
        <w:pStyle w:val="a3"/>
        <w:rPr>
          <w:rtl/>
        </w:rPr>
      </w:pPr>
      <w:r w:rsidRPr="00760DB7">
        <w:rPr>
          <w:rFonts w:hint="cs"/>
          <w:rtl/>
        </w:rPr>
        <w:t xml:space="preserve">והנה בתוד"ה "היו" </w:t>
      </w:r>
      <w:r w:rsidRPr="00760DB7">
        <w:rPr>
          <w:rtl/>
        </w:rPr>
        <w:t>–</w:t>
      </w:r>
      <w:r w:rsidRPr="00760DB7">
        <w:rPr>
          <w:rFonts w:hint="cs"/>
          <w:rtl/>
        </w:rPr>
        <w:t xml:space="preserve"> שאליו מציין הרבי, מביא דברי הרשב"ם שהגאולה היתה </w:t>
      </w:r>
      <w:r w:rsidRPr="00760DB7">
        <w:rPr>
          <w:rFonts w:hint="cs"/>
          <w:b/>
          <w:bCs/>
          <w:rtl/>
        </w:rPr>
        <w:t>ע"י</w:t>
      </w:r>
      <w:r w:rsidRPr="00760DB7">
        <w:rPr>
          <w:rFonts w:hint="cs"/>
          <w:rtl/>
        </w:rPr>
        <w:t xml:space="preserve"> הנשים "וכן במגילה ע"י אסתר ובחנוכה ע"י יהודית". והתוס' מסתפק בזה "ד'אף' משמע שאינן עיקר". והביאור דתוס' (שלא כדעת הרשב"ם) על פי הירושלמי (בנוגע לפורים) "שאף הן היו באותו ספק, משמע באותה סכנה" </w:t>
      </w:r>
      <w:r w:rsidRPr="00760DB7">
        <w:rPr>
          <w:rtl/>
        </w:rPr>
        <w:t>–</w:t>
      </w:r>
      <w:r w:rsidRPr="00760DB7">
        <w:rPr>
          <w:rFonts w:hint="cs"/>
          <w:rtl/>
        </w:rPr>
        <w:t xml:space="preserve"> שטעם תיקון חכמים גם בד' כוסות הוא כי יצי"מ היתה גם לנשים, ולא שהם גרמו לה.</w:t>
      </w:r>
    </w:p>
    <w:p w:rsidR="00C43231" w:rsidRPr="00760DB7" w:rsidRDefault="00C43231" w:rsidP="00C43231">
      <w:pPr>
        <w:pStyle w:val="a3"/>
        <w:rPr>
          <w:rtl/>
        </w:rPr>
      </w:pPr>
      <w:r w:rsidRPr="00760DB7">
        <w:rPr>
          <w:rFonts w:hint="cs"/>
          <w:rtl/>
        </w:rPr>
        <w:t xml:space="preserve">ובסיום התוס' מוכיח דבריו היטב ממצוות סוכה, שאף היא לזכר יצי"מ ונשים פטורות </w:t>
      </w:r>
      <w:r w:rsidRPr="00760DB7">
        <w:rPr>
          <w:rtl/>
        </w:rPr>
        <w:t>–</w:t>
      </w:r>
      <w:r w:rsidRPr="00760DB7">
        <w:rPr>
          <w:rFonts w:hint="cs"/>
          <w:rtl/>
        </w:rPr>
        <w:t xml:space="preserve"> ולביאור הרשב"ם למה נפטרו מן הסוכה? אבל לתוס' יסוד הדברים הוא ש"התם בעשה דאורייתא, אבל בארבעה כוסות דרבנן תיקנו גם לנשים כיון שהיו באותו הנס".</w:t>
      </w:r>
    </w:p>
    <w:p w:rsidR="00C43231" w:rsidRPr="00760DB7" w:rsidRDefault="00C43231" w:rsidP="00C43231">
      <w:pPr>
        <w:pStyle w:val="a3"/>
        <w:rPr>
          <w:rtl/>
        </w:rPr>
      </w:pPr>
      <w:r w:rsidRPr="00760DB7">
        <w:rPr>
          <w:rFonts w:hint="cs"/>
          <w:rtl/>
        </w:rPr>
        <w:t xml:space="preserve">אך ע"פ הנ"ל </w:t>
      </w:r>
      <w:r w:rsidRPr="00760DB7">
        <w:rPr>
          <w:rtl/>
        </w:rPr>
        <w:t>–</w:t>
      </w:r>
      <w:r w:rsidRPr="00760DB7">
        <w:rPr>
          <w:rFonts w:hint="cs"/>
          <w:rtl/>
        </w:rPr>
        <w:t xml:space="preserve"> סעיף ד' </w:t>
      </w:r>
      <w:r w:rsidRPr="00760DB7">
        <w:rPr>
          <w:rtl/>
        </w:rPr>
        <w:t>–</w:t>
      </w:r>
      <w:r w:rsidRPr="00760DB7">
        <w:rPr>
          <w:rFonts w:hint="cs"/>
          <w:rtl/>
        </w:rPr>
        <w:t xml:space="preserve"> יובן:</w:t>
      </w:r>
    </w:p>
    <w:p w:rsidR="00C43231" w:rsidRPr="00760DB7" w:rsidRDefault="00C43231" w:rsidP="00C43231">
      <w:pPr>
        <w:pStyle w:val="a3"/>
      </w:pPr>
      <w:r w:rsidRPr="00760DB7">
        <w:rPr>
          <w:rFonts w:hint="cs"/>
          <w:rtl/>
        </w:rPr>
        <w:t>ל' הגמרא "שאף הן היו באותו הנס", והתוספת "של יציאת מצרים" היא כדי לבאר הוספת כ"ק אדמו"ר הזקן</w:t>
      </w:r>
      <w:r w:rsidRPr="00760DB7">
        <w:rPr>
          <w:rFonts w:hint="cs"/>
          <w:b/>
          <w:bCs/>
          <w:rtl/>
        </w:rPr>
        <w:t xml:space="preserve"> בשולחנו</w:t>
      </w:r>
      <w:r w:rsidRPr="00760DB7">
        <w:rPr>
          <w:rFonts w:hint="cs"/>
          <w:rtl/>
        </w:rPr>
        <w:t xml:space="preserve"> (תע"ב סכ"ה) </w:t>
      </w:r>
    </w:p>
    <w:p w:rsidR="00C43231" w:rsidRPr="00760DB7" w:rsidRDefault="00C43231" w:rsidP="00C43231">
      <w:pPr>
        <w:pStyle w:val="a3"/>
      </w:pPr>
      <w:r w:rsidRPr="00760DB7">
        <w:rPr>
          <w:rtl/>
        </w:rPr>
        <w:t>–</w:t>
      </w:r>
      <w:r w:rsidRPr="00760DB7">
        <w:rPr>
          <w:rFonts w:hint="cs"/>
          <w:rtl/>
        </w:rPr>
        <w:t xml:space="preserve"> ומקור דברים </w:t>
      </w:r>
      <w:r w:rsidRPr="00760DB7">
        <w:rPr>
          <w:rFonts w:hint="cs"/>
          <w:b/>
          <w:bCs/>
          <w:rtl/>
        </w:rPr>
        <w:t>אלו</w:t>
      </w:r>
      <w:r w:rsidRPr="00760DB7">
        <w:rPr>
          <w:rFonts w:hint="cs"/>
          <w:rtl/>
        </w:rPr>
        <w:t xml:space="preserve"> הוא בשיטת התוס' דוקא ולא בשיטת הרשב"ם, שהרי רק לשיטת התוס' היסוד הוא </w:t>
      </w:r>
      <w:r w:rsidRPr="00760DB7">
        <w:rPr>
          <w:rFonts w:hint="cs"/>
          <w:b/>
          <w:bCs/>
          <w:rtl/>
        </w:rPr>
        <w:t>יציאת מצרים</w:t>
      </w:r>
      <w:r w:rsidRPr="00760DB7">
        <w:rPr>
          <w:rFonts w:hint="cs"/>
          <w:rtl/>
        </w:rPr>
        <w:t>, היינו שיצאו בפועל, ולא ש</w:t>
      </w:r>
      <w:r w:rsidRPr="00760DB7">
        <w:rPr>
          <w:rFonts w:hint="cs"/>
          <w:b/>
          <w:bCs/>
          <w:rtl/>
        </w:rPr>
        <w:t>על ידם</w:t>
      </w:r>
      <w:r w:rsidRPr="00760DB7">
        <w:rPr>
          <w:rFonts w:hint="cs"/>
          <w:rtl/>
        </w:rPr>
        <w:t xml:space="preserve"> נפעל הנס.</w:t>
      </w:r>
    </w:p>
    <w:p w:rsidR="00C43231" w:rsidRPr="00760DB7" w:rsidRDefault="00C43231" w:rsidP="00C43231">
      <w:pPr>
        <w:pStyle w:val="a3"/>
      </w:pPr>
      <w:r w:rsidRPr="00760DB7">
        <w:rPr>
          <w:rFonts w:hint="cs"/>
          <w:rtl/>
        </w:rPr>
        <w:t xml:space="preserve">[ועוד יש לומר בזה באופן אחר: ה"ואף נשים חייבות בה" הוא המשך ל"מצוה מדברי סופרים" שרק </w:t>
      </w:r>
      <w:r w:rsidRPr="00760DB7">
        <w:rPr>
          <w:rFonts w:hint="cs"/>
          <w:b/>
          <w:bCs/>
          <w:rtl/>
        </w:rPr>
        <w:t>משום כן</w:t>
      </w:r>
      <w:r w:rsidRPr="00760DB7">
        <w:rPr>
          <w:rFonts w:hint="cs"/>
          <w:rtl/>
        </w:rPr>
        <w:t xml:space="preserve"> נשים חייבות בה, וכמבואר בסיום התוס', שרק בתקנות ומצוות </w:t>
      </w:r>
      <w:r w:rsidRPr="00760DB7">
        <w:rPr>
          <w:rFonts w:hint="cs"/>
          <w:b/>
          <w:bCs/>
          <w:rtl/>
        </w:rPr>
        <w:t>דרבנן</w:t>
      </w:r>
      <w:r w:rsidRPr="00760DB7">
        <w:rPr>
          <w:rFonts w:hint="cs"/>
          <w:rtl/>
        </w:rPr>
        <w:t xml:space="preserve"> נשים פטורות אם היו באותו הנס.</w:t>
      </w:r>
    </w:p>
    <w:p w:rsidR="00C43231" w:rsidRPr="00760DB7" w:rsidRDefault="00C43231" w:rsidP="00C43231">
      <w:pPr>
        <w:pStyle w:val="a3"/>
        <w:rPr>
          <w:rtl/>
        </w:rPr>
      </w:pPr>
      <w:r w:rsidRPr="00760DB7">
        <w:rPr>
          <w:rFonts w:hint="cs"/>
          <w:rtl/>
        </w:rPr>
        <w:lastRenderedPageBreak/>
        <w:t xml:space="preserve">ועפ"ז יומתק המשך דברי הרבי בהגדה "ואין מברכים עליהם ברוך כו' וציונו לשתות ד' כוסות לפי שהם מופסקים (כלבו, רוקח)" </w:t>
      </w:r>
      <w:r w:rsidRPr="00760DB7">
        <w:rPr>
          <w:rtl/>
        </w:rPr>
        <w:t>–</w:t>
      </w:r>
      <w:r w:rsidRPr="00760DB7">
        <w:rPr>
          <w:rFonts w:hint="cs"/>
          <w:rtl/>
        </w:rPr>
        <w:t xml:space="preserve"> שהשתא, אחרי שנתברר עד כמה מצות ד' כוסות היא מצוה גמורה דרבנן, העומדת בפ"ע, ונשים חייבות בה לא מטעם "כל דתקון רבנן כעין דאורייתא תקון" אלא מטעם "שאף הן היו באותו הנס" </w:t>
      </w:r>
      <w:r w:rsidRPr="00760DB7">
        <w:rPr>
          <w:rtl/>
        </w:rPr>
        <w:t>–</w:t>
      </w:r>
      <w:r w:rsidRPr="00760DB7">
        <w:rPr>
          <w:rFonts w:hint="cs"/>
          <w:rtl/>
        </w:rPr>
        <w:t xml:space="preserve"> שהוא כלל </w:t>
      </w:r>
      <w:r w:rsidRPr="00760DB7">
        <w:rPr>
          <w:rFonts w:hint="cs"/>
          <w:b/>
          <w:bCs/>
          <w:rtl/>
        </w:rPr>
        <w:t>בדברי סופרים</w:t>
      </w:r>
      <w:r w:rsidRPr="00760DB7">
        <w:rPr>
          <w:rFonts w:hint="cs"/>
          <w:rtl/>
        </w:rPr>
        <w:t xml:space="preserve"> ולא בדברי תורה </w:t>
      </w:r>
      <w:r w:rsidRPr="00760DB7">
        <w:rPr>
          <w:rtl/>
        </w:rPr>
        <w:t>–</w:t>
      </w:r>
      <w:r w:rsidRPr="00760DB7">
        <w:rPr>
          <w:rFonts w:hint="cs"/>
          <w:rtl/>
        </w:rPr>
        <w:t xml:space="preserve"> יוקשה, אם כן, למה אין מברכים על מצוה זו כשם שמברכים </w:t>
      </w:r>
      <w:r w:rsidRPr="00760DB7">
        <w:rPr>
          <w:rFonts w:hint="cs"/>
          <w:b/>
          <w:bCs/>
          <w:rtl/>
        </w:rPr>
        <w:t>על מצוות גמורות של ד"ס</w:t>
      </w:r>
      <w:r w:rsidRPr="00760DB7">
        <w:rPr>
          <w:rFonts w:hint="cs"/>
          <w:rtl/>
        </w:rPr>
        <w:t xml:space="preserve">. </w:t>
      </w:r>
    </w:p>
    <w:p w:rsidR="00C43231" w:rsidRPr="00760DB7" w:rsidRDefault="00C43231" w:rsidP="00C43231">
      <w:pPr>
        <w:pStyle w:val="a3"/>
        <w:rPr>
          <w:rtl/>
        </w:rPr>
      </w:pPr>
      <w:r w:rsidRPr="00760DB7">
        <w:rPr>
          <w:rFonts w:hint="cs"/>
          <w:rtl/>
        </w:rPr>
        <w:t>ועל זה מתרץ כנ"ל].</w:t>
      </w:r>
    </w:p>
    <w:p w:rsidR="00C43231" w:rsidRPr="00760DB7" w:rsidRDefault="00C43231" w:rsidP="00C43231">
      <w:pPr>
        <w:pStyle w:val="11"/>
        <w:bidi/>
        <w:rPr>
          <w:rtl/>
        </w:rPr>
      </w:pPr>
      <w:r w:rsidRPr="00760DB7">
        <w:rPr>
          <w:rFonts w:hint="cs"/>
          <w:rtl/>
        </w:rPr>
        <w:t>ב.</w:t>
      </w:r>
    </w:p>
    <w:p w:rsidR="00C43231" w:rsidRPr="00760DB7" w:rsidRDefault="00C43231" w:rsidP="00C43231">
      <w:pPr>
        <w:pStyle w:val="a3"/>
        <w:rPr>
          <w:rtl/>
        </w:rPr>
      </w:pPr>
      <w:r w:rsidRPr="00760DB7">
        <w:rPr>
          <w:rFonts w:hint="cs"/>
          <w:rtl/>
        </w:rPr>
        <w:t xml:space="preserve">בא"ד: </w:t>
      </w:r>
    </w:p>
    <w:p w:rsidR="00C43231" w:rsidRPr="00760DB7" w:rsidRDefault="00C43231" w:rsidP="00C43231">
      <w:pPr>
        <w:pStyle w:val="a3"/>
        <w:rPr>
          <w:rtl/>
        </w:rPr>
      </w:pPr>
      <w:r w:rsidRPr="00760DB7">
        <w:rPr>
          <w:rFonts w:hint="cs"/>
          <w:rtl/>
        </w:rPr>
        <w:t xml:space="preserve">"ותקנום כנגד ד' לשונות של גאולה: והוצאתי והצלתי וגאלתי ולקחתי (שמות ו, ו-ז) </w:t>
      </w:r>
      <w:r w:rsidRPr="00760DB7">
        <w:rPr>
          <w:rtl/>
        </w:rPr>
        <w:t>–</w:t>
      </w:r>
      <w:r w:rsidRPr="00760DB7">
        <w:rPr>
          <w:rFonts w:hint="cs"/>
          <w:rtl/>
        </w:rPr>
        <w:t xml:space="preserve"> שהן כנגד ד' גזירות שגזר עליהם פרעה (שמו"ר ספ"ו). כנגד שבירת ד' קליפות (תולעת יעקב) </w:t>
      </w:r>
      <w:r w:rsidRPr="00760DB7">
        <w:rPr>
          <w:rtl/>
        </w:rPr>
        <w:t>–</w:t>
      </w:r>
      <w:r w:rsidRPr="00760DB7">
        <w:rPr>
          <w:rFonts w:hint="cs"/>
          <w:rtl/>
        </w:rPr>
        <w:t xml:space="preserve"> כנגד ד' כוסות של פרעה (בראשית מ, יא-יג) שנרמזה באותו חלום גאולתן של ישראל כדרז"ל בבראשית פ' פ"ח, כנגד ד' מלכיות, כנגד ד' כוסות של פורעניות שהקב"ה משקה את אומות העולם ונכגדן משקה את ישראל ד' כוסות של נחמה (ירושלמי פסחים פ"י ה"א). כנגד ד' אותיות שם הוי' (סידור של"ה. ועיי"ש מזהר ח"ג צה, ב)".</w:t>
      </w:r>
    </w:p>
    <w:p w:rsidR="00C43231" w:rsidRPr="00760DB7" w:rsidRDefault="00C43231" w:rsidP="00C43231">
      <w:pPr>
        <w:pStyle w:val="a3"/>
        <w:rPr>
          <w:rtl/>
        </w:rPr>
      </w:pPr>
      <w:r w:rsidRPr="00760DB7">
        <w:rPr>
          <w:rFonts w:hint="cs"/>
          <w:rtl/>
        </w:rPr>
        <w:t>והנה יש לדייק:</w:t>
      </w:r>
    </w:p>
    <w:p w:rsidR="00C43231" w:rsidRPr="00760DB7" w:rsidRDefault="00C43231" w:rsidP="00C43231">
      <w:pPr>
        <w:pStyle w:val="a3"/>
      </w:pPr>
      <w:r w:rsidRPr="00760DB7">
        <w:rPr>
          <w:rFonts w:hint="cs"/>
          <w:rtl/>
        </w:rPr>
        <w:t>א) אינו מביא מקור לעניין הראשון ש"תקנום כנגד ד' לשונות של גאולה"</w:t>
      </w:r>
    </w:p>
    <w:p w:rsidR="00C43231" w:rsidRPr="00760DB7" w:rsidRDefault="00C43231" w:rsidP="00C43231">
      <w:pPr>
        <w:pStyle w:val="a3"/>
      </w:pPr>
      <w:r w:rsidRPr="00760DB7">
        <w:rPr>
          <w:rFonts w:hint="cs"/>
          <w:rtl/>
        </w:rPr>
        <w:t xml:space="preserve">ב) סדר הדברים: שבתחילה מביא מהמדרש רבה ("כנגד ד' גזירות"), ואז מביא מ'תולעת יעקב' שהוא ספר קבלה מאוחר. ושוב חוזר למדרש (ד' כוסות של פרעה) וירושלמי (ד' כוסות של פורעניות ונחמה). ובסוף מביא של"ה </w:t>
      </w:r>
      <w:r w:rsidRPr="00760DB7">
        <w:rPr>
          <w:rtl/>
        </w:rPr>
        <w:t>–</w:t>
      </w:r>
      <w:r w:rsidRPr="00760DB7">
        <w:rPr>
          <w:rFonts w:hint="cs"/>
          <w:rtl/>
        </w:rPr>
        <w:t xml:space="preserve"> והוא שלא כפי אף סדר.</w:t>
      </w:r>
    </w:p>
    <w:p w:rsidR="00C43231" w:rsidRPr="00760DB7" w:rsidRDefault="00C43231" w:rsidP="00C43231">
      <w:pPr>
        <w:pStyle w:val="a3"/>
      </w:pPr>
      <w:r w:rsidRPr="00760DB7">
        <w:rPr>
          <w:rFonts w:hint="cs"/>
          <w:rtl/>
        </w:rPr>
        <w:t>ג) אחר "ותקנום כנגד ד' לשונות של גאולה" ישנו מקף, ושוב קודם "כנגד ד' כוסות". כאילו "שהן כנגד ד' גזירות... כנגד שבירת ד' קליפות" הם ענין בפ"ע.</w:t>
      </w:r>
    </w:p>
    <w:p w:rsidR="00C43231" w:rsidRPr="00760DB7" w:rsidRDefault="00C43231" w:rsidP="00C43231">
      <w:pPr>
        <w:pStyle w:val="a3"/>
      </w:pPr>
      <w:r w:rsidRPr="00760DB7">
        <w:rPr>
          <w:rFonts w:hint="cs"/>
          <w:rtl/>
        </w:rPr>
        <w:t>ד) אחר ציון המקור לירושלמי שם ציון נקודה, ואחריה "כנגד ד' אותיות שם הוי'" מהשל"ה, והוא המקום היחידי שיש ציון נקודה בכל הפסקא.</w:t>
      </w:r>
    </w:p>
    <w:p w:rsidR="00C43231" w:rsidRPr="00760DB7" w:rsidRDefault="00C43231" w:rsidP="00C43231">
      <w:pPr>
        <w:pStyle w:val="a3"/>
        <w:rPr>
          <w:rtl/>
        </w:rPr>
      </w:pPr>
      <w:r w:rsidRPr="00760DB7">
        <w:rPr>
          <w:rFonts w:hint="cs"/>
          <w:rtl/>
        </w:rPr>
        <w:t>ויש לבאר:</w:t>
      </w:r>
    </w:p>
    <w:p w:rsidR="00C43231" w:rsidRPr="00760DB7" w:rsidRDefault="00C43231" w:rsidP="00C43231">
      <w:pPr>
        <w:pStyle w:val="a3"/>
        <w:rPr>
          <w:rtl/>
        </w:rPr>
      </w:pPr>
      <w:r w:rsidRPr="00760DB7">
        <w:rPr>
          <w:rFonts w:hint="cs"/>
          <w:rtl/>
        </w:rPr>
        <w:t xml:space="preserve">זה וודאי שלא כרוכל אזיל ומונה כל העניינים שכנגדם מכוונים ד' כוסות, ובוודאי יש עוד כהנה וכהנה (ובציונים שציין כ"ק אדמו"ר לעצמו לבדוק אם יש שם דברי חידוש </w:t>
      </w:r>
      <w:r w:rsidRPr="00760DB7">
        <w:rPr>
          <w:rtl/>
        </w:rPr>
        <w:t>–</w:t>
      </w:r>
      <w:r w:rsidRPr="00760DB7">
        <w:rPr>
          <w:rFonts w:hint="cs"/>
          <w:rtl/>
        </w:rPr>
        <w:t xml:space="preserve"> הובאו בהגדש"פ להרשב"ל ע' קפב </w:t>
      </w:r>
      <w:r w:rsidRPr="00760DB7">
        <w:rPr>
          <w:rtl/>
        </w:rPr>
        <w:t>–</w:t>
      </w:r>
      <w:r w:rsidRPr="00760DB7">
        <w:rPr>
          <w:rFonts w:hint="cs"/>
          <w:rtl/>
        </w:rPr>
        <w:t xml:space="preserve"> הביא גם מזוהר חדש שהוא כנגד ד' רגלי המרכבה, ומפורט כל כוס כנגד מי מהאבות ודוד), אלא יש כאן דבר שלם הבנוי נדבך ע"ג נדבך.</w:t>
      </w:r>
    </w:p>
    <w:p w:rsidR="00C43231" w:rsidRPr="00760DB7" w:rsidRDefault="00C43231" w:rsidP="00C43231">
      <w:pPr>
        <w:pStyle w:val="a3"/>
        <w:rPr>
          <w:rtl/>
        </w:rPr>
      </w:pPr>
      <w:r w:rsidRPr="00760DB7">
        <w:rPr>
          <w:rFonts w:hint="cs"/>
          <w:rtl/>
        </w:rPr>
        <w:t xml:space="preserve">וזה שאינו מביא מקור לעניין ש"תקנום כנגד ד' לשונות של גאולה" </w:t>
      </w:r>
      <w:r w:rsidRPr="00760DB7">
        <w:rPr>
          <w:rtl/>
        </w:rPr>
        <w:t>–</w:t>
      </w:r>
      <w:r w:rsidRPr="00760DB7">
        <w:rPr>
          <w:rFonts w:hint="cs"/>
          <w:rtl/>
        </w:rPr>
        <w:t xml:space="preserve"> הוא </w:t>
      </w:r>
      <w:r w:rsidRPr="00760DB7">
        <w:rPr>
          <w:rFonts w:hint="cs"/>
          <w:b/>
          <w:bCs/>
          <w:rtl/>
        </w:rPr>
        <w:t>כי כן מפורש בשוע"ר</w:t>
      </w:r>
      <w:r w:rsidRPr="00760DB7">
        <w:rPr>
          <w:rFonts w:hint="cs"/>
          <w:rtl/>
        </w:rPr>
        <w:t xml:space="preserve">, וכאמור (כלל ד') הרבי סומך על הלומד שכל דבר המבואר </w:t>
      </w:r>
      <w:r w:rsidRPr="00760DB7">
        <w:rPr>
          <w:rFonts w:hint="cs"/>
          <w:b/>
          <w:bCs/>
          <w:rtl/>
        </w:rPr>
        <w:t>ישירות</w:t>
      </w:r>
      <w:r w:rsidRPr="00760DB7">
        <w:rPr>
          <w:rFonts w:hint="cs"/>
          <w:rtl/>
        </w:rPr>
        <w:t xml:space="preserve"> בשוע"ר יחפשנו שם, ואדרבה, במידה רבה בא לבאר גם דברי אדה"ז בשולחנו ולא רק בסידורו (כלל א).</w:t>
      </w:r>
    </w:p>
    <w:p w:rsidR="00C43231" w:rsidRPr="00760DB7" w:rsidRDefault="00C43231" w:rsidP="00C43231">
      <w:pPr>
        <w:pStyle w:val="a3"/>
        <w:rPr>
          <w:rtl/>
        </w:rPr>
      </w:pPr>
      <w:r w:rsidRPr="00760DB7">
        <w:rPr>
          <w:rFonts w:hint="cs"/>
          <w:rtl/>
        </w:rPr>
        <w:t xml:space="preserve">ואם כן, יסוד הדברים הוא שתקנת ד' כוסות הוא כנגד ד' לשונות של גאולה. הא ולא מידי. </w:t>
      </w:r>
    </w:p>
    <w:p w:rsidR="00C43231" w:rsidRPr="00760DB7" w:rsidRDefault="00C43231" w:rsidP="00C43231">
      <w:pPr>
        <w:pStyle w:val="a3"/>
        <w:rPr>
          <w:rtl/>
        </w:rPr>
      </w:pPr>
      <w:r w:rsidRPr="00760DB7">
        <w:rPr>
          <w:rFonts w:hint="cs"/>
          <w:rtl/>
        </w:rPr>
        <w:lastRenderedPageBreak/>
        <w:t>אלא ש</w:t>
      </w:r>
      <w:r w:rsidRPr="00760DB7">
        <w:rPr>
          <w:rFonts w:hint="cs"/>
          <w:b/>
          <w:bCs/>
          <w:rtl/>
        </w:rPr>
        <w:t>ד' לשונות של גאולה</w:t>
      </w:r>
      <w:r w:rsidRPr="00760DB7">
        <w:rPr>
          <w:rFonts w:hint="cs"/>
          <w:rtl/>
        </w:rPr>
        <w:t xml:space="preserve"> הם כנגד ד' גזרות </w:t>
      </w:r>
      <w:r w:rsidRPr="00760DB7">
        <w:rPr>
          <w:rtl/>
        </w:rPr>
        <w:t>–</w:t>
      </w:r>
      <w:r w:rsidRPr="00760DB7">
        <w:rPr>
          <w:rFonts w:hint="cs"/>
          <w:rtl/>
        </w:rPr>
        <w:t xml:space="preserve"> כלומר: כיון שהיו ד' גזירות, היו צריכים לד' גאולות מכל המיני גזירות. וע"ז מביא מתולעת יעקב, שהוא עניין אמיתי ולא רק טכני, שכן ד' גזירות </w:t>
      </w:r>
      <w:r w:rsidRPr="00760DB7">
        <w:rPr>
          <w:rFonts w:hint="cs"/>
          <w:b/>
          <w:bCs/>
          <w:rtl/>
        </w:rPr>
        <w:t>אלו הנזכרים במדרש</w:t>
      </w:r>
      <w:r w:rsidRPr="00760DB7">
        <w:rPr>
          <w:rFonts w:hint="cs"/>
          <w:rtl/>
        </w:rPr>
        <w:t xml:space="preserve"> עניינם ד' קליפות (ג' קה"ט וקליפה רביעית, נוגה), שהיא שיעבוד מצרים האמתי, והגאולה ממצרים היא בד' לשונות של גאולה, שהם ד' מיני שבירה לכל א' מד' קליפות אלו.</w:t>
      </w:r>
    </w:p>
    <w:p w:rsidR="00C43231" w:rsidRPr="00760DB7" w:rsidRDefault="00C43231" w:rsidP="00C43231">
      <w:pPr>
        <w:pStyle w:val="a3"/>
        <w:rPr>
          <w:rtl/>
        </w:rPr>
      </w:pPr>
      <w:r w:rsidRPr="00760DB7">
        <w:rPr>
          <w:rFonts w:hint="cs"/>
          <w:rtl/>
        </w:rPr>
        <w:t>ונשלם העניין. וע"כ הניח מקף בתחילת וסיום הדברים, שד' גזירות וד' קליפות ושבירתם עניין אחד הוא (ואף שבתולע"י שם לא קשר את ד' הקליפות עם ד' הגזירות, לית בה מידי, דזהו ביאורו של הרבי שיש ד' גזירות, קליפות, ומהם צ"ל ד' גאולות).</w:t>
      </w:r>
    </w:p>
    <w:p w:rsidR="00C43231" w:rsidRPr="00760DB7" w:rsidRDefault="00C43231" w:rsidP="00C43231">
      <w:pPr>
        <w:pStyle w:val="a3"/>
        <w:rPr>
          <w:rtl/>
        </w:rPr>
      </w:pPr>
      <w:r w:rsidRPr="00760DB7">
        <w:rPr>
          <w:rFonts w:hint="cs"/>
          <w:rtl/>
        </w:rPr>
        <w:t xml:space="preserve">ואחרי עניין זה שהוא </w:t>
      </w:r>
      <w:r w:rsidRPr="00760DB7">
        <w:rPr>
          <w:rFonts w:hint="cs"/>
          <w:b/>
          <w:bCs/>
          <w:rtl/>
        </w:rPr>
        <w:t>צדדי</w:t>
      </w:r>
      <w:r w:rsidRPr="00760DB7">
        <w:rPr>
          <w:rFonts w:hint="cs"/>
          <w:rtl/>
        </w:rPr>
        <w:t xml:space="preserve"> </w:t>
      </w:r>
      <w:r w:rsidRPr="00760DB7">
        <w:rPr>
          <w:rtl/>
        </w:rPr>
        <w:t>–</w:t>
      </w:r>
      <w:r w:rsidRPr="00760DB7">
        <w:rPr>
          <w:rFonts w:hint="cs"/>
          <w:rtl/>
        </w:rPr>
        <w:t xml:space="preserve"> ומבאר ענין </w:t>
      </w:r>
      <w:r w:rsidRPr="00760DB7">
        <w:rPr>
          <w:rFonts w:hint="cs"/>
          <w:b/>
          <w:bCs/>
          <w:rtl/>
        </w:rPr>
        <w:t>ד' לשונות של גאולה</w:t>
      </w:r>
      <w:r w:rsidRPr="00760DB7">
        <w:rPr>
          <w:rFonts w:hint="cs"/>
          <w:rtl/>
        </w:rPr>
        <w:t xml:space="preserve"> </w:t>
      </w:r>
      <w:r w:rsidRPr="00760DB7">
        <w:rPr>
          <w:rtl/>
        </w:rPr>
        <w:t>–</w:t>
      </w:r>
      <w:r w:rsidRPr="00760DB7">
        <w:rPr>
          <w:rFonts w:hint="cs"/>
          <w:rtl/>
        </w:rPr>
        <w:t xml:space="preserve"> שהם ורק הם יסוד תקנת ד' כוסות, ממשיך לבאר </w:t>
      </w:r>
      <w:r w:rsidRPr="00760DB7">
        <w:rPr>
          <w:rFonts w:hint="cs"/>
          <w:b/>
          <w:bCs/>
          <w:rtl/>
        </w:rPr>
        <w:t>למה נתקנו על הכוס</w:t>
      </w:r>
      <w:r w:rsidRPr="00760DB7">
        <w:rPr>
          <w:rFonts w:hint="cs"/>
          <w:rtl/>
        </w:rPr>
        <w:t xml:space="preserve"> ולא בדבר אחר במספר ארבע.</w:t>
      </w:r>
    </w:p>
    <w:p w:rsidR="00C43231" w:rsidRPr="00760DB7" w:rsidRDefault="00C43231" w:rsidP="00C43231">
      <w:pPr>
        <w:pStyle w:val="a3"/>
        <w:rPr>
          <w:rtl/>
        </w:rPr>
      </w:pPr>
      <w:r w:rsidRPr="00760DB7">
        <w:rPr>
          <w:rFonts w:hint="cs"/>
          <w:rtl/>
        </w:rPr>
        <w:t>ו</w:t>
      </w:r>
      <w:r w:rsidRPr="00760DB7">
        <w:rPr>
          <w:rFonts w:hint="cs"/>
          <w:b/>
          <w:bCs/>
          <w:rtl/>
        </w:rPr>
        <w:t>לזה</w:t>
      </w:r>
      <w:r w:rsidRPr="00760DB7">
        <w:rPr>
          <w:rFonts w:hint="cs"/>
          <w:rtl/>
        </w:rPr>
        <w:t xml:space="preserve"> מבאר שהם כנגד "ד' </w:t>
      </w:r>
      <w:r w:rsidRPr="00760DB7">
        <w:rPr>
          <w:rFonts w:hint="cs"/>
          <w:b/>
          <w:bCs/>
          <w:rtl/>
        </w:rPr>
        <w:t>כוסות</w:t>
      </w:r>
      <w:r w:rsidRPr="00760DB7">
        <w:rPr>
          <w:rFonts w:hint="cs"/>
          <w:rtl/>
        </w:rPr>
        <w:t xml:space="preserve"> של פרעה" כמפורש במדרש, שחלום שר המשקים הוא "גאולתן של ישראל" ו"מכאן קבעו חכמים ד' </w:t>
      </w:r>
      <w:r w:rsidRPr="00760DB7">
        <w:rPr>
          <w:rFonts w:hint="cs"/>
          <w:b/>
          <w:bCs/>
          <w:rtl/>
        </w:rPr>
        <w:t>כוסות</w:t>
      </w:r>
      <w:r w:rsidRPr="00760DB7">
        <w:rPr>
          <w:rFonts w:hint="cs"/>
          <w:rtl/>
        </w:rPr>
        <w:t xml:space="preserve"> של לילי פסח".</w:t>
      </w:r>
    </w:p>
    <w:p w:rsidR="00C43231" w:rsidRPr="00760DB7" w:rsidRDefault="00C43231" w:rsidP="00C43231">
      <w:pPr>
        <w:pStyle w:val="a3"/>
        <w:rPr>
          <w:rtl/>
        </w:rPr>
      </w:pPr>
      <w:r w:rsidRPr="00760DB7">
        <w:rPr>
          <w:rFonts w:hint="cs"/>
          <w:rtl/>
        </w:rPr>
        <w:t xml:space="preserve">וממשיך לבאר שבאותו החלום של פרעה נרמזו כל הגלויות ובמילא כל הגאולות </w:t>
      </w:r>
      <w:r w:rsidRPr="00760DB7">
        <w:rPr>
          <w:rtl/>
        </w:rPr>
        <w:t>–</w:t>
      </w:r>
      <w:r w:rsidRPr="00760DB7">
        <w:rPr>
          <w:rFonts w:hint="cs"/>
          <w:rtl/>
        </w:rPr>
        <w:t xml:space="preserve"> שבכולם יש ד' </w:t>
      </w:r>
      <w:r w:rsidRPr="00760DB7">
        <w:rPr>
          <w:rFonts w:hint="cs"/>
          <w:b/>
          <w:bCs/>
          <w:rtl/>
        </w:rPr>
        <w:t>כוסות</w:t>
      </w:r>
      <w:r w:rsidRPr="00760DB7">
        <w:rPr>
          <w:rFonts w:hint="cs"/>
          <w:rtl/>
        </w:rPr>
        <w:t xml:space="preserve">, הן כוסות של פורענות והן של נחמה כמבואר בירושלמי (ועפ"ז יומתק מה שאינו מציין דבר הכי פשוט שהשקיית ד' הכוסות תהיה לעת"ל. כיון שד' כוסות שאנו שותים אינם כנגד ד' כוסות של פורענות ונחמה דלעת"ל, אלא כנגד ד' פעמים 'כוס' שנאמרה בחלום שר המשקים, שהיא עניין כללי הנוגע לכל הגלויות והגאולות). </w:t>
      </w:r>
    </w:p>
    <w:p w:rsidR="00C43231" w:rsidRPr="00760DB7" w:rsidRDefault="00C43231" w:rsidP="00C43231">
      <w:pPr>
        <w:pStyle w:val="a3"/>
        <w:rPr>
          <w:rtl/>
        </w:rPr>
      </w:pPr>
      <w:r w:rsidRPr="00760DB7">
        <w:rPr>
          <w:rFonts w:hint="cs"/>
          <w:rtl/>
        </w:rPr>
        <w:t>וכאן מסיים הרבי בציון נקודה. כיון שנשלם הענין לגמרי.</w:t>
      </w:r>
    </w:p>
    <w:p w:rsidR="00C43231" w:rsidRPr="00760DB7" w:rsidRDefault="00C43231" w:rsidP="00C43231">
      <w:pPr>
        <w:pStyle w:val="a3"/>
        <w:rPr>
          <w:rtl/>
        </w:rPr>
      </w:pPr>
      <w:r w:rsidRPr="00760DB7">
        <w:rPr>
          <w:rFonts w:hint="cs"/>
          <w:rtl/>
        </w:rPr>
        <w:t xml:space="preserve">ואז </w:t>
      </w:r>
      <w:r w:rsidRPr="00760DB7">
        <w:rPr>
          <w:rFonts w:hint="cs"/>
          <w:b/>
          <w:bCs/>
          <w:rtl/>
        </w:rPr>
        <w:t>מוסיף</w:t>
      </w:r>
      <w:r w:rsidRPr="00760DB7">
        <w:rPr>
          <w:rFonts w:hint="cs"/>
          <w:rtl/>
        </w:rPr>
        <w:t xml:space="preserve"> מדברי השל"ה שד' כוסות הם כנגד ד' אותיות של שם הוי', שהוא ביאור כל העניין ע"פ קבלה, והיינו שיש גלות בכל אחד מאותיות שם הוי' וגאולה כנגדה. </w:t>
      </w:r>
    </w:p>
    <w:p w:rsidR="00C43231" w:rsidRPr="00760DB7" w:rsidRDefault="00C43231" w:rsidP="00C43231">
      <w:pPr>
        <w:pStyle w:val="a3"/>
        <w:rPr>
          <w:rtl/>
        </w:rPr>
      </w:pPr>
      <w:r w:rsidRPr="00760DB7">
        <w:rPr>
          <w:rFonts w:hint="cs"/>
          <w:rtl/>
        </w:rPr>
        <w:t>(ולהעיר שעניין זה נתבאר בדא"ח, שהוא ענין ד' תשובות שבלקו"ת פ' בלק וכו', ושייכות כל אחת מהן ללשון של גאולה המתאים לה. ראה ד"ה לכן אמור תשכ"א וש"נ)</w:t>
      </w:r>
    </w:p>
    <w:p w:rsidR="00C43231" w:rsidRPr="00760DB7" w:rsidRDefault="00C43231" w:rsidP="00C43231">
      <w:pPr>
        <w:pStyle w:val="11"/>
        <w:bidi/>
        <w:rPr>
          <w:rtl/>
        </w:rPr>
      </w:pPr>
      <w:r w:rsidRPr="00760DB7">
        <w:rPr>
          <w:rFonts w:hint="cs"/>
          <w:rtl/>
        </w:rPr>
        <w:t>ג.</w:t>
      </w:r>
    </w:p>
    <w:p w:rsidR="00C43231" w:rsidRPr="00760DB7" w:rsidRDefault="00C43231" w:rsidP="00C43231">
      <w:pPr>
        <w:pStyle w:val="a3"/>
        <w:rPr>
          <w:rtl/>
        </w:rPr>
      </w:pPr>
      <w:r w:rsidRPr="00760DB7">
        <w:rPr>
          <w:rFonts w:hint="cs"/>
          <w:rtl/>
        </w:rPr>
        <w:t>ב'קדש', ד"ה כשחל:</w:t>
      </w:r>
    </w:p>
    <w:p w:rsidR="00C43231" w:rsidRPr="00760DB7" w:rsidRDefault="00C43231" w:rsidP="00C43231">
      <w:pPr>
        <w:pStyle w:val="a3"/>
        <w:rPr>
          <w:rtl/>
        </w:rPr>
      </w:pPr>
      <w:r w:rsidRPr="00760DB7">
        <w:rPr>
          <w:rFonts w:hint="cs"/>
          <w:rtl/>
        </w:rPr>
        <w:t xml:space="preserve">"כשחל יו"ט בשבת אומרים תחלה יום השישי (פסחים קו, א ותוד"ה זוכרהו)". </w:t>
      </w:r>
    </w:p>
    <w:p w:rsidR="00C43231" w:rsidRPr="00760DB7" w:rsidRDefault="00C43231" w:rsidP="00C43231">
      <w:pPr>
        <w:pStyle w:val="a3"/>
        <w:rPr>
          <w:rtl/>
        </w:rPr>
      </w:pPr>
      <w:r w:rsidRPr="00760DB7">
        <w:rPr>
          <w:rFonts w:hint="cs"/>
          <w:rtl/>
        </w:rPr>
        <w:t xml:space="preserve">בגמ' פסחים שם איתא "תנו רבנן, זכור את יום השבת לקדשו </w:t>
      </w:r>
      <w:r w:rsidRPr="00760DB7">
        <w:rPr>
          <w:rtl/>
        </w:rPr>
        <w:t>–</w:t>
      </w:r>
      <w:r w:rsidRPr="00760DB7">
        <w:rPr>
          <w:rFonts w:hint="cs"/>
          <w:rtl/>
        </w:rPr>
        <w:t xml:space="preserve"> זוכרהו על היין".</w:t>
      </w:r>
    </w:p>
    <w:p w:rsidR="00C43231" w:rsidRPr="00760DB7" w:rsidRDefault="00C43231" w:rsidP="00C43231">
      <w:pPr>
        <w:pStyle w:val="a3"/>
        <w:rPr>
          <w:rtl/>
        </w:rPr>
      </w:pPr>
      <w:r w:rsidRPr="00760DB7">
        <w:rPr>
          <w:rFonts w:hint="cs"/>
          <w:rtl/>
        </w:rPr>
        <w:t>ובתוס' שם מבאר: "ומה שרגילין לומר 'ויכולו' אחר התפילה בקול רם, היינו משום י"ט שחל להיות בשבת, שמתפללין 'אתה בחרתנו', ואין אומר 'ויכולו' בתפלה. ותקנו נמי לומר בכל שבתות שלא לחלק בין שבת לשבת.</w:t>
      </w:r>
    </w:p>
    <w:p w:rsidR="00C43231" w:rsidRPr="00760DB7" w:rsidRDefault="00C43231" w:rsidP="00C43231">
      <w:pPr>
        <w:pStyle w:val="a3"/>
        <w:rPr>
          <w:rtl/>
        </w:rPr>
      </w:pPr>
      <w:r w:rsidRPr="00760DB7">
        <w:rPr>
          <w:rFonts w:hint="cs"/>
          <w:rtl/>
        </w:rPr>
        <w:t xml:space="preserve">והיינו שטעם אמירת 'ויכולו' אחר התפילה, אף שכבר נאמר בתפילה </w:t>
      </w:r>
      <w:r w:rsidRPr="00760DB7">
        <w:rPr>
          <w:rtl/>
        </w:rPr>
        <w:t>–</w:t>
      </w:r>
      <w:r w:rsidRPr="00760DB7">
        <w:rPr>
          <w:rFonts w:hint="cs"/>
          <w:rtl/>
        </w:rPr>
        <w:t xml:space="preserve"> היא בשל מצב של "כשחל יו"ט בשבת", וממנו נלמד לכל שבתות השבנה.</w:t>
      </w:r>
    </w:p>
    <w:p w:rsidR="00C43231" w:rsidRPr="00760DB7" w:rsidRDefault="00C43231" w:rsidP="00C43231">
      <w:pPr>
        <w:pStyle w:val="a3"/>
        <w:rPr>
          <w:rtl/>
        </w:rPr>
      </w:pPr>
      <w:r w:rsidRPr="00760DB7">
        <w:rPr>
          <w:rFonts w:hint="cs"/>
          <w:rtl/>
        </w:rPr>
        <w:t xml:space="preserve">והנה אריכות הדברים בתוס' שם הוא על זכירה על היין, ובהא איירי הן קודם דבר זה, ואין אחר דבר זה. ונראה בדבריהם שהוא גם טעם אמירת 'ויכולו' על הכוס. דמצוות קידוש על היין </w:t>
      </w:r>
      <w:r w:rsidRPr="00760DB7">
        <w:rPr>
          <w:rFonts w:hint="cs"/>
          <w:rtl/>
        </w:rPr>
        <w:lastRenderedPageBreak/>
        <w:t>היא על הברכה דייקא ולא על 'ויכולו'.</w:t>
      </w:r>
    </w:p>
    <w:p w:rsidR="00C43231" w:rsidRPr="00760DB7" w:rsidRDefault="00C43231" w:rsidP="00C43231">
      <w:pPr>
        <w:pStyle w:val="a3"/>
        <w:rPr>
          <w:rtl/>
        </w:rPr>
      </w:pPr>
      <w:r w:rsidRPr="00760DB7">
        <w:rPr>
          <w:rFonts w:hint="cs"/>
          <w:rtl/>
        </w:rPr>
        <w:t xml:space="preserve">וזוהי כוונת כ"ק בציון לתוס' </w:t>
      </w:r>
      <w:r w:rsidRPr="00760DB7">
        <w:rPr>
          <w:rtl/>
        </w:rPr>
        <w:t>–</w:t>
      </w:r>
      <w:r w:rsidRPr="00760DB7">
        <w:rPr>
          <w:rFonts w:hint="cs"/>
          <w:rtl/>
        </w:rPr>
        <w:t xml:space="preserve"> שאמירת 'יום השישי' (שהוא תחילת 'ויכולו' </w:t>
      </w:r>
      <w:r w:rsidRPr="00760DB7">
        <w:rPr>
          <w:rtl/>
        </w:rPr>
        <w:t>–</w:t>
      </w:r>
      <w:r w:rsidRPr="00760DB7">
        <w:rPr>
          <w:rFonts w:hint="cs"/>
          <w:rtl/>
        </w:rPr>
        <w:t xml:space="preserve"> כמבואר בהמשך הפסקא) הוא מיוחד ל"כשחל יו"ט בשבת", וממנו נלמד לכל שבתות השנה.</w:t>
      </w:r>
    </w:p>
    <w:p w:rsidR="00C43231" w:rsidRPr="00760DB7" w:rsidRDefault="00C43231" w:rsidP="00C43231">
      <w:pPr>
        <w:pStyle w:val="a3"/>
        <w:rPr>
          <w:rtl/>
        </w:rPr>
      </w:pPr>
      <w:r w:rsidRPr="00760DB7">
        <w:rPr>
          <w:rFonts w:hint="cs"/>
          <w:rtl/>
        </w:rPr>
        <w:t>(ולחינם נדחק רשב"ל בהגדתו לפרש כוונת רבינו).</w:t>
      </w:r>
    </w:p>
    <w:p w:rsidR="00C43231" w:rsidRPr="00760DB7" w:rsidRDefault="00C43231" w:rsidP="00C43231">
      <w:pPr>
        <w:pStyle w:val="11"/>
        <w:bidi/>
        <w:rPr>
          <w:rtl/>
        </w:rPr>
      </w:pPr>
      <w:r w:rsidRPr="00760DB7">
        <w:rPr>
          <w:rFonts w:hint="cs"/>
          <w:rtl/>
        </w:rPr>
        <w:t>ד.</w:t>
      </w:r>
    </w:p>
    <w:p w:rsidR="00C43231" w:rsidRPr="00760DB7" w:rsidRDefault="00C43231" w:rsidP="00C43231">
      <w:pPr>
        <w:pStyle w:val="a3"/>
        <w:rPr>
          <w:rtl/>
        </w:rPr>
      </w:pPr>
      <w:r w:rsidRPr="00760DB7">
        <w:rPr>
          <w:rFonts w:hint="cs"/>
          <w:rtl/>
        </w:rPr>
        <w:t xml:space="preserve">בא"ד, בהמשך דבריו: </w:t>
      </w:r>
    </w:p>
    <w:p w:rsidR="00C43231" w:rsidRPr="00760DB7" w:rsidRDefault="00C43231" w:rsidP="00C43231">
      <w:pPr>
        <w:pStyle w:val="a3"/>
        <w:rPr>
          <w:rtl/>
        </w:rPr>
      </w:pPr>
      <w:r w:rsidRPr="00760DB7">
        <w:rPr>
          <w:rFonts w:hint="cs"/>
          <w:rtl/>
        </w:rPr>
        <w:t>"מתחילין יום הששי (ולא מ"ויכולו"), כי יום השישי ויכולו השמים ר"ת הוי'. וכשמתחיל יתן עינין בנרות ובשעת ברכת הקידוש בכוס (רמ"א סי' רע"א ס"י). אין להתחיל מתחילת המקרא וירא אלוקים כו' משום דדרז"ל טוב מאוד זה המות (שו"ת חתם סופר חאו"ח ס"י)".</w:t>
      </w:r>
    </w:p>
    <w:p w:rsidR="00C43231" w:rsidRPr="00760DB7" w:rsidRDefault="00C43231" w:rsidP="00C43231">
      <w:pPr>
        <w:pStyle w:val="a3"/>
        <w:rPr>
          <w:rtl/>
        </w:rPr>
      </w:pPr>
      <w:r w:rsidRPr="00760DB7">
        <w:rPr>
          <w:rFonts w:hint="cs"/>
          <w:rtl/>
        </w:rPr>
        <w:t xml:space="preserve">אמירת 'ויכולו' על הכוס נתבארה במוסגר שבתחילת הפסקא (כמ"ש לעיל) </w:t>
      </w:r>
      <w:r w:rsidRPr="00760DB7">
        <w:rPr>
          <w:rtl/>
        </w:rPr>
        <w:t>–</w:t>
      </w:r>
      <w:r w:rsidRPr="00760DB7">
        <w:rPr>
          <w:rFonts w:hint="cs"/>
          <w:rtl/>
        </w:rPr>
        <w:t xml:space="preserve"> אלא שעדיין יוקשה מדוע מתחילין "יום השישי" ולא "ויכולו", וע"ז הביא שהוא ר"ת שם הוי'. ועדיין יוקשה, דהא פסוק שלא פסקיה משה לא פסקינן ליה, ולמה לא להתחיל מתחילת המקרא "וירא אלקים את כל אשר עשה והנה טוב מאד" </w:t>
      </w:r>
      <w:r w:rsidRPr="00760DB7">
        <w:rPr>
          <w:rtl/>
        </w:rPr>
        <w:t>–</w:t>
      </w:r>
      <w:r w:rsidRPr="00760DB7">
        <w:rPr>
          <w:rFonts w:hint="cs"/>
          <w:rtl/>
        </w:rPr>
        <w:t xml:space="preserve"> וכנוסח כמה סידורים </w:t>
      </w:r>
      <w:r w:rsidRPr="00760DB7">
        <w:rPr>
          <w:rtl/>
        </w:rPr>
        <w:t>–</w:t>
      </w:r>
      <w:r w:rsidRPr="00760DB7">
        <w:rPr>
          <w:rFonts w:hint="cs"/>
          <w:rtl/>
        </w:rPr>
        <w:t xml:space="preserve"> וע"ז מביא מהחת"ס שלא נכון להתחיל מתחילת הפסוק המדבר על מה"מ.</w:t>
      </w:r>
    </w:p>
    <w:p w:rsidR="00C43231" w:rsidRPr="00760DB7" w:rsidRDefault="00C43231" w:rsidP="00C43231">
      <w:pPr>
        <w:pStyle w:val="a3"/>
        <w:rPr>
          <w:rtl/>
        </w:rPr>
      </w:pPr>
      <w:r w:rsidRPr="00760DB7">
        <w:rPr>
          <w:rFonts w:hint="cs"/>
          <w:rtl/>
        </w:rPr>
        <w:t xml:space="preserve">וא"כ תורף קטע זה בהגדה הוא ביאור </w:t>
      </w:r>
      <w:r w:rsidRPr="00760DB7">
        <w:rPr>
          <w:rFonts w:hint="cs"/>
          <w:b/>
          <w:bCs/>
          <w:rtl/>
        </w:rPr>
        <w:t>בנוסח</w:t>
      </w:r>
      <w:r w:rsidRPr="00760DB7">
        <w:rPr>
          <w:rFonts w:hint="cs"/>
          <w:rtl/>
        </w:rPr>
        <w:t xml:space="preserve"> רבינו הזקן. רק שעפ"ז יוקשה:</w:t>
      </w:r>
    </w:p>
    <w:p w:rsidR="00C43231" w:rsidRPr="00760DB7" w:rsidRDefault="00C43231" w:rsidP="00C43231">
      <w:pPr>
        <w:pStyle w:val="a3"/>
      </w:pPr>
      <w:r w:rsidRPr="00760DB7">
        <w:rPr>
          <w:rFonts w:hint="cs"/>
          <w:rtl/>
        </w:rPr>
        <w:t xml:space="preserve">מדוע מכניס באמצע, בין ההתחלה ב"יום הששי" משום ר"ת הוי' </w:t>
      </w:r>
      <w:r w:rsidRPr="00760DB7">
        <w:rPr>
          <w:rtl/>
        </w:rPr>
        <w:t>–</w:t>
      </w:r>
      <w:r w:rsidRPr="00760DB7">
        <w:rPr>
          <w:rFonts w:hint="cs"/>
          <w:rtl/>
        </w:rPr>
        <w:t xml:space="preserve"> ובין הביאור מהחת"ס במה שלא מתחיל "וירא אלוקים", את </w:t>
      </w:r>
      <w:r w:rsidRPr="00760DB7">
        <w:rPr>
          <w:rFonts w:hint="cs"/>
          <w:b/>
          <w:bCs/>
          <w:rtl/>
        </w:rPr>
        <w:t>הדין</w:t>
      </w:r>
      <w:r w:rsidRPr="00760DB7">
        <w:rPr>
          <w:rFonts w:hint="cs"/>
          <w:rtl/>
        </w:rPr>
        <w:t xml:space="preserve"> שיש לתת עיניו בנרות ובשעת ברכת הקידוש בכוס?</w:t>
      </w:r>
    </w:p>
    <w:p w:rsidR="00C43231" w:rsidRPr="00760DB7" w:rsidRDefault="00C43231" w:rsidP="00C43231">
      <w:pPr>
        <w:pStyle w:val="a3"/>
        <w:rPr>
          <w:rtl/>
        </w:rPr>
      </w:pPr>
      <w:r w:rsidRPr="00760DB7">
        <w:rPr>
          <w:rFonts w:hint="cs"/>
          <w:rtl/>
        </w:rPr>
        <w:t xml:space="preserve">ולכאורה הביאור שברמ"א שם כתוב בהמשך אחד ב' העניינים: שמתחילים 'יום השישי' כי הוא ר"ת הוי', וכשמתחיל יתן עיניו בכוס. וכ"ה גם בשוע"ר (רעא סי"ט) </w:t>
      </w:r>
      <w:r w:rsidRPr="00760DB7">
        <w:rPr>
          <w:rtl/>
        </w:rPr>
        <w:t>–</w:t>
      </w:r>
      <w:r w:rsidRPr="00760DB7">
        <w:rPr>
          <w:rFonts w:hint="cs"/>
          <w:rtl/>
        </w:rPr>
        <w:t xml:space="preserve"> אלא שלא ציין לו כמבואר לעיל כלל א'. ובב' המקומות זהו בהמשך אחד.</w:t>
      </w:r>
    </w:p>
    <w:p w:rsidR="00C43231" w:rsidRPr="00760DB7" w:rsidRDefault="00C43231" w:rsidP="00C43231">
      <w:pPr>
        <w:pStyle w:val="a3"/>
        <w:rPr>
          <w:rtl/>
        </w:rPr>
      </w:pPr>
      <w:r w:rsidRPr="00760DB7">
        <w:rPr>
          <w:rFonts w:hint="cs"/>
          <w:rtl/>
        </w:rPr>
        <w:t xml:space="preserve">וא"כ הציון "רמ"א סי' רע"א ס"י" הוא ציון על כל ההתחלה </w:t>
      </w:r>
      <w:r w:rsidRPr="00760DB7">
        <w:rPr>
          <w:rtl/>
        </w:rPr>
        <w:t>–</w:t>
      </w:r>
      <w:r w:rsidRPr="00760DB7">
        <w:rPr>
          <w:rFonts w:hint="cs"/>
          <w:rtl/>
        </w:rPr>
        <w:t xml:space="preserve"> מ"מתחילין יום השישי" עד "ברכת הקידוש בכוס". ורק כשמסיים דברי הרמ"א מוסיף כעניין בפ"ע משו"ת חת"ס, מדוע אין מתחילים מתחילת הכתוב.</w:t>
      </w:r>
    </w:p>
    <w:p w:rsidR="00C43231" w:rsidRPr="00760DB7" w:rsidRDefault="00C43231" w:rsidP="00C43231">
      <w:pPr>
        <w:pStyle w:val="a3"/>
        <w:rPr>
          <w:rtl/>
        </w:rPr>
      </w:pPr>
      <w:r w:rsidRPr="00760DB7">
        <w:rPr>
          <w:rFonts w:hint="cs"/>
          <w:rtl/>
        </w:rPr>
        <w:t>ועדיין צריך לשוב ולעיין, למה באמת מביא הרמ"א (ואדה"ז) שני עניינים אלו בחדא מחתא.</w:t>
      </w:r>
    </w:p>
    <w:p w:rsidR="00C43231" w:rsidRPr="00760DB7" w:rsidRDefault="00C43231" w:rsidP="00C43231">
      <w:pPr>
        <w:pStyle w:val="a3"/>
        <w:rPr>
          <w:rtl/>
        </w:rPr>
      </w:pPr>
      <w:r w:rsidRPr="00760DB7">
        <w:rPr>
          <w:rFonts w:hint="cs"/>
          <w:rtl/>
        </w:rPr>
        <w:t xml:space="preserve">ואולי יש לדחוק ולפרש, ע"פ הכלל הנ"ל שכוונת רבינו הוא לתת מקור לדברי אדה"ז גם בשולחנו, וע"כ כתב כאן דינים אלו </w:t>
      </w:r>
      <w:r w:rsidRPr="00760DB7">
        <w:rPr>
          <w:rFonts w:hint="cs"/>
          <w:b/>
          <w:bCs/>
          <w:rtl/>
        </w:rPr>
        <w:t>כציטוט</w:t>
      </w:r>
      <w:r w:rsidRPr="00760DB7">
        <w:rPr>
          <w:rFonts w:hint="cs"/>
          <w:rtl/>
        </w:rPr>
        <w:t xml:space="preserve"> משוע"ר </w:t>
      </w:r>
      <w:r w:rsidRPr="00760DB7">
        <w:rPr>
          <w:rtl/>
        </w:rPr>
        <w:t>–</w:t>
      </w:r>
      <w:r w:rsidRPr="00760DB7">
        <w:rPr>
          <w:rFonts w:hint="cs"/>
          <w:rtl/>
        </w:rPr>
        <w:t xml:space="preserve"> והביא מקורם ברמ"א, וע"כ הביאם בחדא מחתא, כפי שהוא בשוע"ר וברמ"א.</w:t>
      </w:r>
    </w:p>
    <w:p w:rsidR="00C43231" w:rsidRPr="00760DB7" w:rsidRDefault="00C43231" w:rsidP="00C43231">
      <w:pPr>
        <w:pStyle w:val="11"/>
        <w:bidi/>
        <w:rPr>
          <w:rtl/>
        </w:rPr>
      </w:pPr>
      <w:r w:rsidRPr="00760DB7">
        <w:rPr>
          <w:rFonts w:hint="cs"/>
          <w:rtl/>
        </w:rPr>
        <w:t>ה.</w:t>
      </w:r>
    </w:p>
    <w:p w:rsidR="00C43231" w:rsidRPr="00760DB7" w:rsidRDefault="00C43231" w:rsidP="00C43231">
      <w:pPr>
        <w:pStyle w:val="a3"/>
        <w:rPr>
          <w:rtl/>
        </w:rPr>
      </w:pPr>
      <w:r w:rsidRPr="00760DB7">
        <w:rPr>
          <w:rFonts w:hint="cs"/>
          <w:rtl/>
        </w:rPr>
        <w:t>ב'קדש' פסקא "ומועדי":</w:t>
      </w:r>
    </w:p>
    <w:p w:rsidR="00C43231" w:rsidRPr="00760DB7" w:rsidRDefault="00C43231" w:rsidP="00C43231">
      <w:pPr>
        <w:pStyle w:val="a3"/>
        <w:rPr>
          <w:rtl/>
        </w:rPr>
      </w:pPr>
      <w:r w:rsidRPr="00760DB7">
        <w:rPr>
          <w:rFonts w:hint="cs"/>
          <w:rtl/>
        </w:rPr>
        <w:t>"</w:t>
      </w:r>
      <w:r w:rsidRPr="00760DB7">
        <w:rPr>
          <w:rFonts w:hint="cs"/>
          <w:b/>
          <w:bCs/>
          <w:rtl/>
        </w:rPr>
        <w:t>ומועדי</w:t>
      </w:r>
      <w:r w:rsidRPr="00760DB7">
        <w:rPr>
          <w:rFonts w:hint="cs"/>
          <w:rtl/>
        </w:rPr>
        <w:t xml:space="preserve"> גם בחול אומרים ומועדי בוא"ו, וכמו שאומרים ושבת בוא"ו".</w:t>
      </w:r>
    </w:p>
    <w:p w:rsidR="00C43231" w:rsidRPr="00760DB7" w:rsidRDefault="00C43231" w:rsidP="00C43231">
      <w:pPr>
        <w:pStyle w:val="a3"/>
        <w:rPr>
          <w:rtl/>
        </w:rPr>
      </w:pPr>
      <w:r w:rsidRPr="00760DB7">
        <w:rPr>
          <w:rFonts w:hint="cs"/>
          <w:rtl/>
        </w:rPr>
        <w:lastRenderedPageBreak/>
        <w:t>צריך ביאור:</w:t>
      </w:r>
    </w:p>
    <w:p w:rsidR="00C43231" w:rsidRPr="00760DB7" w:rsidRDefault="00C43231" w:rsidP="00C43231">
      <w:pPr>
        <w:pStyle w:val="a3"/>
        <w:rPr>
          <w:rtl/>
        </w:rPr>
      </w:pPr>
      <w:r w:rsidRPr="00760DB7">
        <w:rPr>
          <w:rFonts w:hint="cs"/>
          <w:rtl/>
        </w:rPr>
        <w:t xml:space="preserve">אם זהו ביאור בנוסח אדה"ז, האם מצינו נוסח אחר שבו אין "ומועדי" בוא"ו שרבינו צריך לחדש שיש לומר "ומועדי" בוא"ו? ועוד, דרכו של כ"ק אדמו"ר להביא מקורות לנוסח אדה"ז </w:t>
      </w:r>
      <w:r w:rsidRPr="00760DB7">
        <w:rPr>
          <w:rtl/>
        </w:rPr>
        <w:t>–</w:t>
      </w:r>
      <w:r w:rsidRPr="00760DB7">
        <w:rPr>
          <w:rFonts w:hint="cs"/>
          <w:rtl/>
        </w:rPr>
        <w:t xml:space="preserve"> ובעיון קל נראה שבכל הנוסחאות נאמר "ומועדי" בוא"ו.</w:t>
      </w:r>
    </w:p>
    <w:p w:rsidR="00C43231" w:rsidRPr="00760DB7" w:rsidRDefault="00C43231" w:rsidP="00C43231">
      <w:pPr>
        <w:pStyle w:val="a3"/>
        <w:rPr>
          <w:rtl/>
        </w:rPr>
      </w:pPr>
      <w:r w:rsidRPr="00760DB7">
        <w:rPr>
          <w:rFonts w:hint="cs"/>
          <w:rtl/>
        </w:rPr>
        <w:t>וא"כ מה מבקש כ"ק לומר כאן?</w:t>
      </w:r>
    </w:p>
    <w:p w:rsidR="00C43231" w:rsidRPr="00760DB7" w:rsidRDefault="00C43231" w:rsidP="00C43231">
      <w:pPr>
        <w:pStyle w:val="a3"/>
        <w:rPr>
          <w:rtl/>
        </w:rPr>
      </w:pPr>
      <w:r w:rsidRPr="00760DB7">
        <w:rPr>
          <w:rFonts w:hint="cs"/>
          <w:rtl/>
        </w:rPr>
        <w:t xml:space="preserve">ונראה, שרבינו על דברי שער הכולל קאי. דהוא </w:t>
      </w:r>
      <w:r w:rsidRPr="00760DB7">
        <w:rPr>
          <w:rtl/>
        </w:rPr>
        <w:t>–</w:t>
      </w:r>
      <w:r w:rsidRPr="00760DB7">
        <w:rPr>
          <w:rFonts w:hint="cs"/>
          <w:rtl/>
        </w:rPr>
        <w:t xml:space="preserve"> שער הכולל </w:t>
      </w:r>
      <w:r w:rsidRPr="00760DB7">
        <w:rPr>
          <w:rtl/>
        </w:rPr>
        <w:t>–</w:t>
      </w:r>
      <w:r w:rsidRPr="00760DB7">
        <w:rPr>
          <w:rFonts w:hint="cs"/>
          <w:rtl/>
        </w:rPr>
        <w:t xml:space="preserve"> מזכיר כאן שלמרות שבסדר שמונה עשרה נאמר " והנחילנו ה"א (שבת ו)מועדי קדשך", ושם הו' ד"מועדי" נאמרת רק בשבת, אמנם בנוסח הקידוש הו' ד"ומועדי" היא גם בחול ולא רק בשבת.</w:t>
      </w:r>
    </w:p>
    <w:p w:rsidR="00C43231" w:rsidRPr="00760DB7" w:rsidRDefault="00C43231" w:rsidP="00C43231">
      <w:pPr>
        <w:pStyle w:val="a3"/>
        <w:rPr>
          <w:rtl/>
        </w:rPr>
      </w:pPr>
      <w:r w:rsidRPr="00760DB7">
        <w:rPr>
          <w:rFonts w:hint="cs"/>
          <w:rtl/>
        </w:rPr>
        <w:t>ו</w:t>
      </w:r>
      <w:r w:rsidRPr="00760DB7">
        <w:rPr>
          <w:rFonts w:hint="cs"/>
          <w:b/>
          <w:bCs/>
          <w:rtl/>
        </w:rPr>
        <w:t>על זה</w:t>
      </w:r>
      <w:r w:rsidRPr="00760DB7">
        <w:rPr>
          <w:rFonts w:hint="cs"/>
          <w:rtl/>
        </w:rPr>
        <w:t xml:space="preserve"> מציין כאן הרבי ביאור הדברים בדרך פשוטה.</w:t>
      </w:r>
    </w:p>
    <w:p w:rsidR="00C43231" w:rsidRPr="00760DB7" w:rsidRDefault="00C43231" w:rsidP="00C43231">
      <w:pPr>
        <w:pStyle w:val="a3"/>
        <w:rPr>
          <w:rtl/>
        </w:rPr>
      </w:pPr>
      <w:r w:rsidRPr="00760DB7">
        <w:rPr>
          <w:rFonts w:hint="cs"/>
          <w:rtl/>
        </w:rPr>
        <w:t xml:space="preserve">(והוא כלל גדול בכל המקומות שהרבי מדבר על נוסח הסידור, שהוא קומה נוספת על שער הכולל, ומתייחס תמיד לדבריו, גם אם לא מציין להם </w:t>
      </w:r>
      <w:r w:rsidRPr="00760DB7">
        <w:rPr>
          <w:rtl/>
        </w:rPr>
        <w:t>–</w:t>
      </w:r>
      <w:r w:rsidRPr="00760DB7">
        <w:rPr>
          <w:rFonts w:hint="cs"/>
          <w:rtl/>
        </w:rPr>
        <w:t xml:space="preserve"> והוכח למעלה מכל ספק ב'היום יום' שברוב המקומות שהרבי מביא מנהג, הוא בא לשלול (בד"כ, או לתקף) דברים המופיעים בשער הכולל).</w:t>
      </w:r>
    </w:p>
    <w:p w:rsidR="00C43231" w:rsidRPr="00760DB7" w:rsidRDefault="00C43231" w:rsidP="00C43231">
      <w:pPr>
        <w:pStyle w:val="11"/>
        <w:bidi/>
        <w:rPr>
          <w:rtl/>
        </w:rPr>
      </w:pPr>
      <w:r w:rsidRPr="00760DB7">
        <w:rPr>
          <w:rFonts w:hint="cs"/>
          <w:rtl/>
        </w:rPr>
        <w:t>ו.</w:t>
      </w:r>
    </w:p>
    <w:p w:rsidR="00C43231" w:rsidRPr="00760DB7" w:rsidRDefault="00C43231" w:rsidP="00C43231">
      <w:pPr>
        <w:pStyle w:val="a3"/>
        <w:rPr>
          <w:rtl/>
        </w:rPr>
      </w:pPr>
      <w:r w:rsidRPr="00760DB7">
        <w:rPr>
          <w:rFonts w:hint="cs"/>
          <w:rtl/>
        </w:rPr>
        <w:t>ב'קדש' פסקא "מקדש ישראל והזמנים":</w:t>
      </w:r>
    </w:p>
    <w:p w:rsidR="00C43231" w:rsidRPr="00760DB7" w:rsidRDefault="00C43231" w:rsidP="00C43231">
      <w:pPr>
        <w:pStyle w:val="a3"/>
        <w:rPr>
          <w:rtl/>
        </w:rPr>
      </w:pPr>
      <w:r w:rsidRPr="00760DB7">
        <w:rPr>
          <w:rFonts w:hint="cs"/>
          <w:rtl/>
        </w:rPr>
        <w:t>"</w:t>
      </w:r>
      <w:r w:rsidRPr="00760DB7">
        <w:rPr>
          <w:rFonts w:hint="cs"/>
          <w:b/>
          <w:bCs/>
          <w:rtl/>
        </w:rPr>
        <w:t>מקדש ישראל והזמנים</w:t>
      </w:r>
      <w:r w:rsidRPr="00760DB7">
        <w:rPr>
          <w:rFonts w:hint="cs"/>
          <w:rtl/>
        </w:rPr>
        <w:t xml:space="preserve"> (פסחים קיז, ב). ואין אומרים והמועדים לפי שכל המועדים תלוים בזמנים: פסח בזמן האביב כו' (בחיי ס"פ בא)".</w:t>
      </w:r>
    </w:p>
    <w:p w:rsidR="00C43231" w:rsidRPr="00760DB7" w:rsidRDefault="00C43231" w:rsidP="00C43231">
      <w:pPr>
        <w:pStyle w:val="a3"/>
        <w:rPr>
          <w:rtl/>
        </w:rPr>
      </w:pPr>
      <w:r w:rsidRPr="00760DB7">
        <w:rPr>
          <w:rFonts w:hint="cs"/>
          <w:rtl/>
        </w:rPr>
        <w:t>כוונת השאלה והביאור:</w:t>
      </w:r>
    </w:p>
    <w:p w:rsidR="00C43231" w:rsidRPr="00760DB7" w:rsidRDefault="00C43231" w:rsidP="00C43231">
      <w:pPr>
        <w:pStyle w:val="a3"/>
        <w:rPr>
          <w:rtl/>
        </w:rPr>
      </w:pPr>
      <w:r w:rsidRPr="00760DB7">
        <w:rPr>
          <w:rFonts w:hint="cs"/>
          <w:rtl/>
        </w:rPr>
        <w:t>בגמ' פסחים שם מבאר מדוע אי"ז חתימה בשתיים, שכן "ישראל אינהו דמקדשינהו לזמני".</w:t>
      </w:r>
    </w:p>
    <w:p w:rsidR="00C43231" w:rsidRPr="00760DB7" w:rsidRDefault="00C43231" w:rsidP="00C43231">
      <w:pPr>
        <w:pStyle w:val="a3"/>
        <w:rPr>
          <w:rtl/>
        </w:rPr>
      </w:pPr>
      <w:r w:rsidRPr="00760DB7">
        <w:rPr>
          <w:rFonts w:hint="cs"/>
          <w:rtl/>
        </w:rPr>
        <w:t xml:space="preserve">וע"ז מקשה שטפי הו"ל לומר "והמועדים" </w:t>
      </w:r>
      <w:r w:rsidRPr="00760DB7">
        <w:rPr>
          <w:rtl/>
        </w:rPr>
        <w:t>–</w:t>
      </w:r>
      <w:r w:rsidRPr="00760DB7">
        <w:rPr>
          <w:rFonts w:hint="cs"/>
          <w:rtl/>
        </w:rPr>
        <w:t xml:space="preserve"> שכן ישראל מקדשים את המועדים ולא את הזמנים (לא ישראל קובעים מתי יהיה האביב או הקיץ, אלא מתי יהיה פסח וכו'),</w:t>
      </w:r>
    </w:p>
    <w:p w:rsidR="00C43231" w:rsidRPr="00760DB7" w:rsidRDefault="00C43231" w:rsidP="00C43231">
      <w:pPr>
        <w:pStyle w:val="a3"/>
        <w:rPr>
          <w:rtl/>
        </w:rPr>
      </w:pPr>
      <w:r w:rsidRPr="00760DB7">
        <w:rPr>
          <w:rFonts w:hint="cs"/>
          <w:rtl/>
        </w:rPr>
        <w:t>וע"כ מביא מרבינו בחיי עומק במשמעות הגמרא: הזמנים הם ה'חפצא' שאותם מקדשים ישראל והופכים למועדים.</w:t>
      </w:r>
    </w:p>
    <w:p w:rsidR="00C43231" w:rsidRPr="00760DB7" w:rsidRDefault="00C43231" w:rsidP="00C43231">
      <w:pPr>
        <w:pStyle w:val="a3"/>
        <w:rPr>
          <w:rtl/>
        </w:rPr>
      </w:pPr>
      <w:r w:rsidRPr="00760DB7">
        <w:rPr>
          <w:rFonts w:hint="cs"/>
          <w:rtl/>
        </w:rPr>
        <w:t xml:space="preserve">כלומר: עצם קדושת המועד אינה תלויה בישראל, שהרי התורה קבעה את מועד חג הפסח וכו' </w:t>
      </w:r>
      <w:r w:rsidRPr="00760DB7">
        <w:rPr>
          <w:rtl/>
        </w:rPr>
        <w:t>–</w:t>
      </w:r>
      <w:r w:rsidRPr="00760DB7">
        <w:rPr>
          <w:rFonts w:hint="cs"/>
          <w:rtl/>
        </w:rPr>
        <w:t xml:space="preserve"> ורק שישראל קובעים את קביעות המועד, וכאשר בא המועד לפי קביעות ישראל מתקדש חג הפסח בקדושתו של מקום ולא בקדושת ישראל, וא"כ שוב הוי חתימה בשתיים: מקדש ישראל (שקובעים את זמן המועדים, ו)המועדים (עצמם).</w:t>
      </w:r>
    </w:p>
    <w:p w:rsidR="00BD272D" w:rsidRDefault="00C43231" w:rsidP="00C43231">
      <w:pPr>
        <w:pStyle w:val="a3"/>
        <w:rPr>
          <w:rtl/>
        </w:rPr>
      </w:pPr>
      <w:r w:rsidRPr="00760DB7">
        <w:rPr>
          <w:rFonts w:hint="cs"/>
          <w:b/>
          <w:bCs/>
          <w:rtl/>
        </w:rPr>
        <w:t>ועל כן</w:t>
      </w:r>
      <w:r w:rsidRPr="00760DB7">
        <w:rPr>
          <w:rFonts w:hint="cs"/>
          <w:rtl/>
        </w:rPr>
        <w:t xml:space="preserve"> אומרים "מקדש ישראל </w:t>
      </w:r>
      <w:r w:rsidRPr="00760DB7">
        <w:rPr>
          <w:rFonts w:hint="cs"/>
          <w:b/>
          <w:bCs/>
          <w:rtl/>
        </w:rPr>
        <w:t>והזמנים</w:t>
      </w:r>
      <w:r w:rsidRPr="00760DB7">
        <w:rPr>
          <w:rFonts w:hint="cs"/>
          <w:rtl/>
        </w:rPr>
        <w:t xml:space="preserve">", כי ישראל לוקחים את </w:t>
      </w:r>
      <w:r w:rsidRPr="00760DB7">
        <w:rPr>
          <w:rFonts w:hint="cs"/>
          <w:b/>
          <w:bCs/>
          <w:rtl/>
        </w:rPr>
        <w:t>הזמן</w:t>
      </w:r>
      <w:r w:rsidRPr="00760DB7">
        <w:rPr>
          <w:rFonts w:hint="cs"/>
          <w:rtl/>
        </w:rPr>
        <w:t xml:space="preserve"> </w:t>
      </w:r>
      <w:r w:rsidRPr="00760DB7">
        <w:rPr>
          <w:rtl/>
        </w:rPr>
        <w:t>–</w:t>
      </w:r>
      <w:r w:rsidRPr="00760DB7">
        <w:rPr>
          <w:rFonts w:hint="cs"/>
          <w:rtl/>
        </w:rPr>
        <w:t xml:space="preserve"> האביב וכיו"ב, שאינו קדוש, ומקדשים אותו להיות מועד. ורק כך הוא חתימה באחת ולא בשתיים.</w:t>
      </w:r>
    </w:p>
    <w:p w:rsidR="00BD272D" w:rsidRDefault="00BD272D">
      <w:pPr>
        <w:rPr>
          <w:rFonts w:ascii="FbFrankReal" w:eastAsia="Calibri" w:hAnsi="FbFrankReal" w:cs="FbFrankReal"/>
          <w:color w:val="000000" w:themeColor="text1"/>
          <w:bdr w:val="nil"/>
          <w:rtl/>
          <w:lang w:val="bg-BG"/>
        </w:rPr>
      </w:pPr>
      <w:r>
        <w:rPr>
          <w:rtl/>
        </w:rPr>
        <w:br w:type="page"/>
      </w:r>
    </w:p>
    <w:p w:rsidR="00C43231" w:rsidRPr="00760DB7" w:rsidRDefault="00C43231" w:rsidP="00C43231">
      <w:pPr>
        <w:pStyle w:val="11"/>
        <w:bidi/>
        <w:rPr>
          <w:rtl/>
        </w:rPr>
      </w:pPr>
      <w:r w:rsidRPr="00760DB7">
        <w:rPr>
          <w:rFonts w:hint="cs"/>
          <w:rtl/>
        </w:rPr>
        <w:lastRenderedPageBreak/>
        <w:t>ז.</w:t>
      </w:r>
    </w:p>
    <w:p w:rsidR="00C43231" w:rsidRPr="00760DB7" w:rsidRDefault="00C43231" w:rsidP="00C43231">
      <w:pPr>
        <w:pStyle w:val="a3"/>
        <w:rPr>
          <w:rtl/>
        </w:rPr>
      </w:pPr>
      <w:r w:rsidRPr="00760DB7">
        <w:rPr>
          <w:rFonts w:hint="cs"/>
          <w:rtl/>
        </w:rPr>
        <w:t>ב'ורחץ':</w:t>
      </w:r>
    </w:p>
    <w:p w:rsidR="00C43231" w:rsidRPr="00760DB7" w:rsidRDefault="00C43231" w:rsidP="00C43231">
      <w:pPr>
        <w:pStyle w:val="a3"/>
        <w:rPr>
          <w:rtl/>
        </w:rPr>
      </w:pPr>
      <w:r w:rsidRPr="00760DB7">
        <w:rPr>
          <w:rFonts w:hint="cs"/>
          <w:rtl/>
        </w:rPr>
        <w:t>"</w:t>
      </w:r>
      <w:r w:rsidRPr="00760DB7">
        <w:rPr>
          <w:rFonts w:hint="cs"/>
          <w:b/>
          <w:bCs/>
          <w:rtl/>
        </w:rPr>
        <w:t>ורחץ ונוטל ידיו ואינו מברך</w:t>
      </w:r>
      <w:r w:rsidRPr="00760DB7">
        <w:rPr>
          <w:rFonts w:hint="cs"/>
          <w:rtl/>
        </w:rPr>
        <w:t xml:space="preserve"> כי הבא לאכול דבר שטיבולו במשקה צריך נטילת ידים תחלה (פסחים קטו, א) בלא ברכה כי ספק ברכות להקל (שו"ע רבינו סי' קנח ס"ג). ואף מי שאינו נזהר בזה כל השנה </w:t>
      </w:r>
      <w:r w:rsidRPr="00760DB7">
        <w:rPr>
          <w:rtl/>
        </w:rPr>
        <w:t>–</w:t>
      </w:r>
      <w:r w:rsidRPr="00760DB7">
        <w:rPr>
          <w:rFonts w:hint="cs"/>
          <w:rtl/>
        </w:rPr>
        <w:t xml:space="preserve"> נוטל ידיו והוא כאחד משאר שינויים שעושין בליל זה כדי שישאלו (חק יעקב סי' תע"ג סקכ"ח)".</w:t>
      </w:r>
    </w:p>
    <w:p w:rsidR="00C43231" w:rsidRPr="00760DB7" w:rsidRDefault="00C43231" w:rsidP="00C43231">
      <w:pPr>
        <w:pStyle w:val="a3"/>
        <w:rPr>
          <w:rtl/>
        </w:rPr>
      </w:pPr>
      <w:r w:rsidRPr="00760DB7">
        <w:rPr>
          <w:rFonts w:hint="cs"/>
          <w:rtl/>
        </w:rPr>
        <w:t xml:space="preserve">הנה, כאן מציין הרבי ל"שו"ע </w:t>
      </w:r>
      <w:r w:rsidRPr="00760DB7">
        <w:rPr>
          <w:rFonts w:hint="cs"/>
          <w:b/>
          <w:bCs/>
          <w:rtl/>
        </w:rPr>
        <w:t>רבינו</w:t>
      </w:r>
      <w:r w:rsidRPr="00760DB7">
        <w:rPr>
          <w:rFonts w:hint="cs"/>
          <w:rtl/>
        </w:rPr>
        <w:t>" ולא לשו"ע המחבר ונ"כ, ובדיוק "רבינו" ולא אדה"ז</w:t>
      </w:r>
      <w:r w:rsidRPr="00760DB7">
        <w:rPr>
          <w:rtl/>
        </w:rPr>
        <w:t>–</w:t>
      </w:r>
      <w:r w:rsidRPr="00760DB7">
        <w:rPr>
          <w:rFonts w:hint="cs"/>
          <w:rtl/>
        </w:rPr>
        <w:t xml:space="preserve"> </w:t>
      </w:r>
    </w:p>
    <w:p w:rsidR="00C43231" w:rsidRPr="00760DB7" w:rsidRDefault="00C43231" w:rsidP="00C43231">
      <w:pPr>
        <w:pStyle w:val="a3"/>
        <w:rPr>
          <w:rtl/>
        </w:rPr>
      </w:pPr>
      <w:r w:rsidRPr="00760DB7">
        <w:rPr>
          <w:rFonts w:hint="cs"/>
          <w:rtl/>
        </w:rPr>
        <w:t xml:space="preserve">וזאת מכיון שהוא מציין לסימן </w:t>
      </w:r>
      <w:r w:rsidRPr="00760DB7">
        <w:rPr>
          <w:rFonts w:hint="cs"/>
          <w:b/>
          <w:bCs/>
          <w:rtl/>
        </w:rPr>
        <w:t>קנח</w:t>
      </w:r>
      <w:r w:rsidRPr="00760DB7">
        <w:rPr>
          <w:rFonts w:hint="cs"/>
          <w:rtl/>
        </w:rPr>
        <w:t xml:space="preserve"> </w:t>
      </w:r>
      <w:r w:rsidRPr="00760DB7">
        <w:rPr>
          <w:rtl/>
        </w:rPr>
        <w:t>–</w:t>
      </w:r>
      <w:r w:rsidRPr="00760DB7">
        <w:rPr>
          <w:rFonts w:hint="cs"/>
          <w:rtl/>
        </w:rPr>
        <w:t xml:space="preserve"> להלכות נטילת ידיים </w:t>
      </w:r>
      <w:r w:rsidRPr="00760DB7">
        <w:rPr>
          <w:rtl/>
        </w:rPr>
        <w:t>–</w:t>
      </w:r>
      <w:r w:rsidRPr="00760DB7">
        <w:rPr>
          <w:rFonts w:hint="cs"/>
          <w:rtl/>
        </w:rPr>
        <w:t xml:space="preserve"> ולא להלכה כאן בסימן תע"ג!</w:t>
      </w:r>
    </w:p>
    <w:p w:rsidR="00C43231" w:rsidRPr="00760DB7" w:rsidRDefault="00C43231" w:rsidP="00C43231">
      <w:pPr>
        <w:pStyle w:val="a3"/>
        <w:rPr>
          <w:rtl/>
        </w:rPr>
      </w:pPr>
      <w:r w:rsidRPr="00760DB7">
        <w:rPr>
          <w:rFonts w:hint="cs"/>
          <w:rtl/>
        </w:rPr>
        <w:t>הנה לשון אדה"ז כאן (תעג, סעיף יט): "</w:t>
      </w:r>
      <w:r w:rsidRPr="00760DB7">
        <w:rPr>
          <w:rtl/>
        </w:rPr>
        <w:t xml:space="preserve">קודם שמטבל הירק בחומץ או במי מלח וכיוצא בהם צריך ליטול ידיו בלא ברכה </w:t>
      </w:r>
      <w:r w:rsidRPr="00760DB7">
        <w:rPr>
          <w:b/>
          <w:bCs/>
          <w:rtl/>
        </w:rPr>
        <w:t>כמו שנתבאר בסי' קנ"ח</w:t>
      </w:r>
      <w:r w:rsidRPr="00760DB7">
        <w:rPr>
          <w:rtl/>
        </w:rPr>
        <w:t xml:space="preserve"> שכל דבר שטיבולו במשקה צריך נטילה בלא ברכה</w:t>
      </w:r>
      <w:r w:rsidRPr="00760DB7">
        <w:rPr>
          <w:rFonts w:hint="cs"/>
          <w:rtl/>
        </w:rPr>
        <w:t>"</w:t>
      </w:r>
      <w:r w:rsidRPr="00760DB7">
        <w:rPr>
          <w:rtl/>
        </w:rPr>
        <w:t>.</w:t>
      </w:r>
    </w:p>
    <w:p w:rsidR="00C43231" w:rsidRPr="00760DB7" w:rsidRDefault="00C43231" w:rsidP="00C43231">
      <w:pPr>
        <w:pStyle w:val="a3"/>
        <w:rPr>
          <w:rtl/>
        </w:rPr>
      </w:pPr>
      <w:r w:rsidRPr="00760DB7">
        <w:rPr>
          <w:rFonts w:hint="cs"/>
          <w:rtl/>
        </w:rPr>
        <w:t xml:space="preserve">והיינו, שהמקור של ההלכה </w:t>
      </w:r>
      <w:r w:rsidRPr="00760DB7">
        <w:rPr>
          <w:rFonts w:hint="cs"/>
          <w:b/>
          <w:bCs/>
          <w:rtl/>
        </w:rPr>
        <w:t>כאן</w:t>
      </w:r>
      <w:r w:rsidRPr="00760DB7">
        <w:rPr>
          <w:rFonts w:hint="cs"/>
          <w:rtl/>
        </w:rPr>
        <w:t xml:space="preserve"> שהיא המתבארת </w:t>
      </w:r>
      <w:r w:rsidRPr="00760DB7">
        <w:rPr>
          <w:rtl/>
        </w:rPr>
        <w:t>–</w:t>
      </w:r>
      <w:r w:rsidRPr="00760DB7">
        <w:rPr>
          <w:rFonts w:hint="cs"/>
          <w:rtl/>
        </w:rPr>
        <w:t xml:space="preserve"> הוא בשו"ע אדמו"ר הזקן, שהוא "רבינו" מחבר הסידור והשו"ע סימן תפ"ה </w:t>
      </w:r>
      <w:r w:rsidRPr="00760DB7">
        <w:rPr>
          <w:rtl/>
        </w:rPr>
        <w:t>–</w:t>
      </w:r>
      <w:r w:rsidRPr="00760DB7">
        <w:rPr>
          <w:rFonts w:hint="cs"/>
          <w:rtl/>
        </w:rPr>
        <w:t xml:space="preserve"> בסימן קנ"ח.</w:t>
      </w:r>
    </w:p>
    <w:p w:rsidR="00C43231" w:rsidRPr="00760DB7" w:rsidRDefault="00C43231" w:rsidP="00C43231">
      <w:pPr>
        <w:pStyle w:val="a3"/>
        <w:rPr>
          <w:rtl/>
        </w:rPr>
      </w:pPr>
      <w:r w:rsidRPr="00760DB7">
        <w:rPr>
          <w:rFonts w:hint="cs"/>
          <w:rtl/>
        </w:rPr>
        <w:t>וכיון שהרבי מציין כאן לסימן קנח סעיף ג', ששם נאמר: "...</w:t>
      </w:r>
      <w:r w:rsidRPr="00760DB7">
        <w:rPr>
          <w:rtl/>
        </w:rPr>
        <w:t xml:space="preserve"> אם אוכל דבר שטיבולו במשקה</w:t>
      </w:r>
      <w:r w:rsidRPr="00760DB7">
        <w:rPr>
          <w:rFonts w:hint="cs"/>
          <w:rtl/>
        </w:rPr>
        <w:t>...</w:t>
      </w:r>
      <w:r w:rsidRPr="00760DB7">
        <w:rPr>
          <w:rtl/>
        </w:rPr>
        <w:t xml:space="preserve"> צריך ליטול ידיו תחלה</w:t>
      </w:r>
      <w:r w:rsidRPr="00760DB7">
        <w:rPr>
          <w:rFonts w:hint="cs"/>
          <w:rtl/>
        </w:rPr>
        <w:t xml:space="preserve">... </w:t>
      </w:r>
      <w:r w:rsidRPr="00760DB7">
        <w:rPr>
          <w:rtl/>
        </w:rPr>
        <w:t>ובמדינות אלו לא נהגו רוב המון עם ליטול ידיהם לכל דבר שטיבולם במשקה ויש שלמדו עליהם זכות</w:t>
      </w:r>
      <w:r w:rsidRPr="00760DB7">
        <w:rPr>
          <w:rFonts w:hint="cs"/>
          <w:rtl/>
        </w:rPr>
        <w:t>...</w:t>
      </w:r>
      <w:r w:rsidRPr="00760DB7">
        <w:rPr>
          <w:rtl/>
        </w:rPr>
        <w:t xml:space="preserve"> ואין למחות בידם מאחר שיש להם על מי שיסמוכו אבל העיקר כסברא הראשונה ומכל מקום לא יברך על נטילת ידים שספק ברכות להקל</w:t>
      </w:r>
      <w:r w:rsidRPr="00760DB7">
        <w:rPr>
          <w:rFonts w:hint="cs"/>
          <w:rtl/>
        </w:rPr>
        <w:t>".</w:t>
      </w:r>
    </w:p>
    <w:p w:rsidR="00C43231" w:rsidRPr="00760DB7" w:rsidRDefault="00C43231" w:rsidP="00C43231">
      <w:pPr>
        <w:pStyle w:val="a3"/>
        <w:rPr>
          <w:rtl/>
        </w:rPr>
      </w:pPr>
      <w:r w:rsidRPr="00760DB7">
        <w:rPr>
          <w:rFonts w:hint="cs"/>
          <w:rtl/>
        </w:rPr>
        <w:t xml:space="preserve">הרי שיסוד הפטור מברכה הוא העובדה שכלל לא נהגו ליטול ידיים </w:t>
      </w:r>
      <w:r w:rsidRPr="00760DB7">
        <w:rPr>
          <w:rtl/>
        </w:rPr>
        <w:t>–</w:t>
      </w:r>
      <w:r w:rsidRPr="00760DB7">
        <w:rPr>
          <w:rFonts w:hint="cs"/>
          <w:rtl/>
        </w:rPr>
        <w:t xml:space="preserve"> ומשום כן ממשיך רבינו בדברי החק יעקב, שגם מי שאינו נוטל בכלל כאן חייב ליטול, מהטעם שמביא.</w:t>
      </w:r>
    </w:p>
    <w:p w:rsidR="00C43231" w:rsidRPr="00760DB7" w:rsidRDefault="00C43231" w:rsidP="00C43231">
      <w:pPr>
        <w:pStyle w:val="11"/>
        <w:bidi/>
        <w:rPr>
          <w:rtl/>
        </w:rPr>
      </w:pPr>
      <w:r w:rsidRPr="00760DB7">
        <w:rPr>
          <w:rFonts w:hint="cs"/>
          <w:rtl/>
        </w:rPr>
        <w:t>ח.</w:t>
      </w:r>
    </w:p>
    <w:p w:rsidR="00C43231" w:rsidRPr="00760DB7" w:rsidRDefault="00C43231" w:rsidP="00C43231">
      <w:pPr>
        <w:pStyle w:val="a3"/>
        <w:rPr>
          <w:rtl/>
        </w:rPr>
      </w:pPr>
      <w:r w:rsidRPr="00760DB7">
        <w:rPr>
          <w:rFonts w:hint="cs"/>
          <w:rtl/>
        </w:rPr>
        <w:t>ב'כרפס':</w:t>
      </w:r>
    </w:p>
    <w:p w:rsidR="00C43231" w:rsidRPr="00760DB7" w:rsidRDefault="00C43231" w:rsidP="00C43231">
      <w:pPr>
        <w:pStyle w:val="a3"/>
        <w:rPr>
          <w:rtl/>
        </w:rPr>
      </w:pPr>
      <w:r w:rsidRPr="00760DB7">
        <w:rPr>
          <w:rFonts w:hint="cs"/>
          <w:rtl/>
        </w:rPr>
        <w:t>"</w:t>
      </w:r>
      <w:r w:rsidRPr="00760DB7">
        <w:rPr>
          <w:rFonts w:hint="cs"/>
          <w:b/>
          <w:bCs/>
          <w:rtl/>
        </w:rPr>
        <w:t xml:space="preserve">ויטבול </w:t>
      </w:r>
      <w:r w:rsidRPr="00760DB7">
        <w:rPr>
          <w:rtl/>
        </w:rPr>
        <w:t>–</w:t>
      </w:r>
      <w:r w:rsidRPr="00760DB7">
        <w:rPr>
          <w:rFonts w:hint="cs"/>
          <w:rtl/>
        </w:rPr>
        <w:t xml:space="preserve"> ואחר כך </w:t>
      </w:r>
      <w:r w:rsidRPr="00760DB7">
        <w:rPr>
          <w:rtl/>
        </w:rPr>
        <w:t>–</w:t>
      </w:r>
      <w:r w:rsidRPr="00760DB7">
        <w:rPr>
          <w:rFonts w:hint="cs"/>
          <w:b/>
          <w:bCs/>
          <w:rtl/>
        </w:rPr>
        <w:t xml:space="preserve"> ויברך.</w:t>
      </w:r>
      <w:r w:rsidRPr="00760DB7">
        <w:rPr>
          <w:rFonts w:hint="cs"/>
          <w:rtl/>
        </w:rPr>
        <w:t xml:space="preserve"> כדי לתכוף הברכה להאכילה בכל מה דאפשר (חק יעקב סי' תע"ה סק"ח). והא דבסעודת כל השנה מברך המוציא </w:t>
      </w:r>
      <w:r w:rsidRPr="00760DB7">
        <w:rPr>
          <w:rFonts w:hint="cs"/>
          <w:b/>
          <w:bCs/>
          <w:rtl/>
        </w:rPr>
        <w:t>ואחר כך</w:t>
      </w:r>
      <w:r w:rsidRPr="00760DB7">
        <w:rPr>
          <w:rFonts w:hint="cs"/>
          <w:rtl/>
        </w:rPr>
        <w:t xml:space="preserve"> טובל במלח, הוא משום דמברך קודם שפורס (כדי שיברך על הגדולה)".</w:t>
      </w:r>
    </w:p>
    <w:p w:rsidR="00C43231" w:rsidRPr="00760DB7" w:rsidRDefault="00C43231" w:rsidP="00C43231">
      <w:pPr>
        <w:pStyle w:val="a3"/>
        <w:rPr>
          <w:rtl/>
        </w:rPr>
      </w:pPr>
      <w:r w:rsidRPr="00760DB7">
        <w:rPr>
          <w:rFonts w:hint="cs"/>
          <w:rtl/>
        </w:rPr>
        <w:t xml:space="preserve">בקריאה מקופיא היה אפשר להקשות: מאי שנא בין כל השנה לפסח, וכי כאן אי אפשר "לברך על הגדולה" </w:t>
      </w:r>
      <w:r w:rsidRPr="00760DB7">
        <w:rPr>
          <w:rtl/>
        </w:rPr>
        <w:t>–</w:t>
      </w:r>
      <w:r w:rsidRPr="00760DB7">
        <w:rPr>
          <w:rFonts w:hint="cs"/>
          <w:rtl/>
        </w:rPr>
        <w:t xml:space="preserve"> בברכה על כרפס גדול? מנין לנו שכאן הברכה היא על כרפס קטן?</w:t>
      </w:r>
    </w:p>
    <w:p w:rsidR="00C43231" w:rsidRPr="00760DB7" w:rsidRDefault="00C43231" w:rsidP="00C43231">
      <w:pPr>
        <w:pStyle w:val="a3"/>
        <w:rPr>
          <w:rtl/>
        </w:rPr>
      </w:pPr>
      <w:r w:rsidRPr="00760DB7">
        <w:rPr>
          <w:rFonts w:hint="cs"/>
          <w:rtl/>
        </w:rPr>
        <w:t>והביאור פשוט: בפנים ההגדה (הסידור) דייק רבינו וכתב "</w:t>
      </w:r>
      <w:r w:rsidRPr="00760DB7">
        <w:rPr>
          <w:rFonts w:hint="cs"/>
          <w:b/>
          <w:bCs/>
          <w:rtl/>
        </w:rPr>
        <w:t>נוטל פחות מכזית כרפס ויטבול במי מלח או חומץ ויברך</w:t>
      </w:r>
      <w:r w:rsidRPr="00760DB7">
        <w:rPr>
          <w:rFonts w:hint="cs"/>
          <w:rtl/>
        </w:rPr>
        <w:t xml:space="preserve">" </w:t>
      </w:r>
      <w:r w:rsidRPr="00760DB7">
        <w:rPr>
          <w:rtl/>
        </w:rPr>
        <w:t>–</w:t>
      </w:r>
      <w:r w:rsidRPr="00760DB7">
        <w:rPr>
          <w:rFonts w:hint="cs"/>
          <w:rtl/>
        </w:rPr>
        <w:t xml:space="preserve"> ולא כתב כפי שהיה לכאורה ראוי "נוטל כרפס, ויטבול וכו' </w:t>
      </w:r>
      <w:r w:rsidRPr="00760DB7">
        <w:rPr>
          <w:rtl/>
        </w:rPr>
        <w:t>–</w:t>
      </w:r>
      <w:r w:rsidRPr="00760DB7">
        <w:rPr>
          <w:rFonts w:hint="cs"/>
          <w:rtl/>
        </w:rPr>
        <w:t xml:space="preserve"> </w:t>
      </w:r>
      <w:r w:rsidRPr="00760DB7">
        <w:rPr>
          <w:rFonts w:hint="cs"/>
          <w:b/>
          <w:bCs/>
          <w:rtl/>
        </w:rPr>
        <w:t>ויאכל</w:t>
      </w:r>
      <w:r w:rsidRPr="00760DB7">
        <w:rPr>
          <w:rFonts w:hint="cs"/>
          <w:rtl/>
        </w:rPr>
        <w:t xml:space="preserve"> פחות מכזית" </w:t>
      </w:r>
      <w:r w:rsidRPr="00760DB7">
        <w:rPr>
          <w:rtl/>
        </w:rPr>
        <w:t>–</w:t>
      </w:r>
      <w:r w:rsidRPr="00760DB7">
        <w:rPr>
          <w:rFonts w:hint="cs"/>
          <w:rtl/>
        </w:rPr>
        <w:t xml:space="preserve"> </w:t>
      </w:r>
    </w:p>
    <w:p w:rsidR="00C43231" w:rsidRPr="00760DB7" w:rsidRDefault="00C43231" w:rsidP="00C43231">
      <w:pPr>
        <w:pStyle w:val="a3"/>
        <w:rPr>
          <w:rtl/>
        </w:rPr>
      </w:pPr>
      <w:r w:rsidRPr="00760DB7">
        <w:rPr>
          <w:rFonts w:hint="cs"/>
          <w:rtl/>
        </w:rPr>
        <w:t>כיון שפשיטא ליה לרבינו הזקן שהנטילה היא פחות מכזית ולא רק האכילה,</w:t>
      </w:r>
    </w:p>
    <w:p w:rsidR="00C43231" w:rsidRPr="00760DB7" w:rsidRDefault="00C43231" w:rsidP="00C43231">
      <w:pPr>
        <w:pStyle w:val="a3"/>
        <w:rPr>
          <w:rtl/>
        </w:rPr>
      </w:pPr>
      <w:r w:rsidRPr="00760DB7">
        <w:rPr>
          <w:rFonts w:hint="cs"/>
          <w:rtl/>
        </w:rPr>
        <w:lastRenderedPageBreak/>
        <w:t xml:space="preserve">והוא בדיוק משום טעם זה שכתב רבינו כאן על "ויטבול ואחר כך ויברך" </w:t>
      </w:r>
      <w:r w:rsidRPr="00760DB7">
        <w:rPr>
          <w:rtl/>
        </w:rPr>
        <w:t>–</w:t>
      </w:r>
      <w:r w:rsidRPr="00760DB7">
        <w:rPr>
          <w:rFonts w:hint="cs"/>
          <w:rtl/>
        </w:rPr>
        <w:t xml:space="preserve"> כיון ש"דיו להתמיה התינוקות" באכילת פחות מכזית (כמבואר בפסקא 'פחות מכזית'), הרי </w:t>
      </w:r>
      <w:r w:rsidRPr="00760DB7">
        <w:rPr>
          <w:rFonts w:hint="cs"/>
          <w:b/>
          <w:bCs/>
          <w:rtl/>
        </w:rPr>
        <w:t>שלכתחילה</w:t>
      </w:r>
      <w:r w:rsidRPr="00760DB7">
        <w:rPr>
          <w:rFonts w:hint="cs"/>
          <w:rtl/>
        </w:rPr>
        <w:t xml:space="preserve"> יטול רק פחות מכזית, ובזה ירוויח את העדר ההפסק שלא יצטרך לחתוך בין הברכה לאכילה, וירוויח גם כן שהטבילה לא תפסיק בין הברכה לאכילה.</w:t>
      </w:r>
    </w:p>
    <w:p w:rsidR="00C43231" w:rsidRPr="00760DB7" w:rsidRDefault="00C43231" w:rsidP="00C43231">
      <w:pPr>
        <w:pStyle w:val="a3"/>
        <w:rPr>
          <w:rtl/>
        </w:rPr>
      </w:pPr>
      <w:r w:rsidRPr="00760DB7">
        <w:rPr>
          <w:rFonts w:hint="cs"/>
          <w:rtl/>
        </w:rPr>
        <w:t xml:space="preserve">(ולטבול כרפס גדול ולאכול כפי שהוא </w:t>
      </w:r>
      <w:r w:rsidRPr="00760DB7">
        <w:rPr>
          <w:rtl/>
        </w:rPr>
        <w:t>–</w:t>
      </w:r>
      <w:r w:rsidRPr="00760DB7">
        <w:rPr>
          <w:rFonts w:hint="cs"/>
          <w:rtl/>
        </w:rPr>
        <w:t xml:space="preserve"> לא שייך, משום הל' דרך ארץ וק"ל).</w:t>
      </w:r>
    </w:p>
    <w:p w:rsidR="00C43231" w:rsidRPr="00760DB7" w:rsidRDefault="00C43231" w:rsidP="00C43231">
      <w:pPr>
        <w:pStyle w:val="11"/>
        <w:bidi/>
        <w:rPr>
          <w:rtl/>
        </w:rPr>
      </w:pPr>
      <w:r w:rsidRPr="00760DB7">
        <w:rPr>
          <w:rFonts w:hint="cs"/>
          <w:rtl/>
        </w:rPr>
        <w:t>ט.</w:t>
      </w:r>
    </w:p>
    <w:p w:rsidR="00C43231" w:rsidRPr="00760DB7" w:rsidRDefault="00C43231" w:rsidP="00C43231">
      <w:pPr>
        <w:pStyle w:val="a3"/>
        <w:rPr>
          <w:rtl/>
        </w:rPr>
      </w:pPr>
      <w:r w:rsidRPr="00760DB7">
        <w:rPr>
          <w:rFonts w:hint="cs"/>
          <w:rtl/>
        </w:rPr>
        <w:t xml:space="preserve">ב'כרפס' ד"ה </w:t>
      </w:r>
      <w:r w:rsidRPr="00760DB7">
        <w:rPr>
          <w:rFonts w:hint="cs"/>
          <w:b/>
          <w:bCs/>
          <w:rtl/>
        </w:rPr>
        <w:t>יכוין</w:t>
      </w:r>
      <w:r w:rsidRPr="00760DB7">
        <w:rPr>
          <w:rFonts w:hint="cs"/>
          <w:rtl/>
        </w:rPr>
        <w:t xml:space="preserve"> בת"ד:</w:t>
      </w:r>
    </w:p>
    <w:p w:rsidR="00C43231" w:rsidRPr="00760DB7" w:rsidRDefault="00C43231" w:rsidP="00C43231">
      <w:pPr>
        <w:pStyle w:val="a3"/>
      </w:pPr>
      <w:r w:rsidRPr="00760DB7">
        <w:rPr>
          <w:rFonts w:hint="cs"/>
          <w:rtl/>
        </w:rPr>
        <w:t>"בכרפס לא ציין אם יאכלנו בהסיבה או בלא הסיבה (כמו שכתב במרור). ויש לומר דדינו כמו שאר הסעודה דלילה זה דהרשות בידו שלא להסיב והמיסב הרי זה משובח (שו"ע רבינו סי' תע"ב סי"ד) ולא ציין אלא במקום שהחיוב או הפטור הוא מוחלט".</w:t>
      </w:r>
    </w:p>
    <w:p w:rsidR="00C43231" w:rsidRPr="00760DB7" w:rsidRDefault="00C43231" w:rsidP="00C43231">
      <w:pPr>
        <w:pStyle w:val="a3"/>
        <w:rPr>
          <w:rtl/>
        </w:rPr>
      </w:pPr>
      <w:r w:rsidRPr="00760DB7">
        <w:rPr>
          <w:rFonts w:hint="cs"/>
          <w:rtl/>
        </w:rPr>
        <w:t xml:space="preserve">כאן הציון הוא ל"שו"ע </w:t>
      </w:r>
      <w:r w:rsidRPr="00760DB7">
        <w:rPr>
          <w:rFonts w:hint="cs"/>
          <w:b/>
          <w:bCs/>
          <w:rtl/>
        </w:rPr>
        <w:t>רבינו</w:t>
      </w:r>
      <w:r w:rsidRPr="00760DB7">
        <w:rPr>
          <w:rFonts w:hint="cs"/>
          <w:rtl/>
        </w:rPr>
        <w:t xml:space="preserve">" ולא ל"שו"ע אדה"ז" </w:t>
      </w:r>
      <w:r w:rsidRPr="00760DB7">
        <w:rPr>
          <w:rtl/>
        </w:rPr>
        <w:t>–</w:t>
      </w:r>
      <w:r w:rsidRPr="00760DB7">
        <w:rPr>
          <w:rFonts w:hint="cs"/>
          <w:rtl/>
        </w:rPr>
        <w:t xml:space="preserve"> והטעם פשוט: בשוע"ר שם </w:t>
      </w:r>
      <w:r w:rsidRPr="00760DB7">
        <w:rPr>
          <w:rFonts w:hint="cs"/>
          <w:b/>
          <w:bCs/>
          <w:rtl/>
        </w:rPr>
        <w:t xml:space="preserve">לא נאמר </w:t>
      </w:r>
      <w:r w:rsidRPr="00760DB7">
        <w:rPr>
          <w:rFonts w:hint="cs"/>
          <w:rtl/>
        </w:rPr>
        <w:t xml:space="preserve">דין אכילה בהסיבה בכרפס, ורק נאמר הדין </w:t>
      </w:r>
      <w:r w:rsidRPr="00760DB7">
        <w:rPr>
          <w:rFonts w:hint="cs"/>
          <w:b/>
          <w:bCs/>
          <w:rtl/>
        </w:rPr>
        <w:t>הכללי</w:t>
      </w:r>
      <w:r w:rsidRPr="00760DB7">
        <w:rPr>
          <w:rFonts w:hint="cs"/>
          <w:rtl/>
        </w:rPr>
        <w:t xml:space="preserve"> שבכל הסעודה הרשות בידו וכו',</w:t>
      </w:r>
    </w:p>
    <w:p w:rsidR="00C43231" w:rsidRPr="00760DB7" w:rsidRDefault="00C43231" w:rsidP="00C43231">
      <w:pPr>
        <w:pStyle w:val="a3"/>
        <w:rPr>
          <w:rtl/>
        </w:rPr>
      </w:pPr>
      <w:r w:rsidRPr="00760DB7">
        <w:rPr>
          <w:rFonts w:hint="cs"/>
          <w:rtl/>
        </w:rPr>
        <w:t xml:space="preserve">ועל כן ראוי לציין דוקא לשוע"ר </w:t>
      </w:r>
      <w:r w:rsidRPr="00760DB7">
        <w:rPr>
          <w:rtl/>
        </w:rPr>
        <w:t>–</w:t>
      </w:r>
      <w:r w:rsidRPr="00760DB7">
        <w:rPr>
          <w:rFonts w:hint="cs"/>
          <w:rtl/>
        </w:rPr>
        <w:t xml:space="preserve"> שהוא "רבינו" דהסידור, אבל אינו המקור כאן.</w:t>
      </w:r>
    </w:p>
    <w:p w:rsidR="00C43231" w:rsidRPr="00760DB7" w:rsidRDefault="00C43231" w:rsidP="00C43231">
      <w:pPr>
        <w:pStyle w:val="11"/>
        <w:bidi/>
        <w:rPr>
          <w:rtl/>
        </w:rPr>
      </w:pPr>
      <w:r w:rsidRPr="00760DB7">
        <w:rPr>
          <w:rFonts w:hint="cs"/>
          <w:rtl/>
        </w:rPr>
        <w:t>י.</w:t>
      </w:r>
    </w:p>
    <w:p w:rsidR="00C43231" w:rsidRPr="00760DB7" w:rsidRDefault="00C43231" w:rsidP="00C43231">
      <w:pPr>
        <w:pStyle w:val="a3"/>
        <w:rPr>
          <w:rtl/>
        </w:rPr>
      </w:pPr>
      <w:r w:rsidRPr="00760DB7">
        <w:rPr>
          <w:rFonts w:hint="cs"/>
          <w:rtl/>
        </w:rPr>
        <w:t>בא"ד:</w:t>
      </w:r>
    </w:p>
    <w:p w:rsidR="00C43231" w:rsidRPr="00760DB7" w:rsidRDefault="00C43231" w:rsidP="00C43231">
      <w:pPr>
        <w:pStyle w:val="a3"/>
        <w:rPr>
          <w:rtl/>
        </w:rPr>
      </w:pPr>
      <w:r w:rsidRPr="00760DB7">
        <w:rPr>
          <w:rFonts w:hint="cs"/>
          <w:rtl/>
        </w:rPr>
        <w:t xml:space="preserve">"לאחר </w:t>
      </w:r>
      <w:r w:rsidRPr="00760DB7">
        <w:rPr>
          <w:rFonts w:hint="cs"/>
          <w:b/>
          <w:bCs/>
          <w:rtl/>
        </w:rPr>
        <w:t>כרפס</w:t>
      </w:r>
      <w:r w:rsidRPr="00760DB7">
        <w:rPr>
          <w:rFonts w:hint="cs"/>
          <w:rtl/>
        </w:rPr>
        <w:t xml:space="preserve"> לא ראיתי מחזירין הנשאר מהכרפס על הקערה, ובמילא מכאן ולהלן אין על הקערה אלא ה' דברים".</w:t>
      </w:r>
    </w:p>
    <w:p w:rsidR="00C43231" w:rsidRPr="00760DB7" w:rsidRDefault="00C43231" w:rsidP="00C43231">
      <w:pPr>
        <w:pStyle w:val="a3"/>
        <w:rPr>
          <w:rtl/>
        </w:rPr>
      </w:pPr>
      <w:r w:rsidRPr="00760DB7">
        <w:rPr>
          <w:rFonts w:hint="cs"/>
          <w:rtl/>
        </w:rPr>
        <w:t>הרבי לא מציין בעניין זה לדברי אדה"ז בשולחנו המפורשים כן (תעג, סכ"ה): "ולאחר שאכלו מהירקות יכול לסלק מעל השולחן את מה שנשתייר מהירקות והחומץ או מי המלח".</w:t>
      </w:r>
    </w:p>
    <w:p w:rsidR="00C43231" w:rsidRPr="00760DB7" w:rsidRDefault="00C43231" w:rsidP="00C43231">
      <w:pPr>
        <w:pStyle w:val="a3"/>
        <w:rPr>
          <w:rtl/>
        </w:rPr>
      </w:pPr>
      <w:r w:rsidRPr="00760DB7">
        <w:rPr>
          <w:rFonts w:hint="cs"/>
          <w:rtl/>
        </w:rPr>
        <w:t xml:space="preserve">כיון שזו הלכה ברורה </w:t>
      </w:r>
      <w:r w:rsidRPr="00760DB7">
        <w:rPr>
          <w:rtl/>
        </w:rPr>
        <w:t>–</w:t>
      </w:r>
      <w:r w:rsidRPr="00760DB7">
        <w:rPr>
          <w:rFonts w:hint="cs"/>
          <w:rtl/>
        </w:rPr>
        <w:t xml:space="preserve"> מדוע לא נפסקה בהסידור, והיה מקום לומר, שכיון שיש עניין בקערה ע"פ קבלה (והסידור הוא ע"פ קבלה כידוע), על כן יש להשאיר הכרפס (ולברר האם נוהגים כן במקומות אחרים),</w:t>
      </w:r>
    </w:p>
    <w:p w:rsidR="00C43231" w:rsidRPr="00760DB7" w:rsidRDefault="00C43231" w:rsidP="00C43231">
      <w:pPr>
        <w:pStyle w:val="a3"/>
        <w:rPr>
          <w:rtl/>
        </w:rPr>
      </w:pPr>
      <w:r w:rsidRPr="00760DB7">
        <w:rPr>
          <w:rFonts w:hint="cs"/>
          <w:rtl/>
        </w:rPr>
        <w:t xml:space="preserve">ומ"מ העובדה שכן נפסק בשוע"ר אינה מעלה לעניין זה </w:t>
      </w:r>
      <w:r w:rsidRPr="00760DB7">
        <w:rPr>
          <w:rtl/>
        </w:rPr>
        <w:t>–</w:t>
      </w:r>
      <w:r w:rsidRPr="00760DB7">
        <w:rPr>
          <w:rFonts w:hint="cs"/>
          <w:rtl/>
        </w:rPr>
        <w:t xml:space="preserve"> וע"כ כתב עדות ראיה שאדריי"צ לא השאיר הנשאר מהכרפס (וכ"ה ברשימות היומן וכו' כפי שמציין רשב"ל בהגדתו).</w:t>
      </w:r>
    </w:p>
    <w:p w:rsidR="00C43231" w:rsidRDefault="00C43231" w:rsidP="00C43231">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760DB7">
        <w:rPr>
          <w:rFonts w:ascii="Nymphette" w:eastAsia="Times New Roman" w:hAnsi="Nymphette" w:cs="Nymphette"/>
          <w:sz w:val="44"/>
          <w:szCs w:val="44"/>
        </w:rPr>
        <w:t>g</w:t>
      </w:r>
    </w:p>
    <w:p w:rsidR="00AD0970" w:rsidRPr="00760DB7" w:rsidRDefault="00AD0970" w:rsidP="00AD0970">
      <w:pPr>
        <w:tabs>
          <w:tab w:val="left" w:pos="2171"/>
          <w:tab w:val="center" w:pos="3096"/>
        </w:tabs>
        <w:bidi/>
        <w:spacing w:after="100" w:line="360" w:lineRule="auto"/>
        <w:ind w:firstLine="288"/>
        <w:jc w:val="center"/>
        <w:rPr>
          <w:rFonts w:ascii="Nymphette" w:eastAsia="Times New Roman" w:hAnsi="Nymphette" w:cs="Nymphette"/>
          <w:sz w:val="44"/>
          <w:szCs w:val="44"/>
        </w:rPr>
      </w:pPr>
    </w:p>
    <w:p w:rsidR="00760DB7" w:rsidRPr="00760DB7" w:rsidRDefault="00760DB7" w:rsidP="00AC425E">
      <w:pPr>
        <w:pStyle w:val="a0"/>
        <w:rPr>
          <w:rtl/>
        </w:rPr>
      </w:pPr>
      <w:bookmarkStart w:id="122" w:name="_Toc39817427"/>
      <w:r w:rsidRPr="00760DB7">
        <w:rPr>
          <w:rFonts w:hint="cs"/>
          <w:rtl/>
        </w:rPr>
        <w:lastRenderedPageBreak/>
        <w:t>יכוון</w:t>
      </w:r>
      <w:r w:rsidRPr="00760DB7">
        <w:rPr>
          <w:rtl/>
        </w:rPr>
        <w:t xml:space="preserve"> </w:t>
      </w:r>
      <w:r w:rsidRPr="00760DB7">
        <w:rPr>
          <w:rFonts w:hint="cs"/>
          <w:rtl/>
        </w:rPr>
        <w:t>לפטור</w:t>
      </w:r>
      <w:r w:rsidRPr="00760DB7">
        <w:rPr>
          <w:rtl/>
        </w:rPr>
        <w:t xml:space="preserve"> </w:t>
      </w:r>
      <w:r w:rsidRPr="00760DB7">
        <w:rPr>
          <w:rFonts w:hint="cs"/>
          <w:rtl/>
        </w:rPr>
        <w:t>מצה</w:t>
      </w:r>
      <w:r w:rsidRPr="00760DB7">
        <w:rPr>
          <w:rtl/>
        </w:rPr>
        <w:t xml:space="preserve"> </w:t>
      </w:r>
      <w:r w:rsidRPr="00760DB7">
        <w:rPr>
          <w:rFonts w:hint="cs"/>
          <w:rtl/>
        </w:rPr>
        <w:t>דכורך (גליון)</w:t>
      </w:r>
      <w:bookmarkEnd w:id="122"/>
    </w:p>
    <w:p w:rsidR="00C43231" w:rsidRPr="00C60FEE" w:rsidRDefault="00C43231" w:rsidP="00C93F24">
      <w:pPr>
        <w:pStyle w:val="a"/>
        <w:rPr>
          <w:rtl/>
        </w:rPr>
      </w:pPr>
      <w:bookmarkStart w:id="123" w:name="_Toc39817428"/>
      <w:r w:rsidRPr="00C60FEE">
        <w:rPr>
          <w:rtl/>
        </w:rPr>
        <w:t>הרב נחום שטראקס</w:t>
      </w:r>
      <w:bookmarkEnd w:id="123"/>
      <w:r w:rsidRPr="00C60FEE">
        <w:rPr>
          <w:rtl/>
        </w:rPr>
        <w:t xml:space="preserve"> </w:t>
      </w:r>
    </w:p>
    <w:p w:rsidR="00C43231" w:rsidRDefault="00C43231" w:rsidP="00C43231">
      <w:pPr>
        <w:pStyle w:val="a1"/>
        <w:rPr>
          <w:rtl/>
        </w:rPr>
      </w:pPr>
      <w:r w:rsidRPr="00C60FEE">
        <w:rPr>
          <w:rtl/>
        </w:rPr>
        <w:t>תושב השכונה</w:t>
      </w:r>
    </w:p>
    <w:p w:rsidR="00C43231" w:rsidRPr="00C43231" w:rsidRDefault="00C43231" w:rsidP="00C43231">
      <w:pPr>
        <w:pStyle w:val="a3"/>
        <w:rPr>
          <w:rtl/>
        </w:rPr>
      </w:pPr>
      <w:r w:rsidRPr="00C43231">
        <w:rPr>
          <w:rFonts w:hint="cs"/>
          <w:rtl/>
        </w:rPr>
        <w:t xml:space="preserve">א. </w:t>
      </w:r>
      <w:r w:rsidRPr="00C43231">
        <w:rPr>
          <w:rtl/>
        </w:rPr>
        <w:t>בגיליון א'קע"ז הביא הר.מ.מ.</w:t>
      </w:r>
      <w:r w:rsidRPr="00C43231">
        <w:rPr>
          <w:rFonts w:hint="cs"/>
          <w:rtl/>
        </w:rPr>
        <w:t>ש</w:t>
      </w:r>
      <w:r w:rsidRPr="00C43231">
        <w:rPr>
          <w:rtl/>
        </w:rPr>
        <w:t xml:space="preserve"> את דברי הרבי בהגש"פ עם לקוטי טעמים ומנהגים</w:t>
      </w:r>
      <w:r w:rsidRPr="00C43231">
        <w:rPr>
          <w:rFonts w:hint="cs"/>
          <w:rtl/>
        </w:rPr>
        <w:t xml:space="preserve">, </w:t>
      </w:r>
      <w:r w:rsidRPr="00C43231">
        <w:rPr>
          <w:rtl/>
        </w:rPr>
        <w:t>סימן מצה, ד"ה ויכוין לפטור: "ויכוין לפטור ג"כ אכילת הכריכה. ולכן נזהרין בינתיים משיחה שלא מעין הסעודה (ר' יחיאל אחי בעה"ט. אבן הירחי)"</w:t>
      </w:r>
      <w:r w:rsidRPr="00C43231">
        <w:rPr>
          <w:rFonts w:hint="cs"/>
          <w:rtl/>
        </w:rPr>
        <w:t>, והק' ע"ז, שלכאורה לא מצאנו הדברים בדברי הר' יחיאל אלא רק בדברי המנהיג (אבן הירחי).</w:t>
      </w:r>
    </w:p>
    <w:p w:rsidR="00C43231" w:rsidRPr="00C43231" w:rsidRDefault="00C43231" w:rsidP="00C43231">
      <w:pPr>
        <w:pStyle w:val="a3"/>
        <w:rPr>
          <w:rtl/>
        </w:rPr>
      </w:pPr>
      <w:r w:rsidRPr="00C43231">
        <w:rPr>
          <w:rFonts w:hint="cs"/>
          <w:rtl/>
        </w:rPr>
        <w:t>כי הנה ז"ל הטור בסי' תע"ה: "</w:t>
      </w:r>
      <w:r w:rsidRPr="00C43231">
        <w:rPr>
          <w:rtl/>
        </w:rPr>
        <w:t>כתב אחי הרב רבי יחיאל ז</w:t>
      </w:r>
      <w:r w:rsidRPr="00C43231">
        <w:rPr>
          <w:rtl/>
          <w:lang w:bidi="ar-SA"/>
        </w:rPr>
        <w:t>"</w:t>
      </w:r>
      <w:r w:rsidRPr="00C43231">
        <w:rPr>
          <w:rtl/>
        </w:rPr>
        <w:t>ל</w:t>
      </w:r>
      <w:r w:rsidRPr="00C43231">
        <w:rPr>
          <w:rtl/>
          <w:lang w:bidi="ar-SA"/>
        </w:rPr>
        <w:t xml:space="preserve">: </w:t>
      </w:r>
      <w:r w:rsidRPr="00C43231">
        <w:rPr>
          <w:rtl/>
        </w:rPr>
        <w:t>מספקא לי בכריכה אי בעי היסיבה</w:t>
      </w:r>
      <w:r w:rsidRPr="00C43231">
        <w:rPr>
          <w:rtl/>
          <w:lang w:bidi="ar-SA"/>
        </w:rPr>
        <w:t xml:space="preserve">, </w:t>
      </w:r>
      <w:r w:rsidRPr="00C43231">
        <w:rPr>
          <w:rtl/>
        </w:rPr>
        <w:t>כיון דמרור לא בעי היסיבה</w:t>
      </w:r>
      <w:r w:rsidRPr="00C43231">
        <w:rPr>
          <w:rtl/>
          <w:lang w:bidi="ar-SA"/>
        </w:rPr>
        <w:t xml:space="preserve">. </w:t>
      </w:r>
      <w:r w:rsidRPr="00C43231">
        <w:rPr>
          <w:rtl/>
        </w:rPr>
        <w:t>ובעל המנהיג כתב דבעי היסיבה בעבור המצה שבאה זכר לחירות</w:t>
      </w:r>
      <w:r w:rsidRPr="00C43231">
        <w:rPr>
          <w:rtl/>
          <w:lang w:bidi="ar-SA"/>
        </w:rPr>
        <w:t xml:space="preserve">. </w:t>
      </w:r>
      <w:r w:rsidRPr="00C43231">
        <w:rPr>
          <w:bCs/>
          <w:rtl/>
        </w:rPr>
        <w:t xml:space="preserve">וכתב </w:t>
      </w:r>
      <w:r w:rsidRPr="00C43231">
        <w:rPr>
          <w:rFonts w:hint="cs"/>
          <w:rtl/>
        </w:rPr>
        <w:t>(המנהיג</w:t>
      </w:r>
      <w:r w:rsidRPr="00C43231">
        <w:rPr>
          <w:vertAlign w:val="superscript"/>
          <w:rtl/>
        </w:rPr>
        <w:footnoteReference w:id="35"/>
      </w:r>
      <w:r w:rsidRPr="00C43231">
        <w:rPr>
          <w:rFonts w:hint="cs"/>
          <w:rtl/>
        </w:rPr>
        <w:t>)</w:t>
      </w:r>
      <w:r w:rsidRPr="00C43231">
        <w:rPr>
          <w:rFonts w:hint="cs"/>
          <w:bCs/>
          <w:rtl/>
        </w:rPr>
        <w:t xml:space="preserve"> </w:t>
      </w:r>
      <w:r w:rsidRPr="00C43231">
        <w:rPr>
          <w:bCs/>
          <w:rtl/>
        </w:rPr>
        <w:t>עוד</w:t>
      </w:r>
      <w:r w:rsidRPr="00C43231">
        <w:rPr>
          <w:bCs/>
          <w:rtl/>
          <w:lang w:bidi="ar-SA"/>
        </w:rPr>
        <w:t xml:space="preserve">: </w:t>
      </w:r>
      <w:r w:rsidRPr="00C43231">
        <w:rPr>
          <w:bCs/>
          <w:rtl/>
        </w:rPr>
        <w:t>הרוצה לקיים מצוה מן המובחר</w:t>
      </w:r>
      <w:r w:rsidRPr="00C43231">
        <w:rPr>
          <w:bCs/>
          <w:rtl/>
          <w:lang w:bidi="ar-SA"/>
        </w:rPr>
        <w:t xml:space="preserve">, </w:t>
      </w:r>
      <w:r w:rsidRPr="00C43231">
        <w:rPr>
          <w:bCs/>
          <w:rtl/>
        </w:rPr>
        <w:t>לא יסיח עד שיעשה כריכה כהלל</w:t>
      </w:r>
      <w:r w:rsidRPr="00C43231">
        <w:rPr>
          <w:bCs/>
          <w:rtl/>
          <w:lang w:bidi="ar-SA"/>
        </w:rPr>
        <w:t xml:space="preserve">, </w:t>
      </w:r>
      <w:r w:rsidRPr="00C43231">
        <w:rPr>
          <w:bCs/>
          <w:rtl/>
        </w:rPr>
        <w:t>כדי שתעלה לו ברכת מצה ומרור לכריכה כהלל</w:t>
      </w:r>
      <w:r w:rsidRPr="00C43231">
        <w:rPr>
          <w:bCs/>
          <w:rtl/>
          <w:lang w:bidi="ar-SA"/>
        </w:rPr>
        <w:t>,</w:t>
      </w:r>
      <w:r w:rsidRPr="00C43231">
        <w:rPr>
          <w:rtl/>
        </w:rPr>
        <w:t xml:space="preserve"> דהא משום דלא איתמר הלכתא לא כמר ולא כמר עבדינן לחומרא כתרוייהו</w:t>
      </w:r>
      <w:r w:rsidRPr="00C43231">
        <w:rPr>
          <w:rtl/>
          <w:lang w:bidi="ar-SA"/>
        </w:rPr>
        <w:t xml:space="preserve">, </w:t>
      </w:r>
      <w:r w:rsidRPr="00C43231">
        <w:rPr>
          <w:rtl/>
        </w:rPr>
        <w:t>הכי נמי לעניין ברכה צריכין למיעבד שיעלה לשניהם</w:t>
      </w:r>
      <w:r w:rsidRPr="00C43231">
        <w:rPr>
          <w:rFonts w:hint="cs"/>
          <w:rtl/>
        </w:rPr>
        <w:t>".</w:t>
      </w:r>
    </w:p>
    <w:p w:rsidR="00C43231" w:rsidRPr="00C43231" w:rsidRDefault="00C43231" w:rsidP="00C43231">
      <w:pPr>
        <w:pStyle w:val="a3"/>
        <w:rPr>
          <w:rtl/>
        </w:rPr>
      </w:pPr>
      <w:r w:rsidRPr="00C43231">
        <w:rPr>
          <w:rFonts w:hint="cs"/>
          <w:rtl/>
        </w:rPr>
        <w:t>והקושי' לכאורה חזקה</w:t>
      </w:r>
      <w:r w:rsidRPr="00C43231">
        <w:rPr>
          <w:vertAlign w:val="superscript"/>
          <w:rtl/>
        </w:rPr>
        <w:footnoteReference w:id="36"/>
      </w:r>
      <w:r w:rsidRPr="00C43231">
        <w:rPr>
          <w:rFonts w:hint="cs"/>
          <w:rtl/>
        </w:rPr>
        <w:t>.</w:t>
      </w:r>
    </w:p>
    <w:p w:rsidR="00C43231" w:rsidRPr="00C43231" w:rsidRDefault="00C43231" w:rsidP="00C43231">
      <w:pPr>
        <w:pStyle w:val="a3"/>
        <w:rPr>
          <w:rtl/>
        </w:rPr>
      </w:pPr>
      <w:r w:rsidRPr="00C43231">
        <w:rPr>
          <w:rFonts w:hint="cs"/>
          <w:rtl/>
        </w:rPr>
        <w:t xml:space="preserve">ב. וכתב שם לבאר בזה, שכוונת הרבי בציון לדברי הר' יחיאל, היא כדי להביא מקור מדבריו לחידוש אדה"ז </w:t>
      </w:r>
      <w:r w:rsidRPr="00C43231">
        <w:rPr>
          <w:rFonts w:hint="cs"/>
          <w:bCs/>
          <w:rtl/>
        </w:rPr>
        <w:t xml:space="preserve">בטעמו </w:t>
      </w:r>
      <w:r w:rsidRPr="00C43231">
        <w:rPr>
          <w:rFonts w:hint="cs"/>
          <w:rtl/>
        </w:rPr>
        <w:t>של הלכה זו</w:t>
      </w:r>
      <w:r w:rsidRPr="00C43231">
        <w:rPr>
          <w:vertAlign w:val="superscript"/>
          <w:rtl/>
        </w:rPr>
        <w:footnoteReference w:id="37"/>
      </w:r>
      <w:r w:rsidRPr="00C43231">
        <w:rPr>
          <w:rFonts w:hint="cs"/>
          <w:rtl/>
        </w:rPr>
        <w:t xml:space="preserve">. </w:t>
      </w:r>
    </w:p>
    <w:p w:rsidR="00C43231" w:rsidRPr="00C43231" w:rsidRDefault="00C43231" w:rsidP="00C43231">
      <w:pPr>
        <w:pStyle w:val="a3"/>
        <w:rPr>
          <w:rtl/>
        </w:rPr>
      </w:pPr>
      <w:r w:rsidRPr="00C43231">
        <w:rPr>
          <w:rFonts w:hint="cs"/>
          <w:rtl/>
        </w:rPr>
        <w:lastRenderedPageBreak/>
        <w:t xml:space="preserve">והענין הוא, כי בשו"ע אדה"ז (סעי' י"ח) מבואר, שאף שיוצאים (גם לפי דעת הלל) המצוה של מצה בזמן הזה בכזית המצה שאוכלים לפני כן, וכל חיוב הכורך בזמן הזה הוא רק כדי לקיים המצוה של מרור (והיינו, כי לפי דעת הלל גם בזמן הזה צריך לאכול מרור בכריכה דוקא), אעפ"כ, גם המצה של כורך יש בה מצוה (ודלא כדברי הפר"ח שכותב, שבזמן הזה שלפי דעת הלל צריכים לאכול כזית מצה לפני כן שלא בכריכה, הרי המצה של כורך אין בה מצוה כלל והיא רק משום זכר לבד). כי כדי לקיים המצוה של מרור בכריכה (שלפי דעת הלל), תקנו חכמים בזמן הזה מצוה מיוחדת של מצה, מצה </w:t>
      </w:r>
      <w:r w:rsidRPr="00C43231">
        <w:rPr>
          <w:rFonts w:hint="cs"/>
          <w:bCs/>
          <w:rtl/>
        </w:rPr>
        <w:t>שני'</w:t>
      </w:r>
      <w:r w:rsidRPr="00C43231">
        <w:rPr>
          <w:rFonts w:hint="cs"/>
          <w:rtl/>
        </w:rPr>
        <w:t>, בהוספה על מצות המצה שקיימו כבר לפני כן. ומשום כך צריכים לכוון בברכת המצה על המצה דכורך, כדי לפטור מצוה זו דמצה של כורך.</w:t>
      </w:r>
    </w:p>
    <w:p w:rsidR="00C43231" w:rsidRPr="00C43231" w:rsidRDefault="00C43231" w:rsidP="00C43231">
      <w:pPr>
        <w:pStyle w:val="a3"/>
        <w:rPr>
          <w:rtl/>
        </w:rPr>
      </w:pPr>
      <w:r w:rsidRPr="00C43231">
        <w:rPr>
          <w:rFonts w:hint="cs"/>
          <w:rtl/>
        </w:rPr>
        <w:t>ועפ"ז כתב, שי"ל, שמדברי הר' יחיאל יש מקור לשיטה זו של אדה"ז. ובהקדים דברי הב"י שכותב</w:t>
      </w:r>
      <w:r w:rsidRPr="00C43231">
        <w:rPr>
          <w:vertAlign w:val="superscript"/>
          <w:rtl/>
        </w:rPr>
        <w:footnoteReference w:id="38"/>
      </w:r>
      <w:r w:rsidRPr="00C43231">
        <w:rPr>
          <w:rFonts w:hint="cs"/>
          <w:rtl/>
        </w:rPr>
        <w:t xml:space="preserve">, שזה שאין לאכול מרור בהסיבה, היינו רק שאין חיוב לאכלו בהיסבה, אבל אם רצה, יכול לאכלו בהיסבה. </w:t>
      </w:r>
    </w:p>
    <w:p w:rsidR="00C43231" w:rsidRPr="00C43231" w:rsidRDefault="00C43231" w:rsidP="00C43231">
      <w:pPr>
        <w:pStyle w:val="a3"/>
        <w:rPr>
          <w:rtl/>
        </w:rPr>
      </w:pPr>
      <w:r w:rsidRPr="00C43231">
        <w:rPr>
          <w:rFonts w:hint="cs"/>
          <w:rtl/>
        </w:rPr>
        <w:t xml:space="preserve">אשר לפ"ז אי"מ, איך שייך ספק בזה, הרי בכורך יש ב' כזיתים, מצה וגם מרור, המצה צריכה הסיבה והמרור אינו צריך הסיבה אבל מותר לאכלו בהיסבה, א"כ ודאי שיש לאכול הכורך בהיסבה משום המצה. </w:t>
      </w:r>
    </w:p>
    <w:p w:rsidR="00C43231" w:rsidRPr="00C43231" w:rsidRDefault="00C43231" w:rsidP="00C43231">
      <w:pPr>
        <w:pStyle w:val="a3"/>
        <w:rPr>
          <w:rtl/>
        </w:rPr>
      </w:pPr>
      <w:r w:rsidRPr="00C43231">
        <w:rPr>
          <w:rFonts w:hint="cs"/>
          <w:rtl/>
        </w:rPr>
        <w:t xml:space="preserve">אלא על כורחך צריך לומר, שהר' יחיאל מסופק בחידוש זה גופא של אדה"ז האם המצה של כורך היא בגדר מכשיר למרור (כדי לקיים מצות המרור בכריכה כדעת הפר"ח), שאז אין סיבה לחייב אכילת הכורך בהיסבה מאחר שאין בה מצוה של מצה כלל, או אולי המצה של כורך היא בגדר </w:t>
      </w:r>
      <w:r w:rsidRPr="00C43231">
        <w:rPr>
          <w:rFonts w:hint="cs"/>
          <w:bCs/>
          <w:rtl/>
        </w:rPr>
        <w:t>מצוה (</w:t>
      </w:r>
      <w:r w:rsidRPr="00C43231">
        <w:rPr>
          <w:rFonts w:hint="cs"/>
          <w:rtl/>
        </w:rPr>
        <w:t xml:space="preserve">כדעת אדה"ז), שאז יש לחייב הסיבה בכורך משום המצה.  </w:t>
      </w:r>
    </w:p>
    <w:p w:rsidR="00C43231" w:rsidRPr="00C43231" w:rsidRDefault="00C43231" w:rsidP="00C43231">
      <w:pPr>
        <w:pStyle w:val="a3"/>
        <w:rPr>
          <w:rtl/>
        </w:rPr>
      </w:pPr>
      <w:r w:rsidRPr="00C43231">
        <w:rPr>
          <w:rFonts w:hint="cs"/>
          <w:rtl/>
        </w:rPr>
        <w:t xml:space="preserve">אשר לפ"ז, מזה שהכריעו הפוסקים שצריך לאכול הכורך בהסיבה, מוכח כדעת אדה"ז שיש מצוה של מצה בכורך. משום כך מציין הרבי לדברי הר' יחיאל, כי </w:t>
      </w:r>
      <w:r w:rsidRPr="00C43231">
        <w:rPr>
          <w:rFonts w:hint="cs"/>
          <w:bCs/>
          <w:rtl/>
        </w:rPr>
        <w:t>מהכרעת הפוסקים</w:t>
      </w:r>
      <w:r w:rsidRPr="00C43231">
        <w:rPr>
          <w:rFonts w:hint="cs"/>
          <w:rtl/>
        </w:rPr>
        <w:t xml:space="preserve"> בספיקתו, יש יסוד לשיטת אדה"ז.</w:t>
      </w:r>
    </w:p>
    <w:p w:rsidR="00C43231" w:rsidRPr="00C43231" w:rsidRDefault="00C43231" w:rsidP="00C43231">
      <w:pPr>
        <w:pStyle w:val="a3"/>
        <w:rPr>
          <w:rtl/>
        </w:rPr>
      </w:pPr>
      <w:r w:rsidRPr="00C43231">
        <w:rPr>
          <w:rFonts w:hint="cs"/>
          <w:rtl/>
        </w:rPr>
        <w:t>ד. ברם נ"ל, אף שיש בדברים אלו ביאור יפה ליישב ענין התמוה בדברי הרבי, הרי הדברים לקויים בחסר וגם דורשים תיקון באיזה פרטים, כי:</w:t>
      </w:r>
    </w:p>
    <w:p w:rsidR="00C43231" w:rsidRPr="00C43231" w:rsidRDefault="00C43231" w:rsidP="00C43231">
      <w:pPr>
        <w:pStyle w:val="a3"/>
        <w:rPr>
          <w:rtl/>
        </w:rPr>
      </w:pPr>
      <w:r w:rsidRPr="00C43231">
        <w:rPr>
          <w:rFonts w:hint="cs"/>
          <w:rtl/>
        </w:rPr>
        <w:t xml:space="preserve">א) י"ל שהכרעת הפוסקים שצריך לאכול כורך בהיסבה, הוא בפשטות (וכמ"ש הב"ח), כי כן עשה הלל בזמן המקדש שהי' אוכל כורך בהיסבה. כלומר: אפי' את"ל שהמצה דכורך בזמן הזה הוא רק משום זכר לבד, וכדברי הפר"ח, אעפ"כ צריך לאכלו בהיסבה, כי כך הי' עושה </w:t>
      </w:r>
      <w:r w:rsidRPr="00C43231">
        <w:rPr>
          <w:rFonts w:hint="cs"/>
          <w:rtl/>
        </w:rPr>
        <w:lastRenderedPageBreak/>
        <w:t xml:space="preserve">הלל בזמן המקדש. והעיקר זה, כי כך הרי </w:t>
      </w:r>
      <w:r w:rsidRPr="00C43231">
        <w:rPr>
          <w:rFonts w:hint="cs"/>
          <w:bCs/>
          <w:rtl/>
        </w:rPr>
        <w:t>מפורש</w:t>
      </w:r>
      <w:r w:rsidRPr="00C43231">
        <w:rPr>
          <w:rFonts w:hint="cs"/>
          <w:rtl/>
        </w:rPr>
        <w:t xml:space="preserve"> בדברי הפר"ח (ד"ה אוכלם יחד בהיסבה).</w:t>
      </w:r>
    </w:p>
    <w:p w:rsidR="00C43231" w:rsidRPr="00C43231" w:rsidRDefault="00C43231" w:rsidP="00C43231">
      <w:pPr>
        <w:pStyle w:val="a3"/>
        <w:rPr>
          <w:rtl/>
        </w:rPr>
      </w:pPr>
      <w:r w:rsidRPr="00C43231">
        <w:rPr>
          <w:rFonts w:hint="cs"/>
          <w:rtl/>
        </w:rPr>
        <w:t xml:space="preserve">ב) שיטת המנהיג היא בפירוש </w:t>
      </w:r>
      <w:r w:rsidRPr="00C43231">
        <w:rPr>
          <w:rFonts w:hint="cs"/>
          <w:bCs/>
          <w:rtl/>
        </w:rPr>
        <w:t>שלא</w:t>
      </w:r>
      <w:r w:rsidRPr="00C43231">
        <w:rPr>
          <w:rFonts w:hint="cs"/>
          <w:rtl/>
        </w:rPr>
        <w:t xml:space="preserve"> כדעת אדה"ז</w:t>
      </w:r>
      <w:r w:rsidRPr="00C43231">
        <w:rPr>
          <w:vertAlign w:val="superscript"/>
          <w:rtl/>
        </w:rPr>
        <w:footnoteReference w:id="39"/>
      </w:r>
      <w:r w:rsidRPr="00C43231">
        <w:rPr>
          <w:rFonts w:hint="cs"/>
          <w:rtl/>
        </w:rPr>
        <w:t>. כי הנה, זה לשון המנהיג כמו שהוא</w:t>
      </w:r>
      <w:r w:rsidRPr="00C43231">
        <w:rPr>
          <w:rtl/>
        </w:rPr>
        <w:t xml:space="preserve"> בטור</w:t>
      </w:r>
      <w:r w:rsidRPr="00C43231">
        <w:rPr>
          <w:rFonts w:hint="cs"/>
          <w:rtl/>
        </w:rPr>
        <w:t>:</w:t>
      </w:r>
      <w:r w:rsidRPr="00C43231">
        <w:rPr>
          <w:rtl/>
        </w:rPr>
        <w:t xml:space="preserve"> "</w:t>
      </w:r>
      <w:r w:rsidRPr="00C43231">
        <w:rPr>
          <w:bCs/>
          <w:rtl/>
        </w:rPr>
        <w:t xml:space="preserve">הרוצה </w:t>
      </w:r>
      <w:r w:rsidRPr="00C43231">
        <w:rPr>
          <w:rtl/>
        </w:rPr>
        <w:t>לקיים מצוה מן</w:t>
      </w:r>
      <w:r w:rsidRPr="00C43231">
        <w:rPr>
          <w:bCs/>
          <w:rtl/>
        </w:rPr>
        <w:t xml:space="preserve"> המובחר</w:t>
      </w:r>
      <w:r w:rsidRPr="00C43231">
        <w:rPr>
          <w:rFonts w:hint="cs"/>
          <w:bCs/>
          <w:rtl/>
        </w:rPr>
        <w:t>, לא יסיח כו' דהא</w:t>
      </w:r>
      <w:r w:rsidRPr="00C43231">
        <w:rPr>
          <w:bCs/>
          <w:rtl/>
        </w:rPr>
        <w:t xml:space="preserve"> </w:t>
      </w:r>
      <w:r w:rsidRPr="00C43231">
        <w:rPr>
          <w:rtl/>
        </w:rPr>
        <w:t xml:space="preserve">עבדינן </w:t>
      </w:r>
      <w:r w:rsidRPr="00C43231">
        <w:rPr>
          <w:bCs/>
          <w:rtl/>
        </w:rPr>
        <w:t>לחומרא</w:t>
      </w:r>
      <w:r w:rsidRPr="00C43231">
        <w:rPr>
          <w:rtl/>
        </w:rPr>
        <w:t xml:space="preserve"> כתרוייהו", ו</w:t>
      </w:r>
      <w:r w:rsidRPr="00C43231">
        <w:rPr>
          <w:rFonts w:hint="cs"/>
          <w:rtl/>
        </w:rPr>
        <w:t xml:space="preserve">כן הוא </w:t>
      </w:r>
      <w:r w:rsidRPr="00C43231">
        <w:rPr>
          <w:rtl/>
        </w:rPr>
        <w:t>דברי</w:t>
      </w:r>
      <w:r w:rsidRPr="00C43231">
        <w:rPr>
          <w:rFonts w:hint="cs"/>
          <w:rtl/>
        </w:rPr>
        <w:t xml:space="preserve"> המנהיג עצמו בספרו</w:t>
      </w:r>
      <w:r w:rsidRPr="00C43231">
        <w:rPr>
          <w:rtl/>
        </w:rPr>
        <w:t xml:space="preserve"> (הל' ר"ה סי' פ"ד)</w:t>
      </w:r>
      <w:r w:rsidRPr="00C43231">
        <w:rPr>
          <w:rFonts w:hint="cs"/>
          <w:rtl/>
        </w:rPr>
        <w:t xml:space="preserve">: </w:t>
      </w:r>
      <w:r w:rsidRPr="00C43231">
        <w:rPr>
          <w:rtl/>
        </w:rPr>
        <w:t>"</w:t>
      </w:r>
      <w:r w:rsidRPr="00C43231">
        <w:rPr>
          <w:bCs/>
          <w:rtl/>
        </w:rPr>
        <w:t>הבא</w:t>
      </w:r>
      <w:r w:rsidRPr="00C43231">
        <w:rPr>
          <w:rtl/>
        </w:rPr>
        <w:t xml:space="preserve"> לקיים</w:t>
      </w:r>
      <w:r w:rsidRPr="00C43231">
        <w:rPr>
          <w:bCs/>
          <w:rtl/>
        </w:rPr>
        <w:t xml:space="preserve"> </w:t>
      </w:r>
      <w:r w:rsidRPr="00C43231">
        <w:rPr>
          <w:rtl/>
        </w:rPr>
        <w:t>מצוה</w:t>
      </w:r>
      <w:r w:rsidRPr="00C43231">
        <w:rPr>
          <w:bCs/>
          <w:rtl/>
        </w:rPr>
        <w:t xml:space="preserve"> מובחרת</w:t>
      </w:r>
      <w:r w:rsidRPr="00C43231">
        <w:rPr>
          <w:rtl/>
        </w:rPr>
        <w:t xml:space="preserve"> לצאת ידי חובה כרבנן והלל </w:t>
      </w:r>
      <w:r w:rsidRPr="00C43231">
        <w:rPr>
          <w:rFonts w:hint="cs"/>
          <w:rtl/>
        </w:rPr>
        <w:t>כו'</w:t>
      </w:r>
      <w:r w:rsidRPr="00C43231">
        <w:rPr>
          <w:vertAlign w:val="superscript"/>
          <w:rtl/>
        </w:rPr>
        <w:footnoteReference w:id="40"/>
      </w:r>
      <w:r w:rsidRPr="00C43231">
        <w:rPr>
          <w:rFonts w:hint="cs"/>
          <w:rtl/>
        </w:rPr>
        <w:t xml:space="preserve">". שכ"ז הוא לא כלשון אדה"ז שכותב (סעיף י"ח שם): </w:t>
      </w:r>
      <w:r w:rsidRPr="00C43231">
        <w:rPr>
          <w:rtl/>
        </w:rPr>
        <w:t>"</w:t>
      </w:r>
      <w:r w:rsidRPr="00C43231">
        <w:rPr>
          <w:bCs/>
          <w:rtl/>
        </w:rPr>
        <w:t>צריך ליזהר</w:t>
      </w:r>
      <w:r w:rsidRPr="00C43231">
        <w:rPr>
          <w:rtl/>
        </w:rPr>
        <w:t xml:space="preserve"> שלא להשיח . . משבירך על אכילת מצה עד שיאכל כריכה זו כדי שתעלה ברכה זו וברכת המרור גם לכריכה זו לפי דעת הלל, ואם עבר ושח אין צריך לחזור ולברך על כריכה זו </w:t>
      </w:r>
      <w:r w:rsidRPr="00C43231">
        <w:rPr>
          <w:bCs/>
          <w:rtl/>
        </w:rPr>
        <w:t>שמא הלכה כחביריו</w:t>
      </w:r>
      <w:r w:rsidRPr="00C43231">
        <w:rPr>
          <w:rtl/>
        </w:rPr>
        <w:t>"</w:t>
      </w:r>
      <w:r w:rsidRPr="00C43231">
        <w:rPr>
          <w:rFonts w:hint="cs"/>
          <w:rtl/>
        </w:rPr>
        <w:t xml:space="preserve">, </w:t>
      </w:r>
    </w:p>
    <w:p w:rsidR="00C43231" w:rsidRPr="00C43231" w:rsidRDefault="00C43231" w:rsidP="00C43231">
      <w:pPr>
        <w:pStyle w:val="a3"/>
        <w:rPr>
          <w:rtl/>
        </w:rPr>
      </w:pPr>
      <w:r w:rsidRPr="00C43231">
        <w:rPr>
          <w:rFonts w:hint="cs"/>
          <w:rtl/>
        </w:rPr>
        <w:t xml:space="preserve">הרי, שע"פ דברי המנהיג, החיוב לכוון בברכת המצה על כורך, הוא רק משום </w:t>
      </w:r>
      <w:r w:rsidRPr="00C43231">
        <w:rPr>
          <w:rFonts w:hint="cs"/>
          <w:bCs/>
          <w:rtl/>
        </w:rPr>
        <w:t>מצוה מן המובחר וחומרא</w:t>
      </w:r>
      <w:r w:rsidRPr="00C43231">
        <w:rPr>
          <w:vertAlign w:val="superscript"/>
          <w:rtl/>
        </w:rPr>
        <w:footnoteReference w:id="41"/>
      </w:r>
      <w:r w:rsidRPr="00C43231">
        <w:rPr>
          <w:rFonts w:hint="cs"/>
          <w:rtl/>
        </w:rPr>
        <w:t>, משא"כ לפי דברי אדה"ז, החיוב הוא מעיקר הדין (והיינו לפי שיטתו הנ"ל שמצה של כורך הוא מצוה), ולכן זה שהעובר ושח לא צריך לחזור ולברך, הוא רק משום ספק ברכות להקל כי שמא הלכה כחבריו של הלל.</w:t>
      </w:r>
    </w:p>
    <w:p w:rsidR="00C43231" w:rsidRPr="00C43231" w:rsidRDefault="00C43231" w:rsidP="00C43231">
      <w:pPr>
        <w:pStyle w:val="a3"/>
        <w:rPr>
          <w:rtl/>
        </w:rPr>
      </w:pPr>
      <w:r w:rsidRPr="00C43231">
        <w:rPr>
          <w:rFonts w:hint="cs"/>
          <w:rtl/>
        </w:rPr>
        <w:t xml:space="preserve">ג) שיטת התוס' (פסחים קט"ו,א ד"ה אלא אמר) היא, שכל חיוב הכורך שלפי דעת הלל, הוא </w:t>
      </w:r>
      <w:r w:rsidRPr="00C43231">
        <w:rPr>
          <w:rFonts w:hint="cs"/>
          <w:bCs/>
          <w:rtl/>
        </w:rPr>
        <w:t>מעיקרא</w:t>
      </w:r>
      <w:r w:rsidRPr="00C43231">
        <w:rPr>
          <w:rFonts w:hint="cs"/>
          <w:rtl/>
        </w:rPr>
        <w:t xml:space="preserve"> (גם בזמן המקדש), רק לכתחילה. שלפי שיטתם זו, על כורחך שחיוב הכורך בזמן הזה הוא רק משום זכר, דהיינו רק משום </w:t>
      </w:r>
      <w:r w:rsidRPr="00C43231">
        <w:rPr>
          <w:rFonts w:hint="cs"/>
          <w:bCs/>
          <w:rtl/>
        </w:rPr>
        <w:t>מצוה מן המובחר וחומרא</w:t>
      </w:r>
      <w:r w:rsidRPr="00C43231">
        <w:rPr>
          <w:rFonts w:hint="cs"/>
          <w:rtl/>
        </w:rPr>
        <w:t xml:space="preserve"> לבד, כי הרי כבר יצאו ב' המצוות של מצה ומרור (בדיעבד) בכזית המצה ומרור שאכלו לפנ"כ. וא"כ סביר לומר שכך היא דעת המנהיג (כפי שאמנם מדויק בלשונו, כנ"ל) ודעת הר' יחיאל.</w:t>
      </w:r>
    </w:p>
    <w:p w:rsidR="00C43231" w:rsidRPr="00C43231" w:rsidRDefault="00C43231" w:rsidP="00C43231">
      <w:pPr>
        <w:pStyle w:val="a3"/>
        <w:rPr>
          <w:rtl/>
        </w:rPr>
      </w:pPr>
      <w:r w:rsidRPr="00C43231">
        <w:rPr>
          <w:rFonts w:hint="cs"/>
          <w:rtl/>
        </w:rPr>
        <w:t xml:space="preserve">ד) אחרי כל הביאור הזה, עדיין אינו מיושב לגמרי מדוע צריך דוקא את דברי הר' יחיאל, הרי לכאורה הי' די ומספיק לציין רק לדברי המנהיג מאחר שבדבריו מפורש הכרעת הפוסקים בזה.  </w:t>
      </w:r>
    </w:p>
    <w:p w:rsidR="00C43231" w:rsidRPr="00C43231" w:rsidRDefault="00C43231" w:rsidP="00C43231">
      <w:pPr>
        <w:pStyle w:val="a3"/>
        <w:rPr>
          <w:rtl/>
        </w:rPr>
      </w:pPr>
      <w:r w:rsidRPr="00C43231">
        <w:rPr>
          <w:rFonts w:hint="cs"/>
          <w:rtl/>
        </w:rPr>
        <w:t>ד. לכן נ"ל בזה כשיטה הנ"ל, אך מתוך כמה שינוים:</w:t>
      </w:r>
    </w:p>
    <w:p w:rsidR="00C43231" w:rsidRPr="00C43231" w:rsidRDefault="00C43231" w:rsidP="00C43231">
      <w:pPr>
        <w:pStyle w:val="a3"/>
        <w:rPr>
          <w:rtl/>
        </w:rPr>
      </w:pPr>
      <w:r w:rsidRPr="00C43231">
        <w:rPr>
          <w:rFonts w:hint="cs"/>
          <w:rtl/>
        </w:rPr>
        <w:t xml:space="preserve">ובהקדמה: אף שלפי שיטת התוס' הכורך בזמן הזה הוא רק משום זכר (דלא כשיטת אדה"ז), אעפ"כ, עיקר החידוש של אדה"ז שהמצה דכורך בזמן הזה הוא </w:t>
      </w:r>
      <w:r w:rsidRPr="00C43231">
        <w:rPr>
          <w:rFonts w:hint="cs"/>
          <w:bCs/>
          <w:rtl/>
        </w:rPr>
        <w:t>מהות מיוחד לעצמו</w:t>
      </w:r>
      <w:r w:rsidRPr="00C43231">
        <w:rPr>
          <w:rFonts w:hint="cs"/>
          <w:rtl/>
        </w:rPr>
        <w:t xml:space="preserve"> (בנפרד מחיוב המצה שלפנ"כ), נכון הוא גם לפי שיטת התוס'. אלא שלפי שיטת התוס' ענין המיוחד שבמצה זו דכורך, הוא בלא בגדר של מצוה וחיוב, אלא בגדר של זכר, דהיינו בגדר דמצוה מן המובחר וחומרא לבד.</w:t>
      </w:r>
    </w:p>
    <w:p w:rsidR="00C43231" w:rsidRPr="00C43231" w:rsidRDefault="00C43231" w:rsidP="00C43231">
      <w:pPr>
        <w:pStyle w:val="a3"/>
        <w:rPr>
          <w:rtl/>
        </w:rPr>
      </w:pPr>
      <w:r w:rsidRPr="00C43231">
        <w:rPr>
          <w:rFonts w:hint="cs"/>
          <w:rtl/>
        </w:rPr>
        <w:t xml:space="preserve">[היסוד לומר כך, הוא ע"פ הסברה והפשטות, כי אם כך היא שיטתו של אדה"ז </w:t>
      </w:r>
      <w:r w:rsidRPr="00C43231">
        <w:rPr>
          <w:rtl/>
        </w:rPr>
        <w:t>–</w:t>
      </w:r>
      <w:r w:rsidRPr="00C43231">
        <w:rPr>
          <w:rFonts w:hint="cs"/>
          <w:rtl/>
        </w:rPr>
        <w:t xml:space="preserve"> לפי שיטתו שהכורך בזמן הזה היא מצוה, סביר לומר שכך היא שיטתו גם בדעת תוס' </w:t>
      </w:r>
      <w:r w:rsidRPr="00C43231">
        <w:rPr>
          <w:rtl/>
        </w:rPr>
        <w:t>–</w:t>
      </w:r>
      <w:r w:rsidRPr="00C43231">
        <w:rPr>
          <w:rFonts w:hint="cs"/>
          <w:rtl/>
        </w:rPr>
        <w:t xml:space="preserve"> הסוברות שמציאות הכורך הוא רק משום זכר. ברם באמת הדברים מוכחים מדברי הרבי, וכמו שנתבאר </w:t>
      </w:r>
      <w:r w:rsidRPr="00C43231">
        <w:rPr>
          <w:rFonts w:hint="cs"/>
          <w:rtl/>
        </w:rPr>
        <w:lastRenderedPageBreak/>
        <w:t xml:space="preserve">במק"א, ואכ"מ].     </w:t>
      </w:r>
    </w:p>
    <w:p w:rsidR="00C43231" w:rsidRPr="00C43231" w:rsidRDefault="00C43231" w:rsidP="00C43231">
      <w:pPr>
        <w:pStyle w:val="a3"/>
        <w:rPr>
          <w:rtl/>
        </w:rPr>
      </w:pPr>
      <w:r w:rsidRPr="00C43231">
        <w:rPr>
          <w:rFonts w:hint="cs"/>
          <w:rtl/>
        </w:rPr>
        <w:t xml:space="preserve">עפ"ז </w:t>
      </w:r>
      <w:r w:rsidRPr="00C43231">
        <w:rPr>
          <w:rtl/>
        </w:rPr>
        <w:t>–</w:t>
      </w:r>
      <w:r w:rsidRPr="00C43231">
        <w:rPr>
          <w:rFonts w:hint="cs"/>
          <w:rtl/>
        </w:rPr>
        <w:t xml:space="preserve"> בנוגע לעניננו: לפני הבאתם של דברי הר' יחיאל, מביא הטור את דברי האבי העזרי האומר שבזמן הזה שאוכלים מרור לפני כורך, אין לטבול הכורך בחרוסת, כי "ב' טיבולין מצינו . . ג' לא מצינו". אח"כ מביא הטור את דברי הרא"ש החולק על האבי העזרי ואומר, שיש לטבול הכורך בחרוסת, כי "</w:t>
      </w:r>
      <w:r w:rsidRPr="00C43231">
        <w:rPr>
          <w:rFonts w:hint="cs"/>
          <w:bCs/>
          <w:rtl/>
        </w:rPr>
        <w:t>כן הי' הלל</w:t>
      </w:r>
      <w:r w:rsidRPr="00C43231">
        <w:rPr>
          <w:rFonts w:hint="cs"/>
          <w:rtl/>
        </w:rPr>
        <w:t xml:space="preserve"> עושה אוכל פסח מצה ומרור וטובל בחרוסת".</w:t>
      </w:r>
    </w:p>
    <w:p w:rsidR="00C43231" w:rsidRPr="00C43231" w:rsidRDefault="00C43231" w:rsidP="00C43231">
      <w:pPr>
        <w:pStyle w:val="a3"/>
        <w:rPr>
          <w:rtl/>
        </w:rPr>
      </w:pPr>
      <w:r w:rsidRPr="00C43231">
        <w:rPr>
          <w:rFonts w:hint="cs"/>
          <w:rtl/>
        </w:rPr>
        <w:t xml:space="preserve">עד"ז מצאנו בענין האפיקומן, שכותב הרא"ש (מובא בשו"ע אדה"ז סי' תע"ז סעי' ד') שיש לאכלו בהיסבה. כלומר: אף שאפיקומן בזמן הזה הוא (לכו"ע) רק משום זכר, אעפ"כ משום זה גופא יש לאכלו בהיסבה, כי </w:t>
      </w:r>
      <w:r w:rsidRPr="00C43231">
        <w:rPr>
          <w:rFonts w:hint="cs"/>
          <w:bCs/>
          <w:rtl/>
        </w:rPr>
        <w:t>כך היא מצות אכילתו בזמן המקדש</w:t>
      </w:r>
      <w:r w:rsidRPr="00C43231">
        <w:rPr>
          <w:rFonts w:hint="cs"/>
          <w:rtl/>
        </w:rPr>
        <w:t>.</w:t>
      </w:r>
    </w:p>
    <w:p w:rsidR="00C43231" w:rsidRPr="00C43231" w:rsidRDefault="00C43231" w:rsidP="00C43231">
      <w:pPr>
        <w:pStyle w:val="a3"/>
        <w:rPr>
          <w:rtl/>
        </w:rPr>
      </w:pPr>
      <w:r w:rsidRPr="00C43231">
        <w:rPr>
          <w:rFonts w:hint="cs"/>
          <w:rtl/>
        </w:rPr>
        <w:t>ברם כשבא לענין הסיבה בכורך, לא מצאנו שיכתוב הרא"ש (עי' רא"ש בפסחים שם סי' כ' וכן בקיצור פסקי הרא"ש שם) שיש לאכלו בהיסבה.</w:t>
      </w:r>
    </w:p>
    <w:p w:rsidR="00C43231" w:rsidRPr="00C43231" w:rsidRDefault="00C43231" w:rsidP="00C43231">
      <w:pPr>
        <w:pStyle w:val="a3"/>
        <w:rPr>
          <w:rtl/>
        </w:rPr>
      </w:pPr>
      <w:r w:rsidRPr="00C43231">
        <w:rPr>
          <w:rFonts w:hint="cs"/>
          <w:rtl/>
        </w:rPr>
        <w:t>ומובן לכאורה, שזהו יסוד ספיקתו של הר' יחיאל האם צריך לאכול כורך בהיסבה, והיינו, כי אביו הרא"ש לא הזכיר חיוב ההסיבה בכורך</w:t>
      </w:r>
      <w:r w:rsidRPr="00C43231">
        <w:rPr>
          <w:vertAlign w:val="superscript"/>
          <w:rtl/>
        </w:rPr>
        <w:footnoteReference w:id="42"/>
      </w:r>
      <w:r w:rsidRPr="00C43231">
        <w:rPr>
          <w:rFonts w:hint="cs"/>
          <w:rtl/>
        </w:rPr>
        <w:t>.</w:t>
      </w:r>
    </w:p>
    <w:p w:rsidR="00C43231" w:rsidRPr="00C43231" w:rsidRDefault="00C43231" w:rsidP="00C43231">
      <w:pPr>
        <w:pStyle w:val="a3"/>
        <w:rPr>
          <w:rtl/>
        </w:rPr>
      </w:pPr>
      <w:r w:rsidRPr="00C43231">
        <w:rPr>
          <w:rFonts w:hint="cs"/>
          <w:rtl/>
        </w:rPr>
        <w:t xml:space="preserve">אך הדברים צריכים ביאור. כי אם יש חיוב לטבול הכורך בחרוסת </w:t>
      </w:r>
      <w:r w:rsidRPr="00C43231">
        <w:rPr>
          <w:rtl/>
        </w:rPr>
        <w:t>–</w:t>
      </w:r>
      <w:r w:rsidRPr="00C43231">
        <w:rPr>
          <w:rFonts w:hint="cs"/>
          <w:rtl/>
        </w:rPr>
        <w:t xml:space="preserve"> כי כך עשה הלל בזמן המקדש, וכן צריך לאכול אפיקומן בהיסבה </w:t>
      </w:r>
      <w:r w:rsidRPr="00C43231">
        <w:rPr>
          <w:rtl/>
        </w:rPr>
        <w:t>–</w:t>
      </w:r>
      <w:r w:rsidRPr="00C43231">
        <w:rPr>
          <w:rFonts w:hint="cs"/>
          <w:rtl/>
        </w:rPr>
        <w:t xml:space="preserve"> כי כך עשו בזמן המקדש, מדוע יהי' חיוב ההסיבה בכורך שונה מב' אלו.</w:t>
      </w:r>
    </w:p>
    <w:p w:rsidR="00C43231" w:rsidRPr="00C43231" w:rsidRDefault="00C43231" w:rsidP="00C43231">
      <w:pPr>
        <w:pStyle w:val="a3"/>
        <w:rPr>
          <w:rtl/>
        </w:rPr>
      </w:pPr>
      <w:r w:rsidRPr="00C43231">
        <w:rPr>
          <w:rFonts w:hint="cs"/>
          <w:rtl/>
        </w:rPr>
        <w:t xml:space="preserve">ועל כורחך צריך לומר בזה (בדוגמת כמו שכתב הנ"ל, אך באופן הפוך), שהיות שכל מציאות המצה דכורך בזמן הזה הוא רק כדי לקיים המרור בכריכה (אמנם רק משום מצוה מן המובחר </w:t>
      </w:r>
      <w:r w:rsidRPr="00C43231">
        <w:rPr>
          <w:rtl/>
        </w:rPr>
        <w:t>–</w:t>
      </w:r>
      <w:r w:rsidRPr="00C43231">
        <w:rPr>
          <w:rFonts w:hint="cs"/>
          <w:rtl/>
        </w:rPr>
        <w:t xml:space="preserve"> לפי שיטת התוס', כנ"ל), לכן, אף שבנוגע לשאר עניני זכר שבלילה זה עושים הכול כמו שעשו אותם בזמן המקדש, הרי בכורך שהמצה שבו היא </w:t>
      </w:r>
      <w:r w:rsidRPr="00C43231">
        <w:rPr>
          <w:rFonts w:hint="cs"/>
          <w:bCs/>
          <w:rtl/>
        </w:rPr>
        <w:t>שלא</w:t>
      </w:r>
      <w:r w:rsidRPr="00C43231">
        <w:rPr>
          <w:rFonts w:hint="cs"/>
          <w:rtl/>
        </w:rPr>
        <w:t xml:space="preserve"> כמו המצה דכורך שבזמן המקדש, אלא היא מצה מיוחדת שתקנו חכמים בזמן הזה עבור קיום חיוב המרור בכריכה, יש מקום לומר שאין לאכלו כמו שאכלו אותו בזמן המקדש, אלא יש לאכלו כמו </w:t>
      </w:r>
      <w:r w:rsidRPr="00C43231">
        <w:rPr>
          <w:rFonts w:hint="cs"/>
          <w:bCs/>
          <w:rtl/>
        </w:rPr>
        <w:t>המרור</w:t>
      </w:r>
      <w:r w:rsidRPr="00C43231">
        <w:rPr>
          <w:rFonts w:hint="cs"/>
          <w:rtl/>
        </w:rPr>
        <w:t xml:space="preserve"> ושלא בהיסבה</w:t>
      </w:r>
      <w:r w:rsidRPr="00C43231">
        <w:rPr>
          <w:vertAlign w:val="superscript"/>
          <w:rtl/>
        </w:rPr>
        <w:footnoteReference w:id="43"/>
      </w:r>
      <w:r w:rsidRPr="00C43231">
        <w:rPr>
          <w:rFonts w:hint="cs"/>
          <w:rtl/>
        </w:rPr>
        <w:t>.</w:t>
      </w:r>
    </w:p>
    <w:p w:rsidR="00C43231" w:rsidRPr="00C43231" w:rsidRDefault="00C43231" w:rsidP="00C43231">
      <w:pPr>
        <w:pStyle w:val="a3"/>
        <w:rPr>
          <w:rtl/>
        </w:rPr>
      </w:pPr>
      <w:r w:rsidRPr="00C43231">
        <w:rPr>
          <w:rFonts w:hint="cs"/>
          <w:rtl/>
        </w:rPr>
        <w:t xml:space="preserve">הרי מכאן ראי' </w:t>
      </w:r>
      <w:r w:rsidRPr="00C43231">
        <w:rPr>
          <w:rFonts w:hint="cs"/>
          <w:bCs/>
          <w:rtl/>
        </w:rPr>
        <w:t>מוכחת</w:t>
      </w:r>
      <w:r w:rsidRPr="00C43231">
        <w:rPr>
          <w:rFonts w:hint="cs"/>
          <w:rtl/>
        </w:rPr>
        <w:t xml:space="preserve"> לשיטת אדה"ז שהמצה דכורך היא מציאות מצה לעצמה שתקנוה רק עבור המרור. כי לפי דברי שאר הפוסקים שהמצה דכורך היא זכר לכורך של זמן המקדש (וכמו כל שאר עניני זכר) ולא תקנה מיוחדת עבור המרור, אין מקום לחלק בין חיוב ההסיבה בכורך לכל שאר עניני זכר שעושים אותם כמו שעשאום בזמן המקדש.</w:t>
      </w:r>
    </w:p>
    <w:p w:rsidR="00C43231" w:rsidRPr="00C43231" w:rsidRDefault="00C43231" w:rsidP="00C43231">
      <w:pPr>
        <w:pStyle w:val="a3"/>
        <w:rPr>
          <w:rtl/>
        </w:rPr>
      </w:pPr>
      <w:r w:rsidRPr="00C43231">
        <w:rPr>
          <w:rFonts w:hint="cs"/>
          <w:rtl/>
        </w:rPr>
        <w:t xml:space="preserve">ה. ברם הוכחה זו מספקות של הר' יחיאל, היא רק מספיקתו </w:t>
      </w:r>
      <w:r w:rsidRPr="00C43231">
        <w:rPr>
          <w:rFonts w:hint="cs"/>
          <w:bCs/>
          <w:rtl/>
        </w:rPr>
        <w:t>ולא</w:t>
      </w:r>
      <w:r w:rsidRPr="00C43231">
        <w:rPr>
          <w:rFonts w:hint="cs"/>
          <w:rtl/>
        </w:rPr>
        <w:t xml:space="preserve"> מהכרעת הפוסקים בדבריו.</w:t>
      </w:r>
    </w:p>
    <w:p w:rsidR="00C43231" w:rsidRPr="00C43231" w:rsidRDefault="00C43231" w:rsidP="00C43231">
      <w:pPr>
        <w:pStyle w:val="a3"/>
        <w:rPr>
          <w:rtl/>
        </w:rPr>
      </w:pPr>
      <w:r w:rsidRPr="00C43231">
        <w:rPr>
          <w:rFonts w:hint="cs"/>
          <w:rtl/>
        </w:rPr>
        <w:lastRenderedPageBreak/>
        <w:t xml:space="preserve">כי הכרעת הפוסקים בזה אינה קשורה כלל לגדר המצה דכורך, אלא לכללות מציאות הכורך, שהיות שמציאות הכורך בכללו הוא זכר לזמן המקדש, לכן יש לאכלו בהיסבה כמו שאכלו אותו בזמן המקדש (למרות שבהתחשבות עם פרטי המציאות דכורך (המצה ומרור שבו), הי' מקום לומר שאין לאכלו בהיסבה, כדברי הר' יחיאל).   </w:t>
      </w:r>
    </w:p>
    <w:p w:rsidR="00C43231" w:rsidRPr="00C43231" w:rsidRDefault="00C43231" w:rsidP="00C43231">
      <w:pPr>
        <w:pStyle w:val="a3"/>
      </w:pPr>
      <w:r w:rsidRPr="00C43231">
        <w:rPr>
          <w:rFonts w:hint="cs"/>
          <w:rtl/>
        </w:rPr>
        <w:t xml:space="preserve">עכ"פ למדים מזה, שמדברי הר' יחיאל, </w:t>
      </w:r>
      <w:r w:rsidRPr="00C43231">
        <w:rPr>
          <w:rFonts w:hint="cs"/>
          <w:bCs/>
          <w:rtl/>
        </w:rPr>
        <w:t xml:space="preserve">ורק </w:t>
      </w:r>
      <w:r w:rsidRPr="00C43231">
        <w:rPr>
          <w:rFonts w:hint="cs"/>
          <w:rtl/>
        </w:rPr>
        <w:t xml:space="preserve">מדבריו, יש ראי' </w:t>
      </w:r>
      <w:r w:rsidRPr="00C43231">
        <w:rPr>
          <w:rFonts w:hint="cs"/>
          <w:bCs/>
          <w:rtl/>
        </w:rPr>
        <w:t>מוכחת ומוכרחת</w:t>
      </w:r>
      <w:r w:rsidRPr="00C43231">
        <w:rPr>
          <w:rFonts w:hint="cs"/>
          <w:rtl/>
        </w:rPr>
        <w:t xml:space="preserve"> לשיטת אדה"ז, ולכן מציין הרבי לדבריו.</w:t>
      </w:r>
    </w:p>
    <w:p w:rsidR="00760DB7" w:rsidRPr="00760DB7" w:rsidRDefault="00760DB7" w:rsidP="00760DB7">
      <w:pPr>
        <w:bidi/>
        <w:spacing w:after="240"/>
        <w:jc w:val="center"/>
        <w:rPr>
          <w:rFonts w:ascii="Nymphette" w:eastAsia="Times New Roman" w:hAnsi="Nymphette" w:cs="Nymphette"/>
          <w:sz w:val="44"/>
          <w:szCs w:val="44"/>
          <w:rtl/>
        </w:rPr>
      </w:pPr>
      <w:r w:rsidRPr="00760DB7">
        <w:rPr>
          <w:rFonts w:ascii="Nymphette" w:eastAsia="Times New Roman" w:hAnsi="Nymphette" w:cs="Nymphette"/>
          <w:sz w:val="44"/>
          <w:szCs w:val="44"/>
        </w:rPr>
        <w:t>g</w:t>
      </w:r>
    </w:p>
    <w:p w:rsidR="00760DB7" w:rsidRDefault="00760DB7" w:rsidP="00AC425E">
      <w:pPr>
        <w:pStyle w:val="12"/>
        <w:rPr>
          <w:rtl/>
        </w:rPr>
      </w:pPr>
      <w:bookmarkStart w:id="124" w:name="_Toc39817429"/>
      <w:r w:rsidRPr="00760DB7">
        <w:rPr>
          <w:rFonts w:hint="cs"/>
          <w:rtl/>
        </w:rPr>
        <w:t>נגלה</w:t>
      </w:r>
      <w:bookmarkEnd w:id="108"/>
      <w:bookmarkEnd w:id="124"/>
    </w:p>
    <w:p w:rsidR="006049DD" w:rsidRPr="00B22FDB" w:rsidRDefault="006049DD" w:rsidP="00BD272D">
      <w:pPr>
        <w:pStyle w:val="a0"/>
        <w:bidi w:val="0"/>
        <w:rPr>
          <w:sz w:val="28"/>
          <w:szCs w:val="28"/>
          <w:rtl/>
        </w:rPr>
      </w:pPr>
      <w:bookmarkStart w:id="125" w:name="_Toc39817430"/>
      <w:r w:rsidRPr="00B22FDB">
        <w:rPr>
          <w:rFonts w:hint="cs"/>
          <w:rtl/>
        </w:rPr>
        <w:t>זכר למקדש</w:t>
      </w:r>
      <w:bookmarkEnd w:id="125"/>
    </w:p>
    <w:p w:rsidR="006049DD" w:rsidRDefault="006049DD" w:rsidP="00C93F24">
      <w:pPr>
        <w:pStyle w:val="a"/>
        <w:rPr>
          <w:rtl/>
        </w:rPr>
      </w:pPr>
      <w:bookmarkStart w:id="126" w:name="_Toc39817431"/>
      <w:r>
        <w:rPr>
          <w:rFonts w:hint="cs"/>
          <w:rtl/>
        </w:rPr>
        <w:t>הרב שמעון בן ציון אייזנבך</w:t>
      </w:r>
      <w:bookmarkEnd w:id="126"/>
    </w:p>
    <w:p w:rsidR="006049DD" w:rsidRPr="00FE4E99" w:rsidRDefault="006049DD" w:rsidP="006049DD">
      <w:pPr>
        <w:pStyle w:val="a1"/>
        <w:rPr>
          <w:rFonts w:ascii="Calibri" w:hAnsi="Calibri"/>
          <w:sz w:val="32"/>
          <w:szCs w:val="32"/>
          <w:rtl/>
        </w:rPr>
      </w:pPr>
      <w:r>
        <w:rPr>
          <w:rFonts w:hint="cs"/>
          <w:rtl/>
        </w:rPr>
        <w:t>ר"מ בישיבת תו"ת ברינוא</w:t>
      </w:r>
    </w:p>
    <w:p w:rsidR="006049DD" w:rsidRPr="00FE4E99" w:rsidRDefault="006049DD" w:rsidP="004B0C42">
      <w:pPr>
        <w:pStyle w:val="a3"/>
        <w:rPr>
          <w:rtl/>
        </w:rPr>
      </w:pPr>
      <w:r w:rsidRPr="00FE4E99">
        <w:rPr>
          <w:rFonts w:hint="cs"/>
          <w:rtl/>
        </w:rPr>
        <w:t>בתוס' מגילה דף כ: ד"ה כל הלילה: "ואחר שבירך על הספירה אומר יה"ר שיבנה וכו', מה שאין כן בתקיעת שופר ולולב, והיינו טעמא לפי שאין עתה (עפ"י הג' הב"ח) אלא הזכרה לבנין ביהמ"ק אבל לשופר ולולב יש עשיה" עכ"ל, ובוודאי כוונתם על לולב מיום ב' ואילך, דהרי ביום הראשון אינו זכר למקדש אלא מדאורייתא, (ובנוגע לשופר לכאורה  צ"ע, ועי' רש"ש וגליוני הש"ס), ומ"מ דברי התוס' צריכים ביאור, שממה שסיימו בשופר ולולב "יש עשייה", נראה שבספירת העומר אין עשייה, וצ"ב.</w:t>
      </w:r>
    </w:p>
    <w:p w:rsidR="006049DD" w:rsidRPr="00FE4E99" w:rsidRDefault="006049DD" w:rsidP="004B0C42">
      <w:pPr>
        <w:pStyle w:val="a3"/>
        <w:rPr>
          <w:rtl/>
        </w:rPr>
      </w:pPr>
      <w:bookmarkStart w:id="127" w:name="סימן_תפט_"/>
      <w:r w:rsidRPr="00FE4E99">
        <w:rPr>
          <w:rFonts w:hint="cs"/>
          <w:rtl/>
        </w:rPr>
        <w:t xml:space="preserve">ונתבארו הדברים בשלחן ערוך רבינו הזקן סי' תפ"ט סעיף </w:t>
      </w:r>
      <w:r w:rsidRPr="00FE4E99">
        <w:rPr>
          <w:rtl/>
        </w:rPr>
        <w:t>י</w:t>
      </w:r>
      <w:r w:rsidRPr="00FE4E99">
        <w:rPr>
          <w:rFonts w:hint="cs"/>
          <w:rtl/>
        </w:rPr>
        <w:t>"</w:t>
      </w:r>
      <w:r w:rsidRPr="00FE4E99">
        <w:rPr>
          <w:rtl/>
        </w:rPr>
        <w:t>א</w:t>
      </w:r>
      <w:r w:rsidRPr="00FE4E99">
        <w:rPr>
          <w:rFonts w:hint="cs"/>
          <w:rtl/>
        </w:rPr>
        <w:t xml:space="preserve"> וז"ל:: "</w:t>
      </w:r>
      <w:r w:rsidRPr="00FE4E99">
        <w:rPr>
          <w:rtl/>
        </w:rPr>
        <w:t>אחר הספירה נוהגין לומר יהי רצון שיבנה בית המקדש כו' לפי שעכשיו אין אנו סופרין אלא זכר למקדש</w:t>
      </w:r>
      <w:r w:rsidRPr="00FE4E99">
        <w:rPr>
          <w:rFonts w:hint="cs"/>
          <w:rtl/>
        </w:rPr>
        <w:t>,</w:t>
      </w:r>
      <w:r w:rsidRPr="00FE4E99">
        <w:rPr>
          <w:rtl/>
        </w:rPr>
        <w:t xml:space="preserve"> </w:t>
      </w:r>
      <w:r w:rsidRPr="00492C26">
        <w:rPr>
          <w:u w:val="single"/>
          <w:rtl/>
        </w:rPr>
        <w:t>ואין בספירה זו עשיית מצוה כלל</w:t>
      </w:r>
      <w:r w:rsidRPr="00492C26">
        <w:rPr>
          <w:rFonts w:hint="cs"/>
          <w:u w:val="single"/>
          <w:rtl/>
        </w:rPr>
        <w:t>,</w:t>
      </w:r>
      <w:r w:rsidRPr="00492C26">
        <w:rPr>
          <w:u w:val="single"/>
          <w:rtl/>
        </w:rPr>
        <w:t xml:space="preserve"> שהמצוה הוא לספור לעומר</w:t>
      </w:r>
      <w:r w:rsidRPr="00492C26">
        <w:rPr>
          <w:rFonts w:hint="cs"/>
          <w:u w:val="single"/>
          <w:rtl/>
        </w:rPr>
        <w:t>,</w:t>
      </w:r>
      <w:r w:rsidRPr="00492C26">
        <w:rPr>
          <w:u w:val="single"/>
          <w:rtl/>
        </w:rPr>
        <w:t xml:space="preserve"> ועכשיו אין לנו עומר לספור לו</w:t>
      </w:r>
      <w:r w:rsidRPr="00492C26">
        <w:rPr>
          <w:rFonts w:hint="cs"/>
          <w:u w:val="single"/>
          <w:rtl/>
        </w:rPr>
        <w:t>,</w:t>
      </w:r>
      <w:r w:rsidRPr="00FE4E99">
        <w:rPr>
          <w:rtl/>
        </w:rPr>
        <w:t xml:space="preserve"> אלא שחכמים תקנו לספור זכר למקדש</w:t>
      </w:r>
      <w:r w:rsidRPr="00FE4E99">
        <w:rPr>
          <w:rFonts w:hint="cs"/>
          <w:rtl/>
        </w:rPr>
        <w:t>,</w:t>
      </w:r>
      <w:r w:rsidRPr="00FE4E99">
        <w:rPr>
          <w:rtl/>
        </w:rPr>
        <w:t xml:space="preserve"> לפיכך מתפללין שיבנה בית המקדש ונקיים המצוה כתקונה</w:t>
      </w:r>
      <w:bookmarkEnd w:id="127"/>
      <w:r w:rsidRPr="00FE4E99">
        <w:rPr>
          <w:rFonts w:hint="cs"/>
          <w:rtl/>
        </w:rPr>
        <w:t>" עכ"ל.</w:t>
      </w:r>
    </w:p>
    <w:p w:rsidR="006049DD" w:rsidRDefault="006049DD" w:rsidP="004B0C42">
      <w:pPr>
        <w:pStyle w:val="a3"/>
        <w:rPr>
          <w:rtl/>
        </w:rPr>
      </w:pPr>
      <w:r w:rsidRPr="00FE4E99">
        <w:rPr>
          <w:rFonts w:hint="cs"/>
          <w:rtl/>
        </w:rPr>
        <w:t>ומבואר</w:t>
      </w:r>
      <w:r>
        <w:rPr>
          <w:rFonts w:hint="cs"/>
        </w:rPr>
        <w:t xml:space="preserve"> </w:t>
      </w:r>
      <w:r w:rsidRPr="00FE4E99">
        <w:rPr>
          <w:rFonts w:hint="cs"/>
          <w:rtl/>
        </w:rPr>
        <w:t xml:space="preserve">שבזמן הזה שאין קרבן העומר ולא יכולים לקיים המצוה דספירת העומר כתיקונה, הנה מה שסופרים הוא משום זכר למקדש, ואין בספירה זו עשית מצוה, מה שאין כן לולב מיום ב' ואילך, שאף  שתיקנו זכר למה שבבית המקדש היו נוטלים לולב שבעה, אבל גם בנטילתו בזמן הזה יש בו משום קיום מצוה. זאת אומרת דמעשה עצמו דמצות לולב בזמן הזה הוא בשלמותו, </w:t>
      </w:r>
      <w:r>
        <w:rPr>
          <w:rFonts w:hint="cs"/>
          <w:rtl/>
        </w:rPr>
        <w:t xml:space="preserve">דעצם המעשה שייך גם בזמן הזה, </w:t>
      </w:r>
      <w:r w:rsidRPr="00FE4E99">
        <w:rPr>
          <w:rFonts w:hint="cs"/>
          <w:rtl/>
        </w:rPr>
        <w:t>אלא משום שאין לנו ביהמ"ק, והדין ד"ושמחתם.. שבעת ימים" הוא דווקא "לפני ה' אלוקיכם"</w:t>
      </w:r>
      <w:r>
        <w:rPr>
          <w:rFonts w:hint="cs"/>
          <w:rtl/>
        </w:rPr>
        <w:t>.</w:t>
      </w:r>
      <w:r w:rsidRPr="00FE4E99">
        <w:rPr>
          <w:rFonts w:hint="cs"/>
          <w:rtl/>
        </w:rPr>
        <w:t xml:space="preserve"> </w:t>
      </w:r>
      <w:r>
        <w:rPr>
          <w:rFonts w:hint="cs"/>
          <w:rtl/>
        </w:rPr>
        <w:t>ו</w:t>
      </w:r>
      <w:r w:rsidRPr="00FE4E99">
        <w:rPr>
          <w:rFonts w:hint="cs"/>
          <w:rtl/>
        </w:rPr>
        <w:t xml:space="preserve">מ"מ תיקנו חכמים לעשות כן גם בזה"ז זכר למה שהיו נוטלים לולב וגם בזמה"ז ישנו קיום של השמחה שבעת ימים מדרבנן, משא"כ מצות ספירת העומר דלפי שהוא </w:t>
      </w:r>
      <w:r w:rsidRPr="00FE4E99">
        <w:rPr>
          <w:rFonts w:hint="cs"/>
          <w:b/>
          <w:bCs/>
          <w:rtl/>
        </w:rPr>
        <w:t xml:space="preserve"> תלוי</w:t>
      </w:r>
      <w:r w:rsidRPr="00FE4E99">
        <w:rPr>
          <w:rFonts w:hint="cs"/>
          <w:rtl/>
        </w:rPr>
        <w:t xml:space="preserve"> בהקרבת העומר ובזמן הזה אין לנו עומר </w:t>
      </w:r>
      <w:r>
        <w:rPr>
          <w:rFonts w:hint="cs"/>
          <w:rtl/>
        </w:rPr>
        <w:t xml:space="preserve">הרי לא שייך לספור לעומר אם אין לנו עומר </w:t>
      </w:r>
      <w:r w:rsidRPr="00FE4E99">
        <w:rPr>
          <w:rFonts w:hint="cs"/>
          <w:rtl/>
        </w:rPr>
        <w:t>. ו</w:t>
      </w:r>
      <w:r>
        <w:rPr>
          <w:rFonts w:hint="cs"/>
          <w:rtl/>
        </w:rPr>
        <w:t>יוצא לפי זה ש</w:t>
      </w:r>
      <w:r w:rsidRPr="00FE4E99">
        <w:rPr>
          <w:rFonts w:hint="cs"/>
          <w:rtl/>
        </w:rPr>
        <w:t xml:space="preserve">בזמן הזה אין כאן קיום מצוה של ספירה כלל. אלא שתקנו חכמים זכר למצות ספירת העומר שהייתה בזמן ביהמ"ק. </w:t>
      </w:r>
    </w:p>
    <w:p w:rsidR="006049DD" w:rsidRPr="00FE4E99" w:rsidRDefault="006049DD" w:rsidP="004B0C42">
      <w:pPr>
        <w:pStyle w:val="11"/>
        <w:bidi/>
        <w:rPr>
          <w:rtl/>
        </w:rPr>
      </w:pPr>
      <w:r w:rsidRPr="00FE4E99">
        <w:rPr>
          <w:rFonts w:hint="cs"/>
          <w:rtl/>
        </w:rPr>
        <w:lastRenderedPageBreak/>
        <w:t>ב.</w:t>
      </w:r>
    </w:p>
    <w:p w:rsidR="006049DD" w:rsidRPr="00FE4E99" w:rsidRDefault="006049DD" w:rsidP="004B0C42">
      <w:pPr>
        <w:pStyle w:val="a3"/>
        <w:rPr>
          <w:rtl/>
        </w:rPr>
      </w:pPr>
      <w:r w:rsidRPr="00FE4E99">
        <w:rPr>
          <w:rFonts w:hint="cs"/>
          <w:rtl/>
        </w:rPr>
        <w:t>והנה על פי זה יש ליישב</w:t>
      </w:r>
      <w:r>
        <w:rPr>
          <w:rFonts w:hint="cs"/>
          <w:rtl/>
        </w:rPr>
        <w:t xml:space="preserve">, סתירה שיש לכאורה בדברי רש"י, </w:t>
      </w:r>
      <w:r w:rsidRPr="00FE4E99">
        <w:rPr>
          <w:rFonts w:hint="cs"/>
          <w:rtl/>
        </w:rPr>
        <w:t>שבריש לולב הגזול (כ"ט:) על מה שאמרו שם "קא פסיק ותני לא שנא יו"ט ראשון ולא שנא יו"ט שני בשלמא יבש פסול הדר בעינן</w:t>
      </w:r>
      <w:r w:rsidRPr="00FE4E99">
        <w:t xml:space="preserve"> </w:t>
      </w:r>
      <w:r w:rsidRPr="00FE4E99">
        <w:rPr>
          <w:rFonts w:hint="cs"/>
          <w:rtl/>
        </w:rPr>
        <w:t xml:space="preserve"> וליכא" כתב רש"י בד"ה</w:t>
      </w:r>
      <w:r w:rsidRPr="00FE4E99">
        <w:t xml:space="preserve"> </w:t>
      </w:r>
      <w:r w:rsidRPr="00FE4E99">
        <w:rPr>
          <w:rFonts w:hint="cs"/>
          <w:rtl/>
        </w:rPr>
        <w:t xml:space="preserve"> בשלמא יבש: וז"ל: פסול בדרבנן נמי כיון </w:t>
      </w:r>
      <w:r w:rsidRPr="00503072">
        <w:rPr>
          <w:rFonts w:hint="cs"/>
          <w:b/>
          <w:bCs/>
          <w:rtl/>
        </w:rPr>
        <w:t>דמצוה הוא זכר למקדש בעינן הדור מצוה</w:t>
      </w:r>
      <w:r w:rsidRPr="00FE4E99">
        <w:rPr>
          <w:rFonts w:hint="cs"/>
          <w:rtl/>
        </w:rPr>
        <w:t>" עכ"ל. והיינו ש</w:t>
      </w:r>
      <w:r>
        <w:rPr>
          <w:rFonts w:hint="cs"/>
          <w:rtl/>
        </w:rPr>
        <w:t xml:space="preserve">גם </w:t>
      </w:r>
      <w:r w:rsidRPr="00FE4E99">
        <w:rPr>
          <w:rFonts w:hint="cs"/>
          <w:rtl/>
        </w:rPr>
        <w:t xml:space="preserve">מצוה שהיא </w:t>
      </w:r>
      <w:r w:rsidRPr="00503072">
        <w:rPr>
          <w:rFonts w:hint="cs"/>
          <w:b/>
          <w:bCs/>
          <w:rtl/>
        </w:rPr>
        <w:t>זכר למקדש</w:t>
      </w:r>
      <w:r w:rsidRPr="00FE4E99">
        <w:rPr>
          <w:rFonts w:hint="cs"/>
          <w:rtl/>
        </w:rPr>
        <w:t xml:space="preserve"> בעינן להדר בה. ואילו </w:t>
      </w:r>
      <w:r w:rsidRPr="00FE4E99">
        <w:rPr>
          <w:rFonts w:hint="eastAsia"/>
          <w:rtl/>
        </w:rPr>
        <w:t>במנחות</w:t>
      </w:r>
      <w:r w:rsidRPr="00FE4E99">
        <w:rPr>
          <w:rtl/>
        </w:rPr>
        <w:t xml:space="preserve"> </w:t>
      </w:r>
      <w:r w:rsidRPr="00FE4E99">
        <w:rPr>
          <w:rFonts w:hint="eastAsia"/>
          <w:rtl/>
        </w:rPr>
        <w:t>ס</w:t>
      </w:r>
      <w:r>
        <w:rPr>
          <w:rFonts w:hint="cs"/>
          <w:rtl/>
        </w:rPr>
        <w:t>"</w:t>
      </w:r>
      <w:r w:rsidRPr="00FE4E99">
        <w:rPr>
          <w:rFonts w:hint="eastAsia"/>
          <w:rtl/>
        </w:rPr>
        <w:t>ו</w:t>
      </w:r>
      <w:r w:rsidRPr="00FE4E99">
        <w:rPr>
          <w:rFonts w:hint="cs"/>
          <w:rtl/>
        </w:rPr>
        <w:t xml:space="preserve"> "</w:t>
      </w:r>
      <w:r w:rsidRPr="00FE4E99">
        <w:rPr>
          <w:rFonts w:hint="eastAsia"/>
          <w:rtl/>
        </w:rPr>
        <w:t>אמימר</w:t>
      </w:r>
      <w:r w:rsidRPr="00FE4E99">
        <w:rPr>
          <w:rtl/>
        </w:rPr>
        <w:t xml:space="preserve"> </w:t>
      </w:r>
      <w:r w:rsidRPr="00FE4E99">
        <w:rPr>
          <w:rFonts w:hint="eastAsia"/>
          <w:rtl/>
        </w:rPr>
        <w:t>מני</w:t>
      </w:r>
      <w:r w:rsidRPr="00FE4E99">
        <w:rPr>
          <w:rtl/>
        </w:rPr>
        <w:t xml:space="preserve"> </w:t>
      </w:r>
      <w:r w:rsidRPr="00FE4E99">
        <w:rPr>
          <w:rFonts w:hint="eastAsia"/>
          <w:rtl/>
        </w:rPr>
        <w:t>יומי</w:t>
      </w:r>
      <w:r w:rsidRPr="00FE4E99">
        <w:rPr>
          <w:rtl/>
        </w:rPr>
        <w:t xml:space="preserve"> </w:t>
      </w:r>
      <w:r w:rsidRPr="00FE4E99">
        <w:rPr>
          <w:rFonts w:hint="eastAsia"/>
          <w:rtl/>
        </w:rPr>
        <w:t>ולא</w:t>
      </w:r>
      <w:r w:rsidRPr="00FE4E99">
        <w:rPr>
          <w:rtl/>
        </w:rPr>
        <w:t xml:space="preserve"> </w:t>
      </w:r>
      <w:r w:rsidRPr="00FE4E99">
        <w:rPr>
          <w:rFonts w:hint="eastAsia"/>
          <w:rtl/>
        </w:rPr>
        <w:t>מני</w:t>
      </w:r>
      <w:r w:rsidRPr="00FE4E99">
        <w:rPr>
          <w:rtl/>
        </w:rPr>
        <w:t xml:space="preserve"> </w:t>
      </w:r>
      <w:r w:rsidRPr="00FE4E99">
        <w:rPr>
          <w:rFonts w:hint="eastAsia"/>
          <w:rtl/>
        </w:rPr>
        <w:t>שבועי</w:t>
      </w:r>
      <w:r w:rsidRPr="00FE4E99">
        <w:rPr>
          <w:rtl/>
        </w:rPr>
        <w:t xml:space="preserve"> </w:t>
      </w:r>
      <w:r w:rsidRPr="00FE4E99">
        <w:rPr>
          <w:rFonts w:hint="eastAsia"/>
          <w:rtl/>
        </w:rPr>
        <w:t>אמר</w:t>
      </w:r>
      <w:r w:rsidRPr="00FE4E99">
        <w:rPr>
          <w:rtl/>
        </w:rPr>
        <w:t xml:space="preserve"> </w:t>
      </w:r>
      <w:r w:rsidRPr="00FE4E99">
        <w:rPr>
          <w:rFonts w:hint="eastAsia"/>
          <w:rtl/>
        </w:rPr>
        <w:t>זכר</w:t>
      </w:r>
      <w:r w:rsidRPr="00FE4E99">
        <w:rPr>
          <w:rtl/>
        </w:rPr>
        <w:t xml:space="preserve"> </w:t>
      </w:r>
      <w:r w:rsidRPr="00FE4E99">
        <w:rPr>
          <w:rFonts w:hint="eastAsia"/>
          <w:rtl/>
        </w:rPr>
        <w:t>למקדש</w:t>
      </w:r>
      <w:r w:rsidRPr="00FE4E99">
        <w:rPr>
          <w:rtl/>
        </w:rPr>
        <w:t xml:space="preserve"> </w:t>
      </w:r>
      <w:r w:rsidRPr="00FE4E99">
        <w:rPr>
          <w:rFonts w:hint="eastAsia"/>
          <w:rtl/>
        </w:rPr>
        <w:t>הוא</w:t>
      </w:r>
      <w:r w:rsidRPr="00FE4E99">
        <w:rPr>
          <w:rFonts w:hint="cs"/>
          <w:rtl/>
        </w:rPr>
        <w:t>"</w:t>
      </w:r>
      <w:r w:rsidRPr="00FE4E99">
        <w:rPr>
          <w:rtl/>
        </w:rPr>
        <w:t xml:space="preserve"> </w:t>
      </w:r>
      <w:r w:rsidRPr="00FE4E99">
        <w:rPr>
          <w:rFonts w:hint="eastAsia"/>
          <w:rtl/>
        </w:rPr>
        <w:t>ופירש</w:t>
      </w:r>
      <w:r w:rsidRPr="00FE4E99">
        <w:rPr>
          <w:rtl/>
        </w:rPr>
        <w:t>''</w:t>
      </w:r>
      <w:r w:rsidRPr="00FE4E99">
        <w:rPr>
          <w:rFonts w:hint="eastAsia"/>
          <w:rtl/>
        </w:rPr>
        <w:t>י</w:t>
      </w:r>
      <w:r w:rsidRPr="00FE4E99">
        <w:rPr>
          <w:rtl/>
        </w:rPr>
        <w:t xml:space="preserve"> ''</w:t>
      </w:r>
      <w:r w:rsidRPr="00FE4E99">
        <w:rPr>
          <w:rFonts w:hint="eastAsia"/>
          <w:rtl/>
        </w:rPr>
        <w:t>אמר</w:t>
      </w:r>
      <w:r w:rsidRPr="00FE4E99">
        <w:rPr>
          <w:rtl/>
        </w:rPr>
        <w:t xml:space="preserve"> </w:t>
      </w:r>
      <w:r w:rsidRPr="00FE4E99">
        <w:rPr>
          <w:rFonts w:hint="eastAsia"/>
          <w:rtl/>
        </w:rPr>
        <w:t>האי</w:t>
      </w:r>
      <w:r w:rsidRPr="00FE4E99">
        <w:rPr>
          <w:rtl/>
        </w:rPr>
        <w:t xml:space="preserve"> </w:t>
      </w:r>
      <w:r w:rsidRPr="00FE4E99">
        <w:rPr>
          <w:rFonts w:hint="eastAsia"/>
          <w:rtl/>
        </w:rPr>
        <w:t>מנינא</w:t>
      </w:r>
      <w:r w:rsidRPr="00FE4E99">
        <w:rPr>
          <w:rtl/>
        </w:rPr>
        <w:t xml:space="preserve"> </w:t>
      </w:r>
      <w:r w:rsidRPr="00FE4E99">
        <w:rPr>
          <w:rFonts w:hint="eastAsia"/>
          <w:rtl/>
        </w:rPr>
        <w:t>דהשתא</w:t>
      </w:r>
      <w:r w:rsidRPr="00FE4E99">
        <w:rPr>
          <w:rtl/>
        </w:rPr>
        <w:t xml:space="preserve"> </w:t>
      </w:r>
      <w:r w:rsidRPr="00FE4E99">
        <w:rPr>
          <w:rFonts w:hint="eastAsia"/>
          <w:rtl/>
        </w:rPr>
        <w:t>לאו</w:t>
      </w:r>
      <w:r w:rsidRPr="00FE4E99">
        <w:rPr>
          <w:rtl/>
        </w:rPr>
        <w:t xml:space="preserve"> </w:t>
      </w:r>
      <w:r w:rsidRPr="00FE4E99">
        <w:rPr>
          <w:rFonts w:hint="eastAsia"/>
          <w:rtl/>
        </w:rPr>
        <w:t>חובה</w:t>
      </w:r>
      <w:r w:rsidRPr="00FE4E99">
        <w:rPr>
          <w:rtl/>
        </w:rPr>
        <w:t xml:space="preserve"> </w:t>
      </w:r>
      <w:r w:rsidRPr="00FE4E99">
        <w:rPr>
          <w:rFonts w:hint="eastAsia"/>
          <w:rtl/>
        </w:rPr>
        <w:t>הוא</w:t>
      </w:r>
      <w:r w:rsidRPr="00FE4E99">
        <w:rPr>
          <w:rtl/>
        </w:rPr>
        <w:t xml:space="preserve"> </w:t>
      </w:r>
      <w:r w:rsidRPr="00FE4E99">
        <w:rPr>
          <w:rFonts w:hint="eastAsia"/>
          <w:rtl/>
        </w:rPr>
        <w:t>דהא</w:t>
      </w:r>
      <w:r w:rsidRPr="00FE4E99">
        <w:rPr>
          <w:rtl/>
        </w:rPr>
        <w:t xml:space="preserve"> </w:t>
      </w:r>
      <w:r w:rsidRPr="00FE4E99">
        <w:rPr>
          <w:rFonts w:hint="eastAsia"/>
          <w:rtl/>
        </w:rPr>
        <w:t>ליכא</w:t>
      </w:r>
      <w:r w:rsidRPr="00FE4E99">
        <w:rPr>
          <w:rtl/>
        </w:rPr>
        <w:t xml:space="preserve"> </w:t>
      </w:r>
      <w:r w:rsidRPr="00FE4E99">
        <w:rPr>
          <w:rFonts w:hint="eastAsia"/>
          <w:rtl/>
        </w:rPr>
        <w:t>עומר</w:t>
      </w:r>
      <w:r w:rsidRPr="00FE4E99">
        <w:rPr>
          <w:rtl/>
        </w:rPr>
        <w:t xml:space="preserve"> </w:t>
      </w:r>
      <w:r w:rsidRPr="00FE4E99">
        <w:rPr>
          <w:rFonts w:hint="eastAsia"/>
          <w:rtl/>
        </w:rPr>
        <w:t>אלא</w:t>
      </w:r>
      <w:r w:rsidRPr="00FE4E99">
        <w:rPr>
          <w:rtl/>
        </w:rPr>
        <w:t xml:space="preserve"> </w:t>
      </w:r>
      <w:r w:rsidRPr="00FE4E99">
        <w:rPr>
          <w:rFonts w:hint="eastAsia"/>
          <w:rtl/>
        </w:rPr>
        <w:t>זכר</w:t>
      </w:r>
      <w:r w:rsidRPr="00FE4E99">
        <w:rPr>
          <w:rtl/>
        </w:rPr>
        <w:t xml:space="preserve"> </w:t>
      </w:r>
      <w:r w:rsidRPr="00FE4E99">
        <w:rPr>
          <w:rFonts w:hint="eastAsia"/>
          <w:rtl/>
        </w:rPr>
        <w:t>למקדש</w:t>
      </w:r>
      <w:r w:rsidRPr="00FE4E99">
        <w:rPr>
          <w:rtl/>
        </w:rPr>
        <w:t xml:space="preserve"> </w:t>
      </w:r>
      <w:r w:rsidRPr="00FE4E99">
        <w:rPr>
          <w:rFonts w:hint="eastAsia"/>
          <w:rtl/>
        </w:rPr>
        <w:t>בעלמא</w:t>
      </w:r>
      <w:r w:rsidRPr="00FE4E99">
        <w:rPr>
          <w:rtl/>
        </w:rPr>
        <w:t xml:space="preserve"> </w:t>
      </w:r>
      <w:r w:rsidRPr="00FE4E99">
        <w:rPr>
          <w:rFonts w:hint="eastAsia"/>
          <w:rtl/>
        </w:rPr>
        <w:t>הוא</w:t>
      </w:r>
      <w:r w:rsidRPr="00FE4E99">
        <w:rPr>
          <w:rtl/>
        </w:rPr>
        <w:t xml:space="preserve"> </w:t>
      </w:r>
      <w:r w:rsidRPr="00FE4E99">
        <w:rPr>
          <w:rFonts w:hint="eastAsia"/>
          <w:rtl/>
        </w:rPr>
        <w:t>הלכך</w:t>
      </w:r>
      <w:r w:rsidRPr="00FE4E99">
        <w:rPr>
          <w:rtl/>
        </w:rPr>
        <w:t xml:space="preserve"> </w:t>
      </w:r>
      <w:r w:rsidRPr="00FE4E99">
        <w:rPr>
          <w:rFonts w:hint="eastAsia"/>
          <w:rtl/>
        </w:rPr>
        <w:t>ביומי</w:t>
      </w:r>
      <w:r w:rsidRPr="00FE4E99">
        <w:rPr>
          <w:rtl/>
        </w:rPr>
        <w:t xml:space="preserve"> </w:t>
      </w:r>
      <w:r w:rsidRPr="00FE4E99">
        <w:rPr>
          <w:rFonts w:hint="eastAsia"/>
          <w:rtl/>
        </w:rPr>
        <w:t>סגי</w:t>
      </w:r>
      <w:r w:rsidRPr="00FE4E99">
        <w:rPr>
          <w:rtl/>
        </w:rPr>
        <w:t xml:space="preserve">'' </w:t>
      </w:r>
      <w:r w:rsidRPr="00FE4E99">
        <w:rPr>
          <w:rFonts w:hint="eastAsia"/>
          <w:rtl/>
        </w:rPr>
        <w:t>ומשמע</w:t>
      </w:r>
      <w:r w:rsidRPr="00FE4E99">
        <w:rPr>
          <w:rtl/>
        </w:rPr>
        <w:t xml:space="preserve"> </w:t>
      </w:r>
      <w:r w:rsidRPr="00FE4E99">
        <w:rPr>
          <w:rFonts w:hint="eastAsia"/>
          <w:rtl/>
        </w:rPr>
        <w:t>דכיון</w:t>
      </w:r>
      <w:r w:rsidRPr="00FE4E99">
        <w:rPr>
          <w:rtl/>
        </w:rPr>
        <w:t xml:space="preserve"> </w:t>
      </w:r>
      <w:r w:rsidRPr="00FE4E99">
        <w:rPr>
          <w:rFonts w:hint="eastAsia"/>
          <w:rtl/>
        </w:rPr>
        <w:t>דלא</w:t>
      </w:r>
      <w:r w:rsidRPr="00FE4E99">
        <w:rPr>
          <w:rtl/>
        </w:rPr>
        <w:t xml:space="preserve"> </w:t>
      </w:r>
      <w:r w:rsidRPr="00FE4E99">
        <w:rPr>
          <w:rFonts w:hint="eastAsia"/>
          <w:rtl/>
        </w:rPr>
        <w:t>הוי</w:t>
      </w:r>
      <w:r w:rsidRPr="00FE4E99">
        <w:rPr>
          <w:rtl/>
        </w:rPr>
        <w:t xml:space="preserve"> </w:t>
      </w:r>
      <w:r w:rsidRPr="00FE4E99">
        <w:rPr>
          <w:rFonts w:hint="eastAsia"/>
          <w:rtl/>
        </w:rPr>
        <w:t>אלא</w:t>
      </w:r>
      <w:r w:rsidRPr="00FE4E99">
        <w:rPr>
          <w:rtl/>
        </w:rPr>
        <w:t xml:space="preserve"> </w:t>
      </w:r>
      <w:r w:rsidRPr="00FE4E99">
        <w:rPr>
          <w:rFonts w:hint="eastAsia"/>
          <w:rtl/>
        </w:rPr>
        <w:t>זכר</w:t>
      </w:r>
      <w:r w:rsidRPr="00FE4E99">
        <w:rPr>
          <w:rtl/>
        </w:rPr>
        <w:t xml:space="preserve"> </w:t>
      </w:r>
      <w:r w:rsidRPr="00FE4E99">
        <w:rPr>
          <w:rFonts w:hint="eastAsia"/>
          <w:rtl/>
        </w:rPr>
        <w:t>למקדש</w:t>
      </w:r>
      <w:r w:rsidRPr="00FE4E99">
        <w:rPr>
          <w:rFonts w:hint="cs"/>
          <w:rtl/>
        </w:rPr>
        <w:t xml:space="preserve">, די בהזכרת הימים בלבד ואין צריך </w:t>
      </w:r>
      <w:r w:rsidRPr="00503072">
        <w:rPr>
          <w:rFonts w:hint="cs"/>
          <w:b/>
          <w:bCs/>
          <w:rtl/>
        </w:rPr>
        <w:t>להדר</w:t>
      </w:r>
      <w:r w:rsidRPr="00FE4E99">
        <w:rPr>
          <w:rFonts w:hint="cs"/>
          <w:rtl/>
        </w:rPr>
        <w:t xml:space="preserve"> ולספור גם השבועות. וצ"ב.</w:t>
      </w:r>
    </w:p>
    <w:p w:rsidR="006049DD" w:rsidRPr="00FE4E99" w:rsidRDefault="006049DD" w:rsidP="004B0C42">
      <w:pPr>
        <w:pStyle w:val="a3"/>
        <w:rPr>
          <w:rtl/>
        </w:rPr>
      </w:pPr>
      <w:r w:rsidRPr="00FE4E99">
        <w:rPr>
          <w:rFonts w:hint="cs"/>
          <w:rtl/>
        </w:rPr>
        <w:t xml:space="preserve">ולהנ"ל א"ש דהרי חילוק יש בין לולב ביו"ט שני, לספירת העומר בזה"ז, דלולב שיש בה עשיה, וקיום של מצות לולב, צריכים להדר בה אף שהיא מדרבנן, </w:t>
      </w:r>
      <w:r>
        <w:rPr>
          <w:rFonts w:hint="cs"/>
          <w:rtl/>
        </w:rPr>
        <w:t>וזהו שכתב</w:t>
      </w:r>
      <w:r w:rsidRPr="00FE4E99">
        <w:rPr>
          <w:rFonts w:hint="cs"/>
          <w:rtl/>
        </w:rPr>
        <w:t xml:space="preserve"> בסוכה, </w:t>
      </w:r>
      <w:r>
        <w:rPr>
          <w:rFonts w:hint="cs"/>
          <w:rtl/>
        </w:rPr>
        <w:t xml:space="preserve">אבל </w:t>
      </w:r>
      <w:r w:rsidRPr="00FE4E99">
        <w:rPr>
          <w:rFonts w:hint="cs"/>
          <w:rtl/>
        </w:rPr>
        <w:t xml:space="preserve">ספירת העומר </w:t>
      </w:r>
      <w:r>
        <w:rPr>
          <w:rFonts w:hint="cs"/>
          <w:rtl/>
        </w:rPr>
        <w:t>שאין בזה קיום מצוה, ו</w:t>
      </w:r>
      <w:r w:rsidRPr="00FE4E99">
        <w:rPr>
          <w:rFonts w:hint="cs"/>
          <w:rtl/>
        </w:rPr>
        <w:t xml:space="preserve">אינה אלא </w:t>
      </w:r>
      <w:r>
        <w:rPr>
          <w:rFonts w:hint="cs"/>
          <w:rtl/>
        </w:rPr>
        <w:t>זכר</w:t>
      </w:r>
      <w:r w:rsidRPr="00FE4E99">
        <w:rPr>
          <w:rFonts w:hint="cs"/>
          <w:rtl/>
        </w:rPr>
        <w:t xml:space="preserve"> לספירת העומר שהיתה במקדש,</w:t>
      </w:r>
      <w:r>
        <w:rPr>
          <w:rFonts w:hint="cs"/>
          <w:rtl/>
        </w:rPr>
        <w:t xml:space="preserve"> הנה לזה </w:t>
      </w:r>
      <w:r w:rsidRPr="00FE4E99">
        <w:rPr>
          <w:rFonts w:hint="cs"/>
          <w:rtl/>
        </w:rPr>
        <w:t xml:space="preserve"> ס"ל לאמימר </w:t>
      </w:r>
      <w:r>
        <w:rPr>
          <w:rFonts w:hint="cs"/>
          <w:rtl/>
        </w:rPr>
        <w:t xml:space="preserve">דכעון שאין זה קיום מצוה אין צריך להדר בה ודי </w:t>
      </w:r>
      <w:r w:rsidRPr="00FE4E99">
        <w:rPr>
          <w:rFonts w:hint="cs"/>
          <w:rtl/>
        </w:rPr>
        <w:t xml:space="preserve">בספירת הימים לחודיה </w:t>
      </w:r>
      <w:r>
        <w:rPr>
          <w:rFonts w:hint="cs"/>
          <w:rtl/>
        </w:rPr>
        <w:t>דגם בזה איכא "זכר"</w:t>
      </w:r>
      <w:r w:rsidRPr="00FE4E99">
        <w:rPr>
          <w:rFonts w:hint="cs"/>
          <w:rtl/>
        </w:rPr>
        <w:t>.</w:t>
      </w:r>
    </w:p>
    <w:p w:rsidR="006049DD" w:rsidRPr="00FE4E99" w:rsidRDefault="006049DD" w:rsidP="004B0C42">
      <w:pPr>
        <w:pStyle w:val="a3"/>
        <w:rPr>
          <w:rtl/>
        </w:rPr>
      </w:pPr>
      <w:r>
        <w:rPr>
          <w:rFonts w:hint="cs"/>
          <w:rtl/>
        </w:rPr>
        <w:t>ומדויק</w:t>
      </w:r>
      <w:r w:rsidRPr="00FE4E99">
        <w:rPr>
          <w:rFonts w:hint="cs"/>
          <w:rtl/>
        </w:rPr>
        <w:t xml:space="preserve"> גם לשון רש"י, שבסוכה כתב "כיון </w:t>
      </w:r>
      <w:r w:rsidRPr="00503072">
        <w:rPr>
          <w:rFonts w:hint="cs"/>
          <w:b/>
          <w:bCs/>
          <w:rtl/>
        </w:rPr>
        <w:t xml:space="preserve">דמצוה </w:t>
      </w:r>
      <w:r w:rsidRPr="00FE4E99">
        <w:rPr>
          <w:rFonts w:hint="cs"/>
          <w:rtl/>
        </w:rPr>
        <w:t xml:space="preserve">הוא זכר למקדש", ואילו במנחות כתב </w:t>
      </w:r>
      <w:r w:rsidRPr="00FE4E99">
        <w:rPr>
          <w:rFonts w:hint="eastAsia"/>
          <w:rtl/>
        </w:rPr>
        <w:t>דהא</w:t>
      </w:r>
      <w:r w:rsidRPr="00FE4E99">
        <w:rPr>
          <w:rtl/>
        </w:rPr>
        <w:t xml:space="preserve"> </w:t>
      </w:r>
      <w:r w:rsidRPr="00FE4E99">
        <w:rPr>
          <w:rFonts w:hint="eastAsia"/>
          <w:rtl/>
        </w:rPr>
        <w:t>ליכא</w:t>
      </w:r>
      <w:r w:rsidRPr="00FE4E99">
        <w:rPr>
          <w:rtl/>
        </w:rPr>
        <w:t xml:space="preserve"> </w:t>
      </w:r>
      <w:r w:rsidRPr="00FE4E99">
        <w:rPr>
          <w:rFonts w:hint="eastAsia"/>
          <w:rtl/>
        </w:rPr>
        <w:t>עומר</w:t>
      </w:r>
      <w:r w:rsidRPr="00FE4E99">
        <w:rPr>
          <w:rtl/>
        </w:rPr>
        <w:t xml:space="preserve"> </w:t>
      </w:r>
      <w:r w:rsidRPr="00FE4E99">
        <w:rPr>
          <w:rFonts w:hint="eastAsia"/>
          <w:rtl/>
        </w:rPr>
        <w:t>אלא</w:t>
      </w:r>
      <w:r w:rsidRPr="00FE4E99">
        <w:rPr>
          <w:rtl/>
        </w:rPr>
        <w:t xml:space="preserve"> </w:t>
      </w:r>
      <w:r w:rsidRPr="00FE4E99">
        <w:rPr>
          <w:rFonts w:hint="eastAsia"/>
          <w:rtl/>
        </w:rPr>
        <w:t>זכר</w:t>
      </w:r>
      <w:r w:rsidRPr="00FE4E99">
        <w:rPr>
          <w:rtl/>
        </w:rPr>
        <w:t xml:space="preserve"> </w:t>
      </w:r>
      <w:r w:rsidRPr="00FE4E99">
        <w:rPr>
          <w:rFonts w:hint="eastAsia"/>
          <w:rtl/>
        </w:rPr>
        <w:t>למקדש</w:t>
      </w:r>
      <w:r w:rsidRPr="00FE4E99">
        <w:rPr>
          <w:rtl/>
        </w:rPr>
        <w:t xml:space="preserve"> </w:t>
      </w:r>
      <w:r w:rsidRPr="00FE4E99">
        <w:rPr>
          <w:rFonts w:hint="eastAsia"/>
          <w:rtl/>
        </w:rPr>
        <w:t>בעלמא</w:t>
      </w:r>
      <w:r w:rsidRPr="00FE4E99">
        <w:rPr>
          <w:rFonts w:hint="cs"/>
          <w:rtl/>
        </w:rPr>
        <w:t>".</w:t>
      </w:r>
      <w:r>
        <w:rPr>
          <w:rFonts w:hint="cs"/>
          <w:rtl/>
        </w:rPr>
        <w:t xml:space="preserve"> וי"ל שזהו הדיוק "זכר למקדש </w:t>
      </w:r>
      <w:r w:rsidRPr="0078128A">
        <w:rPr>
          <w:rFonts w:hint="cs"/>
          <w:u w:val="single"/>
          <w:rtl/>
        </w:rPr>
        <w:t>בעלמא</w:t>
      </w:r>
      <w:r>
        <w:rPr>
          <w:rFonts w:hint="cs"/>
          <w:rtl/>
        </w:rPr>
        <w:t>".</w:t>
      </w:r>
    </w:p>
    <w:p w:rsidR="006049DD" w:rsidRPr="00FE4E99" w:rsidRDefault="006049DD" w:rsidP="004B0C42">
      <w:pPr>
        <w:pStyle w:val="11"/>
        <w:bidi/>
        <w:rPr>
          <w:rtl/>
        </w:rPr>
      </w:pPr>
      <w:r w:rsidRPr="00FE4E99">
        <w:rPr>
          <w:rFonts w:hint="cs"/>
          <w:rtl/>
        </w:rPr>
        <w:t>ג.</w:t>
      </w:r>
    </w:p>
    <w:p w:rsidR="006049DD" w:rsidRPr="00FE4E99" w:rsidRDefault="006049DD" w:rsidP="004B0C42">
      <w:pPr>
        <w:pStyle w:val="a3"/>
        <w:rPr>
          <w:rtl/>
        </w:rPr>
      </w:pPr>
      <w:r w:rsidRPr="00FE4E99">
        <w:rPr>
          <w:rFonts w:hint="cs"/>
          <w:rtl/>
        </w:rPr>
        <w:t xml:space="preserve">והנה לפי זה </w:t>
      </w:r>
      <w:r>
        <w:rPr>
          <w:rFonts w:hint="cs"/>
          <w:rtl/>
        </w:rPr>
        <w:t>יש לבאר את</w:t>
      </w:r>
      <w:r w:rsidRPr="00FE4E99">
        <w:rPr>
          <w:rFonts w:hint="cs"/>
          <w:rtl/>
        </w:rPr>
        <w:t xml:space="preserve"> דברי הרשב"א בתשובות סימן קכ"ו שנשאל שם מ"ט </w:t>
      </w:r>
      <w:r>
        <w:rPr>
          <w:rFonts w:hint="cs"/>
          <w:rtl/>
        </w:rPr>
        <w:t>אין</w:t>
      </w:r>
      <w:r w:rsidRPr="00FE4E99">
        <w:rPr>
          <w:rFonts w:hint="cs"/>
          <w:rtl/>
        </w:rPr>
        <w:t xml:space="preserve"> אומרים שהחיינו על ספירת העומר. וכתב לתרץ: "</w:t>
      </w:r>
      <w:r w:rsidRPr="00FE4E99">
        <w:rPr>
          <w:rFonts w:hint="eastAsia"/>
          <w:rtl/>
        </w:rPr>
        <w:t>שלא</w:t>
      </w:r>
      <w:r w:rsidRPr="00FE4E99">
        <w:rPr>
          <w:rtl/>
        </w:rPr>
        <w:t xml:space="preserve"> </w:t>
      </w:r>
      <w:r w:rsidRPr="00FE4E99">
        <w:rPr>
          <w:rFonts w:hint="eastAsia"/>
          <w:rtl/>
        </w:rPr>
        <w:t>מצינו</w:t>
      </w:r>
      <w:r w:rsidRPr="00FE4E99">
        <w:rPr>
          <w:rtl/>
        </w:rPr>
        <w:t xml:space="preserve"> </w:t>
      </w:r>
      <w:r w:rsidRPr="00FE4E99">
        <w:rPr>
          <w:rFonts w:hint="eastAsia"/>
          <w:rtl/>
        </w:rPr>
        <w:t>ברכת</w:t>
      </w:r>
      <w:r w:rsidRPr="00FE4E99">
        <w:rPr>
          <w:rtl/>
        </w:rPr>
        <w:t xml:space="preserve"> </w:t>
      </w:r>
      <w:r w:rsidRPr="00FE4E99">
        <w:rPr>
          <w:rFonts w:hint="eastAsia"/>
          <w:rtl/>
        </w:rPr>
        <w:t>זמן</w:t>
      </w:r>
      <w:r w:rsidRPr="00FE4E99">
        <w:rPr>
          <w:rtl/>
        </w:rPr>
        <w:t xml:space="preserve"> </w:t>
      </w:r>
      <w:r w:rsidRPr="00FE4E99">
        <w:rPr>
          <w:rFonts w:hint="eastAsia"/>
          <w:rtl/>
        </w:rPr>
        <w:t>אלא</w:t>
      </w:r>
      <w:r w:rsidRPr="00FE4E99">
        <w:rPr>
          <w:rtl/>
        </w:rPr>
        <w:t xml:space="preserve"> </w:t>
      </w:r>
      <w:r w:rsidRPr="00FE4E99">
        <w:rPr>
          <w:rFonts w:hint="eastAsia"/>
          <w:rtl/>
        </w:rPr>
        <w:t>בדבר</w:t>
      </w:r>
      <w:r w:rsidRPr="00FE4E99">
        <w:rPr>
          <w:rtl/>
        </w:rPr>
        <w:t xml:space="preserve"> </w:t>
      </w:r>
      <w:r w:rsidRPr="00FE4E99">
        <w:rPr>
          <w:rFonts w:hint="eastAsia"/>
          <w:rtl/>
        </w:rPr>
        <w:t>שיש</w:t>
      </w:r>
      <w:r w:rsidRPr="00FE4E99">
        <w:rPr>
          <w:rtl/>
        </w:rPr>
        <w:t xml:space="preserve"> </w:t>
      </w:r>
      <w:r w:rsidRPr="00FE4E99">
        <w:rPr>
          <w:rFonts w:hint="eastAsia"/>
          <w:rtl/>
        </w:rPr>
        <w:t>בו</w:t>
      </w:r>
      <w:r w:rsidRPr="00FE4E99">
        <w:rPr>
          <w:rtl/>
        </w:rPr>
        <w:t xml:space="preserve"> </w:t>
      </w:r>
      <w:r w:rsidRPr="00FE4E99">
        <w:rPr>
          <w:rFonts w:hint="eastAsia"/>
          <w:rtl/>
        </w:rPr>
        <w:t>שום</w:t>
      </w:r>
      <w:r w:rsidRPr="00FE4E99">
        <w:rPr>
          <w:rtl/>
        </w:rPr>
        <w:t xml:space="preserve"> </w:t>
      </w:r>
      <w:r w:rsidRPr="00FE4E99">
        <w:rPr>
          <w:rFonts w:hint="eastAsia"/>
          <w:rtl/>
        </w:rPr>
        <w:t>הנאה</w:t>
      </w:r>
      <w:r w:rsidRPr="00FE4E99">
        <w:rPr>
          <w:rtl/>
        </w:rPr>
        <w:t xml:space="preserve"> </w:t>
      </w:r>
      <w:r w:rsidRPr="00FE4E99">
        <w:rPr>
          <w:rFonts w:hint="eastAsia"/>
          <w:rtl/>
        </w:rPr>
        <w:t>כגון</w:t>
      </w:r>
      <w:r w:rsidRPr="00FE4E99">
        <w:rPr>
          <w:rtl/>
        </w:rPr>
        <w:t xml:space="preserve"> </w:t>
      </w:r>
      <w:r w:rsidRPr="00FE4E99">
        <w:rPr>
          <w:rFonts w:hint="eastAsia"/>
          <w:rtl/>
        </w:rPr>
        <w:t>נטילת</w:t>
      </w:r>
      <w:r w:rsidRPr="00FE4E99">
        <w:rPr>
          <w:rtl/>
        </w:rPr>
        <w:t xml:space="preserve"> </w:t>
      </w:r>
      <w:r w:rsidRPr="00FE4E99">
        <w:rPr>
          <w:rFonts w:hint="eastAsia"/>
          <w:rtl/>
        </w:rPr>
        <w:t>לולב</w:t>
      </w:r>
      <w:r w:rsidRPr="00FE4E99">
        <w:rPr>
          <w:rtl/>
        </w:rPr>
        <w:t xml:space="preserve"> </w:t>
      </w:r>
      <w:r w:rsidRPr="00FE4E99">
        <w:rPr>
          <w:rFonts w:hint="eastAsia"/>
          <w:rtl/>
        </w:rPr>
        <w:t>שהוא</w:t>
      </w:r>
      <w:r w:rsidRPr="00FE4E99">
        <w:rPr>
          <w:rtl/>
        </w:rPr>
        <w:t xml:space="preserve"> </w:t>
      </w:r>
      <w:r w:rsidRPr="00FE4E99">
        <w:rPr>
          <w:rFonts w:hint="eastAsia"/>
          <w:rtl/>
        </w:rPr>
        <w:t>בא</w:t>
      </w:r>
      <w:r w:rsidRPr="00FE4E99">
        <w:rPr>
          <w:rtl/>
        </w:rPr>
        <w:t xml:space="preserve"> </w:t>
      </w:r>
      <w:r w:rsidRPr="00FE4E99">
        <w:rPr>
          <w:rFonts w:hint="eastAsia"/>
          <w:rtl/>
        </w:rPr>
        <w:t>לשמחה</w:t>
      </w:r>
      <w:r w:rsidRPr="00FE4E99">
        <w:rPr>
          <w:rtl/>
        </w:rPr>
        <w:t xml:space="preserve"> </w:t>
      </w:r>
      <w:r w:rsidRPr="00FE4E99">
        <w:rPr>
          <w:rFonts w:hint="eastAsia"/>
          <w:rtl/>
        </w:rPr>
        <w:t>ותקיעת</w:t>
      </w:r>
      <w:r w:rsidRPr="00FE4E99">
        <w:rPr>
          <w:rtl/>
        </w:rPr>
        <w:t xml:space="preserve"> </w:t>
      </w:r>
      <w:r w:rsidRPr="00FE4E99">
        <w:rPr>
          <w:rFonts w:hint="eastAsia"/>
          <w:rtl/>
        </w:rPr>
        <w:t>שופר</w:t>
      </w:r>
      <w:r w:rsidRPr="00FE4E99">
        <w:rPr>
          <w:rtl/>
        </w:rPr>
        <w:t xml:space="preserve"> </w:t>
      </w:r>
      <w:r w:rsidRPr="00FE4E99">
        <w:rPr>
          <w:rFonts w:hint="eastAsia"/>
          <w:rtl/>
        </w:rPr>
        <w:t>לזכרון</w:t>
      </w:r>
      <w:r w:rsidRPr="00FE4E99">
        <w:rPr>
          <w:rtl/>
        </w:rPr>
        <w:t xml:space="preserve"> </w:t>
      </w:r>
      <w:r w:rsidRPr="00FE4E99">
        <w:rPr>
          <w:rFonts w:hint="eastAsia"/>
          <w:rtl/>
        </w:rPr>
        <w:t>בין</w:t>
      </w:r>
      <w:r w:rsidRPr="00FE4E99">
        <w:rPr>
          <w:rtl/>
        </w:rPr>
        <w:t xml:space="preserve"> </w:t>
      </w:r>
      <w:r w:rsidRPr="00FE4E99">
        <w:rPr>
          <w:rFonts w:hint="eastAsia"/>
          <w:rtl/>
        </w:rPr>
        <w:t>ישראל</w:t>
      </w:r>
      <w:r w:rsidRPr="00FE4E99">
        <w:rPr>
          <w:rtl/>
        </w:rPr>
        <w:t xml:space="preserve"> </w:t>
      </w:r>
      <w:r w:rsidRPr="00FE4E99">
        <w:rPr>
          <w:rFonts w:hint="eastAsia"/>
          <w:rtl/>
        </w:rPr>
        <w:t>לאביהם</w:t>
      </w:r>
      <w:r w:rsidRPr="00FE4E99">
        <w:rPr>
          <w:rtl/>
        </w:rPr>
        <w:t xml:space="preserve"> </w:t>
      </w:r>
      <w:r w:rsidRPr="00FE4E99">
        <w:rPr>
          <w:rFonts w:hint="eastAsia"/>
          <w:rtl/>
        </w:rPr>
        <w:t>שבשמים</w:t>
      </w:r>
      <w:r w:rsidRPr="00FE4E99">
        <w:rPr>
          <w:rtl/>
        </w:rPr>
        <w:t xml:space="preserve"> </w:t>
      </w:r>
      <w:r w:rsidRPr="00FE4E99">
        <w:rPr>
          <w:rFonts w:hint="eastAsia"/>
          <w:rtl/>
        </w:rPr>
        <w:t>ומקרא</w:t>
      </w:r>
      <w:r w:rsidRPr="00FE4E99">
        <w:rPr>
          <w:rtl/>
        </w:rPr>
        <w:t xml:space="preserve"> </w:t>
      </w:r>
      <w:r w:rsidRPr="00FE4E99">
        <w:rPr>
          <w:rFonts w:hint="eastAsia"/>
          <w:rtl/>
        </w:rPr>
        <w:t>מגילה</w:t>
      </w:r>
      <w:r w:rsidRPr="00FE4E99">
        <w:rPr>
          <w:rtl/>
        </w:rPr>
        <w:t xml:space="preserve"> </w:t>
      </w:r>
      <w:r w:rsidRPr="00FE4E99">
        <w:rPr>
          <w:rFonts w:hint="eastAsia"/>
          <w:rtl/>
        </w:rPr>
        <w:t>דחס</w:t>
      </w:r>
      <w:r w:rsidRPr="00FE4E99">
        <w:rPr>
          <w:rtl/>
        </w:rPr>
        <w:t xml:space="preserve"> </w:t>
      </w:r>
      <w:r w:rsidRPr="00FE4E99">
        <w:rPr>
          <w:rFonts w:hint="eastAsia"/>
          <w:rtl/>
        </w:rPr>
        <w:t>רחמנא</w:t>
      </w:r>
      <w:r w:rsidRPr="00FE4E99">
        <w:rPr>
          <w:rtl/>
        </w:rPr>
        <w:t xml:space="preserve"> </w:t>
      </w:r>
      <w:r w:rsidRPr="00FE4E99">
        <w:rPr>
          <w:rFonts w:hint="eastAsia"/>
          <w:rtl/>
        </w:rPr>
        <w:t>עלן</w:t>
      </w:r>
      <w:r w:rsidRPr="00FE4E99">
        <w:rPr>
          <w:rtl/>
        </w:rPr>
        <w:t xml:space="preserve"> </w:t>
      </w:r>
      <w:r w:rsidRPr="00FE4E99">
        <w:rPr>
          <w:rFonts w:hint="eastAsia"/>
          <w:rtl/>
        </w:rPr>
        <w:t>ופרוקינן</w:t>
      </w:r>
      <w:r w:rsidRPr="00FE4E99">
        <w:rPr>
          <w:rtl/>
        </w:rPr>
        <w:t xml:space="preserve"> </w:t>
      </w:r>
      <w:r w:rsidRPr="00FE4E99">
        <w:rPr>
          <w:rFonts w:hint="eastAsia"/>
          <w:rtl/>
        </w:rPr>
        <w:t>ופדיון</w:t>
      </w:r>
      <w:r w:rsidRPr="00FE4E99">
        <w:rPr>
          <w:rtl/>
        </w:rPr>
        <w:t xml:space="preserve"> </w:t>
      </w:r>
      <w:r w:rsidRPr="00FE4E99">
        <w:rPr>
          <w:rFonts w:hint="eastAsia"/>
          <w:rtl/>
        </w:rPr>
        <w:t>הבן</w:t>
      </w:r>
      <w:r w:rsidRPr="00FE4E99">
        <w:rPr>
          <w:rtl/>
        </w:rPr>
        <w:t xml:space="preserve"> </w:t>
      </w:r>
      <w:r w:rsidRPr="00FE4E99">
        <w:rPr>
          <w:rFonts w:hint="eastAsia"/>
          <w:rtl/>
        </w:rPr>
        <w:t>שמברך</w:t>
      </w:r>
      <w:r w:rsidRPr="00FE4E99">
        <w:rPr>
          <w:rtl/>
        </w:rPr>
        <w:t xml:space="preserve"> </w:t>
      </w:r>
      <w:r w:rsidRPr="00FE4E99">
        <w:rPr>
          <w:rFonts w:hint="eastAsia"/>
          <w:rtl/>
        </w:rPr>
        <w:t>אבי</w:t>
      </w:r>
      <w:r w:rsidRPr="00FE4E99">
        <w:rPr>
          <w:rtl/>
        </w:rPr>
        <w:t xml:space="preserve"> </w:t>
      </w:r>
      <w:r w:rsidRPr="00FE4E99">
        <w:rPr>
          <w:rFonts w:hint="eastAsia"/>
          <w:rtl/>
        </w:rPr>
        <w:t>הבן</w:t>
      </w:r>
      <w:r w:rsidRPr="00FE4E99">
        <w:rPr>
          <w:rtl/>
        </w:rPr>
        <w:t xml:space="preserve"> </w:t>
      </w:r>
      <w:r w:rsidRPr="00FE4E99">
        <w:rPr>
          <w:rFonts w:hint="eastAsia"/>
          <w:rtl/>
        </w:rPr>
        <w:t>שהחיינו</w:t>
      </w:r>
      <w:r w:rsidRPr="00FE4E99">
        <w:rPr>
          <w:rtl/>
        </w:rPr>
        <w:t xml:space="preserve"> </w:t>
      </w:r>
      <w:r w:rsidRPr="00FE4E99">
        <w:rPr>
          <w:rFonts w:hint="eastAsia"/>
          <w:rtl/>
        </w:rPr>
        <w:t>לפי</w:t>
      </w:r>
      <w:r w:rsidRPr="00FE4E99">
        <w:rPr>
          <w:rtl/>
        </w:rPr>
        <w:t xml:space="preserve"> </w:t>
      </w:r>
      <w:r w:rsidRPr="00FE4E99">
        <w:rPr>
          <w:rFonts w:hint="eastAsia"/>
          <w:rtl/>
        </w:rPr>
        <w:t>שיצא</w:t>
      </w:r>
      <w:r w:rsidRPr="00FE4E99">
        <w:rPr>
          <w:rtl/>
        </w:rPr>
        <w:t xml:space="preserve"> </w:t>
      </w:r>
      <w:r w:rsidRPr="00FE4E99">
        <w:rPr>
          <w:rFonts w:hint="eastAsia"/>
          <w:rtl/>
        </w:rPr>
        <w:t>בנו</w:t>
      </w:r>
      <w:r w:rsidRPr="00FE4E99">
        <w:rPr>
          <w:rtl/>
        </w:rPr>
        <w:t xml:space="preserve"> </w:t>
      </w:r>
      <w:r w:rsidRPr="00FE4E99">
        <w:rPr>
          <w:rFonts w:hint="eastAsia"/>
          <w:rtl/>
        </w:rPr>
        <w:t>מספק</w:t>
      </w:r>
      <w:r w:rsidRPr="00FE4E99">
        <w:rPr>
          <w:rtl/>
        </w:rPr>
        <w:t xml:space="preserve"> </w:t>
      </w:r>
      <w:r w:rsidRPr="00FE4E99">
        <w:rPr>
          <w:rFonts w:hint="eastAsia"/>
          <w:rtl/>
        </w:rPr>
        <w:t>נפל</w:t>
      </w:r>
      <w:r w:rsidRPr="00FE4E99">
        <w:rPr>
          <w:rtl/>
        </w:rPr>
        <w:t xml:space="preserve"> </w:t>
      </w:r>
      <w:r w:rsidRPr="00FE4E99">
        <w:rPr>
          <w:rFonts w:hint="eastAsia"/>
          <w:rtl/>
        </w:rPr>
        <w:t>ד</w:t>
      </w:r>
      <w:r>
        <w:rPr>
          <w:rFonts w:hint="cs"/>
          <w:rtl/>
        </w:rPr>
        <w:t>כ</w:t>
      </w:r>
      <w:r w:rsidRPr="00FE4E99">
        <w:rPr>
          <w:rFonts w:hint="eastAsia"/>
          <w:rtl/>
        </w:rPr>
        <w:t>ל</w:t>
      </w:r>
      <w:r w:rsidRPr="00FE4E99">
        <w:rPr>
          <w:rtl/>
        </w:rPr>
        <w:t xml:space="preserve"> </w:t>
      </w:r>
      <w:r w:rsidRPr="00FE4E99">
        <w:rPr>
          <w:rFonts w:hint="eastAsia"/>
          <w:rtl/>
        </w:rPr>
        <w:t>ששהה</w:t>
      </w:r>
      <w:r w:rsidRPr="00FE4E99">
        <w:rPr>
          <w:rtl/>
        </w:rPr>
        <w:t xml:space="preserve"> </w:t>
      </w:r>
      <w:r w:rsidRPr="00FE4E99">
        <w:rPr>
          <w:rFonts w:hint="eastAsia"/>
          <w:rtl/>
        </w:rPr>
        <w:t>שלושים</w:t>
      </w:r>
      <w:r w:rsidRPr="00FE4E99">
        <w:rPr>
          <w:rtl/>
        </w:rPr>
        <w:t xml:space="preserve"> </w:t>
      </w:r>
      <w:r w:rsidRPr="00FE4E99">
        <w:rPr>
          <w:rFonts w:hint="eastAsia"/>
          <w:rtl/>
        </w:rPr>
        <w:t>יום</w:t>
      </w:r>
      <w:r w:rsidRPr="00FE4E99">
        <w:rPr>
          <w:rtl/>
        </w:rPr>
        <w:t xml:space="preserve"> </w:t>
      </w:r>
      <w:r w:rsidRPr="00FE4E99">
        <w:rPr>
          <w:rFonts w:hint="eastAsia"/>
          <w:rtl/>
        </w:rPr>
        <w:t>באדם</w:t>
      </w:r>
      <w:r w:rsidRPr="00FE4E99">
        <w:rPr>
          <w:rtl/>
        </w:rPr>
        <w:t xml:space="preserve"> </w:t>
      </w:r>
      <w:r w:rsidRPr="00FE4E99">
        <w:rPr>
          <w:rFonts w:hint="eastAsia"/>
          <w:rtl/>
        </w:rPr>
        <w:t>אינו</w:t>
      </w:r>
      <w:r w:rsidRPr="00FE4E99">
        <w:rPr>
          <w:rtl/>
        </w:rPr>
        <w:t xml:space="preserve"> </w:t>
      </w:r>
      <w:r w:rsidRPr="00FE4E99">
        <w:rPr>
          <w:rFonts w:hint="eastAsia"/>
          <w:rtl/>
        </w:rPr>
        <w:t>נפל</w:t>
      </w:r>
      <w:r w:rsidRPr="00FE4E99">
        <w:rPr>
          <w:rtl/>
        </w:rPr>
        <w:t xml:space="preserve"> </w:t>
      </w:r>
      <w:r w:rsidRPr="00503072">
        <w:rPr>
          <w:rFonts w:hint="eastAsia"/>
          <w:b/>
          <w:bCs/>
          <w:rtl/>
        </w:rPr>
        <w:t>וספירת</w:t>
      </w:r>
      <w:r w:rsidRPr="00503072">
        <w:rPr>
          <w:b/>
          <w:bCs/>
          <w:rtl/>
        </w:rPr>
        <w:t xml:space="preserve"> </w:t>
      </w:r>
      <w:r w:rsidRPr="00503072">
        <w:rPr>
          <w:rFonts w:hint="eastAsia"/>
          <w:b/>
          <w:bCs/>
          <w:rtl/>
        </w:rPr>
        <w:t>העומר</w:t>
      </w:r>
      <w:r w:rsidRPr="00503072">
        <w:rPr>
          <w:b/>
          <w:bCs/>
          <w:rtl/>
        </w:rPr>
        <w:t xml:space="preserve"> </w:t>
      </w:r>
      <w:r w:rsidRPr="00503072">
        <w:rPr>
          <w:rFonts w:hint="eastAsia"/>
          <w:b/>
          <w:bCs/>
          <w:rtl/>
        </w:rPr>
        <w:t>אין</w:t>
      </w:r>
      <w:r w:rsidRPr="00503072">
        <w:rPr>
          <w:b/>
          <w:bCs/>
          <w:rtl/>
        </w:rPr>
        <w:t xml:space="preserve"> </w:t>
      </w:r>
      <w:r w:rsidRPr="00503072">
        <w:rPr>
          <w:rFonts w:hint="eastAsia"/>
          <w:b/>
          <w:bCs/>
          <w:rtl/>
        </w:rPr>
        <w:t>בו</w:t>
      </w:r>
      <w:r w:rsidRPr="00503072">
        <w:rPr>
          <w:b/>
          <w:bCs/>
          <w:rtl/>
        </w:rPr>
        <w:t xml:space="preserve"> </w:t>
      </w:r>
      <w:r w:rsidRPr="00503072">
        <w:rPr>
          <w:rFonts w:hint="eastAsia"/>
          <w:b/>
          <w:bCs/>
          <w:rtl/>
        </w:rPr>
        <w:t>זכר</w:t>
      </w:r>
      <w:r w:rsidRPr="00503072">
        <w:rPr>
          <w:b/>
          <w:bCs/>
          <w:rtl/>
        </w:rPr>
        <w:t xml:space="preserve"> </w:t>
      </w:r>
      <w:r w:rsidRPr="00503072">
        <w:rPr>
          <w:rFonts w:hint="eastAsia"/>
          <w:b/>
          <w:bCs/>
          <w:rtl/>
        </w:rPr>
        <w:t>לשום</w:t>
      </w:r>
      <w:r w:rsidRPr="00503072">
        <w:rPr>
          <w:b/>
          <w:bCs/>
          <w:rtl/>
        </w:rPr>
        <w:t xml:space="preserve"> </w:t>
      </w:r>
      <w:r w:rsidRPr="00503072">
        <w:rPr>
          <w:rFonts w:hint="eastAsia"/>
          <w:b/>
          <w:bCs/>
          <w:rtl/>
        </w:rPr>
        <w:t>הנאה</w:t>
      </w:r>
      <w:r w:rsidRPr="00503072">
        <w:rPr>
          <w:b/>
          <w:bCs/>
          <w:rtl/>
        </w:rPr>
        <w:t xml:space="preserve"> </w:t>
      </w:r>
      <w:r w:rsidRPr="00503072">
        <w:rPr>
          <w:rFonts w:hint="eastAsia"/>
          <w:b/>
          <w:bCs/>
          <w:rtl/>
        </w:rPr>
        <w:t>אלא</w:t>
      </w:r>
      <w:r w:rsidRPr="00503072">
        <w:rPr>
          <w:b/>
          <w:bCs/>
          <w:rtl/>
        </w:rPr>
        <w:t xml:space="preserve"> </w:t>
      </w:r>
      <w:r w:rsidRPr="00503072">
        <w:rPr>
          <w:rFonts w:hint="eastAsia"/>
          <w:b/>
          <w:bCs/>
          <w:rtl/>
        </w:rPr>
        <w:t>לעגמת</w:t>
      </w:r>
      <w:r w:rsidRPr="00503072">
        <w:rPr>
          <w:b/>
          <w:bCs/>
          <w:rtl/>
        </w:rPr>
        <w:t xml:space="preserve"> </w:t>
      </w:r>
      <w:r w:rsidRPr="00503072">
        <w:rPr>
          <w:rFonts w:hint="eastAsia"/>
          <w:b/>
          <w:bCs/>
          <w:rtl/>
        </w:rPr>
        <w:t>נפשנו</w:t>
      </w:r>
      <w:r w:rsidRPr="00503072">
        <w:rPr>
          <w:b/>
          <w:bCs/>
          <w:rtl/>
        </w:rPr>
        <w:t xml:space="preserve"> </w:t>
      </w:r>
      <w:r w:rsidRPr="00503072">
        <w:rPr>
          <w:rFonts w:hint="eastAsia"/>
          <w:b/>
          <w:bCs/>
          <w:rtl/>
        </w:rPr>
        <w:t>לחורבן</w:t>
      </w:r>
      <w:r w:rsidRPr="00503072">
        <w:rPr>
          <w:b/>
          <w:bCs/>
          <w:rtl/>
        </w:rPr>
        <w:t xml:space="preserve"> </w:t>
      </w:r>
      <w:r w:rsidRPr="00503072">
        <w:rPr>
          <w:rFonts w:hint="eastAsia"/>
          <w:b/>
          <w:bCs/>
          <w:rtl/>
        </w:rPr>
        <w:t>בית</w:t>
      </w:r>
      <w:r w:rsidRPr="00503072">
        <w:rPr>
          <w:b/>
          <w:bCs/>
          <w:rtl/>
        </w:rPr>
        <w:t xml:space="preserve"> </w:t>
      </w:r>
      <w:r w:rsidRPr="00503072">
        <w:rPr>
          <w:rFonts w:hint="eastAsia"/>
          <w:b/>
          <w:bCs/>
          <w:rtl/>
        </w:rPr>
        <w:t>מאויינו</w:t>
      </w:r>
      <w:r w:rsidRPr="00FE4E99">
        <w:rPr>
          <w:rFonts w:hint="cs"/>
          <w:rtl/>
        </w:rPr>
        <w:t>" עכ"ל</w:t>
      </w:r>
      <w:r>
        <w:rPr>
          <w:rFonts w:hint="cs"/>
          <w:rtl/>
        </w:rPr>
        <w:t>.</w:t>
      </w:r>
      <w:r w:rsidRPr="00FE4E99">
        <w:rPr>
          <w:rFonts w:hint="cs"/>
          <w:rtl/>
        </w:rPr>
        <w:t xml:space="preserve"> </w:t>
      </w:r>
    </w:p>
    <w:p w:rsidR="006049DD" w:rsidRPr="00FE4E99" w:rsidRDefault="006049DD" w:rsidP="004B0C42">
      <w:pPr>
        <w:pStyle w:val="a3"/>
        <w:rPr>
          <w:rtl/>
        </w:rPr>
      </w:pPr>
      <w:r>
        <w:rPr>
          <w:rFonts w:hint="cs"/>
          <w:rtl/>
        </w:rPr>
        <w:t>וצלה"ב</w:t>
      </w:r>
      <w:r w:rsidRPr="00FE4E99">
        <w:rPr>
          <w:rFonts w:hint="cs"/>
          <w:rtl/>
        </w:rPr>
        <w:t xml:space="preserve"> מה הוא העגמ"נ שיש </w:t>
      </w:r>
      <w:r>
        <w:rPr>
          <w:rFonts w:hint="cs"/>
          <w:rtl/>
        </w:rPr>
        <w:t>דווקא בספירת העומר</w:t>
      </w:r>
      <w:r w:rsidRPr="00FE4E99">
        <w:rPr>
          <w:rFonts w:hint="cs"/>
          <w:rtl/>
        </w:rPr>
        <w:t>, ואם מפני שהיא זכר לספירה שהיתה בזמן ביהמ"ק הרי כמה וכמה מצוות יש שהם זכר למקדש, ולא חשיבי מצוות שיש בעשייתן עגמ"נ</w:t>
      </w:r>
      <w:r>
        <w:rPr>
          <w:rFonts w:hint="cs"/>
          <w:rtl/>
        </w:rPr>
        <w:t>,</w:t>
      </w:r>
      <w:r w:rsidRPr="00FE4E99">
        <w:rPr>
          <w:rFonts w:hint="cs"/>
          <w:rtl/>
        </w:rPr>
        <w:t xml:space="preserve"> ואדרבא</w:t>
      </w:r>
      <w:r>
        <w:rPr>
          <w:rFonts w:hint="cs"/>
          <w:rtl/>
        </w:rPr>
        <w:t xml:space="preserve"> </w:t>
      </w:r>
      <w:r w:rsidRPr="00FE4E99">
        <w:rPr>
          <w:rFonts w:hint="cs"/>
          <w:rtl/>
        </w:rPr>
        <w:t>בנוגע ללו</w:t>
      </w:r>
      <w:r>
        <w:rPr>
          <w:rFonts w:hint="cs"/>
          <w:rtl/>
        </w:rPr>
        <w:t>ל</w:t>
      </w:r>
      <w:r w:rsidRPr="00FE4E99">
        <w:rPr>
          <w:rFonts w:hint="cs"/>
          <w:rtl/>
        </w:rPr>
        <w:t xml:space="preserve">ב כתב </w:t>
      </w:r>
      <w:r>
        <w:rPr>
          <w:rFonts w:hint="cs"/>
          <w:rtl/>
        </w:rPr>
        <w:t xml:space="preserve">הרשב"א שהטעם שמרכים שהחיינו הוא מפני </w:t>
      </w:r>
      <w:r w:rsidRPr="00FE4E99">
        <w:rPr>
          <w:rFonts w:hint="cs"/>
          <w:rtl/>
        </w:rPr>
        <w:t>שיש לו הנאה כיון שהוא בא לשם שמחה,</w:t>
      </w:r>
      <w:r>
        <w:rPr>
          <w:rFonts w:hint="cs"/>
          <w:rtl/>
        </w:rPr>
        <w:t xml:space="preserve"> והרי </w:t>
      </w:r>
      <w:r w:rsidRPr="00FE4E99">
        <w:rPr>
          <w:rFonts w:hint="cs"/>
          <w:rtl/>
        </w:rPr>
        <w:t xml:space="preserve">לולב מיום השני ואילך </w:t>
      </w:r>
      <w:r>
        <w:rPr>
          <w:rFonts w:hint="cs"/>
          <w:rtl/>
        </w:rPr>
        <w:t>אינו אלא</w:t>
      </w:r>
      <w:r w:rsidRPr="00FE4E99">
        <w:rPr>
          <w:rFonts w:hint="cs"/>
          <w:rtl/>
        </w:rPr>
        <w:t xml:space="preserve"> </w:t>
      </w:r>
      <w:r w:rsidRPr="006D08C7">
        <w:rPr>
          <w:rFonts w:hint="cs"/>
          <w:b/>
          <w:bCs/>
          <w:rtl/>
        </w:rPr>
        <w:t>זכר למקדש</w:t>
      </w:r>
      <w:r w:rsidRPr="00FE4E99">
        <w:rPr>
          <w:rFonts w:hint="cs"/>
          <w:rtl/>
        </w:rPr>
        <w:t xml:space="preserve">, </w:t>
      </w:r>
      <w:r>
        <w:rPr>
          <w:rFonts w:hint="cs"/>
          <w:rtl/>
        </w:rPr>
        <w:t xml:space="preserve">ואין לומר דכוונתו דווקא למצות לולב שהיא מדאורייתא ביום הראשון. </w:t>
      </w:r>
      <w:r w:rsidRPr="00FE4E99">
        <w:rPr>
          <w:rFonts w:hint="cs"/>
          <w:rtl/>
        </w:rPr>
        <w:t>ש</w:t>
      </w:r>
      <w:r>
        <w:rPr>
          <w:rFonts w:hint="cs"/>
          <w:rtl/>
        </w:rPr>
        <w:t xml:space="preserve">הרי אם </w:t>
      </w:r>
      <w:r w:rsidRPr="00FE4E99">
        <w:rPr>
          <w:rFonts w:hint="cs"/>
          <w:rtl/>
        </w:rPr>
        <w:t xml:space="preserve">לא ברך על הלולב ביום הראשון, צריך לברך ברכת הזמן ביום השני, </w:t>
      </w:r>
      <w:r>
        <w:rPr>
          <w:rFonts w:hint="cs"/>
          <w:rtl/>
        </w:rPr>
        <w:t>ומאי שנא מצות ספירת העומר ממצות לולב ביום השני</w:t>
      </w:r>
      <w:r w:rsidRPr="00FE4E99">
        <w:rPr>
          <w:rFonts w:hint="cs"/>
          <w:rtl/>
        </w:rPr>
        <w:t>.</w:t>
      </w:r>
    </w:p>
    <w:p w:rsidR="006049DD" w:rsidRDefault="006049DD" w:rsidP="004B0C42">
      <w:pPr>
        <w:pStyle w:val="a3"/>
        <w:rPr>
          <w:rtl/>
        </w:rPr>
      </w:pPr>
      <w:r w:rsidRPr="00FE4E99">
        <w:rPr>
          <w:rFonts w:hint="cs"/>
          <w:rtl/>
        </w:rPr>
        <w:t xml:space="preserve">ולהנ"ל אתי שפיר שיש חילוק </w:t>
      </w:r>
      <w:r>
        <w:rPr>
          <w:rFonts w:hint="cs"/>
          <w:rtl/>
        </w:rPr>
        <w:t>בין ה"ז</w:t>
      </w:r>
      <w:r w:rsidRPr="00FE4E99">
        <w:rPr>
          <w:rFonts w:hint="cs"/>
          <w:rtl/>
        </w:rPr>
        <w:t>כר למקדש</w:t>
      </w:r>
      <w:r>
        <w:rPr>
          <w:rFonts w:hint="cs"/>
          <w:rtl/>
        </w:rPr>
        <w:t>" שבלולב ל"זכר למקדש" של ספירת העומר</w:t>
      </w:r>
      <w:r w:rsidRPr="00FE4E99">
        <w:rPr>
          <w:rFonts w:hint="cs"/>
          <w:rtl/>
        </w:rPr>
        <w:t xml:space="preserve">, </w:t>
      </w:r>
      <w:r>
        <w:rPr>
          <w:rFonts w:hint="cs"/>
          <w:rtl/>
        </w:rPr>
        <w:t>דבלולב גם בזמן הזה מקיים מצוה, אלא שטעם המצוה היא כדי שיהיה זכר למקדש, אבל ספירת העומר אין כאן מצוה דזה לא שייך בזמן הזה, והוי רק "זכר" למצוה שהיה בבית המקדש.</w:t>
      </w:r>
      <w:r w:rsidRPr="00FE4E99">
        <w:rPr>
          <w:rFonts w:hint="cs"/>
          <w:rtl/>
        </w:rPr>
        <w:t xml:space="preserve"> </w:t>
      </w:r>
      <w:r>
        <w:rPr>
          <w:rFonts w:hint="cs"/>
          <w:rtl/>
        </w:rPr>
        <w:t xml:space="preserve">ולכן </w:t>
      </w:r>
      <w:r w:rsidRPr="00FE4E99">
        <w:rPr>
          <w:rFonts w:hint="cs"/>
          <w:rtl/>
        </w:rPr>
        <w:t xml:space="preserve">בלולב להיות שמקיימים </w:t>
      </w:r>
      <w:r>
        <w:rPr>
          <w:rFonts w:hint="cs"/>
          <w:rtl/>
        </w:rPr>
        <w:t>מצוה</w:t>
      </w:r>
      <w:r w:rsidRPr="00FE4E99">
        <w:rPr>
          <w:rFonts w:hint="cs"/>
          <w:rtl/>
        </w:rPr>
        <w:t xml:space="preserve"> מדרבנן, מברכים עליה שהחיינו, משא"כ ספירת העומר אין מברכים עליה משום שהוא זכר לעגמת נפשינו וכו'.</w:t>
      </w:r>
    </w:p>
    <w:p w:rsidR="006049DD" w:rsidRPr="00FE4E99" w:rsidRDefault="006049DD" w:rsidP="004B0C42">
      <w:pPr>
        <w:pStyle w:val="a3"/>
        <w:rPr>
          <w:rtl/>
        </w:rPr>
      </w:pPr>
      <w:r>
        <w:rPr>
          <w:rFonts w:hint="cs"/>
          <w:rtl/>
        </w:rPr>
        <w:lastRenderedPageBreak/>
        <w:t>(ואולי יש</w:t>
      </w:r>
      <w:r w:rsidRPr="00B4203A">
        <w:rPr>
          <w:rFonts w:hint="cs"/>
          <w:rtl/>
        </w:rPr>
        <w:t xml:space="preserve"> </w:t>
      </w:r>
      <w:r>
        <w:rPr>
          <w:rFonts w:hint="cs"/>
          <w:rtl/>
        </w:rPr>
        <w:t>ב</w:t>
      </w:r>
      <w:r w:rsidRPr="00B4203A">
        <w:rPr>
          <w:rFonts w:hint="cs"/>
          <w:rtl/>
        </w:rPr>
        <w:t>משמעות דברי הרשב"א ממה שכתב "</w:t>
      </w:r>
      <w:r w:rsidRPr="00B4203A">
        <w:rPr>
          <w:rFonts w:hint="eastAsia"/>
          <w:rtl/>
        </w:rPr>
        <w:t>אין</w:t>
      </w:r>
      <w:r w:rsidRPr="00B4203A">
        <w:rPr>
          <w:rtl/>
        </w:rPr>
        <w:t xml:space="preserve"> </w:t>
      </w:r>
      <w:r w:rsidRPr="00B4203A">
        <w:rPr>
          <w:rFonts w:hint="eastAsia"/>
          <w:rtl/>
        </w:rPr>
        <w:t>בו</w:t>
      </w:r>
      <w:r w:rsidRPr="00B4203A">
        <w:rPr>
          <w:rtl/>
        </w:rPr>
        <w:t xml:space="preserve"> </w:t>
      </w:r>
      <w:r w:rsidRPr="00B4203A">
        <w:rPr>
          <w:rFonts w:hint="eastAsia"/>
          <w:rtl/>
        </w:rPr>
        <w:t>זכר</w:t>
      </w:r>
      <w:r w:rsidRPr="00B4203A">
        <w:rPr>
          <w:rtl/>
        </w:rPr>
        <w:t xml:space="preserve"> </w:t>
      </w:r>
      <w:r w:rsidRPr="00B4203A">
        <w:rPr>
          <w:rFonts w:hint="eastAsia"/>
          <w:rtl/>
        </w:rPr>
        <w:t>לשום</w:t>
      </w:r>
      <w:r w:rsidRPr="00B4203A">
        <w:rPr>
          <w:rtl/>
        </w:rPr>
        <w:t xml:space="preserve"> </w:t>
      </w:r>
      <w:r w:rsidRPr="00B4203A">
        <w:rPr>
          <w:rFonts w:hint="eastAsia"/>
          <w:rtl/>
        </w:rPr>
        <w:t>הנאה</w:t>
      </w:r>
      <w:r w:rsidRPr="00B4203A">
        <w:rPr>
          <w:rtl/>
        </w:rPr>
        <w:t xml:space="preserve"> </w:t>
      </w:r>
      <w:r w:rsidRPr="00B4203A">
        <w:rPr>
          <w:rFonts w:hint="eastAsia"/>
          <w:rtl/>
        </w:rPr>
        <w:t>אלא</w:t>
      </w:r>
      <w:r w:rsidRPr="00B4203A">
        <w:rPr>
          <w:rtl/>
        </w:rPr>
        <w:t xml:space="preserve"> </w:t>
      </w:r>
      <w:r w:rsidRPr="00B4203A">
        <w:rPr>
          <w:rFonts w:hint="eastAsia"/>
          <w:rtl/>
        </w:rPr>
        <w:t>לעגמת</w:t>
      </w:r>
      <w:r w:rsidRPr="00B4203A">
        <w:rPr>
          <w:rtl/>
        </w:rPr>
        <w:t xml:space="preserve"> </w:t>
      </w:r>
      <w:r w:rsidRPr="00B4203A">
        <w:rPr>
          <w:rFonts w:hint="eastAsia"/>
          <w:rtl/>
        </w:rPr>
        <w:t>נפשנו</w:t>
      </w:r>
      <w:r w:rsidRPr="00B4203A">
        <w:rPr>
          <w:rtl/>
        </w:rPr>
        <w:t xml:space="preserve"> </w:t>
      </w:r>
      <w:r w:rsidRPr="00B4203A">
        <w:rPr>
          <w:rFonts w:hint="eastAsia"/>
          <w:rtl/>
        </w:rPr>
        <w:t>לחורבן</w:t>
      </w:r>
      <w:r w:rsidRPr="00B4203A">
        <w:rPr>
          <w:rtl/>
        </w:rPr>
        <w:t xml:space="preserve"> </w:t>
      </w:r>
      <w:r w:rsidRPr="00B4203A">
        <w:rPr>
          <w:rFonts w:hint="eastAsia"/>
          <w:rtl/>
        </w:rPr>
        <w:t>בית</w:t>
      </w:r>
      <w:r w:rsidRPr="00B4203A">
        <w:rPr>
          <w:rtl/>
        </w:rPr>
        <w:t xml:space="preserve"> </w:t>
      </w:r>
      <w:r w:rsidRPr="00B4203A">
        <w:rPr>
          <w:rFonts w:hint="eastAsia"/>
          <w:rtl/>
        </w:rPr>
        <w:t>מאויינו</w:t>
      </w:r>
      <w:r w:rsidRPr="00B4203A">
        <w:rPr>
          <w:rFonts w:hint="cs"/>
          <w:rtl/>
        </w:rPr>
        <w:t xml:space="preserve">", שספירת העומר בזמן הזה אינה דווקא זכר </w:t>
      </w:r>
      <w:r w:rsidRPr="00B4203A">
        <w:rPr>
          <w:rFonts w:hint="cs"/>
          <w:b/>
          <w:bCs/>
          <w:rtl/>
        </w:rPr>
        <w:t>לספירת העומר</w:t>
      </w:r>
      <w:r w:rsidRPr="00B4203A">
        <w:rPr>
          <w:rFonts w:hint="cs"/>
          <w:rtl/>
        </w:rPr>
        <w:t xml:space="preserve"> שהיתה בבית המקדש, אלא בכלל </w:t>
      </w:r>
      <w:r w:rsidRPr="00B4203A">
        <w:rPr>
          <w:rFonts w:hint="cs"/>
          <w:b/>
          <w:bCs/>
          <w:rtl/>
        </w:rPr>
        <w:t>זכר למקדש</w:t>
      </w:r>
      <w:r w:rsidRPr="00B4203A">
        <w:rPr>
          <w:rFonts w:hint="cs"/>
          <w:rtl/>
        </w:rPr>
        <w:t>. שהרי אם הזכר הוא לספירת העומר מ"ט כתב שאין בו זכר לשום הנאה, והרי יש בו זכר לספירת העומר שהיתה בבית המקדש, ואז הרי היה בה הנאה, דבוודאי בזמן הבית היו מברכים (לפי טעם הרשב"א) שהחיינו, אלא בהכרח שאין זה אלא זכר לבית המקדש</w:t>
      </w:r>
      <w:r>
        <w:rPr>
          <w:rFonts w:hint="cs"/>
          <w:rtl/>
        </w:rPr>
        <w:t>)</w:t>
      </w:r>
    </w:p>
    <w:p w:rsidR="006049DD" w:rsidRPr="00FE4E99" w:rsidRDefault="006049DD" w:rsidP="004B0C42">
      <w:pPr>
        <w:pStyle w:val="11"/>
        <w:bidi/>
        <w:rPr>
          <w:rtl/>
        </w:rPr>
      </w:pPr>
      <w:r w:rsidRPr="00FE4E99">
        <w:rPr>
          <w:rFonts w:hint="cs"/>
          <w:rtl/>
        </w:rPr>
        <w:t>ד.</w:t>
      </w:r>
    </w:p>
    <w:p w:rsidR="006049DD" w:rsidRPr="00FE4E99" w:rsidRDefault="006049DD" w:rsidP="004B0C42">
      <w:pPr>
        <w:pStyle w:val="a3"/>
        <w:rPr>
          <w:rtl/>
        </w:rPr>
      </w:pPr>
      <w:r>
        <w:rPr>
          <w:rFonts w:hint="cs"/>
          <w:rtl/>
        </w:rPr>
        <w:t>ו</w:t>
      </w:r>
      <w:r w:rsidRPr="00FE4E99">
        <w:rPr>
          <w:rFonts w:hint="cs"/>
          <w:rtl/>
        </w:rPr>
        <w:t xml:space="preserve">הנה בספר תשובות </w:t>
      </w:r>
      <w:r>
        <w:rPr>
          <w:rFonts w:hint="cs"/>
          <w:rtl/>
        </w:rPr>
        <w:t>"יהודה יעלה" ל</w:t>
      </w:r>
      <w:r w:rsidRPr="00FE4E99">
        <w:rPr>
          <w:rFonts w:hint="cs"/>
          <w:rtl/>
        </w:rPr>
        <w:t>מהרי"א (אסאד) או"ח סי' קנד נשאל ע"י בנו (</w:t>
      </w:r>
      <w:r>
        <w:rPr>
          <w:rFonts w:hint="cs"/>
          <w:rtl/>
        </w:rPr>
        <w:t>הגאון רבי אהרן שמואל</w:t>
      </w:r>
      <w:r w:rsidRPr="00FE4E99">
        <w:rPr>
          <w:rFonts w:hint="cs"/>
          <w:rtl/>
        </w:rPr>
        <w:t xml:space="preserve">) שדברי הרשב"א </w:t>
      </w:r>
      <w:r>
        <w:rPr>
          <w:rFonts w:hint="cs"/>
          <w:rtl/>
        </w:rPr>
        <w:t>בתשובה הנ"ל</w:t>
      </w:r>
      <w:r w:rsidRPr="00FE4E99">
        <w:rPr>
          <w:rFonts w:hint="cs"/>
          <w:rtl/>
        </w:rPr>
        <w:t xml:space="preserve"> סותרים </w:t>
      </w:r>
      <w:r>
        <w:rPr>
          <w:rFonts w:hint="cs"/>
          <w:rtl/>
        </w:rPr>
        <w:t xml:space="preserve">את </w:t>
      </w:r>
      <w:r w:rsidRPr="00FE4E99">
        <w:rPr>
          <w:rFonts w:hint="cs"/>
          <w:rtl/>
        </w:rPr>
        <w:t>מש"כ הוא עצמו בסימן שע</w:t>
      </w:r>
      <w:r>
        <w:rPr>
          <w:rFonts w:hint="cs"/>
          <w:rtl/>
        </w:rPr>
        <w:t>"</w:t>
      </w:r>
      <w:r w:rsidRPr="00FE4E99">
        <w:rPr>
          <w:rFonts w:hint="cs"/>
          <w:rtl/>
        </w:rPr>
        <w:t>ט וז"ל: "</w:t>
      </w:r>
      <w:r w:rsidRPr="00FE4E99">
        <w:rPr>
          <w:rFonts w:hint="eastAsia"/>
          <w:rtl/>
        </w:rPr>
        <w:t>אמרת</w:t>
      </w:r>
      <w:r w:rsidRPr="00FE4E99">
        <w:rPr>
          <w:rtl/>
        </w:rPr>
        <w:t xml:space="preserve"> </w:t>
      </w:r>
      <w:r w:rsidRPr="00FE4E99">
        <w:rPr>
          <w:rFonts w:hint="eastAsia"/>
          <w:rtl/>
        </w:rPr>
        <w:t>כי</w:t>
      </w:r>
      <w:r w:rsidRPr="00FE4E99">
        <w:rPr>
          <w:rtl/>
        </w:rPr>
        <w:t xml:space="preserve"> </w:t>
      </w:r>
      <w:r w:rsidRPr="00FE4E99">
        <w:rPr>
          <w:rFonts w:hint="eastAsia"/>
          <w:rtl/>
        </w:rPr>
        <w:t>קבלת</w:t>
      </w:r>
      <w:r w:rsidRPr="00FE4E99">
        <w:rPr>
          <w:rtl/>
        </w:rPr>
        <w:t xml:space="preserve"> </w:t>
      </w:r>
      <w:r w:rsidRPr="00FE4E99">
        <w:rPr>
          <w:rFonts w:hint="eastAsia"/>
          <w:rtl/>
        </w:rPr>
        <w:t>מן</w:t>
      </w:r>
      <w:r w:rsidRPr="00FE4E99">
        <w:rPr>
          <w:rtl/>
        </w:rPr>
        <w:t xml:space="preserve"> </w:t>
      </w:r>
      <w:r w:rsidRPr="00FE4E99">
        <w:rPr>
          <w:rFonts w:hint="eastAsia"/>
          <w:rtl/>
        </w:rPr>
        <w:t>הר</w:t>
      </w:r>
      <w:r w:rsidRPr="00FE4E99">
        <w:rPr>
          <w:rtl/>
        </w:rPr>
        <w:t>"</w:t>
      </w:r>
      <w:r w:rsidRPr="00FE4E99">
        <w:rPr>
          <w:rFonts w:hint="eastAsia"/>
          <w:rtl/>
        </w:rPr>
        <w:t>ב</w:t>
      </w:r>
      <w:r w:rsidRPr="00FE4E99">
        <w:rPr>
          <w:rtl/>
        </w:rPr>
        <w:t xml:space="preserve"> </w:t>
      </w:r>
      <w:r w:rsidRPr="00FE4E99">
        <w:rPr>
          <w:rFonts w:hint="eastAsia"/>
          <w:rtl/>
        </w:rPr>
        <w:t>פרץ</w:t>
      </w:r>
      <w:r w:rsidRPr="00FE4E99">
        <w:rPr>
          <w:rtl/>
        </w:rPr>
        <w:t xml:space="preserve"> </w:t>
      </w:r>
      <w:r w:rsidRPr="00FE4E99">
        <w:rPr>
          <w:rFonts w:hint="eastAsia"/>
          <w:rtl/>
        </w:rPr>
        <w:t>ז</w:t>
      </w:r>
      <w:r w:rsidRPr="00FE4E99">
        <w:rPr>
          <w:rtl/>
        </w:rPr>
        <w:t>"</w:t>
      </w:r>
      <w:r w:rsidRPr="00FE4E99">
        <w:rPr>
          <w:rFonts w:hint="eastAsia"/>
          <w:rtl/>
        </w:rPr>
        <w:t>ל</w:t>
      </w:r>
      <w:r w:rsidRPr="00FE4E99">
        <w:rPr>
          <w:rtl/>
        </w:rPr>
        <w:t xml:space="preserve"> </w:t>
      </w:r>
      <w:r w:rsidRPr="00FE4E99">
        <w:rPr>
          <w:rFonts w:hint="eastAsia"/>
          <w:rtl/>
        </w:rPr>
        <w:t>שאין</w:t>
      </w:r>
      <w:r w:rsidRPr="00FE4E99">
        <w:rPr>
          <w:rtl/>
        </w:rPr>
        <w:t xml:space="preserve"> </w:t>
      </w:r>
      <w:r w:rsidRPr="00FE4E99">
        <w:rPr>
          <w:rFonts w:hint="eastAsia"/>
          <w:rtl/>
        </w:rPr>
        <w:t>אומרין</w:t>
      </w:r>
      <w:r w:rsidRPr="00FE4E99">
        <w:rPr>
          <w:rtl/>
        </w:rPr>
        <w:t xml:space="preserve"> </w:t>
      </w:r>
      <w:r w:rsidRPr="00FE4E99">
        <w:rPr>
          <w:rFonts w:hint="eastAsia"/>
          <w:rtl/>
        </w:rPr>
        <w:t>זמן</w:t>
      </w:r>
      <w:r w:rsidRPr="00FE4E99">
        <w:rPr>
          <w:rtl/>
        </w:rPr>
        <w:t xml:space="preserve"> </w:t>
      </w:r>
      <w:r w:rsidRPr="00FE4E99">
        <w:rPr>
          <w:rFonts w:hint="eastAsia"/>
          <w:rtl/>
        </w:rPr>
        <w:t>בבדיקת</w:t>
      </w:r>
      <w:r w:rsidRPr="00FE4E99">
        <w:rPr>
          <w:rtl/>
        </w:rPr>
        <w:t xml:space="preserve"> </w:t>
      </w:r>
      <w:r w:rsidRPr="00FE4E99">
        <w:rPr>
          <w:rFonts w:hint="eastAsia"/>
          <w:rtl/>
        </w:rPr>
        <w:t>חמץ</w:t>
      </w:r>
      <w:r w:rsidRPr="00FE4E99">
        <w:rPr>
          <w:rtl/>
        </w:rPr>
        <w:t xml:space="preserve"> </w:t>
      </w:r>
      <w:r w:rsidRPr="00FE4E99">
        <w:rPr>
          <w:rFonts w:hint="eastAsia"/>
          <w:rtl/>
        </w:rPr>
        <w:t>ונתן</w:t>
      </w:r>
      <w:r w:rsidRPr="00FE4E99">
        <w:rPr>
          <w:rtl/>
        </w:rPr>
        <w:t xml:space="preserve"> </w:t>
      </w:r>
      <w:r w:rsidRPr="00FE4E99">
        <w:rPr>
          <w:rFonts w:hint="eastAsia"/>
          <w:rtl/>
        </w:rPr>
        <w:t>טעם</w:t>
      </w:r>
      <w:r w:rsidRPr="00FE4E99">
        <w:rPr>
          <w:rtl/>
        </w:rPr>
        <w:t xml:space="preserve"> </w:t>
      </w:r>
      <w:r w:rsidRPr="00FE4E99">
        <w:rPr>
          <w:rFonts w:hint="eastAsia"/>
          <w:rtl/>
        </w:rPr>
        <w:t>לדבריו</w:t>
      </w:r>
      <w:r w:rsidRPr="00FE4E99">
        <w:rPr>
          <w:rtl/>
        </w:rPr>
        <w:t xml:space="preserve"> </w:t>
      </w:r>
      <w:r w:rsidRPr="00FE4E99">
        <w:rPr>
          <w:rFonts w:hint="eastAsia"/>
          <w:rtl/>
        </w:rPr>
        <w:t>שאין</w:t>
      </w:r>
      <w:r w:rsidRPr="00FE4E99">
        <w:rPr>
          <w:rtl/>
        </w:rPr>
        <w:t xml:space="preserve"> </w:t>
      </w:r>
      <w:r w:rsidRPr="00FE4E99">
        <w:rPr>
          <w:rFonts w:hint="eastAsia"/>
          <w:rtl/>
        </w:rPr>
        <w:t>אומרין</w:t>
      </w:r>
      <w:r w:rsidRPr="00FE4E99">
        <w:rPr>
          <w:rtl/>
        </w:rPr>
        <w:t xml:space="preserve"> </w:t>
      </w:r>
      <w:r w:rsidRPr="00FE4E99">
        <w:rPr>
          <w:rFonts w:hint="eastAsia"/>
          <w:rtl/>
        </w:rPr>
        <w:t>זמן</w:t>
      </w:r>
      <w:r w:rsidRPr="00FE4E99">
        <w:rPr>
          <w:rtl/>
        </w:rPr>
        <w:t xml:space="preserve"> </w:t>
      </w:r>
      <w:r w:rsidRPr="00FE4E99">
        <w:rPr>
          <w:rFonts w:hint="eastAsia"/>
          <w:rtl/>
        </w:rPr>
        <w:t>על</w:t>
      </w:r>
      <w:r w:rsidRPr="00FE4E99">
        <w:rPr>
          <w:rtl/>
        </w:rPr>
        <w:t xml:space="preserve"> </w:t>
      </w:r>
      <w:r w:rsidRPr="00FE4E99">
        <w:rPr>
          <w:rFonts w:hint="eastAsia"/>
          <w:rtl/>
        </w:rPr>
        <w:t>דבר</w:t>
      </w:r>
      <w:r w:rsidRPr="00FE4E99">
        <w:rPr>
          <w:rtl/>
        </w:rPr>
        <w:t xml:space="preserve"> </w:t>
      </w:r>
      <w:r w:rsidRPr="00FE4E99">
        <w:rPr>
          <w:rFonts w:hint="eastAsia"/>
          <w:rtl/>
        </w:rPr>
        <w:t>שהוא</w:t>
      </w:r>
      <w:r w:rsidRPr="00FE4E99">
        <w:rPr>
          <w:rtl/>
        </w:rPr>
        <w:t xml:space="preserve"> </w:t>
      </w:r>
      <w:r w:rsidRPr="00FE4E99">
        <w:rPr>
          <w:rFonts w:hint="eastAsia"/>
          <w:rtl/>
        </w:rPr>
        <w:t>מכלה</w:t>
      </w:r>
      <w:r w:rsidRPr="00FE4E99">
        <w:rPr>
          <w:rtl/>
        </w:rPr>
        <w:t xml:space="preserve"> </w:t>
      </w:r>
      <w:r w:rsidRPr="00FE4E99">
        <w:rPr>
          <w:rFonts w:hint="eastAsia"/>
          <w:rtl/>
        </w:rPr>
        <w:t>אותו</w:t>
      </w:r>
      <w:r w:rsidRPr="00FE4E99">
        <w:rPr>
          <w:rtl/>
        </w:rPr>
        <w:t xml:space="preserve"> </w:t>
      </w:r>
      <w:r w:rsidRPr="00FE4E99">
        <w:rPr>
          <w:rFonts w:hint="eastAsia"/>
          <w:rtl/>
        </w:rPr>
        <w:t>מן</w:t>
      </w:r>
      <w:r w:rsidRPr="00FE4E99">
        <w:rPr>
          <w:rtl/>
        </w:rPr>
        <w:t xml:space="preserve"> </w:t>
      </w:r>
      <w:r w:rsidRPr="00FE4E99">
        <w:rPr>
          <w:rFonts w:hint="eastAsia"/>
          <w:rtl/>
        </w:rPr>
        <w:t>העולם</w:t>
      </w:r>
      <w:r w:rsidRPr="00FE4E99">
        <w:rPr>
          <w:rtl/>
        </w:rPr>
        <w:t xml:space="preserve"> </w:t>
      </w:r>
      <w:r w:rsidRPr="00FE4E99">
        <w:rPr>
          <w:rFonts w:hint="eastAsia"/>
          <w:rtl/>
        </w:rPr>
        <w:t>ואמרת</w:t>
      </w:r>
      <w:r w:rsidRPr="00FE4E99">
        <w:rPr>
          <w:rtl/>
        </w:rPr>
        <w:t xml:space="preserve"> </w:t>
      </w:r>
      <w:r w:rsidRPr="00FE4E99">
        <w:rPr>
          <w:rFonts w:hint="eastAsia"/>
          <w:rtl/>
        </w:rPr>
        <w:t>ששמעת</w:t>
      </w:r>
      <w:r w:rsidRPr="00FE4E99">
        <w:rPr>
          <w:rtl/>
        </w:rPr>
        <w:t xml:space="preserve"> </w:t>
      </w:r>
      <w:r w:rsidRPr="00FE4E99">
        <w:rPr>
          <w:rFonts w:hint="eastAsia"/>
          <w:rtl/>
        </w:rPr>
        <w:t>ממני</w:t>
      </w:r>
      <w:r w:rsidRPr="00FE4E99">
        <w:rPr>
          <w:rtl/>
        </w:rPr>
        <w:t xml:space="preserve"> </w:t>
      </w:r>
      <w:r w:rsidRPr="00FE4E99">
        <w:rPr>
          <w:rFonts w:hint="eastAsia"/>
          <w:rtl/>
        </w:rPr>
        <w:t>שהרב</w:t>
      </w:r>
      <w:r w:rsidRPr="00FE4E99">
        <w:rPr>
          <w:rtl/>
        </w:rPr>
        <w:t xml:space="preserve"> </w:t>
      </w:r>
      <w:r w:rsidRPr="00FE4E99">
        <w:rPr>
          <w:rFonts w:hint="eastAsia"/>
          <w:rtl/>
        </w:rPr>
        <w:t>בעל</w:t>
      </w:r>
      <w:r w:rsidRPr="00FE4E99">
        <w:rPr>
          <w:rtl/>
        </w:rPr>
        <w:t xml:space="preserve"> </w:t>
      </w:r>
      <w:r w:rsidRPr="00FE4E99">
        <w:rPr>
          <w:rFonts w:hint="eastAsia"/>
          <w:rtl/>
        </w:rPr>
        <w:t>העיטור</w:t>
      </w:r>
      <w:r w:rsidRPr="00FE4E99">
        <w:rPr>
          <w:rtl/>
        </w:rPr>
        <w:t xml:space="preserve"> </w:t>
      </w:r>
      <w:r w:rsidRPr="00FE4E99">
        <w:rPr>
          <w:rFonts w:hint="eastAsia"/>
          <w:rtl/>
        </w:rPr>
        <w:t>היה</w:t>
      </w:r>
      <w:r w:rsidRPr="00FE4E99">
        <w:rPr>
          <w:rtl/>
        </w:rPr>
        <w:t xml:space="preserve"> </w:t>
      </w:r>
      <w:r w:rsidRPr="00FE4E99">
        <w:rPr>
          <w:rFonts w:hint="eastAsia"/>
          <w:rtl/>
        </w:rPr>
        <w:t>אומר</w:t>
      </w:r>
      <w:r w:rsidRPr="00FE4E99">
        <w:rPr>
          <w:rtl/>
        </w:rPr>
        <w:t xml:space="preserve"> </w:t>
      </w:r>
      <w:r w:rsidRPr="00FE4E99">
        <w:rPr>
          <w:rFonts w:hint="eastAsia"/>
          <w:rtl/>
        </w:rPr>
        <w:t>שאומרין</w:t>
      </w:r>
      <w:r w:rsidRPr="00FE4E99">
        <w:rPr>
          <w:rtl/>
        </w:rPr>
        <w:t xml:space="preserve"> </w:t>
      </w:r>
      <w:r w:rsidRPr="00FE4E99">
        <w:rPr>
          <w:rFonts w:hint="eastAsia"/>
          <w:rtl/>
        </w:rPr>
        <w:t>זמן</w:t>
      </w:r>
      <w:r w:rsidRPr="00FE4E99">
        <w:rPr>
          <w:rtl/>
        </w:rPr>
        <w:t xml:space="preserve"> </w:t>
      </w:r>
      <w:r w:rsidRPr="00FE4E99">
        <w:rPr>
          <w:rFonts w:hint="eastAsia"/>
          <w:rtl/>
        </w:rPr>
        <w:t>ועתה</w:t>
      </w:r>
      <w:r w:rsidRPr="00FE4E99">
        <w:rPr>
          <w:rtl/>
        </w:rPr>
        <w:t xml:space="preserve"> </w:t>
      </w:r>
      <w:r w:rsidRPr="00FE4E99">
        <w:rPr>
          <w:rFonts w:hint="eastAsia"/>
          <w:rtl/>
        </w:rPr>
        <w:t>רצית</w:t>
      </w:r>
      <w:r w:rsidRPr="00FE4E99">
        <w:rPr>
          <w:rtl/>
        </w:rPr>
        <w:t xml:space="preserve"> </w:t>
      </w:r>
      <w:r w:rsidRPr="00FE4E99">
        <w:rPr>
          <w:rFonts w:hint="eastAsia"/>
          <w:rtl/>
        </w:rPr>
        <w:t>לעמוד</w:t>
      </w:r>
      <w:r w:rsidRPr="00FE4E99">
        <w:rPr>
          <w:rtl/>
        </w:rPr>
        <w:t xml:space="preserve"> </w:t>
      </w:r>
      <w:r w:rsidRPr="00FE4E99">
        <w:rPr>
          <w:rFonts w:hint="eastAsia"/>
          <w:rtl/>
        </w:rPr>
        <w:t>על</w:t>
      </w:r>
      <w:r w:rsidRPr="00FE4E99">
        <w:rPr>
          <w:rtl/>
        </w:rPr>
        <w:t xml:space="preserve"> </w:t>
      </w:r>
      <w:r w:rsidRPr="00FE4E99">
        <w:rPr>
          <w:rFonts w:hint="eastAsia"/>
          <w:rtl/>
        </w:rPr>
        <w:t>דעתי</w:t>
      </w:r>
      <w:r w:rsidRPr="00FE4E99">
        <w:rPr>
          <w:rFonts w:hint="cs"/>
          <w:rtl/>
        </w:rPr>
        <w:t>:</w:t>
      </w:r>
      <w:r w:rsidRPr="00FE4E99">
        <w:rPr>
          <w:rtl/>
        </w:rPr>
        <w:t xml:space="preserve"> </w:t>
      </w:r>
      <w:r w:rsidRPr="00FE4E99">
        <w:rPr>
          <w:rFonts w:hint="eastAsia"/>
          <w:rtl/>
        </w:rPr>
        <w:t>תשובה</w:t>
      </w:r>
      <w:r>
        <w:rPr>
          <w:rFonts w:hint="cs"/>
          <w:rtl/>
        </w:rPr>
        <w:t>:</w:t>
      </w:r>
      <w:r w:rsidRPr="00FE4E99">
        <w:rPr>
          <w:rtl/>
        </w:rPr>
        <w:t xml:space="preserve"> </w:t>
      </w:r>
      <w:r w:rsidRPr="00FE4E99">
        <w:rPr>
          <w:rFonts w:hint="eastAsia"/>
          <w:rtl/>
        </w:rPr>
        <w:t>טעם</w:t>
      </w:r>
      <w:r w:rsidRPr="00FE4E99">
        <w:rPr>
          <w:rtl/>
        </w:rPr>
        <w:t xml:space="preserve"> </w:t>
      </w:r>
      <w:r w:rsidRPr="00FE4E99">
        <w:rPr>
          <w:rFonts w:hint="eastAsia"/>
          <w:rtl/>
        </w:rPr>
        <w:t>הרב</w:t>
      </w:r>
      <w:r w:rsidRPr="00FE4E99">
        <w:rPr>
          <w:rtl/>
        </w:rPr>
        <w:t xml:space="preserve"> </w:t>
      </w:r>
      <w:r w:rsidRPr="00FE4E99">
        <w:rPr>
          <w:rFonts w:hint="eastAsia"/>
          <w:rtl/>
        </w:rPr>
        <w:t>רבי</w:t>
      </w:r>
      <w:r w:rsidRPr="00FE4E99">
        <w:rPr>
          <w:rtl/>
        </w:rPr>
        <w:t xml:space="preserve"> </w:t>
      </w:r>
      <w:r w:rsidRPr="00FE4E99">
        <w:rPr>
          <w:rFonts w:hint="eastAsia"/>
          <w:rtl/>
        </w:rPr>
        <w:t>פרץ</w:t>
      </w:r>
      <w:r w:rsidRPr="00FE4E99">
        <w:rPr>
          <w:rtl/>
        </w:rPr>
        <w:t xml:space="preserve"> </w:t>
      </w:r>
      <w:r w:rsidRPr="00FE4E99">
        <w:rPr>
          <w:rFonts w:hint="eastAsia"/>
          <w:rtl/>
        </w:rPr>
        <w:t>ז</w:t>
      </w:r>
      <w:r w:rsidRPr="00FE4E99">
        <w:rPr>
          <w:rtl/>
        </w:rPr>
        <w:t>"</w:t>
      </w:r>
      <w:r w:rsidRPr="00FE4E99">
        <w:rPr>
          <w:rFonts w:hint="eastAsia"/>
          <w:rtl/>
        </w:rPr>
        <w:t>ל</w:t>
      </w:r>
      <w:r w:rsidRPr="00FE4E99">
        <w:rPr>
          <w:rtl/>
        </w:rPr>
        <w:t xml:space="preserve"> </w:t>
      </w:r>
      <w:r w:rsidRPr="00FE4E99">
        <w:rPr>
          <w:rFonts w:hint="eastAsia"/>
          <w:rtl/>
        </w:rPr>
        <w:t>לא</w:t>
      </w:r>
      <w:r w:rsidRPr="00FE4E99">
        <w:rPr>
          <w:rtl/>
        </w:rPr>
        <w:t xml:space="preserve"> </w:t>
      </w:r>
      <w:r w:rsidRPr="00FE4E99">
        <w:rPr>
          <w:rFonts w:hint="eastAsia"/>
          <w:rtl/>
        </w:rPr>
        <w:t>ידעתי</w:t>
      </w:r>
      <w:r w:rsidRPr="00FE4E99">
        <w:rPr>
          <w:rtl/>
        </w:rPr>
        <w:t xml:space="preserve"> </w:t>
      </w:r>
      <w:r w:rsidRPr="00FE4E99">
        <w:rPr>
          <w:rFonts w:hint="eastAsia"/>
          <w:rtl/>
        </w:rPr>
        <w:t>לו</w:t>
      </w:r>
      <w:r w:rsidRPr="00FE4E99">
        <w:rPr>
          <w:rtl/>
        </w:rPr>
        <w:t xml:space="preserve"> </w:t>
      </w:r>
      <w:r w:rsidRPr="00FE4E99">
        <w:rPr>
          <w:rFonts w:hint="eastAsia"/>
          <w:rtl/>
        </w:rPr>
        <w:t>יסוד</w:t>
      </w:r>
      <w:r>
        <w:rPr>
          <w:rFonts w:hint="cs"/>
          <w:rtl/>
        </w:rPr>
        <w:t>,</w:t>
      </w:r>
      <w:r w:rsidRPr="00FE4E99">
        <w:rPr>
          <w:rtl/>
        </w:rPr>
        <w:t xml:space="preserve"> </w:t>
      </w:r>
      <w:r w:rsidRPr="00FE4E99">
        <w:rPr>
          <w:rFonts w:hint="eastAsia"/>
          <w:rtl/>
        </w:rPr>
        <w:t>שאם</w:t>
      </w:r>
      <w:r w:rsidRPr="00FE4E99">
        <w:rPr>
          <w:rtl/>
        </w:rPr>
        <w:t xml:space="preserve"> </w:t>
      </w:r>
      <w:r w:rsidRPr="00FE4E99">
        <w:rPr>
          <w:rFonts w:hint="eastAsia"/>
          <w:rtl/>
        </w:rPr>
        <w:t>אתה</w:t>
      </w:r>
      <w:r w:rsidRPr="00FE4E99">
        <w:rPr>
          <w:rtl/>
        </w:rPr>
        <w:t xml:space="preserve"> </w:t>
      </w:r>
      <w:r w:rsidRPr="00FE4E99">
        <w:rPr>
          <w:rFonts w:hint="eastAsia"/>
          <w:rtl/>
        </w:rPr>
        <w:t>אומר</w:t>
      </w:r>
      <w:r w:rsidRPr="00FE4E99">
        <w:rPr>
          <w:rtl/>
        </w:rPr>
        <w:t xml:space="preserve"> </w:t>
      </w:r>
      <w:r w:rsidRPr="00FE4E99">
        <w:rPr>
          <w:rFonts w:hint="eastAsia"/>
          <w:rtl/>
        </w:rPr>
        <w:t>שאין</w:t>
      </w:r>
      <w:r w:rsidRPr="00FE4E99">
        <w:rPr>
          <w:rtl/>
        </w:rPr>
        <w:t xml:space="preserve"> </w:t>
      </w:r>
      <w:r w:rsidRPr="00FE4E99">
        <w:rPr>
          <w:rFonts w:hint="eastAsia"/>
          <w:rtl/>
        </w:rPr>
        <w:t>אומרין</w:t>
      </w:r>
      <w:r w:rsidRPr="00FE4E99">
        <w:rPr>
          <w:rtl/>
        </w:rPr>
        <w:t xml:space="preserve"> </w:t>
      </w:r>
      <w:r w:rsidRPr="00FE4E99">
        <w:rPr>
          <w:rFonts w:hint="eastAsia"/>
          <w:rtl/>
        </w:rPr>
        <w:t>זמן</w:t>
      </w:r>
      <w:r w:rsidRPr="00FE4E99">
        <w:rPr>
          <w:rtl/>
        </w:rPr>
        <w:t xml:space="preserve"> </w:t>
      </w:r>
      <w:r w:rsidRPr="00FE4E99">
        <w:rPr>
          <w:rFonts w:hint="eastAsia"/>
          <w:rtl/>
        </w:rPr>
        <w:t>אלא</w:t>
      </w:r>
      <w:r w:rsidRPr="00FE4E99">
        <w:rPr>
          <w:rtl/>
        </w:rPr>
        <w:t xml:space="preserve"> </w:t>
      </w:r>
      <w:r w:rsidRPr="00FE4E99">
        <w:rPr>
          <w:rFonts w:hint="eastAsia"/>
          <w:rtl/>
        </w:rPr>
        <w:t>על</w:t>
      </w:r>
      <w:r w:rsidRPr="00FE4E99">
        <w:rPr>
          <w:rtl/>
        </w:rPr>
        <w:t xml:space="preserve"> </w:t>
      </w:r>
      <w:r w:rsidRPr="00FE4E99">
        <w:rPr>
          <w:rFonts w:hint="eastAsia"/>
          <w:rtl/>
        </w:rPr>
        <w:t>מה</w:t>
      </w:r>
      <w:r w:rsidRPr="00FE4E99">
        <w:rPr>
          <w:rtl/>
        </w:rPr>
        <w:t xml:space="preserve"> </w:t>
      </w:r>
      <w:r w:rsidRPr="00FE4E99">
        <w:rPr>
          <w:rFonts w:hint="eastAsia"/>
          <w:rtl/>
        </w:rPr>
        <w:t>שהוא</w:t>
      </w:r>
      <w:r w:rsidRPr="00FE4E99">
        <w:rPr>
          <w:rtl/>
        </w:rPr>
        <w:t xml:space="preserve"> </w:t>
      </w:r>
      <w:r w:rsidRPr="00FE4E99">
        <w:rPr>
          <w:rFonts w:hint="eastAsia"/>
          <w:rtl/>
        </w:rPr>
        <w:t>נהנה</w:t>
      </w:r>
      <w:r w:rsidRPr="00FE4E99">
        <w:rPr>
          <w:rtl/>
        </w:rPr>
        <w:t xml:space="preserve"> </w:t>
      </w:r>
      <w:r w:rsidRPr="00FE4E99">
        <w:rPr>
          <w:rFonts w:hint="eastAsia"/>
          <w:rtl/>
        </w:rPr>
        <w:t>ממנו</w:t>
      </w:r>
      <w:r w:rsidRPr="00FE4E99">
        <w:rPr>
          <w:rtl/>
        </w:rPr>
        <w:t xml:space="preserve"> </w:t>
      </w:r>
      <w:r w:rsidRPr="00FE4E99">
        <w:rPr>
          <w:rFonts w:hint="eastAsia"/>
          <w:rtl/>
        </w:rPr>
        <w:t>כחגים</w:t>
      </w:r>
      <w:r w:rsidRPr="00FE4E99">
        <w:rPr>
          <w:rtl/>
        </w:rPr>
        <w:t xml:space="preserve"> </w:t>
      </w:r>
      <w:r w:rsidRPr="00FE4E99">
        <w:rPr>
          <w:rFonts w:hint="eastAsia"/>
          <w:rtl/>
        </w:rPr>
        <w:t>שנהנה</w:t>
      </w:r>
      <w:r w:rsidRPr="00FE4E99">
        <w:rPr>
          <w:rtl/>
        </w:rPr>
        <w:t xml:space="preserve"> </w:t>
      </w:r>
      <w:r w:rsidRPr="00FE4E99">
        <w:rPr>
          <w:rFonts w:hint="eastAsia"/>
          <w:rtl/>
        </w:rPr>
        <w:t>בישיבת</w:t>
      </w:r>
      <w:r w:rsidRPr="00FE4E99">
        <w:rPr>
          <w:rtl/>
        </w:rPr>
        <w:t xml:space="preserve"> </w:t>
      </w:r>
      <w:r w:rsidRPr="00FE4E99">
        <w:rPr>
          <w:rFonts w:hint="eastAsia"/>
          <w:rtl/>
        </w:rPr>
        <w:t>הסוכה</w:t>
      </w:r>
      <w:r w:rsidRPr="00FE4E99">
        <w:rPr>
          <w:rtl/>
        </w:rPr>
        <w:t xml:space="preserve"> </w:t>
      </w:r>
      <w:r w:rsidRPr="00FE4E99">
        <w:rPr>
          <w:rFonts w:hint="eastAsia"/>
          <w:rtl/>
        </w:rPr>
        <w:t>ונטילת</w:t>
      </w:r>
      <w:r w:rsidRPr="00FE4E99">
        <w:rPr>
          <w:rtl/>
        </w:rPr>
        <w:t xml:space="preserve"> </w:t>
      </w:r>
      <w:r w:rsidRPr="00FE4E99">
        <w:rPr>
          <w:rFonts w:hint="eastAsia"/>
          <w:rtl/>
        </w:rPr>
        <w:t>הלולב</w:t>
      </w:r>
      <w:r w:rsidRPr="00FE4E99">
        <w:rPr>
          <w:rtl/>
        </w:rPr>
        <w:t xml:space="preserve"> </w:t>
      </w:r>
      <w:r w:rsidRPr="00FE4E99">
        <w:rPr>
          <w:rFonts w:hint="eastAsia"/>
          <w:rtl/>
        </w:rPr>
        <w:t>בארבעת</w:t>
      </w:r>
      <w:r w:rsidRPr="00FE4E99">
        <w:rPr>
          <w:rtl/>
        </w:rPr>
        <w:t xml:space="preserve"> </w:t>
      </w:r>
      <w:r w:rsidRPr="00FE4E99">
        <w:rPr>
          <w:rFonts w:hint="eastAsia"/>
          <w:rtl/>
        </w:rPr>
        <w:t>המינין</w:t>
      </w:r>
      <w:r w:rsidRPr="00FE4E99">
        <w:rPr>
          <w:rtl/>
        </w:rPr>
        <w:t xml:space="preserve"> </w:t>
      </w:r>
      <w:r w:rsidRPr="00FE4E99">
        <w:rPr>
          <w:rFonts w:hint="eastAsia"/>
          <w:rtl/>
        </w:rPr>
        <w:t>הרעננים</w:t>
      </w:r>
      <w:r w:rsidRPr="00FE4E99">
        <w:rPr>
          <w:rtl/>
        </w:rPr>
        <w:t xml:space="preserve"> </w:t>
      </w:r>
      <w:r w:rsidRPr="00FE4E99">
        <w:rPr>
          <w:rFonts w:hint="eastAsia"/>
          <w:rtl/>
        </w:rPr>
        <w:t>והפסח</w:t>
      </w:r>
      <w:r w:rsidRPr="00FE4E99">
        <w:rPr>
          <w:rtl/>
        </w:rPr>
        <w:t xml:space="preserve"> </w:t>
      </w:r>
      <w:r w:rsidRPr="00FE4E99">
        <w:rPr>
          <w:rFonts w:hint="eastAsia"/>
          <w:rtl/>
        </w:rPr>
        <w:t>באכילת</w:t>
      </w:r>
      <w:r w:rsidRPr="00FE4E99">
        <w:rPr>
          <w:rtl/>
        </w:rPr>
        <w:t xml:space="preserve"> </w:t>
      </w:r>
      <w:r w:rsidRPr="00FE4E99">
        <w:rPr>
          <w:rFonts w:hint="eastAsia"/>
          <w:rtl/>
        </w:rPr>
        <w:t>המצה</w:t>
      </w:r>
      <w:r w:rsidRPr="00FE4E99">
        <w:rPr>
          <w:rtl/>
        </w:rPr>
        <w:t xml:space="preserve"> </w:t>
      </w:r>
      <w:r w:rsidRPr="00FE4E99">
        <w:rPr>
          <w:rFonts w:hint="eastAsia"/>
          <w:rtl/>
        </w:rPr>
        <w:t>והחסא</w:t>
      </w:r>
      <w:r>
        <w:rPr>
          <w:rFonts w:hint="cs"/>
          <w:rtl/>
        </w:rPr>
        <w:t>,</w:t>
      </w:r>
      <w:r w:rsidRPr="00FE4E99">
        <w:rPr>
          <w:rtl/>
        </w:rPr>
        <w:t xml:space="preserve"> </w:t>
      </w:r>
      <w:r w:rsidRPr="00FE4E99">
        <w:rPr>
          <w:rFonts w:hint="eastAsia"/>
          <w:rtl/>
        </w:rPr>
        <w:t>אם</w:t>
      </w:r>
      <w:r w:rsidRPr="00FE4E99">
        <w:rPr>
          <w:rtl/>
        </w:rPr>
        <w:t xml:space="preserve"> </w:t>
      </w:r>
      <w:r w:rsidRPr="00FE4E99">
        <w:rPr>
          <w:rFonts w:hint="eastAsia"/>
          <w:rtl/>
        </w:rPr>
        <w:t>כן</w:t>
      </w:r>
      <w:r w:rsidRPr="00FE4E99">
        <w:rPr>
          <w:rtl/>
        </w:rPr>
        <w:t xml:space="preserve"> </w:t>
      </w:r>
      <w:r w:rsidRPr="00FE4E99">
        <w:rPr>
          <w:rFonts w:hint="eastAsia"/>
          <w:rtl/>
        </w:rPr>
        <w:t>מה</w:t>
      </w:r>
      <w:r w:rsidRPr="00FE4E99">
        <w:rPr>
          <w:rtl/>
        </w:rPr>
        <w:t xml:space="preserve"> </w:t>
      </w:r>
      <w:r w:rsidRPr="00FE4E99">
        <w:rPr>
          <w:rFonts w:hint="eastAsia"/>
          <w:rtl/>
        </w:rPr>
        <w:t>נעשה</w:t>
      </w:r>
      <w:r w:rsidRPr="00FE4E99">
        <w:rPr>
          <w:rtl/>
        </w:rPr>
        <w:t xml:space="preserve"> </w:t>
      </w:r>
      <w:r w:rsidRPr="00FE4E99">
        <w:rPr>
          <w:rFonts w:hint="eastAsia"/>
          <w:rtl/>
        </w:rPr>
        <w:t>ליום</w:t>
      </w:r>
      <w:r w:rsidRPr="00FE4E99">
        <w:rPr>
          <w:rtl/>
        </w:rPr>
        <w:t xml:space="preserve"> </w:t>
      </w:r>
      <w:r w:rsidRPr="00FE4E99">
        <w:rPr>
          <w:rFonts w:hint="eastAsia"/>
          <w:rtl/>
        </w:rPr>
        <w:t>הכפורים</w:t>
      </w:r>
      <w:r>
        <w:rPr>
          <w:rFonts w:hint="cs"/>
          <w:rtl/>
        </w:rPr>
        <w:t>,</w:t>
      </w:r>
      <w:r w:rsidRPr="00FE4E99">
        <w:rPr>
          <w:rtl/>
        </w:rPr>
        <w:t xml:space="preserve"> </w:t>
      </w:r>
      <w:r w:rsidRPr="00FE4E99">
        <w:rPr>
          <w:rFonts w:hint="eastAsia"/>
          <w:rtl/>
        </w:rPr>
        <w:t>ואם</w:t>
      </w:r>
      <w:r w:rsidRPr="00FE4E99">
        <w:rPr>
          <w:rtl/>
        </w:rPr>
        <w:t xml:space="preserve"> </w:t>
      </w:r>
      <w:r w:rsidRPr="00FE4E99">
        <w:rPr>
          <w:rFonts w:hint="eastAsia"/>
          <w:rtl/>
        </w:rPr>
        <w:t>תאמר</w:t>
      </w:r>
      <w:r w:rsidRPr="00FE4E99">
        <w:rPr>
          <w:rtl/>
        </w:rPr>
        <w:t xml:space="preserve"> </w:t>
      </w:r>
      <w:r w:rsidRPr="00FE4E99">
        <w:rPr>
          <w:rFonts w:hint="eastAsia"/>
          <w:rtl/>
        </w:rPr>
        <w:t>מחמת</w:t>
      </w:r>
      <w:r w:rsidRPr="00FE4E99">
        <w:rPr>
          <w:rtl/>
        </w:rPr>
        <w:t xml:space="preserve"> </w:t>
      </w:r>
      <w:r w:rsidRPr="00FE4E99">
        <w:rPr>
          <w:rFonts w:hint="eastAsia"/>
          <w:rtl/>
        </w:rPr>
        <w:t>הגעת</w:t>
      </w:r>
      <w:r w:rsidRPr="00FE4E99">
        <w:rPr>
          <w:rtl/>
        </w:rPr>
        <w:t xml:space="preserve"> </w:t>
      </w:r>
      <w:r w:rsidRPr="00FE4E99">
        <w:rPr>
          <w:rFonts w:hint="eastAsia"/>
          <w:rtl/>
        </w:rPr>
        <w:t>זמן</w:t>
      </w:r>
      <w:r w:rsidRPr="00FE4E99">
        <w:rPr>
          <w:rtl/>
        </w:rPr>
        <w:t xml:space="preserve"> </w:t>
      </w:r>
      <w:r w:rsidRPr="00FE4E99">
        <w:rPr>
          <w:rFonts w:hint="eastAsia"/>
          <w:rtl/>
        </w:rPr>
        <w:t>המצוה</w:t>
      </w:r>
      <w:r>
        <w:rPr>
          <w:rFonts w:hint="cs"/>
          <w:rtl/>
        </w:rPr>
        <w:t>,</w:t>
      </w:r>
      <w:r w:rsidRPr="00FE4E99">
        <w:rPr>
          <w:rtl/>
        </w:rPr>
        <w:t xml:space="preserve"> </w:t>
      </w:r>
      <w:r w:rsidRPr="00FE4E99">
        <w:rPr>
          <w:rFonts w:hint="eastAsia"/>
          <w:rtl/>
        </w:rPr>
        <w:t>גם</w:t>
      </w:r>
      <w:r w:rsidRPr="00FE4E99">
        <w:rPr>
          <w:rtl/>
        </w:rPr>
        <w:t xml:space="preserve"> </w:t>
      </w:r>
      <w:r w:rsidRPr="00FE4E99">
        <w:rPr>
          <w:rFonts w:hint="eastAsia"/>
          <w:rtl/>
        </w:rPr>
        <w:t>בבדיקת</w:t>
      </w:r>
      <w:r w:rsidRPr="00FE4E99">
        <w:rPr>
          <w:rtl/>
        </w:rPr>
        <w:t xml:space="preserve"> </w:t>
      </w:r>
      <w:r w:rsidRPr="00FE4E99">
        <w:rPr>
          <w:rFonts w:hint="eastAsia"/>
          <w:rtl/>
        </w:rPr>
        <w:t>החמץ</w:t>
      </w:r>
      <w:r w:rsidRPr="00FE4E99">
        <w:rPr>
          <w:rtl/>
        </w:rPr>
        <w:t xml:space="preserve"> </w:t>
      </w:r>
      <w:r w:rsidRPr="00FE4E99">
        <w:rPr>
          <w:rFonts w:hint="eastAsia"/>
          <w:rtl/>
        </w:rPr>
        <w:t>כן</w:t>
      </w:r>
      <w:r>
        <w:rPr>
          <w:rFonts w:hint="cs"/>
          <w:rtl/>
        </w:rPr>
        <w:t>,</w:t>
      </w:r>
      <w:r w:rsidRPr="00FE4E99">
        <w:rPr>
          <w:rtl/>
        </w:rPr>
        <w:t xml:space="preserve"> </w:t>
      </w:r>
      <w:r w:rsidRPr="00FE4E99">
        <w:rPr>
          <w:rFonts w:hint="eastAsia"/>
          <w:rtl/>
        </w:rPr>
        <w:t>וטעם</w:t>
      </w:r>
      <w:r w:rsidRPr="00FE4E99">
        <w:rPr>
          <w:rtl/>
        </w:rPr>
        <w:t xml:space="preserve"> </w:t>
      </w:r>
      <w:r w:rsidRPr="00FE4E99">
        <w:rPr>
          <w:rFonts w:hint="eastAsia"/>
          <w:rtl/>
        </w:rPr>
        <w:t>יפה</w:t>
      </w:r>
      <w:r w:rsidRPr="00FE4E99">
        <w:rPr>
          <w:rtl/>
        </w:rPr>
        <w:t xml:space="preserve"> </w:t>
      </w:r>
      <w:r w:rsidRPr="00FE4E99">
        <w:rPr>
          <w:rFonts w:hint="eastAsia"/>
          <w:rtl/>
        </w:rPr>
        <w:t>ממ</w:t>
      </w:r>
      <w:r w:rsidRPr="00FE4E99">
        <w:rPr>
          <w:rFonts w:hint="cs"/>
          <w:rtl/>
        </w:rPr>
        <w:t>נ</w:t>
      </w:r>
      <w:r w:rsidRPr="00FE4E99">
        <w:rPr>
          <w:rFonts w:hint="eastAsia"/>
          <w:rtl/>
        </w:rPr>
        <w:t>ו</w:t>
      </w:r>
      <w:r w:rsidRPr="00FE4E99">
        <w:rPr>
          <w:rtl/>
        </w:rPr>
        <w:t xml:space="preserve"> </w:t>
      </w:r>
      <w:r w:rsidRPr="00FE4E99">
        <w:rPr>
          <w:rFonts w:hint="eastAsia"/>
          <w:rtl/>
        </w:rPr>
        <w:t>יש</w:t>
      </w:r>
      <w:r w:rsidRPr="00FE4E99">
        <w:rPr>
          <w:rtl/>
        </w:rPr>
        <w:t xml:space="preserve"> </w:t>
      </w:r>
      <w:r w:rsidRPr="00FE4E99">
        <w:rPr>
          <w:rFonts w:hint="eastAsia"/>
          <w:rtl/>
        </w:rPr>
        <w:t>למונעין</w:t>
      </w:r>
      <w:r w:rsidRPr="00FE4E99">
        <w:rPr>
          <w:rtl/>
        </w:rPr>
        <w:t xml:space="preserve"> </w:t>
      </w:r>
      <w:r w:rsidRPr="00FE4E99">
        <w:rPr>
          <w:rFonts w:hint="eastAsia"/>
          <w:rtl/>
        </w:rPr>
        <w:t>מלאמרו</w:t>
      </w:r>
      <w:r w:rsidRPr="00FE4E99">
        <w:rPr>
          <w:rtl/>
        </w:rPr>
        <w:t xml:space="preserve"> </w:t>
      </w:r>
      <w:r w:rsidRPr="00FE4E99">
        <w:rPr>
          <w:rFonts w:hint="eastAsia"/>
          <w:rtl/>
        </w:rPr>
        <w:t>לפי</w:t>
      </w:r>
      <w:r w:rsidRPr="00FE4E99">
        <w:rPr>
          <w:rtl/>
        </w:rPr>
        <w:t xml:space="preserve"> </w:t>
      </w:r>
      <w:r w:rsidRPr="00FE4E99">
        <w:rPr>
          <w:rFonts w:hint="eastAsia"/>
          <w:rtl/>
        </w:rPr>
        <w:t>שאין</w:t>
      </w:r>
      <w:r w:rsidRPr="00FE4E99">
        <w:rPr>
          <w:rtl/>
        </w:rPr>
        <w:t xml:space="preserve"> </w:t>
      </w:r>
      <w:r w:rsidRPr="00FE4E99">
        <w:rPr>
          <w:rFonts w:hint="eastAsia"/>
          <w:rtl/>
        </w:rPr>
        <w:t>לו</w:t>
      </w:r>
      <w:r w:rsidRPr="00FE4E99">
        <w:rPr>
          <w:rtl/>
        </w:rPr>
        <w:t xml:space="preserve"> </w:t>
      </w:r>
      <w:r w:rsidRPr="00FE4E99">
        <w:rPr>
          <w:rFonts w:hint="eastAsia"/>
          <w:rtl/>
        </w:rPr>
        <w:t>זמן</w:t>
      </w:r>
      <w:r w:rsidRPr="00FE4E99">
        <w:rPr>
          <w:rtl/>
        </w:rPr>
        <w:t xml:space="preserve"> </w:t>
      </w:r>
      <w:r w:rsidRPr="00FE4E99">
        <w:rPr>
          <w:rFonts w:hint="eastAsia"/>
          <w:rtl/>
        </w:rPr>
        <w:t>קבוע</w:t>
      </w:r>
      <w:r w:rsidRPr="00FE4E99">
        <w:rPr>
          <w:rtl/>
        </w:rPr>
        <w:t xml:space="preserve"> </w:t>
      </w:r>
      <w:r w:rsidRPr="00FE4E99">
        <w:rPr>
          <w:rFonts w:hint="eastAsia"/>
          <w:rtl/>
        </w:rPr>
        <w:t>שהיוצא</w:t>
      </w:r>
      <w:r w:rsidRPr="00FE4E99">
        <w:rPr>
          <w:rtl/>
        </w:rPr>
        <w:t xml:space="preserve"> </w:t>
      </w:r>
      <w:r w:rsidRPr="00FE4E99">
        <w:rPr>
          <w:rFonts w:hint="eastAsia"/>
          <w:rtl/>
        </w:rPr>
        <w:t>לדרך</w:t>
      </w:r>
      <w:r w:rsidRPr="00FE4E99">
        <w:rPr>
          <w:rtl/>
        </w:rPr>
        <w:t xml:space="preserve"> </w:t>
      </w:r>
      <w:r w:rsidRPr="00FE4E99">
        <w:rPr>
          <w:rFonts w:hint="eastAsia"/>
          <w:rtl/>
        </w:rPr>
        <w:t>אפילו</w:t>
      </w:r>
      <w:r w:rsidRPr="00FE4E99">
        <w:rPr>
          <w:rtl/>
        </w:rPr>
        <w:t xml:space="preserve"> </w:t>
      </w:r>
      <w:r w:rsidRPr="00FE4E99">
        <w:rPr>
          <w:rFonts w:hint="eastAsia"/>
          <w:rtl/>
        </w:rPr>
        <w:t>מתחלת</w:t>
      </w:r>
      <w:r w:rsidRPr="00FE4E99">
        <w:rPr>
          <w:rtl/>
        </w:rPr>
        <w:t xml:space="preserve"> </w:t>
      </w:r>
      <w:r w:rsidRPr="00FE4E99">
        <w:rPr>
          <w:rFonts w:hint="eastAsia"/>
          <w:rtl/>
        </w:rPr>
        <w:t>השנה</w:t>
      </w:r>
      <w:r w:rsidRPr="00FE4E99">
        <w:rPr>
          <w:rtl/>
        </w:rPr>
        <w:t xml:space="preserve"> </w:t>
      </w:r>
      <w:r w:rsidRPr="00FE4E99">
        <w:rPr>
          <w:rFonts w:hint="eastAsia"/>
          <w:rtl/>
        </w:rPr>
        <w:t>ודעתו</w:t>
      </w:r>
      <w:r w:rsidRPr="00FE4E99">
        <w:rPr>
          <w:rtl/>
        </w:rPr>
        <w:t xml:space="preserve"> </w:t>
      </w:r>
      <w:r w:rsidRPr="00FE4E99">
        <w:rPr>
          <w:rFonts w:hint="eastAsia"/>
          <w:rtl/>
        </w:rPr>
        <w:t>לחזור</w:t>
      </w:r>
      <w:r w:rsidRPr="00FE4E99">
        <w:rPr>
          <w:rtl/>
        </w:rPr>
        <w:t xml:space="preserve"> </w:t>
      </w:r>
      <w:r w:rsidRPr="00FE4E99">
        <w:rPr>
          <w:rFonts w:hint="eastAsia"/>
          <w:rtl/>
        </w:rPr>
        <w:t>חייב</w:t>
      </w:r>
      <w:r w:rsidRPr="00FE4E99">
        <w:rPr>
          <w:rtl/>
        </w:rPr>
        <w:t xml:space="preserve"> </w:t>
      </w:r>
      <w:r w:rsidRPr="00FE4E99">
        <w:rPr>
          <w:rFonts w:hint="eastAsia"/>
          <w:rtl/>
        </w:rPr>
        <w:t>לבדוק</w:t>
      </w:r>
      <w:r>
        <w:rPr>
          <w:rFonts w:hint="cs"/>
          <w:rtl/>
        </w:rPr>
        <w:t>,</w:t>
      </w:r>
      <w:r w:rsidRPr="00FE4E99">
        <w:rPr>
          <w:rtl/>
        </w:rPr>
        <w:t xml:space="preserve"> </w:t>
      </w:r>
      <w:r w:rsidRPr="00FE4E99">
        <w:rPr>
          <w:rFonts w:hint="eastAsia"/>
          <w:rtl/>
        </w:rPr>
        <w:t>אלא</w:t>
      </w:r>
      <w:r w:rsidRPr="00FE4E99">
        <w:rPr>
          <w:rtl/>
        </w:rPr>
        <w:t xml:space="preserve"> </w:t>
      </w:r>
      <w:r w:rsidRPr="00FE4E99">
        <w:rPr>
          <w:rFonts w:hint="eastAsia"/>
          <w:rtl/>
        </w:rPr>
        <w:t>שאף</w:t>
      </w:r>
      <w:r w:rsidRPr="00FE4E99">
        <w:rPr>
          <w:rtl/>
        </w:rPr>
        <w:t xml:space="preserve"> </w:t>
      </w:r>
      <w:r w:rsidRPr="00FE4E99">
        <w:rPr>
          <w:rFonts w:hint="eastAsia"/>
          <w:rtl/>
        </w:rPr>
        <w:t>זו</w:t>
      </w:r>
      <w:r w:rsidRPr="00FE4E99">
        <w:rPr>
          <w:rtl/>
        </w:rPr>
        <w:t xml:space="preserve"> </w:t>
      </w:r>
      <w:r w:rsidRPr="00FE4E99">
        <w:rPr>
          <w:rFonts w:hint="eastAsia"/>
          <w:rtl/>
        </w:rPr>
        <w:t>דוחין</w:t>
      </w:r>
      <w:r w:rsidRPr="00FE4E99">
        <w:rPr>
          <w:rtl/>
        </w:rPr>
        <w:t xml:space="preserve"> </w:t>
      </w:r>
      <w:r w:rsidRPr="00FE4E99">
        <w:rPr>
          <w:rFonts w:hint="eastAsia"/>
          <w:rtl/>
        </w:rPr>
        <w:t>ואומרין</w:t>
      </w:r>
      <w:r w:rsidRPr="00FE4E99">
        <w:rPr>
          <w:rtl/>
        </w:rPr>
        <w:t xml:space="preserve"> </w:t>
      </w:r>
      <w:r w:rsidRPr="00FE4E99">
        <w:rPr>
          <w:rFonts w:hint="eastAsia"/>
          <w:rtl/>
        </w:rPr>
        <w:t>והלא</w:t>
      </w:r>
      <w:r w:rsidRPr="00FE4E99">
        <w:rPr>
          <w:rtl/>
        </w:rPr>
        <w:t xml:space="preserve"> </w:t>
      </w:r>
      <w:r w:rsidRPr="00FE4E99">
        <w:rPr>
          <w:rFonts w:hint="eastAsia"/>
          <w:rtl/>
        </w:rPr>
        <w:t>פדיון</w:t>
      </w:r>
      <w:r w:rsidRPr="00FE4E99">
        <w:rPr>
          <w:rtl/>
        </w:rPr>
        <w:t xml:space="preserve"> </w:t>
      </w:r>
      <w:r w:rsidRPr="00FE4E99">
        <w:rPr>
          <w:rFonts w:hint="eastAsia"/>
          <w:rtl/>
        </w:rPr>
        <w:t>הבן</w:t>
      </w:r>
      <w:r w:rsidRPr="00FE4E99">
        <w:rPr>
          <w:rtl/>
        </w:rPr>
        <w:t xml:space="preserve"> </w:t>
      </w:r>
      <w:r w:rsidRPr="00FE4E99">
        <w:rPr>
          <w:rFonts w:hint="eastAsia"/>
          <w:rtl/>
        </w:rPr>
        <w:t>אין</w:t>
      </w:r>
      <w:r w:rsidRPr="00FE4E99">
        <w:rPr>
          <w:rtl/>
        </w:rPr>
        <w:t xml:space="preserve"> </w:t>
      </w:r>
      <w:r w:rsidRPr="00FE4E99">
        <w:rPr>
          <w:rFonts w:hint="eastAsia"/>
          <w:rtl/>
        </w:rPr>
        <w:t>לו</w:t>
      </w:r>
      <w:r w:rsidRPr="00FE4E99">
        <w:rPr>
          <w:rtl/>
        </w:rPr>
        <w:t xml:space="preserve"> </w:t>
      </w:r>
      <w:r w:rsidRPr="00FE4E99">
        <w:rPr>
          <w:rFonts w:hint="eastAsia"/>
          <w:rtl/>
        </w:rPr>
        <w:t>זמן</w:t>
      </w:r>
      <w:r w:rsidRPr="00FE4E99">
        <w:rPr>
          <w:rtl/>
        </w:rPr>
        <w:t xml:space="preserve"> </w:t>
      </w:r>
      <w:r w:rsidRPr="00FE4E99">
        <w:rPr>
          <w:rFonts w:hint="eastAsia"/>
          <w:rtl/>
        </w:rPr>
        <w:t>אלא</w:t>
      </w:r>
      <w:r w:rsidRPr="00FE4E99">
        <w:rPr>
          <w:rtl/>
        </w:rPr>
        <w:t xml:space="preserve"> </w:t>
      </w:r>
      <w:r w:rsidRPr="00FE4E99">
        <w:rPr>
          <w:rFonts w:hint="eastAsia"/>
          <w:rtl/>
        </w:rPr>
        <w:t>פודה</w:t>
      </w:r>
      <w:r w:rsidRPr="00FE4E99">
        <w:rPr>
          <w:rtl/>
        </w:rPr>
        <w:t xml:space="preserve"> </w:t>
      </w:r>
      <w:r w:rsidRPr="00FE4E99">
        <w:rPr>
          <w:rFonts w:hint="eastAsia"/>
          <w:rtl/>
        </w:rPr>
        <w:t>משלשים</w:t>
      </w:r>
      <w:r w:rsidRPr="00FE4E99">
        <w:rPr>
          <w:rtl/>
        </w:rPr>
        <w:t xml:space="preserve"> </w:t>
      </w:r>
      <w:r w:rsidRPr="00FE4E99">
        <w:rPr>
          <w:rFonts w:hint="eastAsia"/>
          <w:rtl/>
        </w:rPr>
        <w:t>יום</w:t>
      </w:r>
      <w:r w:rsidRPr="00FE4E99">
        <w:rPr>
          <w:rtl/>
        </w:rPr>
        <w:t xml:space="preserve"> </w:t>
      </w:r>
      <w:r w:rsidRPr="00FE4E99">
        <w:rPr>
          <w:rFonts w:hint="eastAsia"/>
          <w:rtl/>
        </w:rPr>
        <w:t>ואילך</w:t>
      </w:r>
      <w:r w:rsidRPr="00FE4E99">
        <w:rPr>
          <w:rtl/>
        </w:rPr>
        <w:t xml:space="preserve"> </w:t>
      </w:r>
      <w:r w:rsidRPr="00FE4E99">
        <w:rPr>
          <w:rFonts w:hint="eastAsia"/>
          <w:rtl/>
        </w:rPr>
        <w:t>ואפי</w:t>
      </w:r>
      <w:r w:rsidRPr="00FE4E99">
        <w:rPr>
          <w:rtl/>
        </w:rPr>
        <w:t xml:space="preserve">' </w:t>
      </w:r>
      <w:r w:rsidRPr="00FE4E99">
        <w:rPr>
          <w:rFonts w:hint="eastAsia"/>
          <w:rtl/>
        </w:rPr>
        <w:t>הכי</w:t>
      </w:r>
      <w:r w:rsidRPr="00FE4E99">
        <w:rPr>
          <w:rtl/>
        </w:rPr>
        <w:t xml:space="preserve"> </w:t>
      </w:r>
      <w:r w:rsidRPr="00FE4E99">
        <w:rPr>
          <w:rFonts w:hint="eastAsia"/>
          <w:rtl/>
        </w:rPr>
        <w:t>אומרין</w:t>
      </w:r>
      <w:r>
        <w:rPr>
          <w:rFonts w:hint="cs"/>
          <w:rtl/>
        </w:rPr>
        <w:t>,</w:t>
      </w:r>
      <w:r w:rsidRPr="00FE4E99">
        <w:rPr>
          <w:rtl/>
        </w:rPr>
        <w:t xml:space="preserve"> </w:t>
      </w:r>
      <w:r w:rsidRPr="00FE4E99">
        <w:rPr>
          <w:rFonts w:hint="eastAsia"/>
          <w:rtl/>
        </w:rPr>
        <w:t>זמן</w:t>
      </w:r>
      <w:r w:rsidRPr="00FE4E99">
        <w:rPr>
          <w:rtl/>
        </w:rPr>
        <w:t xml:space="preserve"> </w:t>
      </w:r>
      <w:r w:rsidRPr="00FE4E99">
        <w:rPr>
          <w:rFonts w:hint="eastAsia"/>
          <w:rtl/>
        </w:rPr>
        <w:t>ולפיכך</w:t>
      </w:r>
      <w:r w:rsidRPr="00FE4E99">
        <w:rPr>
          <w:rtl/>
        </w:rPr>
        <w:t xml:space="preserve"> </w:t>
      </w:r>
      <w:r w:rsidRPr="00FE4E99">
        <w:rPr>
          <w:rFonts w:hint="eastAsia"/>
          <w:rtl/>
        </w:rPr>
        <w:t>אין</w:t>
      </w:r>
      <w:r w:rsidRPr="00FE4E99">
        <w:rPr>
          <w:rtl/>
        </w:rPr>
        <w:t xml:space="preserve"> </w:t>
      </w:r>
      <w:r w:rsidRPr="00FE4E99">
        <w:rPr>
          <w:rFonts w:hint="eastAsia"/>
          <w:rtl/>
        </w:rPr>
        <w:t>בידנו</w:t>
      </w:r>
      <w:r w:rsidRPr="00FE4E99">
        <w:rPr>
          <w:rtl/>
        </w:rPr>
        <w:t xml:space="preserve"> </w:t>
      </w:r>
      <w:r w:rsidRPr="00FE4E99">
        <w:rPr>
          <w:rFonts w:hint="eastAsia"/>
          <w:rtl/>
        </w:rPr>
        <w:t>ראיה</w:t>
      </w:r>
      <w:r w:rsidRPr="00FE4E99">
        <w:rPr>
          <w:rtl/>
        </w:rPr>
        <w:t xml:space="preserve"> </w:t>
      </w:r>
      <w:r w:rsidRPr="00FE4E99">
        <w:rPr>
          <w:rFonts w:hint="eastAsia"/>
          <w:rtl/>
        </w:rPr>
        <w:t>מכרחת</w:t>
      </w:r>
      <w:r w:rsidRPr="00FE4E99">
        <w:rPr>
          <w:rtl/>
        </w:rPr>
        <w:t xml:space="preserve"> </w:t>
      </w:r>
      <w:r>
        <w:rPr>
          <w:rFonts w:hint="cs"/>
          <w:rtl/>
        </w:rPr>
        <w:t>,</w:t>
      </w:r>
      <w:r w:rsidRPr="00FE4E99">
        <w:rPr>
          <w:rFonts w:hint="eastAsia"/>
          <w:rtl/>
        </w:rPr>
        <w:t>ואנו</w:t>
      </w:r>
      <w:r w:rsidRPr="00FE4E99">
        <w:rPr>
          <w:rtl/>
        </w:rPr>
        <w:t xml:space="preserve"> </w:t>
      </w:r>
      <w:r w:rsidRPr="00FE4E99">
        <w:rPr>
          <w:rFonts w:hint="eastAsia"/>
          <w:rtl/>
        </w:rPr>
        <w:t>אין</w:t>
      </w:r>
      <w:r w:rsidRPr="00FE4E99">
        <w:rPr>
          <w:rtl/>
        </w:rPr>
        <w:t xml:space="preserve"> </w:t>
      </w:r>
      <w:r w:rsidRPr="00FE4E99">
        <w:rPr>
          <w:rFonts w:hint="eastAsia"/>
          <w:rtl/>
        </w:rPr>
        <w:t>אנו</w:t>
      </w:r>
      <w:r w:rsidRPr="00FE4E99">
        <w:rPr>
          <w:rtl/>
        </w:rPr>
        <w:t xml:space="preserve"> </w:t>
      </w:r>
      <w:r w:rsidRPr="00FE4E99">
        <w:rPr>
          <w:rFonts w:hint="eastAsia"/>
          <w:rtl/>
        </w:rPr>
        <w:t>נוהגין</w:t>
      </w:r>
      <w:r w:rsidRPr="00FE4E99">
        <w:rPr>
          <w:rtl/>
        </w:rPr>
        <w:t xml:space="preserve"> </w:t>
      </w:r>
      <w:r w:rsidRPr="00FE4E99">
        <w:rPr>
          <w:rFonts w:hint="eastAsia"/>
          <w:rtl/>
        </w:rPr>
        <w:t>לאמרו</w:t>
      </w:r>
      <w:r w:rsidRPr="00FE4E99">
        <w:rPr>
          <w:rtl/>
        </w:rPr>
        <w:t xml:space="preserve"> </w:t>
      </w:r>
      <w:r w:rsidRPr="00FE4E99">
        <w:rPr>
          <w:rFonts w:hint="eastAsia"/>
          <w:rtl/>
        </w:rPr>
        <w:t>אבל</w:t>
      </w:r>
      <w:r w:rsidRPr="00FE4E99">
        <w:rPr>
          <w:rtl/>
        </w:rPr>
        <w:t xml:space="preserve"> </w:t>
      </w:r>
      <w:r w:rsidRPr="00FE4E99">
        <w:rPr>
          <w:rFonts w:hint="eastAsia"/>
          <w:rtl/>
        </w:rPr>
        <w:t>הרב</w:t>
      </w:r>
      <w:r w:rsidRPr="00FE4E99">
        <w:rPr>
          <w:rtl/>
        </w:rPr>
        <w:t xml:space="preserve"> </w:t>
      </w:r>
      <w:r w:rsidRPr="00FE4E99">
        <w:rPr>
          <w:rFonts w:hint="eastAsia"/>
          <w:rtl/>
        </w:rPr>
        <w:t>בעל</w:t>
      </w:r>
      <w:r w:rsidRPr="00FE4E99">
        <w:rPr>
          <w:rtl/>
        </w:rPr>
        <w:t xml:space="preserve"> </w:t>
      </w:r>
      <w:r w:rsidRPr="00FE4E99">
        <w:rPr>
          <w:rFonts w:hint="eastAsia"/>
          <w:rtl/>
        </w:rPr>
        <w:t>העיטור</w:t>
      </w:r>
      <w:r w:rsidRPr="00FE4E99">
        <w:rPr>
          <w:rtl/>
        </w:rPr>
        <w:t xml:space="preserve"> </w:t>
      </w:r>
      <w:r w:rsidRPr="00FE4E99">
        <w:rPr>
          <w:rFonts w:hint="eastAsia"/>
          <w:rtl/>
        </w:rPr>
        <w:t>כתב</w:t>
      </w:r>
      <w:r w:rsidRPr="00FE4E99">
        <w:rPr>
          <w:rtl/>
        </w:rPr>
        <w:t xml:space="preserve"> </w:t>
      </w:r>
      <w:r w:rsidRPr="00FE4E99">
        <w:rPr>
          <w:rFonts w:hint="eastAsia"/>
          <w:rtl/>
        </w:rPr>
        <w:t>שבמקומו</w:t>
      </w:r>
      <w:r w:rsidRPr="00FE4E99">
        <w:rPr>
          <w:rtl/>
        </w:rPr>
        <w:t xml:space="preserve"> </w:t>
      </w:r>
      <w:r w:rsidRPr="00FE4E99">
        <w:rPr>
          <w:rFonts w:hint="eastAsia"/>
          <w:rtl/>
        </w:rPr>
        <w:t>נוהגין</w:t>
      </w:r>
      <w:r w:rsidRPr="00FE4E99">
        <w:rPr>
          <w:rtl/>
        </w:rPr>
        <w:t xml:space="preserve"> </w:t>
      </w:r>
      <w:r w:rsidRPr="00FE4E99">
        <w:rPr>
          <w:rFonts w:hint="eastAsia"/>
          <w:rtl/>
        </w:rPr>
        <w:t>לאמרו</w:t>
      </w:r>
      <w:r w:rsidRPr="00FE4E99">
        <w:rPr>
          <w:rFonts w:hint="cs"/>
          <w:rtl/>
        </w:rPr>
        <w:t>" עכ"ל.</w:t>
      </w:r>
    </w:p>
    <w:p w:rsidR="006049DD" w:rsidRPr="00FE4E99" w:rsidRDefault="006049DD" w:rsidP="004B0C42">
      <w:pPr>
        <w:pStyle w:val="a3"/>
        <w:rPr>
          <w:rtl/>
        </w:rPr>
      </w:pPr>
      <w:r w:rsidRPr="00FE4E99">
        <w:rPr>
          <w:rFonts w:hint="cs"/>
          <w:rtl/>
        </w:rPr>
        <w:t>והקשה בתשובות מהרי"א, שהרשב"א כאן "תברא לגזיזה" את מה שהוא כתב בעצמו גבי ספירת העומר שהטעם שאין מברכים שהחיינו הוא משום שאין בו הנאה.</w:t>
      </w:r>
    </w:p>
    <w:p w:rsidR="006049DD" w:rsidRPr="00FE4E99" w:rsidRDefault="006049DD" w:rsidP="004B0C42">
      <w:pPr>
        <w:pStyle w:val="a3"/>
        <w:rPr>
          <w:rtl/>
        </w:rPr>
      </w:pPr>
      <w:r w:rsidRPr="00FE4E99">
        <w:rPr>
          <w:rFonts w:hint="cs"/>
          <w:rtl/>
        </w:rPr>
        <w:t xml:space="preserve">וכתב לתרץ שם וז"ל: "ולקו' הסתירה הנ"ל נ"ל </w:t>
      </w:r>
      <w:r>
        <w:rPr>
          <w:rFonts w:hint="cs"/>
          <w:rtl/>
        </w:rPr>
        <w:t>ד</w:t>
      </w:r>
      <w:r w:rsidRPr="00FE4E99">
        <w:rPr>
          <w:rFonts w:hint="cs"/>
          <w:rtl/>
        </w:rPr>
        <w:t>הרשב"א סס"י קכ"ו סיים וז"ל וספירת העומר אין בו זכר לשום הנאה אלא לעגמת נפשינו לחורבן בית מאוויינו וכו' הרי דה"ט משום דלא זו בלבד שאין בו שום הנאה אלא גם זו שנהפוך הוא לעגמת נפש לחורבן בית מאוויינו ופשיטא דמה"ט גרע טפי מיוה"כ וגם מבדיקת וביעור חמץ נהי דאין בהם הנאת הגוף מיהת גם עגמת נפש ליכא בהו ושפיר י"ל דמברכין זמן על בדיקת חמץ כמו ביוה"כ משא"כ ספירת העומר כמו תשעה באב הוא שאין שייך לברך עליו זמן" עכ"ל עיי"ש.</w:t>
      </w:r>
    </w:p>
    <w:p w:rsidR="006049DD" w:rsidRPr="00FE4E99" w:rsidRDefault="006049DD" w:rsidP="004B0C42">
      <w:pPr>
        <w:pStyle w:val="a3"/>
        <w:rPr>
          <w:rtl/>
        </w:rPr>
      </w:pPr>
      <w:r w:rsidRPr="00FE4E99">
        <w:rPr>
          <w:rFonts w:hint="cs"/>
          <w:rtl/>
        </w:rPr>
        <w:t xml:space="preserve">והנה מה שכתב לחלק בין בדיקת חמץ ש"נהי דאין בהם הנאת הגוף מיהת גם עגמת נפש ליכא בהו", לבין ספירת העומר, אינו מובן </w:t>
      </w:r>
      <w:r>
        <w:rPr>
          <w:rFonts w:hint="cs"/>
          <w:rtl/>
        </w:rPr>
        <w:t xml:space="preserve">לכאורה הגדר </w:t>
      </w:r>
      <w:r w:rsidRPr="00FE4E99">
        <w:rPr>
          <w:rFonts w:hint="cs"/>
          <w:rtl/>
        </w:rPr>
        <w:t xml:space="preserve">מתי הוה "עגמת נפש" ומתי </w:t>
      </w:r>
      <w:r>
        <w:rPr>
          <w:rFonts w:hint="cs"/>
          <w:rtl/>
        </w:rPr>
        <w:t>אין זה עגמ"נ</w:t>
      </w:r>
      <w:r w:rsidRPr="00FE4E99">
        <w:rPr>
          <w:rFonts w:hint="cs"/>
          <w:rtl/>
        </w:rPr>
        <w:t xml:space="preserve">, ומדוע שלא נאמר גם גבי בדיקת חמץ שיש לו לאדם עגמת נפש בביעור חמצו. </w:t>
      </w:r>
    </w:p>
    <w:p w:rsidR="006049DD" w:rsidRPr="00FE4E99" w:rsidRDefault="006049DD" w:rsidP="004B0C42">
      <w:pPr>
        <w:pStyle w:val="a3"/>
        <w:rPr>
          <w:rtl/>
        </w:rPr>
      </w:pPr>
      <w:r w:rsidRPr="00FE4E99">
        <w:rPr>
          <w:rFonts w:hint="cs"/>
          <w:rtl/>
        </w:rPr>
        <w:t xml:space="preserve">ובכלל מלשון הרשב"א לא משמע כלל חילוק זה, </w:t>
      </w:r>
      <w:r>
        <w:rPr>
          <w:rFonts w:hint="cs"/>
          <w:rtl/>
        </w:rPr>
        <w:t>שהרי כתב</w:t>
      </w:r>
      <w:r w:rsidRPr="00FE4E99">
        <w:rPr>
          <w:rFonts w:hint="eastAsia"/>
          <w:rtl/>
        </w:rPr>
        <w:t xml:space="preserve"> </w:t>
      </w:r>
      <w:r w:rsidRPr="00FE4E99">
        <w:rPr>
          <w:rFonts w:hint="cs"/>
          <w:rtl/>
        </w:rPr>
        <w:t>"</w:t>
      </w:r>
      <w:r w:rsidRPr="00FE4E99">
        <w:rPr>
          <w:rFonts w:hint="eastAsia"/>
          <w:rtl/>
        </w:rPr>
        <w:t>שלא</w:t>
      </w:r>
      <w:r w:rsidRPr="00FE4E99">
        <w:rPr>
          <w:rtl/>
        </w:rPr>
        <w:t xml:space="preserve"> </w:t>
      </w:r>
      <w:r w:rsidRPr="00FE4E99">
        <w:rPr>
          <w:rFonts w:hint="eastAsia"/>
          <w:rtl/>
        </w:rPr>
        <w:t>מצינו</w:t>
      </w:r>
      <w:r w:rsidRPr="00FE4E99">
        <w:rPr>
          <w:rtl/>
        </w:rPr>
        <w:t xml:space="preserve"> </w:t>
      </w:r>
      <w:r w:rsidRPr="00FE4E99">
        <w:rPr>
          <w:rFonts w:hint="eastAsia"/>
          <w:rtl/>
        </w:rPr>
        <w:t>ברכת</w:t>
      </w:r>
      <w:r w:rsidRPr="00FE4E99">
        <w:rPr>
          <w:rtl/>
        </w:rPr>
        <w:t xml:space="preserve"> </w:t>
      </w:r>
      <w:r w:rsidRPr="00FE4E99">
        <w:rPr>
          <w:rFonts w:hint="eastAsia"/>
          <w:rtl/>
        </w:rPr>
        <w:t>זמן</w:t>
      </w:r>
      <w:r w:rsidRPr="00FE4E99">
        <w:rPr>
          <w:rtl/>
        </w:rPr>
        <w:t xml:space="preserve"> </w:t>
      </w:r>
      <w:r w:rsidRPr="00FE4E99">
        <w:rPr>
          <w:rFonts w:hint="eastAsia"/>
          <w:rtl/>
        </w:rPr>
        <w:t>אלא</w:t>
      </w:r>
      <w:r w:rsidRPr="00FE4E99">
        <w:rPr>
          <w:rtl/>
        </w:rPr>
        <w:t xml:space="preserve"> </w:t>
      </w:r>
      <w:r w:rsidRPr="00D830FA">
        <w:rPr>
          <w:rFonts w:hint="eastAsia"/>
          <w:b/>
          <w:bCs/>
          <w:rtl/>
        </w:rPr>
        <w:t>בדבר</w:t>
      </w:r>
      <w:r w:rsidRPr="00D830FA">
        <w:rPr>
          <w:b/>
          <w:bCs/>
          <w:rtl/>
        </w:rPr>
        <w:t xml:space="preserve"> </w:t>
      </w:r>
      <w:r w:rsidRPr="00D830FA">
        <w:rPr>
          <w:rFonts w:hint="eastAsia"/>
          <w:b/>
          <w:bCs/>
          <w:rtl/>
        </w:rPr>
        <w:t>שיש</w:t>
      </w:r>
      <w:r w:rsidRPr="00D830FA">
        <w:rPr>
          <w:b/>
          <w:bCs/>
          <w:rtl/>
        </w:rPr>
        <w:t xml:space="preserve"> </w:t>
      </w:r>
      <w:r w:rsidRPr="00D830FA">
        <w:rPr>
          <w:rFonts w:hint="eastAsia"/>
          <w:b/>
          <w:bCs/>
          <w:rtl/>
        </w:rPr>
        <w:t>בו</w:t>
      </w:r>
      <w:r w:rsidRPr="00D830FA">
        <w:rPr>
          <w:b/>
          <w:bCs/>
          <w:rtl/>
        </w:rPr>
        <w:t xml:space="preserve"> </w:t>
      </w:r>
      <w:r w:rsidRPr="00D830FA">
        <w:rPr>
          <w:rFonts w:hint="eastAsia"/>
          <w:b/>
          <w:bCs/>
          <w:rtl/>
        </w:rPr>
        <w:t>שום</w:t>
      </w:r>
      <w:r w:rsidRPr="00D830FA">
        <w:rPr>
          <w:b/>
          <w:bCs/>
          <w:rtl/>
        </w:rPr>
        <w:t xml:space="preserve"> </w:t>
      </w:r>
      <w:r w:rsidRPr="00D830FA">
        <w:rPr>
          <w:rFonts w:hint="eastAsia"/>
          <w:b/>
          <w:bCs/>
          <w:rtl/>
        </w:rPr>
        <w:t>הנאה</w:t>
      </w:r>
      <w:r w:rsidRPr="00FE4E99">
        <w:rPr>
          <w:rtl/>
        </w:rPr>
        <w:t xml:space="preserve"> </w:t>
      </w:r>
      <w:r w:rsidRPr="00FE4E99">
        <w:rPr>
          <w:rFonts w:hint="eastAsia"/>
          <w:rtl/>
        </w:rPr>
        <w:t>כגון</w:t>
      </w:r>
      <w:r w:rsidRPr="00FE4E99">
        <w:rPr>
          <w:rtl/>
        </w:rPr>
        <w:t xml:space="preserve"> </w:t>
      </w:r>
      <w:r w:rsidRPr="00FE4E99">
        <w:rPr>
          <w:rFonts w:hint="eastAsia"/>
          <w:rtl/>
        </w:rPr>
        <w:t>נטילת</w:t>
      </w:r>
      <w:r w:rsidRPr="00FE4E99">
        <w:rPr>
          <w:rtl/>
        </w:rPr>
        <w:t xml:space="preserve"> </w:t>
      </w:r>
      <w:r w:rsidRPr="00FE4E99">
        <w:rPr>
          <w:rFonts w:hint="eastAsia"/>
          <w:rtl/>
        </w:rPr>
        <w:t>לולב</w:t>
      </w:r>
      <w:r w:rsidRPr="00FE4E99">
        <w:rPr>
          <w:rtl/>
        </w:rPr>
        <w:t xml:space="preserve"> </w:t>
      </w:r>
      <w:r w:rsidRPr="00FE4E99">
        <w:rPr>
          <w:rFonts w:hint="eastAsia"/>
          <w:rtl/>
        </w:rPr>
        <w:t>שהוא</w:t>
      </w:r>
      <w:r w:rsidRPr="00FE4E99">
        <w:rPr>
          <w:rtl/>
        </w:rPr>
        <w:t xml:space="preserve"> </w:t>
      </w:r>
      <w:r w:rsidRPr="00FE4E99">
        <w:rPr>
          <w:rFonts w:hint="eastAsia"/>
          <w:rtl/>
        </w:rPr>
        <w:t>בא</w:t>
      </w:r>
      <w:r w:rsidRPr="00FE4E99">
        <w:rPr>
          <w:rtl/>
        </w:rPr>
        <w:t xml:space="preserve"> </w:t>
      </w:r>
      <w:r w:rsidRPr="00FE4E99">
        <w:rPr>
          <w:rFonts w:hint="eastAsia"/>
          <w:rtl/>
        </w:rPr>
        <w:t>לשמחה</w:t>
      </w:r>
      <w:r w:rsidRPr="00FE4E99">
        <w:rPr>
          <w:rtl/>
        </w:rPr>
        <w:t xml:space="preserve"> </w:t>
      </w:r>
      <w:r>
        <w:rPr>
          <w:rFonts w:hint="cs"/>
          <w:rtl/>
        </w:rPr>
        <w:t xml:space="preserve">וכו' </w:t>
      </w:r>
      <w:r w:rsidRPr="00FE4E99">
        <w:rPr>
          <w:rFonts w:hint="eastAsia"/>
          <w:rtl/>
        </w:rPr>
        <w:t>וספירת</w:t>
      </w:r>
      <w:r w:rsidRPr="00FE4E99">
        <w:rPr>
          <w:rtl/>
        </w:rPr>
        <w:t xml:space="preserve"> </w:t>
      </w:r>
      <w:r w:rsidRPr="00FE4E99">
        <w:rPr>
          <w:rFonts w:hint="eastAsia"/>
          <w:rtl/>
        </w:rPr>
        <w:t>העומר</w:t>
      </w:r>
      <w:r w:rsidRPr="00FE4E99">
        <w:rPr>
          <w:rtl/>
        </w:rPr>
        <w:t xml:space="preserve"> </w:t>
      </w:r>
      <w:r w:rsidRPr="00D830FA">
        <w:rPr>
          <w:rFonts w:hint="eastAsia"/>
          <w:b/>
          <w:bCs/>
          <w:rtl/>
        </w:rPr>
        <w:t>אין</w:t>
      </w:r>
      <w:r w:rsidRPr="00D830FA">
        <w:rPr>
          <w:b/>
          <w:bCs/>
          <w:rtl/>
        </w:rPr>
        <w:t xml:space="preserve"> </w:t>
      </w:r>
      <w:r w:rsidRPr="00D830FA">
        <w:rPr>
          <w:rFonts w:hint="eastAsia"/>
          <w:b/>
          <w:bCs/>
          <w:rtl/>
        </w:rPr>
        <w:t>בו</w:t>
      </w:r>
      <w:r w:rsidRPr="00D830FA">
        <w:rPr>
          <w:b/>
          <w:bCs/>
          <w:rtl/>
        </w:rPr>
        <w:t xml:space="preserve"> </w:t>
      </w:r>
      <w:r w:rsidRPr="00D830FA">
        <w:rPr>
          <w:rFonts w:hint="eastAsia"/>
          <w:b/>
          <w:bCs/>
          <w:rtl/>
        </w:rPr>
        <w:t>זכר</w:t>
      </w:r>
      <w:r w:rsidRPr="00D830FA">
        <w:rPr>
          <w:b/>
          <w:bCs/>
          <w:rtl/>
        </w:rPr>
        <w:t xml:space="preserve"> </w:t>
      </w:r>
      <w:r w:rsidRPr="00D830FA">
        <w:rPr>
          <w:rFonts w:hint="eastAsia"/>
          <w:b/>
          <w:bCs/>
          <w:rtl/>
        </w:rPr>
        <w:t>לשום</w:t>
      </w:r>
      <w:r w:rsidRPr="00D830FA">
        <w:rPr>
          <w:b/>
          <w:bCs/>
          <w:rtl/>
        </w:rPr>
        <w:t xml:space="preserve"> </w:t>
      </w:r>
      <w:r w:rsidRPr="00D830FA">
        <w:rPr>
          <w:rFonts w:hint="eastAsia"/>
          <w:b/>
          <w:bCs/>
          <w:rtl/>
        </w:rPr>
        <w:t>הנאה</w:t>
      </w:r>
      <w:r w:rsidRPr="00D830FA">
        <w:rPr>
          <w:b/>
          <w:bCs/>
          <w:rtl/>
        </w:rPr>
        <w:t xml:space="preserve"> </w:t>
      </w:r>
      <w:r w:rsidRPr="00FE4E99">
        <w:rPr>
          <w:rFonts w:hint="eastAsia"/>
          <w:rtl/>
        </w:rPr>
        <w:t>אלא</w:t>
      </w:r>
      <w:r w:rsidRPr="00FE4E99">
        <w:rPr>
          <w:rtl/>
        </w:rPr>
        <w:t xml:space="preserve"> </w:t>
      </w:r>
      <w:r w:rsidRPr="00FE4E99">
        <w:rPr>
          <w:rFonts w:hint="eastAsia"/>
          <w:rtl/>
        </w:rPr>
        <w:t>לעגמת</w:t>
      </w:r>
      <w:r w:rsidRPr="00FE4E99">
        <w:rPr>
          <w:rtl/>
        </w:rPr>
        <w:t xml:space="preserve"> </w:t>
      </w:r>
      <w:r w:rsidRPr="00FE4E99">
        <w:rPr>
          <w:rFonts w:hint="eastAsia"/>
          <w:rtl/>
        </w:rPr>
        <w:t>נפשנו</w:t>
      </w:r>
      <w:r w:rsidRPr="00FE4E99">
        <w:rPr>
          <w:rtl/>
        </w:rPr>
        <w:t xml:space="preserve"> </w:t>
      </w:r>
      <w:r w:rsidRPr="00FE4E99">
        <w:rPr>
          <w:rFonts w:hint="eastAsia"/>
          <w:rtl/>
        </w:rPr>
        <w:t>לחורבן</w:t>
      </w:r>
      <w:r w:rsidRPr="00FE4E99">
        <w:rPr>
          <w:rtl/>
        </w:rPr>
        <w:t xml:space="preserve"> </w:t>
      </w:r>
      <w:r w:rsidRPr="00FE4E99">
        <w:rPr>
          <w:rFonts w:hint="eastAsia"/>
          <w:rtl/>
        </w:rPr>
        <w:t>בית</w:t>
      </w:r>
      <w:r w:rsidRPr="00FE4E99">
        <w:rPr>
          <w:rtl/>
        </w:rPr>
        <w:t xml:space="preserve"> </w:t>
      </w:r>
      <w:r w:rsidRPr="00FE4E99">
        <w:rPr>
          <w:rFonts w:hint="eastAsia"/>
          <w:rtl/>
        </w:rPr>
        <w:t>מאויינו</w:t>
      </w:r>
      <w:r w:rsidRPr="00FE4E99">
        <w:rPr>
          <w:rFonts w:hint="cs"/>
          <w:rtl/>
        </w:rPr>
        <w:t>" עכ"ל. הרי שאין זה תלוי בעגמת נפש דווקא, אלא ב</w:t>
      </w:r>
      <w:r>
        <w:rPr>
          <w:rFonts w:hint="cs"/>
          <w:rtl/>
        </w:rPr>
        <w:t>ד</w:t>
      </w:r>
      <w:r w:rsidRPr="00FE4E99">
        <w:rPr>
          <w:rFonts w:hint="cs"/>
          <w:rtl/>
        </w:rPr>
        <w:t xml:space="preserve">אית ביה הנאה או בדלית ביה הנאה. </w:t>
      </w:r>
    </w:p>
    <w:p w:rsidR="004C3605" w:rsidRDefault="004C3605" w:rsidP="004B0C42">
      <w:pPr>
        <w:pStyle w:val="11"/>
        <w:bidi/>
        <w:rPr>
          <w:rtl/>
        </w:rPr>
      </w:pPr>
    </w:p>
    <w:p w:rsidR="004C3605" w:rsidRDefault="004C3605" w:rsidP="004C3605">
      <w:pPr>
        <w:pStyle w:val="11"/>
        <w:bidi/>
        <w:rPr>
          <w:rtl/>
        </w:rPr>
      </w:pPr>
    </w:p>
    <w:p w:rsidR="006049DD" w:rsidRPr="00FE4E99" w:rsidRDefault="006049DD" w:rsidP="004C3605">
      <w:pPr>
        <w:pStyle w:val="11"/>
        <w:bidi/>
        <w:rPr>
          <w:rtl/>
        </w:rPr>
      </w:pPr>
      <w:r w:rsidRPr="00FE4E99">
        <w:rPr>
          <w:rFonts w:hint="cs"/>
          <w:rtl/>
        </w:rPr>
        <w:lastRenderedPageBreak/>
        <w:t>ה.</w:t>
      </w:r>
    </w:p>
    <w:p w:rsidR="006049DD" w:rsidRPr="00FE4E99" w:rsidRDefault="006049DD" w:rsidP="004B0C42">
      <w:pPr>
        <w:pStyle w:val="a3"/>
        <w:rPr>
          <w:rtl/>
        </w:rPr>
      </w:pPr>
      <w:r>
        <w:rPr>
          <w:rFonts w:hint="cs"/>
          <w:rtl/>
        </w:rPr>
        <w:t>ולכן נראה</w:t>
      </w:r>
      <w:r w:rsidRPr="00FE4E99">
        <w:rPr>
          <w:rFonts w:hint="cs"/>
          <w:rtl/>
        </w:rPr>
        <w:t xml:space="preserve"> שיש לחלק בין בדיקת חמץ ויוהכ"פ</w:t>
      </w:r>
      <w:r>
        <w:rPr>
          <w:rFonts w:hint="cs"/>
          <w:rtl/>
        </w:rPr>
        <w:t>,</w:t>
      </w:r>
      <w:r w:rsidRPr="00FE4E99">
        <w:rPr>
          <w:rFonts w:hint="cs"/>
          <w:rtl/>
        </w:rPr>
        <w:t xml:space="preserve"> ובין ספירת העומר, דבספירת העומר אין הטעם מפני שכשמקיים המצוה אין לו בה הנאה, אלא שכל </w:t>
      </w:r>
      <w:r w:rsidRPr="00B4203A">
        <w:rPr>
          <w:rFonts w:hint="cs"/>
          <w:b/>
          <w:bCs/>
          <w:rtl/>
        </w:rPr>
        <w:t xml:space="preserve">עיקרה </w:t>
      </w:r>
      <w:r w:rsidRPr="00FE4E99">
        <w:rPr>
          <w:rFonts w:hint="cs"/>
          <w:rtl/>
        </w:rPr>
        <w:t>של מצות ספירת העומר בזמן הזה היא כדי שנזכור את הספירה של בית המקדש</w:t>
      </w:r>
      <w:r>
        <w:rPr>
          <w:rFonts w:hint="cs"/>
          <w:rtl/>
        </w:rPr>
        <w:t>.</w:t>
      </w:r>
      <w:r w:rsidRPr="00FE4E99">
        <w:rPr>
          <w:rFonts w:hint="cs"/>
          <w:rtl/>
        </w:rPr>
        <w:t xml:space="preserve"> </w:t>
      </w:r>
      <w:r>
        <w:rPr>
          <w:rFonts w:hint="cs"/>
          <w:rtl/>
        </w:rPr>
        <w:t xml:space="preserve">משא"כ </w:t>
      </w:r>
      <w:r w:rsidRPr="00FE4E99">
        <w:rPr>
          <w:rFonts w:hint="cs"/>
          <w:rtl/>
        </w:rPr>
        <w:t xml:space="preserve">בביעור חמץ הגם שבעצם שריפת חמצו אין לו הנאה ואדרבא יש לו אפילו צער, מ"מ אין זה </w:t>
      </w:r>
      <w:r w:rsidRPr="00B4203A">
        <w:rPr>
          <w:rFonts w:hint="cs"/>
          <w:b/>
          <w:bCs/>
          <w:rtl/>
        </w:rPr>
        <w:t>תוכנה</w:t>
      </w:r>
      <w:r w:rsidRPr="00FE4E99">
        <w:rPr>
          <w:rFonts w:hint="cs"/>
          <w:rtl/>
        </w:rPr>
        <w:t xml:space="preserve"> של מצות ביעור חמץ, אלא </w:t>
      </w:r>
      <w:r>
        <w:rPr>
          <w:rFonts w:hint="cs"/>
          <w:rtl/>
        </w:rPr>
        <w:t xml:space="preserve">רק </w:t>
      </w:r>
      <w:r w:rsidRPr="00FE4E99">
        <w:rPr>
          <w:rFonts w:hint="cs"/>
          <w:rtl/>
        </w:rPr>
        <w:t>שבזמן עשייתה מעורב בה גם צער על הפסד חמצו</w:t>
      </w:r>
      <w:r>
        <w:rPr>
          <w:rFonts w:hint="cs"/>
          <w:rtl/>
        </w:rPr>
        <w:t>.</w:t>
      </w:r>
      <w:r w:rsidRPr="00FE4E99">
        <w:rPr>
          <w:rFonts w:hint="cs"/>
          <w:rtl/>
        </w:rPr>
        <w:t xml:space="preserve"> וכן ביוה"כ הגם שיש לו איזה צער גופני שמתענה, מ"מ תוכן המצוה היא לכפרת עוונות וכו' שזהו היפך ענין של צער, אלא שמחה וכמ"ש בתשובות מהרי"א הנזכר, משא"כ מצות ספירת העומר כל כולה נתקנה לזכר לבית מקדשינו ווהיינו שתוכן המצווה הוא להזכיר את בית מקדשינו שחרב ועתה אין לנו הקרבת העומר ושאר הקרבנות </w:t>
      </w:r>
      <w:r>
        <w:rPr>
          <w:rFonts w:hint="cs"/>
          <w:rtl/>
        </w:rPr>
        <w:t>וס"ל</w:t>
      </w:r>
      <w:r w:rsidRPr="00FE4E99">
        <w:rPr>
          <w:rFonts w:hint="cs"/>
          <w:rtl/>
        </w:rPr>
        <w:t xml:space="preserve"> להרשב"א ש</w:t>
      </w:r>
      <w:r>
        <w:rPr>
          <w:rFonts w:hint="cs"/>
          <w:rtl/>
        </w:rPr>
        <w:t xml:space="preserve">מטעם זה </w:t>
      </w:r>
      <w:r w:rsidRPr="00FE4E99">
        <w:rPr>
          <w:rFonts w:hint="cs"/>
          <w:rtl/>
        </w:rPr>
        <w:t xml:space="preserve">אין </w:t>
      </w:r>
      <w:r>
        <w:rPr>
          <w:rFonts w:hint="cs"/>
          <w:rtl/>
        </w:rPr>
        <w:t>מברכים</w:t>
      </w:r>
      <w:r w:rsidRPr="00FE4E99">
        <w:rPr>
          <w:rFonts w:hint="cs"/>
          <w:rtl/>
        </w:rPr>
        <w:t xml:space="preserve"> שהחיינו.</w:t>
      </w:r>
    </w:p>
    <w:p w:rsidR="006049DD" w:rsidRPr="00FA5185" w:rsidRDefault="006049DD" w:rsidP="004B0C42">
      <w:pPr>
        <w:pStyle w:val="a3"/>
      </w:pPr>
      <w:r>
        <w:rPr>
          <w:rFonts w:hint="cs"/>
          <w:rtl/>
        </w:rPr>
        <w:t>והוא</w:t>
      </w:r>
      <w:r w:rsidRPr="00B22FDB">
        <w:rPr>
          <w:rFonts w:hint="cs"/>
          <w:rtl/>
        </w:rPr>
        <w:t xml:space="preserve"> ע"ד מה שכתב הרשב"א </w:t>
      </w:r>
      <w:r w:rsidRPr="00B22FDB">
        <w:rPr>
          <w:rFonts w:hint="eastAsia"/>
          <w:rtl/>
        </w:rPr>
        <w:t>בתשובה</w:t>
      </w:r>
      <w:r w:rsidRPr="00B22FDB">
        <w:rPr>
          <w:rtl/>
        </w:rPr>
        <w:t xml:space="preserve"> </w:t>
      </w:r>
      <w:r w:rsidRPr="00B22FDB">
        <w:rPr>
          <w:rFonts w:hint="eastAsia"/>
          <w:rtl/>
        </w:rPr>
        <w:t>רמ</w:t>
      </w:r>
      <w:r w:rsidRPr="00B22FDB">
        <w:rPr>
          <w:rtl/>
        </w:rPr>
        <w:t>"</w:t>
      </w:r>
      <w:r w:rsidRPr="00B22FDB">
        <w:rPr>
          <w:rFonts w:hint="eastAsia"/>
          <w:rtl/>
        </w:rPr>
        <w:t>ה</w:t>
      </w:r>
      <w:r w:rsidRPr="00B22FDB">
        <w:rPr>
          <w:rtl/>
        </w:rPr>
        <w:t xml:space="preserve"> </w:t>
      </w:r>
      <w:r w:rsidRPr="00B22FDB">
        <w:rPr>
          <w:rFonts w:hint="eastAsia"/>
          <w:rtl/>
        </w:rPr>
        <w:t>בנוגע</w:t>
      </w:r>
      <w:r w:rsidRPr="00B22FDB">
        <w:rPr>
          <w:rtl/>
        </w:rPr>
        <w:t xml:space="preserve"> </w:t>
      </w:r>
      <w:r w:rsidRPr="00B22FDB">
        <w:rPr>
          <w:rFonts w:hint="cs"/>
          <w:rtl/>
        </w:rPr>
        <w:t>למה שאין מברכים שהחיינו על מילה</w:t>
      </w:r>
      <w:r w:rsidRPr="00B22FDB">
        <w:rPr>
          <w:rtl/>
        </w:rPr>
        <w:t xml:space="preserve"> </w:t>
      </w:r>
      <w:r w:rsidRPr="00B22FDB">
        <w:rPr>
          <w:rFonts w:hint="eastAsia"/>
          <w:rtl/>
        </w:rPr>
        <w:t>וז</w:t>
      </w:r>
      <w:r w:rsidRPr="00B22FDB">
        <w:rPr>
          <w:rtl/>
        </w:rPr>
        <w:t>"</w:t>
      </w:r>
      <w:r w:rsidRPr="00B22FDB">
        <w:rPr>
          <w:rFonts w:hint="eastAsia"/>
          <w:rtl/>
        </w:rPr>
        <w:t>ל</w:t>
      </w:r>
      <w:r w:rsidRPr="00B22FDB">
        <w:rPr>
          <w:rtl/>
        </w:rPr>
        <w:t>: "</w:t>
      </w:r>
      <w:r w:rsidRPr="00B22FDB">
        <w:rPr>
          <w:rFonts w:hint="eastAsia"/>
          <w:rtl/>
        </w:rPr>
        <w:t>ומיהו</w:t>
      </w:r>
      <w:r w:rsidRPr="00B22FDB">
        <w:rPr>
          <w:rtl/>
        </w:rPr>
        <w:t xml:space="preserve"> </w:t>
      </w:r>
      <w:r w:rsidRPr="00B22FDB">
        <w:rPr>
          <w:rFonts w:hint="eastAsia"/>
          <w:rtl/>
        </w:rPr>
        <w:t>אין</w:t>
      </w:r>
      <w:r w:rsidRPr="00B22FDB">
        <w:rPr>
          <w:rtl/>
        </w:rPr>
        <w:t xml:space="preserve"> </w:t>
      </w:r>
      <w:r w:rsidRPr="00B22FDB">
        <w:rPr>
          <w:rFonts w:hint="eastAsia"/>
          <w:rtl/>
        </w:rPr>
        <w:t>הטעם</w:t>
      </w:r>
      <w:r w:rsidRPr="00B22FDB">
        <w:rPr>
          <w:rtl/>
        </w:rPr>
        <w:t xml:space="preserve"> </w:t>
      </w:r>
      <w:r w:rsidRPr="00B22FDB">
        <w:rPr>
          <w:rFonts w:hint="eastAsia"/>
          <w:rtl/>
        </w:rPr>
        <w:t>מחמת</w:t>
      </w:r>
      <w:r w:rsidRPr="00B22FDB">
        <w:rPr>
          <w:rtl/>
        </w:rPr>
        <w:t xml:space="preserve"> </w:t>
      </w:r>
      <w:r w:rsidRPr="00B22FDB">
        <w:rPr>
          <w:rFonts w:hint="eastAsia"/>
          <w:rtl/>
        </w:rPr>
        <w:t>דאית</w:t>
      </w:r>
      <w:r w:rsidRPr="00B22FDB">
        <w:rPr>
          <w:rtl/>
        </w:rPr>
        <w:t xml:space="preserve"> </w:t>
      </w:r>
      <w:r w:rsidRPr="00B22FDB">
        <w:rPr>
          <w:rFonts w:hint="eastAsia"/>
          <w:rtl/>
        </w:rPr>
        <w:t>ליה</w:t>
      </w:r>
      <w:r w:rsidRPr="00B22FDB">
        <w:rPr>
          <w:rtl/>
        </w:rPr>
        <w:t xml:space="preserve"> </w:t>
      </w:r>
      <w:r w:rsidRPr="00B22FDB">
        <w:rPr>
          <w:rFonts w:hint="eastAsia"/>
          <w:rtl/>
        </w:rPr>
        <w:t>צערא</w:t>
      </w:r>
      <w:r w:rsidRPr="00B22FDB">
        <w:rPr>
          <w:rtl/>
        </w:rPr>
        <w:t xml:space="preserve"> </w:t>
      </w:r>
      <w:r w:rsidRPr="00B22FDB">
        <w:rPr>
          <w:rFonts w:hint="eastAsia"/>
          <w:rtl/>
        </w:rPr>
        <w:t>לינוקא</w:t>
      </w:r>
      <w:r w:rsidRPr="00B22FDB">
        <w:rPr>
          <w:rtl/>
        </w:rPr>
        <w:t xml:space="preserve"> </w:t>
      </w:r>
      <w:r w:rsidRPr="00B22FDB">
        <w:rPr>
          <w:rFonts w:hint="eastAsia"/>
          <w:rtl/>
        </w:rPr>
        <w:t>כמו</w:t>
      </w:r>
      <w:r w:rsidRPr="00B22FDB">
        <w:rPr>
          <w:rtl/>
        </w:rPr>
        <w:t xml:space="preserve"> </w:t>
      </w:r>
      <w:r w:rsidRPr="00B22FDB">
        <w:rPr>
          <w:rFonts w:hint="eastAsia"/>
          <w:rtl/>
        </w:rPr>
        <w:t>שאמרת</w:t>
      </w:r>
      <w:r w:rsidRPr="00B22FDB">
        <w:rPr>
          <w:rtl/>
        </w:rPr>
        <w:t xml:space="preserve"> </w:t>
      </w:r>
      <w:r w:rsidRPr="00B22FDB">
        <w:rPr>
          <w:rFonts w:hint="eastAsia"/>
          <w:rtl/>
        </w:rPr>
        <w:t>שלא</w:t>
      </w:r>
      <w:r w:rsidRPr="00B22FDB">
        <w:rPr>
          <w:rtl/>
        </w:rPr>
        <w:t xml:space="preserve"> </w:t>
      </w:r>
      <w:r w:rsidRPr="00B22FDB">
        <w:rPr>
          <w:rFonts w:hint="eastAsia"/>
          <w:rtl/>
        </w:rPr>
        <w:t>נאמר</w:t>
      </w:r>
      <w:r w:rsidRPr="00B22FDB">
        <w:rPr>
          <w:rtl/>
        </w:rPr>
        <w:t xml:space="preserve"> </w:t>
      </w:r>
      <w:r w:rsidRPr="00B22FDB">
        <w:rPr>
          <w:rFonts w:hint="eastAsia"/>
          <w:rtl/>
        </w:rPr>
        <w:t>טעם</w:t>
      </w:r>
      <w:r w:rsidRPr="00B22FDB">
        <w:rPr>
          <w:rtl/>
        </w:rPr>
        <w:t xml:space="preserve"> </w:t>
      </w:r>
      <w:r w:rsidRPr="00B22FDB">
        <w:rPr>
          <w:rFonts w:hint="eastAsia"/>
          <w:rtl/>
        </w:rPr>
        <w:t>זה</w:t>
      </w:r>
      <w:r w:rsidRPr="00B22FDB">
        <w:rPr>
          <w:rtl/>
        </w:rPr>
        <w:t xml:space="preserve"> </w:t>
      </w:r>
      <w:r w:rsidRPr="00B22FDB">
        <w:rPr>
          <w:rFonts w:hint="eastAsia"/>
          <w:rtl/>
        </w:rPr>
        <w:t>אלא</w:t>
      </w:r>
      <w:r w:rsidRPr="00B22FDB">
        <w:rPr>
          <w:rtl/>
        </w:rPr>
        <w:t xml:space="preserve"> </w:t>
      </w:r>
      <w:r w:rsidRPr="00B22FDB">
        <w:rPr>
          <w:rFonts w:hint="eastAsia"/>
          <w:rtl/>
        </w:rPr>
        <w:t>בברכת</w:t>
      </w:r>
      <w:r w:rsidRPr="00B22FDB">
        <w:rPr>
          <w:rtl/>
        </w:rPr>
        <w:t xml:space="preserve"> </w:t>
      </w:r>
      <w:r w:rsidRPr="00B22FDB">
        <w:rPr>
          <w:rFonts w:hint="eastAsia"/>
          <w:rtl/>
        </w:rPr>
        <w:t>שהשמחה</w:t>
      </w:r>
      <w:r w:rsidRPr="00B22FDB">
        <w:rPr>
          <w:rtl/>
        </w:rPr>
        <w:t xml:space="preserve">' </w:t>
      </w:r>
      <w:r w:rsidRPr="00B22FDB">
        <w:rPr>
          <w:rFonts w:hint="eastAsia"/>
          <w:rtl/>
        </w:rPr>
        <w:t>במעונו</w:t>
      </w:r>
      <w:r w:rsidRPr="00B22FDB">
        <w:rPr>
          <w:rtl/>
        </w:rPr>
        <w:t xml:space="preserve"> </w:t>
      </w:r>
      <w:r w:rsidRPr="00B22FDB">
        <w:rPr>
          <w:rFonts w:hint="eastAsia"/>
          <w:rtl/>
        </w:rPr>
        <w:t>דבמקום</w:t>
      </w:r>
      <w:r w:rsidRPr="00B22FDB">
        <w:rPr>
          <w:rtl/>
        </w:rPr>
        <w:t xml:space="preserve"> </w:t>
      </w:r>
      <w:r w:rsidRPr="00B22FDB">
        <w:rPr>
          <w:rFonts w:hint="eastAsia"/>
          <w:rtl/>
        </w:rPr>
        <w:t>דאיכא</w:t>
      </w:r>
      <w:r w:rsidRPr="00B22FDB">
        <w:rPr>
          <w:rtl/>
        </w:rPr>
        <w:t xml:space="preserve"> </w:t>
      </w:r>
      <w:r w:rsidRPr="00B22FDB">
        <w:rPr>
          <w:rFonts w:hint="eastAsia"/>
          <w:rtl/>
        </w:rPr>
        <w:t>צערא</w:t>
      </w:r>
      <w:r w:rsidRPr="00B22FDB">
        <w:rPr>
          <w:rtl/>
        </w:rPr>
        <w:t xml:space="preserve"> </w:t>
      </w:r>
      <w:r w:rsidRPr="00B22FDB">
        <w:rPr>
          <w:rFonts w:hint="eastAsia"/>
          <w:rtl/>
        </w:rPr>
        <w:t>לינוקא</w:t>
      </w:r>
      <w:r w:rsidRPr="00B22FDB">
        <w:rPr>
          <w:rtl/>
        </w:rPr>
        <w:t xml:space="preserve"> </w:t>
      </w:r>
      <w:r w:rsidRPr="00B22FDB">
        <w:rPr>
          <w:rFonts w:hint="eastAsia"/>
          <w:rtl/>
        </w:rPr>
        <w:t>גם</w:t>
      </w:r>
      <w:r w:rsidRPr="00B22FDB">
        <w:rPr>
          <w:rtl/>
        </w:rPr>
        <w:t xml:space="preserve"> </w:t>
      </w:r>
      <w:r w:rsidRPr="00B22FDB">
        <w:rPr>
          <w:rFonts w:hint="eastAsia"/>
          <w:rtl/>
        </w:rPr>
        <w:t>האב</w:t>
      </w:r>
      <w:r w:rsidRPr="00B22FDB">
        <w:rPr>
          <w:rtl/>
        </w:rPr>
        <w:t xml:space="preserve"> </w:t>
      </w:r>
      <w:r w:rsidRPr="00B22FDB">
        <w:rPr>
          <w:rFonts w:hint="eastAsia"/>
          <w:rtl/>
        </w:rPr>
        <w:t>מצטער</w:t>
      </w:r>
      <w:r w:rsidRPr="00B22FDB">
        <w:rPr>
          <w:rtl/>
        </w:rPr>
        <w:t xml:space="preserve"> </w:t>
      </w:r>
      <w:r w:rsidRPr="00B22FDB">
        <w:rPr>
          <w:rFonts w:hint="eastAsia"/>
          <w:rtl/>
        </w:rPr>
        <w:t>ולא</w:t>
      </w:r>
      <w:r w:rsidRPr="00B22FDB">
        <w:rPr>
          <w:rtl/>
        </w:rPr>
        <w:t xml:space="preserve"> </w:t>
      </w:r>
      <w:r w:rsidRPr="00B22FDB">
        <w:rPr>
          <w:rFonts w:hint="eastAsia"/>
          <w:rtl/>
        </w:rPr>
        <w:t>שייך</w:t>
      </w:r>
      <w:r w:rsidRPr="00B22FDB">
        <w:rPr>
          <w:rtl/>
        </w:rPr>
        <w:t xml:space="preserve"> </w:t>
      </w:r>
      <w:r w:rsidRPr="00B22FDB">
        <w:rPr>
          <w:rFonts w:hint="eastAsia"/>
          <w:rtl/>
        </w:rPr>
        <w:t>לברוכי</w:t>
      </w:r>
      <w:r w:rsidRPr="00B22FDB">
        <w:rPr>
          <w:rtl/>
        </w:rPr>
        <w:t xml:space="preserve"> </w:t>
      </w:r>
      <w:r w:rsidRPr="00B22FDB">
        <w:rPr>
          <w:rFonts w:hint="eastAsia"/>
          <w:rtl/>
        </w:rPr>
        <w:t>שהשמחה</w:t>
      </w:r>
      <w:r w:rsidRPr="00B22FDB">
        <w:rPr>
          <w:rtl/>
        </w:rPr>
        <w:t xml:space="preserve"> </w:t>
      </w:r>
      <w:r w:rsidRPr="00B22FDB">
        <w:rPr>
          <w:rFonts w:hint="eastAsia"/>
          <w:rtl/>
        </w:rPr>
        <w:t>במעונו</w:t>
      </w:r>
      <w:r w:rsidRPr="00B22FDB">
        <w:rPr>
          <w:rtl/>
        </w:rPr>
        <w:t xml:space="preserve"> </w:t>
      </w:r>
      <w:r w:rsidRPr="00B22FDB">
        <w:rPr>
          <w:rFonts w:hint="eastAsia"/>
          <w:rtl/>
        </w:rPr>
        <w:t>אבל</w:t>
      </w:r>
      <w:r w:rsidRPr="00B22FDB">
        <w:rPr>
          <w:rtl/>
        </w:rPr>
        <w:t xml:space="preserve"> </w:t>
      </w:r>
      <w:r w:rsidRPr="00B22FDB">
        <w:rPr>
          <w:rFonts w:hint="eastAsia"/>
          <w:rtl/>
        </w:rPr>
        <w:t>ברכת</w:t>
      </w:r>
      <w:r w:rsidRPr="00B22FDB">
        <w:rPr>
          <w:rtl/>
        </w:rPr>
        <w:t xml:space="preserve"> </w:t>
      </w:r>
      <w:r w:rsidRPr="00B22FDB">
        <w:rPr>
          <w:rFonts w:hint="eastAsia"/>
          <w:rtl/>
        </w:rPr>
        <w:t>שהחיינו</w:t>
      </w:r>
      <w:r w:rsidRPr="00B22FDB">
        <w:rPr>
          <w:rtl/>
        </w:rPr>
        <w:t xml:space="preserve"> </w:t>
      </w:r>
      <w:r w:rsidRPr="00B22FDB">
        <w:rPr>
          <w:rFonts w:hint="eastAsia"/>
          <w:rtl/>
        </w:rPr>
        <w:t>אינה</w:t>
      </w:r>
      <w:r w:rsidRPr="00B22FDB">
        <w:rPr>
          <w:rtl/>
        </w:rPr>
        <w:t xml:space="preserve"> </w:t>
      </w:r>
      <w:r w:rsidRPr="00B22FDB">
        <w:rPr>
          <w:rFonts w:hint="eastAsia"/>
          <w:rtl/>
        </w:rPr>
        <w:t>תלויה</w:t>
      </w:r>
      <w:r w:rsidRPr="00B22FDB">
        <w:rPr>
          <w:rtl/>
        </w:rPr>
        <w:t xml:space="preserve"> </w:t>
      </w:r>
      <w:r w:rsidRPr="00B22FDB">
        <w:rPr>
          <w:rFonts w:hint="eastAsia"/>
          <w:rtl/>
        </w:rPr>
        <w:t>בשמחה</w:t>
      </w:r>
      <w:r w:rsidRPr="00B22FDB">
        <w:rPr>
          <w:rtl/>
        </w:rPr>
        <w:t xml:space="preserve"> </w:t>
      </w:r>
      <w:r w:rsidRPr="00D830FA">
        <w:rPr>
          <w:rFonts w:hint="eastAsia"/>
          <w:b/>
          <w:bCs/>
          <w:rtl/>
        </w:rPr>
        <w:t>אלא</w:t>
      </w:r>
      <w:r w:rsidRPr="00D830FA">
        <w:rPr>
          <w:b/>
          <w:bCs/>
          <w:rtl/>
        </w:rPr>
        <w:t xml:space="preserve"> </w:t>
      </w:r>
      <w:r w:rsidRPr="00D830FA">
        <w:rPr>
          <w:rFonts w:hint="eastAsia"/>
          <w:b/>
          <w:bCs/>
          <w:rtl/>
        </w:rPr>
        <w:t>תלויה</w:t>
      </w:r>
      <w:r w:rsidRPr="00D830FA">
        <w:rPr>
          <w:b/>
          <w:bCs/>
          <w:rtl/>
        </w:rPr>
        <w:t xml:space="preserve"> </w:t>
      </w:r>
      <w:r w:rsidRPr="00D830FA">
        <w:rPr>
          <w:rFonts w:hint="eastAsia"/>
          <w:b/>
          <w:bCs/>
          <w:rtl/>
        </w:rPr>
        <w:t>בדבר</w:t>
      </w:r>
      <w:r w:rsidRPr="00D830FA">
        <w:rPr>
          <w:b/>
          <w:bCs/>
          <w:rtl/>
        </w:rPr>
        <w:t xml:space="preserve"> </w:t>
      </w:r>
      <w:r w:rsidRPr="00D830FA">
        <w:rPr>
          <w:rFonts w:hint="eastAsia"/>
          <w:b/>
          <w:bCs/>
          <w:rtl/>
        </w:rPr>
        <w:t>שמגיע</w:t>
      </w:r>
      <w:r w:rsidRPr="00D830FA">
        <w:rPr>
          <w:b/>
          <w:bCs/>
          <w:rtl/>
        </w:rPr>
        <w:t xml:space="preserve"> </w:t>
      </w:r>
      <w:r w:rsidRPr="00D830FA">
        <w:rPr>
          <w:rFonts w:hint="eastAsia"/>
          <w:b/>
          <w:bCs/>
          <w:rtl/>
        </w:rPr>
        <w:t>לו</w:t>
      </w:r>
      <w:r w:rsidRPr="00D830FA">
        <w:rPr>
          <w:b/>
          <w:bCs/>
          <w:rtl/>
        </w:rPr>
        <w:t xml:space="preserve"> </w:t>
      </w:r>
      <w:r w:rsidRPr="00D830FA">
        <w:rPr>
          <w:rFonts w:hint="eastAsia"/>
          <w:b/>
          <w:bCs/>
          <w:rtl/>
        </w:rPr>
        <w:t>תועלת</w:t>
      </w:r>
      <w:r w:rsidRPr="00D830FA">
        <w:rPr>
          <w:b/>
          <w:bCs/>
          <w:rtl/>
        </w:rPr>
        <w:t xml:space="preserve"> </w:t>
      </w:r>
      <w:r w:rsidRPr="00D830FA">
        <w:rPr>
          <w:rFonts w:hint="eastAsia"/>
          <w:b/>
          <w:bCs/>
          <w:rtl/>
        </w:rPr>
        <w:t>ואף</w:t>
      </w:r>
      <w:r w:rsidRPr="00D830FA">
        <w:rPr>
          <w:b/>
          <w:bCs/>
          <w:rtl/>
        </w:rPr>
        <w:t xml:space="preserve"> </w:t>
      </w:r>
      <w:r w:rsidRPr="00D830FA">
        <w:rPr>
          <w:rFonts w:hint="eastAsia"/>
          <w:b/>
          <w:bCs/>
          <w:rtl/>
        </w:rPr>
        <w:t>על</w:t>
      </w:r>
      <w:r w:rsidRPr="00D830FA">
        <w:rPr>
          <w:b/>
          <w:bCs/>
          <w:rtl/>
        </w:rPr>
        <w:t xml:space="preserve"> </w:t>
      </w:r>
      <w:r w:rsidRPr="00D830FA">
        <w:rPr>
          <w:rFonts w:hint="eastAsia"/>
          <w:b/>
          <w:bCs/>
          <w:rtl/>
        </w:rPr>
        <w:t>פי</w:t>
      </w:r>
      <w:r w:rsidRPr="00D830FA">
        <w:rPr>
          <w:b/>
          <w:bCs/>
          <w:rtl/>
        </w:rPr>
        <w:t xml:space="preserve"> </w:t>
      </w:r>
      <w:r w:rsidRPr="00D830FA">
        <w:rPr>
          <w:rFonts w:hint="eastAsia"/>
          <w:b/>
          <w:bCs/>
          <w:rtl/>
        </w:rPr>
        <w:t>שמתערב</w:t>
      </w:r>
      <w:r w:rsidRPr="00D830FA">
        <w:rPr>
          <w:b/>
          <w:bCs/>
          <w:rtl/>
        </w:rPr>
        <w:t xml:space="preserve"> </w:t>
      </w:r>
      <w:r w:rsidRPr="00D830FA">
        <w:rPr>
          <w:rFonts w:hint="eastAsia"/>
          <w:b/>
          <w:bCs/>
          <w:rtl/>
        </w:rPr>
        <w:t>עמה</w:t>
      </w:r>
      <w:r w:rsidRPr="00D830FA">
        <w:rPr>
          <w:b/>
          <w:bCs/>
          <w:rtl/>
        </w:rPr>
        <w:t xml:space="preserve"> </w:t>
      </w:r>
      <w:r w:rsidRPr="00D830FA">
        <w:rPr>
          <w:rFonts w:hint="eastAsia"/>
          <w:b/>
          <w:bCs/>
          <w:rtl/>
        </w:rPr>
        <w:t>צער</w:t>
      </w:r>
      <w:r w:rsidRPr="00D830FA">
        <w:rPr>
          <w:b/>
          <w:bCs/>
          <w:rtl/>
        </w:rPr>
        <w:t xml:space="preserve"> </w:t>
      </w:r>
      <w:r w:rsidRPr="00D830FA">
        <w:rPr>
          <w:rFonts w:hint="eastAsia"/>
          <w:b/>
          <w:bCs/>
          <w:rtl/>
        </w:rPr>
        <w:t>ואנחה</w:t>
      </w:r>
      <w:r w:rsidRPr="00D830FA">
        <w:rPr>
          <w:b/>
          <w:bCs/>
          <w:rtl/>
        </w:rPr>
        <w:t>"</w:t>
      </w:r>
      <w:r w:rsidRPr="00B22FDB">
        <w:rPr>
          <w:rtl/>
        </w:rPr>
        <w:t xml:space="preserve"> </w:t>
      </w:r>
      <w:r w:rsidRPr="00B22FDB">
        <w:rPr>
          <w:rFonts w:hint="eastAsia"/>
          <w:rtl/>
        </w:rPr>
        <w:t>עיי</w:t>
      </w:r>
      <w:r w:rsidRPr="00B22FDB">
        <w:rPr>
          <w:rtl/>
        </w:rPr>
        <w:t>"</w:t>
      </w:r>
      <w:r w:rsidRPr="00B22FDB">
        <w:rPr>
          <w:rFonts w:hint="eastAsia"/>
          <w:rtl/>
        </w:rPr>
        <w:t>ש</w:t>
      </w:r>
      <w:r w:rsidRPr="00B22FDB">
        <w:rPr>
          <w:rtl/>
        </w:rPr>
        <w:t>.</w:t>
      </w:r>
    </w:p>
    <w:p w:rsidR="00760DB7" w:rsidRDefault="00760DB7" w:rsidP="00760DB7">
      <w:pPr>
        <w:tabs>
          <w:tab w:val="left" w:pos="2171"/>
          <w:tab w:val="center" w:pos="3096"/>
        </w:tabs>
        <w:bidi/>
        <w:spacing w:after="100" w:line="360" w:lineRule="auto"/>
        <w:ind w:firstLine="288"/>
        <w:jc w:val="center"/>
        <w:rPr>
          <w:rFonts w:ascii="Nymphette" w:eastAsia="Times New Roman" w:hAnsi="Nymphette" w:cs="Nymphette"/>
          <w:sz w:val="44"/>
          <w:szCs w:val="44"/>
          <w:rtl/>
        </w:rPr>
      </w:pPr>
      <w:bookmarkStart w:id="128" w:name="_Toc26492280"/>
      <w:r w:rsidRPr="00760DB7">
        <w:rPr>
          <w:rFonts w:ascii="Nymphette" w:eastAsia="Times New Roman" w:hAnsi="Nymphette" w:cs="Nymphette"/>
          <w:sz w:val="44"/>
          <w:szCs w:val="44"/>
        </w:rPr>
        <w:t>g</w:t>
      </w:r>
    </w:p>
    <w:p w:rsidR="006049DD" w:rsidRDefault="006049DD" w:rsidP="006049DD">
      <w:pPr>
        <w:pStyle w:val="a0"/>
        <w:rPr>
          <w:rtl/>
        </w:rPr>
      </w:pPr>
      <w:bookmarkStart w:id="129" w:name="_Toc39817432"/>
      <w:r>
        <w:rPr>
          <w:rtl/>
        </w:rPr>
        <w:t>פרנס על הצבור אסור בעשיית מלאכה בפני שלשה</w:t>
      </w:r>
      <w:bookmarkEnd w:id="129"/>
    </w:p>
    <w:p w:rsidR="006049DD" w:rsidRDefault="006049DD" w:rsidP="00C93F24">
      <w:pPr>
        <w:pStyle w:val="a"/>
        <w:rPr>
          <w:rtl/>
        </w:rPr>
      </w:pPr>
      <w:bookmarkStart w:id="130" w:name="_Toc39817433"/>
      <w:r>
        <w:rPr>
          <w:rFonts w:hint="cs"/>
          <w:rtl/>
        </w:rPr>
        <w:t>הרב יוסף יצחק ליפסקער</w:t>
      </w:r>
      <w:bookmarkEnd w:id="130"/>
    </w:p>
    <w:p w:rsidR="006049DD" w:rsidRDefault="006049DD" w:rsidP="006049DD">
      <w:pPr>
        <w:pStyle w:val="a1"/>
        <w:rPr>
          <w:rtl/>
        </w:rPr>
      </w:pPr>
      <w:r>
        <w:rPr>
          <w:rFonts w:hint="cs"/>
          <w:rtl/>
        </w:rPr>
        <w:t>שערמאן אוקס, קאליפורניא</w:t>
      </w:r>
    </w:p>
    <w:p w:rsidR="006049DD" w:rsidRDefault="006049DD" w:rsidP="004B0C42">
      <w:pPr>
        <w:pStyle w:val="a3"/>
        <w:rPr>
          <w:rtl/>
        </w:rPr>
      </w:pPr>
      <w:r>
        <w:rPr>
          <w:rtl/>
        </w:rPr>
        <w:t>בקידושין (ע, א-ב) מסופר בארוכה על ההוא גברא שכינה את רב יהודה בר יחזקאל בכינוי מגונה, ושמתיה רב יהודה. ההוא גברא הזמין את ריב”י לדינא קמיה דרב נחמן, ולאחרי התייעצות עם רב הונא, החליט ריב”י ללכת לדין. כשהגיע לבית רב נחמן, “אשכחיה דקעביד מעקה. אמר ליה (ריב”י לר”נ), לא סבר לה מר להא דאמר רב הונא בר אידי אמר שמואל, וכיון שנתמנה אדם פרנס על הצבור אסור בעשיית מלאכה בפני שלשה. א"ל, פורתא דגונדריתא (היינו מעקה באחד הלשונות - רש”י) הוא דקא עבידנא כו’”</w:t>
      </w:r>
      <w:r>
        <w:t>.</w:t>
      </w:r>
    </w:p>
    <w:p w:rsidR="006049DD" w:rsidRDefault="006049DD" w:rsidP="004B0C42">
      <w:pPr>
        <w:pStyle w:val="a3"/>
        <w:rPr>
          <w:rtl/>
        </w:rPr>
      </w:pPr>
      <w:r>
        <w:rPr>
          <w:rtl/>
        </w:rPr>
        <w:t>וצריך ביאור מאי קא קשיא ליה לריב”י, דהרי רב נחמן לא היה בפני שלשה, ורק ריב”י ובר דיניה נכחו שם בשעה ההיא</w:t>
      </w:r>
      <w:r>
        <w:t>.</w:t>
      </w:r>
    </w:p>
    <w:p w:rsidR="006049DD" w:rsidRDefault="006049DD" w:rsidP="004B0C42">
      <w:pPr>
        <w:pStyle w:val="a3"/>
        <w:rPr>
          <w:rtl/>
        </w:rPr>
      </w:pPr>
      <w:r>
        <w:rPr>
          <w:rtl/>
        </w:rPr>
        <w:t>ואולי י”ל בזה ע”פ המסופר בהמשך הגמ’, שבשלב מסויים לאחרי שהכניס רב נחמן את ריב”י ובר דיניה לביתו, אמר רב נחמן “תיתי דונג (תבוא בתי שכך שמה - רש”י) תשקינן כו’”. וכן אח”כ אמר</w:t>
      </w:r>
      <w:r>
        <w:rPr>
          <w:rFonts w:hint="cs"/>
          <w:rtl/>
        </w:rPr>
        <w:t xml:space="preserve"> ר"נ</w:t>
      </w:r>
      <w:r>
        <w:rPr>
          <w:rtl/>
        </w:rPr>
        <w:t xml:space="preserve"> </w:t>
      </w:r>
      <w:r>
        <w:rPr>
          <w:rFonts w:hint="cs"/>
          <w:rtl/>
        </w:rPr>
        <w:t>"</w:t>
      </w:r>
      <w:r>
        <w:rPr>
          <w:rtl/>
        </w:rPr>
        <w:t>נשדר ליה מר שלמא לילתא (שם אשתו - רש”י). א"ל</w:t>
      </w:r>
      <w:r>
        <w:rPr>
          <w:rFonts w:hint="cs"/>
          <w:rtl/>
        </w:rPr>
        <w:t xml:space="preserve"> (ריב"י)</w:t>
      </w:r>
      <w:r>
        <w:rPr>
          <w:rtl/>
        </w:rPr>
        <w:t xml:space="preserve">, הכי אמר שמואל קול באשה ערוה. (אמר ליה רב נחמן - רש”י) אפשר (לשלוח לה שאילת שלום - רש”י) ע"י שליח כו’”. ומכ”ז משמע שהיה לרב נחמן עוד מישהו בביתו שבפשטות היה שמשו, </w:t>
      </w:r>
      <w:r>
        <w:rPr>
          <w:rtl/>
        </w:rPr>
        <w:lastRenderedPageBreak/>
        <w:t>והוא זה שקרא לדונג שתשקה, ועליו התכוון רב נחמן באמרו שאפשר לשלוח שלום לילתא “ע”י שליח”. וכשנצרף את ריב”י ובר דיניה, הרי כאן שלשה. ודו”ק</w:t>
      </w:r>
      <w:r>
        <w:t>.</w:t>
      </w:r>
    </w:p>
    <w:p w:rsidR="006049DD" w:rsidRDefault="006049DD" w:rsidP="004B0C42">
      <w:pPr>
        <w:pStyle w:val="a3"/>
        <w:rPr>
          <w:rtl/>
        </w:rPr>
      </w:pPr>
      <w:r>
        <w:rPr>
          <w:rtl/>
        </w:rPr>
        <w:t>עוד העירני ח”א, דמאחר והמעקה עשויה על גבי הבית, נמצא שהיה עושה מלאכה בפני רבים</w:t>
      </w:r>
      <w:r>
        <w:t>.</w:t>
      </w:r>
    </w:p>
    <w:p w:rsidR="006049DD" w:rsidRPr="008E4FE6" w:rsidRDefault="006049DD" w:rsidP="004B0C42">
      <w:pPr>
        <w:pStyle w:val="a3"/>
        <w:rPr>
          <w:rtl/>
        </w:rPr>
      </w:pPr>
      <w:r>
        <w:rPr>
          <w:rtl/>
        </w:rPr>
        <w:t>ועוד י”ל עפמ”ש רש”י (ד”ה אסור) בטעם האיסור שעשיית מלאכה בפני שלשה: “שגנאי הוא ושפלות לדור שכפופים לזה שאין לו מי שיעשה מלאכתו”. וא”כ זיל בתר טעמא גם כשאין שלשה.</w:t>
      </w:r>
    </w:p>
    <w:p w:rsidR="006049DD" w:rsidRDefault="006049DD" w:rsidP="006049DD">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760DB7">
        <w:rPr>
          <w:rFonts w:ascii="Nymphette" w:eastAsia="Times New Roman" w:hAnsi="Nymphette" w:cs="Nymphette"/>
          <w:sz w:val="44"/>
          <w:szCs w:val="44"/>
        </w:rPr>
        <w:t>g</w:t>
      </w:r>
    </w:p>
    <w:p w:rsidR="006049DD" w:rsidRPr="00184BC2" w:rsidRDefault="006049DD" w:rsidP="00BD272D">
      <w:pPr>
        <w:pStyle w:val="a0"/>
        <w:rPr>
          <w:sz w:val="24"/>
          <w:szCs w:val="24"/>
        </w:rPr>
      </w:pPr>
      <w:bookmarkStart w:id="131" w:name="_Toc39817434"/>
      <w:r w:rsidRPr="00184BC2">
        <w:rPr>
          <w:rtl/>
        </w:rPr>
        <w:t>'בדיבורו עביד מעשה' לפי רב - לשיטת הרמב"ם</w:t>
      </w:r>
      <w:bookmarkEnd w:id="131"/>
    </w:p>
    <w:p w:rsidR="006049DD" w:rsidRPr="00184BC2" w:rsidRDefault="006049DD" w:rsidP="006049DD">
      <w:pPr>
        <w:spacing w:after="0" w:line="240" w:lineRule="auto"/>
        <w:rPr>
          <w:rFonts w:ascii="Times New Roman" w:eastAsia="Times New Roman" w:hAnsi="Times New Roman" w:cs="Times New Roman"/>
          <w:sz w:val="24"/>
          <w:szCs w:val="24"/>
          <w:rtl/>
        </w:rPr>
      </w:pPr>
    </w:p>
    <w:p w:rsidR="006049DD" w:rsidRDefault="006049DD" w:rsidP="00C93F24">
      <w:pPr>
        <w:pStyle w:val="a"/>
        <w:rPr>
          <w:rtl/>
        </w:rPr>
      </w:pPr>
      <w:bookmarkStart w:id="132" w:name="_Toc39817435"/>
      <w:r w:rsidRPr="00184BC2">
        <w:rPr>
          <w:rtl/>
        </w:rPr>
        <w:t>הת</w:t>
      </w:r>
      <w:r w:rsidR="006C4F09">
        <w:rPr>
          <w:rFonts w:hint="cs"/>
          <w:rtl/>
        </w:rPr>
        <w:t>'</w:t>
      </w:r>
      <w:r w:rsidR="006C4F09">
        <w:rPr>
          <w:rtl/>
        </w:rPr>
        <w:t xml:space="preserve"> דב בעריש</w:t>
      </w:r>
      <w:r w:rsidRPr="00184BC2">
        <w:rPr>
          <w:rtl/>
        </w:rPr>
        <w:t xml:space="preserve"> רוטנברג</w:t>
      </w:r>
      <w:bookmarkEnd w:id="132"/>
    </w:p>
    <w:p w:rsidR="006C4F09" w:rsidRPr="006C4F09" w:rsidRDefault="006C4F09" w:rsidP="006C4F09">
      <w:pPr>
        <w:pStyle w:val="a1"/>
        <w:rPr>
          <w:lang w:val="en-GB"/>
        </w:rPr>
      </w:pPr>
      <w:r>
        <w:rPr>
          <w:rtl/>
          <w:lang w:val="en-GB"/>
        </w:rPr>
        <w:t>תלמיד בישיבה שע</w:t>
      </w:r>
      <w:r>
        <w:rPr>
          <w:rFonts w:hint="cs"/>
          <w:rtl/>
          <w:lang w:val="en-GB"/>
        </w:rPr>
        <w:t>"י הציון הק'</w:t>
      </w:r>
    </w:p>
    <w:p w:rsidR="006049DD" w:rsidRPr="00184BC2" w:rsidRDefault="006049DD" w:rsidP="004B0C42">
      <w:pPr>
        <w:pStyle w:val="a3"/>
        <w:rPr>
          <w:sz w:val="24"/>
          <w:szCs w:val="24"/>
        </w:rPr>
      </w:pPr>
      <w:r w:rsidRPr="00184BC2">
        <w:rPr>
          <w:rtl/>
        </w:rPr>
        <w:t>איתא בתמורה (דף ג.): אמר רב יהודה אמר רב כל לא תעשה בתורה עשה בה מעשה חייב לא עשה בה מעשה פטור. וכללא הוא דלאו שאין בו מעשה פטור והרי מימר דלאו שאין בו מעשה הוא ולקי דתנן לא שהוא רשאי להמיר אלא שאם המיר מומר וסופג את הארבעים? אמר לך רב הא מני רבי יהודה היא דאמר לאו שאין בו מעשה לוקין עליו.</w:t>
      </w:r>
    </w:p>
    <w:p w:rsidR="006049DD" w:rsidRPr="00184BC2" w:rsidRDefault="006049DD" w:rsidP="004B0C42">
      <w:pPr>
        <w:pStyle w:val="a3"/>
        <w:rPr>
          <w:sz w:val="24"/>
          <w:szCs w:val="24"/>
          <w:rtl/>
        </w:rPr>
      </w:pPr>
      <w:r w:rsidRPr="00184BC2">
        <w:rPr>
          <w:rtl/>
        </w:rPr>
        <w:t>והקשו התוספות (סד"ה והרי) 'ואם תאמר כי פריך הכא והרי מימר דלאו שאין בו מעשה לימא בדיבוריה איתעביד מעשה כדאמר לקמן'?</w:t>
      </w:r>
    </w:p>
    <w:p w:rsidR="006049DD" w:rsidRPr="00184BC2" w:rsidRDefault="006049DD" w:rsidP="004B0C42">
      <w:pPr>
        <w:pStyle w:val="a3"/>
        <w:rPr>
          <w:sz w:val="24"/>
          <w:szCs w:val="24"/>
          <w:rtl/>
        </w:rPr>
      </w:pPr>
      <w:r w:rsidRPr="00184BC2">
        <w:rPr>
          <w:rtl/>
        </w:rPr>
        <w:t xml:space="preserve">וקושייתם היא מדברי רבי יוחנן (לקמן בע"ב) על המימרא (החולקת על רב) "כל לא תעשה שבתורה עשה בו מעשה לוקה לא עשה בו מעשה פטור חוץ מנשבע ומימר ומקלל חבירו בשם" - "א"ל רבי יוחנן לתנא לא תתני ומימר משום דבדיבורו עשה מעשה", והיינו דמימר נחשב לאו </w:t>
      </w:r>
      <w:r w:rsidRPr="00184BC2">
        <w:rPr>
          <w:b/>
          <w:bCs/>
          <w:rtl/>
        </w:rPr>
        <w:t>שיש</w:t>
      </w:r>
      <w:r w:rsidRPr="00184BC2">
        <w:rPr>
          <w:rtl/>
        </w:rPr>
        <w:t xml:space="preserve"> בו מעשה מפני שעל ידי דיבורו נעשה מעשה שהבהמה מתקדשת. וכמו כן יכול לתרץ רב את המשנה שאומרת שלוקה על מימר - מפני שהוא לאו שיש בו מעשה?</w:t>
      </w:r>
    </w:p>
    <w:p w:rsidR="006049DD" w:rsidRPr="00184BC2" w:rsidRDefault="006049DD" w:rsidP="004B0C42">
      <w:pPr>
        <w:pStyle w:val="a3"/>
        <w:rPr>
          <w:sz w:val="24"/>
          <w:szCs w:val="24"/>
          <w:rtl/>
        </w:rPr>
      </w:pPr>
      <w:r w:rsidRPr="00184BC2">
        <w:rPr>
          <w:rtl/>
        </w:rPr>
        <w:t>ותירצו: 'וי"ל דאה"נ הוי מצי לתרוצי לה אלא דשפיר שני'.</w:t>
      </w:r>
    </w:p>
    <w:p w:rsidR="006049DD" w:rsidRPr="00184BC2" w:rsidRDefault="006049DD" w:rsidP="004B0C42">
      <w:pPr>
        <w:pStyle w:val="a3"/>
        <w:rPr>
          <w:sz w:val="24"/>
          <w:szCs w:val="24"/>
          <w:rtl/>
        </w:rPr>
      </w:pPr>
      <w:r w:rsidRPr="00184BC2">
        <w:rPr>
          <w:rtl/>
        </w:rPr>
        <w:t>ויש לומר דלשיטת הרמב"ם מתורצת הקושיא היטב, ורב הוכרח לומר שהמשנה סוברת כרבי יהודה דלוקה על לאו שאין בו מעשה - על פי מה שהסביר שיטתו בשו"ת עמודי אור (סימן ס"א אותיות ב-ו):</w:t>
      </w:r>
    </w:p>
    <w:p w:rsidR="006049DD" w:rsidRPr="00184BC2" w:rsidRDefault="006049DD" w:rsidP="004B0C42">
      <w:pPr>
        <w:pStyle w:val="a3"/>
        <w:rPr>
          <w:sz w:val="24"/>
          <w:szCs w:val="24"/>
          <w:rtl/>
        </w:rPr>
      </w:pPr>
      <w:r w:rsidRPr="00184BC2">
        <w:rPr>
          <w:rtl/>
        </w:rPr>
        <w:t xml:space="preserve">גם הרמב"ם סבירא ליה מהכלל ד'בדיבורו עשה מעשה' שאמר רבי יוחנן, אף שהביא כלשונה את המימרא ד'חוץ מנשבע ומימר ומקלל חבירו בשם' ולא השמיט מימר - לפי </w:t>
      </w:r>
      <w:r w:rsidRPr="00184BC2">
        <w:rPr>
          <w:rtl/>
        </w:rPr>
        <w:lastRenderedPageBreak/>
        <w:t xml:space="preserve">שהרמב"ם פוסק שלוקה גם במקרה שהבהמה </w:t>
      </w:r>
      <w:r w:rsidRPr="00184BC2">
        <w:rPr>
          <w:b/>
          <w:bCs/>
          <w:rtl/>
        </w:rPr>
        <w:t>אינה</w:t>
      </w:r>
      <w:r w:rsidRPr="00184BC2">
        <w:rPr>
          <w:rtl/>
        </w:rPr>
        <w:t xml:space="preserve"> קדושה, כשהמירו שותפין או הציבור, שבמקרה כזה הלאו הוא באמת לאו ש</w:t>
      </w:r>
      <w:r w:rsidRPr="00184BC2">
        <w:rPr>
          <w:b/>
          <w:bCs/>
          <w:rtl/>
        </w:rPr>
        <w:t>אין</w:t>
      </w:r>
      <w:r w:rsidRPr="00184BC2">
        <w:rPr>
          <w:rtl/>
        </w:rPr>
        <w:t xml:space="preserve"> בו מעשה כי אפילו בדיבורו לא איתעביד מעשה.</w:t>
      </w:r>
    </w:p>
    <w:p w:rsidR="006049DD" w:rsidRPr="00184BC2" w:rsidRDefault="006049DD" w:rsidP="004B0C42">
      <w:pPr>
        <w:pStyle w:val="a3"/>
        <w:rPr>
          <w:sz w:val="24"/>
          <w:szCs w:val="24"/>
          <w:rtl/>
        </w:rPr>
      </w:pPr>
      <w:r w:rsidRPr="00184BC2">
        <w:rPr>
          <w:rtl/>
        </w:rPr>
        <w:t>ומה שרבי יוחנן עצמו כן השמיט את 'מימר' מצד זה שבדיבורו עשה מעשה, זהו לפי דהא דלוקין כשהמירו שותפין או הציבור תליא במחלוקת אביי ורבא (לקמן דף ד:) אי 'כל מאי דאמר רחמנא לא תעביד מהני או לא מהני', כי לשיטת אביי ד'מהני, דאי לא מהני אמאי לקי' אי אפשר לומר שלוקין ציבור ושותפין כשהבהמה אינה קדושה (כי כשלא מהני אמאי לקי) ולשיטתו חייבים לומר שהמיעוט דציבור ושותפין אינו רק מדין קדושת התמורה אלא גם מעצם הלאו, מה שאין כן לפי רבא שפיר יש לומר שהמיעוט הוא רק מדין הקדושה 'והאי דלקי משום דעבר אמימרא דרחמנא הוא' (כדברי רבא בנוגע לכל לאו שבתורה).</w:t>
      </w:r>
    </w:p>
    <w:p w:rsidR="006049DD" w:rsidRPr="00184BC2" w:rsidRDefault="006049DD" w:rsidP="004B0C42">
      <w:pPr>
        <w:pStyle w:val="a3"/>
        <w:rPr>
          <w:sz w:val="24"/>
          <w:szCs w:val="24"/>
          <w:rtl/>
        </w:rPr>
      </w:pPr>
      <w:r w:rsidRPr="00184BC2">
        <w:rPr>
          <w:rtl/>
        </w:rPr>
        <w:t>והואיל ומוכח שרבי יוחנן (ורבי יהודה שהוא גם אחד ממשמיעי המימרא ד'חוץ מנשבע וכו'') סובר(ים) כאביי (עיין בשו"ת עמודי אור שם ההוכחה לזה) - מובן ש</w:t>
      </w:r>
      <w:r w:rsidRPr="00184BC2">
        <w:rPr>
          <w:b/>
          <w:bCs/>
          <w:rtl/>
        </w:rPr>
        <w:t xml:space="preserve">לשיטתו </w:t>
      </w:r>
      <w:r w:rsidRPr="00184BC2">
        <w:rPr>
          <w:rtl/>
        </w:rPr>
        <w:t>כל מקרה של תמורה הוא לאו ש</w:t>
      </w:r>
      <w:r w:rsidRPr="00184BC2">
        <w:rPr>
          <w:b/>
          <w:bCs/>
          <w:rtl/>
        </w:rPr>
        <w:t>יש</w:t>
      </w:r>
      <w:r w:rsidRPr="00184BC2">
        <w:rPr>
          <w:rtl/>
        </w:rPr>
        <w:t xml:space="preserve"> בו מעשה מצד זה ש'בדיבורו עשה מעשה' ולכן אמר שיש להשמיט את 'מימר' ממימרא זו.</w:t>
      </w:r>
    </w:p>
    <w:p w:rsidR="006049DD" w:rsidRPr="00184BC2" w:rsidRDefault="006049DD" w:rsidP="004B0C42">
      <w:pPr>
        <w:pStyle w:val="a3"/>
        <w:rPr>
          <w:sz w:val="24"/>
          <w:szCs w:val="24"/>
          <w:rtl/>
        </w:rPr>
      </w:pPr>
      <w:r w:rsidRPr="00184BC2">
        <w:rPr>
          <w:rtl/>
        </w:rPr>
        <w:t>אבל הרמב"ם שפוסק כרבא שפיר הביא את המימרא כלשונה, אף דסבירא ליה מהכלל של רבי יוחנן ד'בדיבורו עשה מעשה' מחשיב את הלאו ללאו שיש בו מעשה.</w:t>
      </w:r>
    </w:p>
    <w:p w:rsidR="006049DD" w:rsidRPr="00184BC2" w:rsidRDefault="006049DD" w:rsidP="004B0C42">
      <w:pPr>
        <w:pStyle w:val="a3"/>
        <w:rPr>
          <w:sz w:val="24"/>
          <w:szCs w:val="24"/>
          <w:rtl/>
        </w:rPr>
      </w:pPr>
      <w:r w:rsidRPr="00184BC2">
        <w:rPr>
          <w:rtl/>
        </w:rPr>
        <w:t>ועל פי כל זה מתורצת בפשטות - לשיטת הרמב"ם - קושיית התוספות, ונאמר דרב סבירא ליה כרבא ולא כאביי, וממילא גם הא דבדיבורו עשה מעשה לא מספיק לבאר כיצד המשנה אמרה ש</w:t>
      </w:r>
      <w:r w:rsidRPr="00184BC2">
        <w:rPr>
          <w:b/>
          <w:bCs/>
          <w:rtl/>
        </w:rPr>
        <w:t>כל</w:t>
      </w:r>
      <w:r w:rsidRPr="00184BC2">
        <w:rPr>
          <w:rtl/>
        </w:rPr>
        <w:t xml:space="preserve"> ממיר לוקה - דלשיטת רבא (ורב) זה כולל גם ציבור ושותפין -</w:t>
      </w:r>
      <w:r w:rsidRPr="00184BC2">
        <w:rPr>
          <w:rFonts w:ascii="Cambria" w:hAnsi="Cambria" w:cs="Cambria" w:hint="cs"/>
          <w:rtl/>
        </w:rPr>
        <w:t> </w:t>
      </w:r>
    </w:p>
    <w:p w:rsidR="006049DD" w:rsidRPr="00184BC2" w:rsidRDefault="006049DD" w:rsidP="004B0C42">
      <w:pPr>
        <w:pStyle w:val="a3"/>
        <w:rPr>
          <w:sz w:val="24"/>
          <w:szCs w:val="24"/>
          <w:rtl/>
        </w:rPr>
      </w:pPr>
      <w:r w:rsidRPr="00184BC2">
        <w:rPr>
          <w:rtl/>
        </w:rPr>
        <w:t>ועל כרחו אמר שהמשנה אזלא בשיטת רבי יהודה דלאו ש</w:t>
      </w:r>
      <w:r w:rsidRPr="00184BC2">
        <w:rPr>
          <w:b/>
          <w:bCs/>
          <w:rtl/>
        </w:rPr>
        <w:t>אין</w:t>
      </w:r>
      <w:r w:rsidRPr="00184BC2">
        <w:rPr>
          <w:rtl/>
        </w:rPr>
        <w:t xml:space="preserve"> בו מעשה - שותפין וציבור שהמירו שהבהמה אינה קדושה - לוקין עליו.</w:t>
      </w:r>
    </w:p>
    <w:p w:rsidR="006049DD" w:rsidRPr="00184BC2" w:rsidRDefault="006049DD" w:rsidP="004B0C42">
      <w:pPr>
        <w:pStyle w:val="a3"/>
        <w:rPr>
          <w:sz w:val="24"/>
          <w:szCs w:val="24"/>
          <w:rtl/>
        </w:rPr>
      </w:pPr>
      <w:r w:rsidRPr="00184BC2">
        <w:rPr>
          <w:rtl/>
        </w:rPr>
        <w:t xml:space="preserve">ועל פי זה יומתק גם לשון הגמרא 'אמר לך </w:t>
      </w:r>
      <w:r w:rsidRPr="00184BC2">
        <w:rPr>
          <w:b/>
          <w:bCs/>
          <w:rtl/>
        </w:rPr>
        <w:t>רב</w:t>
      </w:r>
      <w:r w:rsidRPr="00184BC2">
        <w:rPr>
          <w:rtl/>
        </w:rPr>
        <w:t xml:space="preserve"> הא מני רבי יהודה היא' - שרומזת בזה שדווקא הוא לשיטתו הוכרח לומר כן.</w:t>
      </w:r>
    </w:p>
    <w:p w:rsidR="00CE4E4A" w:rsidRDefault="006049DD" w:rsidP="006C4F09">
      <w:pPr>
        <w:tabs>
          <w:tab w:val="left" w:pos="2171"/>
          <w:tab w:val="center" w:pos="3096"/>
        </w:tabs>
        <w:bidi/>
        <w:spacing w:after="100" w:line="360" w:lineRule="auto"/>
        <w:ind w:firstLine="288"/>
        <w:jc w:val="center"/>
        <w:rPr>
          <w:rFonts w:ascii="Nymphette" w:eastAsia="Times New Roman" w:hAnsi="Nymphette" w:cs="Nymphette"/>
          <w:sz w:val="44"/>
          <w:szCs w:val="44"/>
        </w:rPr>
      </w:pPr>
      <w:r w:rsidRPr="00760DB7">
        <w:rPr>
          <w:rFonts w:ascii="Nymphette" w:eastAsia="Times New Roman" w:hAnsi="Nymphette" w:cs="Nymphette"/>
          <w:sz w:val="44"/>
          <w:szCs w:val="44"/>
        </w:rPr>
        <w:t>g</w:t>
      </w:r>
    </w:p>
    <w:p w:rsidR="00CE4E4A" w:rsidRDefault="00CE4E4A">
      <w:pPr>
        <w:rPr>
          <w:rFonts w:ascii="Nymphette" w:eastAsia="Times New Roman" w:hAnsi="Nymphette" w:cs="Nymphette"/>
          <w:sz w:val="44"/>
          <w:szCs w:val="44"/>
        </w:rPr>
      </w:pPr>
      <w:r>
        <w:rPr>
          <w:rFonts w:ascii="Nymphette" w:eastAsia="Times New Roman" w:hAnsi="Nymphette" w:cs="Nymphette"/>
          <w:sz w:val="44"/>
          <w:szCs w:val="44"/>
        </w:rPr>
        <w:br w:type="page"/>
      </w:r>
    </w:p>
    <w:p w:rsidR="006C4F09" w:rsidRDefault="006C4F09" w:rsidP="006C4F09">
      <w:pPr>
        <w:pStyle w:val="a0"/>
        <w:bidi w:val="0"/>
        <w:rPr>
          <w:rFonts w:ascii="Arial" w:hAnsi="Arial" w:cs="Arial"/>
          <w:color w:val="222222"/>
        </w:rPr>
      </w:pPr>
      <w:bookmarkStart w:id="133" w:name="_Toc39817436"/>
      <w:r>
        <w:rPr>
          <w:rtl/>
        </w:rPr>
        <w:lastRenderedPageBreak/>
        <w:t>דיוק בחידוש הראגאטשאווער במצוות תפילין</w:t>
      </w:r>
      <w:bookmarkEnd w:id="133"/>
    </w:p>
    <w:p w:rsidR="006C4F09" w:rsidRDefault="006C4F09" w:rsidP="00C93F24">
      <w:pPr>
        <w:pStyle w:val="a"/>
        <w:rPr>
          <w:rFonts w:ascii="Arial" w:hAnsi="Arial" w:cs="Arial"/>
          <w:color w:val="222222"/>
        </w:rPr>
      </w:pPr>
      <w:bookmarkStart w:id="134" w:name="_Toc39817437"/>
      <w:r>
        <w:rPr>
          <w:rFonts w:hint="cs"/>
          <w:rtl/>
        </w:rPr>
        <w:t>הנ"ל</w:t>
      </w:r>
      <w:bookmarkEnd w:id="134"/>
    </w:p>
    <w:p w:rsidR="006C4F09" w:rsidRDefault="006C4F09" w:rsidP="004B0C42">
      <w:pPr>
        <w:pStyle w:val="a3"/>
        <w:rPr>
          <w:rFonts w:ascii="Arial" w:hAnsi="Arial" w:cs="Arial"/>
          <w:color w:val="222222"/>
          <w:rtl/>
        </w:rPr>
      </w:pPr>
      <w:r>
        <w:rPr>
          <w:rtl/>
        </w:rPr>
        <w:t>ידוע חידושו של הראגאטשאווער (בכמה מקומות. הובא ונתבאר בלקוטי שיחות חל"ט שיחה ב' לפרשת ואתחנן, סעיף ד') בגדר מצוות תפילין של יד ושל ראש - בתפילין של יד המצווה היא מעשה הקשירה, ובשל ראש מה שיהא מונח על הראש. ובנוסף ישנו פרט בתפילין של יד שמצוותן במה שהן מונחות, בתור פרט במצוות תפילין של ראש לצורך הא ד"כל זמן שבין עיניך יהו שתיים".</w:t>
      </w:r>
    </w:p>
    <w:p w:rsidR="006C4F09" w:rsidRDefault="006C4F09" w:rsidP="004B0C42">
      <w:pPr>
        <w:pStyle w:val="a3"/>
        <w:rPr>
          <w:rFonts w:ascii="Arial" w:hAnsi="Arial" w:cs="Arial"/>
          <w:color w:val="222222"/>
          <w:rtl/>
        </w:rPr>
      </w:pPr>
      <w:r>
        <w:rPr>
          <w:rtl/>
        </w:rPr>
        <w:t>ובאחד המקומות (הלכות תפילין פ"ד ה"ד. הובא בלקו"ש שם במוסגר בסוף הסעיף) מבאר על פי זה את דברי התוספות (מנחות לו. ד"ה סח) שדווקא הסח בין תפילין של יד לשל ראש צריך לחזור ולברך ולא השוחט עופות וסח בינתיים - לפי שהתפילין דשל יד ושל ראש "מצוה אחת הן" - והא בגמרא (מנחות מד.) מפורש שהן שתי מצוות?</w:t>
      </w:r>
    </w:p>
    <w:p w:rsidR="006C4F09" w:rsidRDefault="006C4F09" w:rsidP="004B0C42">
      <w:pPr>
        <w:pStyle w:val="a3"/>
        <w:rPr>
          <w:rFonts w:ascii="Arial" w:hAnsi="Arial" w:cs="Arial"/>
          <w:color w:val="222222"/>
          <w:rtl/>
        </w:rPr>
      </w:pPr>
      <w:r>
        <w:rPr>
          <w:rtl/>
        </w:rPr>
        <w:t>ומתרץ הצפנת פענח על פי הנ"ל, שמצד עצם גדרן הן אכן שתי מצוות, ובזה קאי הש"ס. ואילו התוספות מדברים מצד הא דתפילין של יד הן פרט בתפילין של ראש לצורך "כל זמן שבין עיניך יהו שתיים", כנ"ל.</w:t>
      </w:r>
    </w:p>
    <w:p w:rsidR="006C4F09" w:rsidRDefault="006C4F09" w:rsidP="004B0C42">
      <w:pPr>
        <w:pStyle w:val="a3"/>
        <w:rPr>
          <w:rFonts w:ascii="Arial" w:hAnsi="Arial" w:cs="Arial"/>
          <w:color w:val="222222"/>
          <w:rtl/>
        </w:rPr>
      </w:pPr>
      <w:r>
        <w:rPr>
          <w:rtl/>
        </w:rPr>
        <w:t>ונראה להוסיף ולומר שהראגאטשאווער לא בא רק לתרץ את דברי התוספות מהסתירה לגמרא המפורשת, אלא גם להוסיף בהם ביאור -</w:t>
      </w:r>
    </w:p>
    <w:p w:rsidR="006C4F09" w:rsidRDefault="006C4F09" w:rsidP="004B0C42">
      <w:pPr>
        <w:pStyle w:val="a3"/>
        <w:rPr>
          <w:rFonts w:ascii="Arial" w:hAnsi="Arial" w:cs="Arial"/>
          <w:color w:val="222222"/>
          <w:rtl/>
        </w:rPr>
      </w:pPr>
      <w:r>
        <w:rPr>
          <w:rtl/>
        </w:rPr>
        <w:t xml:space="preserve">דלכאורה אף על פי שמצינו דיש בתפילין פרט שבו הן מצווה אחת, מניין נהירא להתוספות דלגבי עניין "סח בין תפילה לתפילה" פרט זה הוא הוא הקובע, ולא הפרט והגדר (המרכזי יותר) שבו הן </w:t>
      </w:r>
      <w:r>
        <w:rPr>
          <w:b/>
          <w:bCs/>
          <w:rtl/>
        </w:rPr>
        <w:t>שתי מצוות</w:t>
      </w:r>
      <w:r>
        <w:rPr>
          <w:rtl/>
        </w:rPr>
        <w:t>?</w:t>
      </w:r>
    </w:p>
    <w:p w:rsidR="006C4F09" w:rsidRDefault="006C4F09" w:rsidP="004B0C42">
      <w:pPr>
        <w:pStyle w:val="a3"/>
        <w:rPr>
          <w:rFonts w:ascii="Arial" w:hAnsi="Arial" w:cs="Arial"/>
          <w:color w:val="222222"/>
          <w:rtl/>
        </w:rPr>
      </w:pPr>
      <w:r>
        <w:rPr>
          <w:rtl/>
        </w:rPr>
        <w:t>והדברים מתבארים על פי פירושו של הראגאטשאווער, כי לפני כן (בהלכות תפילין שם. הובא בשיחה בשולי הגיליון להערה 28) מבאר לגבי נוסח ברכת תפילין - "גם בשל יד מברך להניח בקמץ ולא בפתח משום דזה גורם לשל ראש שיהיה מונח משום דכל שבין עיניך יהא שנים".</w:t>
      </w:r>
    </w:p>
    <w:p w:rsidR="006C4F09" w:rsidRDefault="006C4F09" w:rsidP="004B0C42">
      <w:pPr>
        <w:pStyle w:val="a3"/>
        <w:rPr>
          <w:rFonts w:ascii="Arial" w:hAnsi="Arial" w:cs="Arial"/>
          <w:color w:val="222222"/>
          <w:rtl/>
        </w:rPr>
      </w:pPr>
      <w:r>
        <w:rPr>
          <w:rtl/>
        </w:rPr>
        <w:t xml:space="preserve">הרי לנו ברור שלעניין </w:t>
      </w:r>
      <w:r>
        <w:rPr>
          <w:b/>
          <w:bCs/>
          <w:rtl/>
        </w:rPr>
        <w:t>הברכה</w:t>
      </w:r>
      <w:r>
        <w:rPr>
          <w:rtl/>
        </w:rPr>
        <w:t xml:space="preserve"> נוגע דווקא מה שהתפילין של יד הן פרט וגורמות "להניח" את התפילין של ראש.</w:t>
      </w:r>
    </w:p>
    <w:p w:rsidR="006C4F09" w:rsidRDefault="006C4F09" w:rsidP="004B0C42">
      <w:pPr>
        <w:pStyle w:val="a3"/>
        <w:rPr>
          <w:rFonts w:ascii="Arial" w:hAnsi="Arial" w:cs="Arial"/>
          <w:color w:val="222222"/>
          <w:rtl/>
        </w:rPr>
      </w:pPr>
      <w:r>
        <w:rPr>
          <w:rtl/>
        </w:rPr>
        <w:t>ולפיכך לגבי הא ד"סח בין תפילה לתפילה" והפסיק בין הברכה דשל יש להנחת התפילין של ראש - מכריע הפרט שבו "מצווה אחת הן" ולא המפורש בגמרא שהן שתי מצוות.</w:t>
      </w:r>
    </w:p>
    <w:p w:rsidR="006049DD" w:rsidRDefault="006049DD" w:rsidP="006049DD">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760DB7">
        <w:rPr>
          <w:rFonts w:ascii="Nymphette" w:eastAsia="Times New Roman" w:hAnsi="Nymphette" w:cs="Nymphette"/>
          <w:sz w:val="44"/>
          <w:szCs w:val="44"/>
        </w:rPr>
        <w:t>g</w:t>
      </w:r>
    </w:p>
    <w:p w:rsidR="006C4F09" w:rsidRDefault="006C4F09" w:rsidP="006C4F09">
      <w:pPr>
        <w:pStyle w:val="a0"/>
        <w:rPr>
          <w:rFonts w:ascii="Nymphette" w:hAnsi="Nymphette" w:cs="Nymphette"/>
          <w:sz w:val="44"/>
          <w:szCs w:val="44"/>
          <w:rtl/>
        </w:rPr>
      </w:pPr>
      <w:bookmarkStart w:id="135" w:name="_Toc39817438"/>
      <w:r w:rsidRPr="00483D3C">
        <w:rPr>
          <w:rtl/>
        </w:rPr>
        <w:lastRenderedPageBreak/>
        <w:t xml:space="preserve">הייתה אוכלת ראשונה ראשונה </w:t>
      </w:r>
      <w:r>
        <w:rPr>
          <w:rtl/>
        </w:rPr>
        <w:t>אינה</w:t>
      </w:r>
      <w:r w:rsidRPr="00483D3C">
        <w:rPr>
          <w:rtl/>
        </w:rPr>
        <w:t xml:space="preserve"> מקודשת עד שיהא באחת מהן שוה פרוטה</w:t>
      </w:r>
      <w:bookmarkEnd w:id="135"/>
    </w:p>
    <w:p w:rsidR="00BD272D" w:rsidRDefault="006C4F09" w:rsidP="00C93F24">
      <w:pPr>
        <w:pStyle w:val="a"/>
        <w:rPr>
          <w:rtl/>
        </w:rPr>
      </w:pPr>
      <w:bookmarkStart w:id="136" w:name="_Toc39817439"/>
      <w:r w:rsidRPr="00C93F24">
        <w:rPr>
          <w:rFonts w:hint="cs"/>
          <w:rtl/>
        </w:rPr>
        <w:t>הת' חנן טייכטל</w:t>
      </w:r>
      <w:bookmarkEnd w:id="136"/>
    </w:p>
    <w:p w:rsidR="00BD272D" w:rsidRDefault="00BD272D" w:rsidP="00BD272D">
      <w:pPr>
        <w:pStyle w:val="a1"/>
        <w:spacing w:after="0"/>
        <w:rPr>
          <w:rtl/>
        </w:rPr>
      </w:pPr>
      <w:r>
        <w:rPr>
          <w:rFonts w:hint="cs"/>
          <w:rtl/>
        </w:rPr>
        <w:t>ר"מ בישיבת תות"ל</w:t>
      </w:r>
    </w:p>
    <w:p w:rsidR="006C4F09" w:rsidRPr="00C93F24" w:rsidRDefault="00BD272D" w:rsidP="00BD272D">
      <w:pPr>
        <w:pStyle w:val="a1"/>
        <w:spacing w:after="0"/>
        <w:rPr>
          <w:rtl/>
        </w:rPr>
      </w:pPr>
      <w:r>
        <w:rPr>
          <w:rFonts w:hint="cs"/>
          <w:rtl/>
        </w:rPr>
        <w:t>איסטרא - מוסקבא, רוסיא</w:t>
      </w:r>
      <w:r w:rsidR="006C4F09" w:rsidRPr="00C93F24">
        <w:rPr>
          <w:rFonts w:hint="cs"/>
          <w:rtl/>
        </w:rPr>
        <w:t xml:space="preserve"> </w:t>
      </w:r>
    </w:p>
    <w:p w:rsidR="00267755" w:rsidRDefault="006C4F09" w:rsidP="004B0C42">
      <w:pPr>
        <w:pStyle w:val="11"/>
        <w:bidi/>
        <w:rPr>
          <w:rtl/>
        </w:rPr>
      </w:pPr>
      <w:r w:rsidRPr="006C4F09">
        <w:rPr>
          <w:rtl/>
        </w:rPr>
        <w:t xml:space="preserve">א. </w:t>
      </w:r>
    </w:p>
    <w:p w:rsidR="006C4F09" w:rsidRPr="006C4F09" w:rsidRDefault="006C4F09" w:rsidP="004B0C42">
      <w:pPr>
        <w:pStyle w:val="a3"/>
        <w:rPr>
          <w:rtl/>
        </w:rPr>
      </w:pPr>
      <w:r w:rsidRPr="006C4F09">
        <w:rPr>
          <w:rtl/>
        </w:rPr>
        <w:t>מתני' מ"ו, א: "האומר לאשה התקדשי לי בתמרה זו התקדשי לי בזו אם יש באחת מהן שוה פרוטה מקודשת ואם לאו אינה מקודשת. בזו ובזו ובזו אם יש שוה פרוטה בכולן מקודשת ואם לאו אינה מקודשת. הייתה אוכלת ראשונה ראשונה אינה מקודשת עד שיהא באחת מהן שוה פרוטה".</w:t>
      </w:r>
    </w:p>
    <w:p w:rsidR="006C4F09" w:rsidRPr="00483D3C" w:rsidRDefault="006C4F09" w:rsidP="004B0C42">
      <w:pPr>
        <w:pStyle w:val="a3"/>
        <w:rPr>
          <w:rtl/>
        </w:rPr>
      </w:pPr>
      <w:r w:rsidRPr="00483D3C">
        <w:rPr>
          <w:rtl/>
        </w:rPr>
        <w:t>והנה בגמ' מקשינן על מה הולכים דברי המשנה "הייתה אוכלת ראשונה ראשונה וכו'", אי אמרי' דקאי על הרישא</w:t>
      </w:r>
      <w:r>
        <w:rPr>
          <w:rtl/>
        </w:rPr>
        <w:t xml:space="preserve"> -</w:t>
      </w:r>
      <w:r w:rsidRPr="00483D3C">
        <w:rPr>
          <w:rtl/>
        </w:rPr>
        <w:t xml:space="preserve"> קשה, דמאי איריא אוכלת אפילו מנחת נמי. ואם נימא דקאי על הסיפא </w:t>
      </w:r>
      <w:r>
        <w:rPr>
          <w:rtl/>
        </w:rPr>
        <w:t>- ג"כ</w:t>
      </w:r>
      <w:r w:rsidRPr="00483D3C">
        <w:rPr>
          <w:rtl/>
        </w:rPr>
        <w:t xml:space="preserve"> קשה, שמהלשון </w:t>
      </w:r>
      <w:r>
        <w:rPr>
          <w:rtl/>
        </w:rPr>
        <w:t>"</w:t>
      </w:r>
      <w:r w:rsidRPr="00483D3C">
        <w:rPr>
          <w:rtl/>
        </w:rPr>
        <w:t>עד שיהא באחת מהן</w:t>
      </w:r>
      <w:r>
        <w:rPr>
          <w:rtl/>
        </w:rPr>
        <w:t>" משמע</w:t>
      </w:r>
      <w:r w:rsidRPr="00483D3C">
        <w:rPr>
          <w:rtl/>
        </w:rPr>
        <w:t xml:space="preserve"> אפילו בראשונה, ומאחר וכבר אכלה את הראשונה היא נחשבת כמלוה לגבה, וקי"ל דהמקדש במלוה אינה מקודשת.</w:t>
      </w:r>
    </w:p>
    <w:p w:rsidR="006C4F09" w:rsidRPr="00483D3C" w:rsidRDefault="006C4F09" w:rsidP="004B0C42">
      <w:pPr>
        <w:pStyle w:val="a3"/>
        <w:rPr>
          <w:rtl/>
        </w:rPr>
      </w:pPr>
      <w:r w:rsidRPr="00483D3C">
        <w:rPr>
          <w:rtl/>
        </w:rPr>
        <w:t>ומדברי הגמ' משמע שהקושי בדברי המשנה הוא רק להמ"ד דהמקדש במלוה אינה מקודשת, אך להמ"ד שהמקדש במלוה מקודשת</w:t>
      </w:r>
      <w:r>
        <w:rPr>
          <w:rtl/>
        </w:rPr>
        <w:t xml:space="preserve"> - אין</w:t>
      </w:r>
      <w:r w:rsidRPr="00483D3C">
        <w:rPr>
          <w:rtl/>
        </w:rPr>
        <w:t xml:space="preserve"> כל קושיא. ולכאורה אינו מובן, דהרי למ"ד שהמקדש במלוה מקודשת </w:t>
      </w:r>
      <w:r>
        <w:rPr>
          <w:rtl/>
        </w:rPr>
        <w:t xml:space="preserve">ג"כ </w:t>
      </w:r>
      <w:r w:rsidRPr="00483D3C">
        <w:rPr>
          <w:rtl/>
        </w:rPr>
        <w:t>קשה, מדוע אומרת המשנה עד שיהא באחת מהן שוה פרוטה, דמאחר ויכולה להתקדש במלוה למה שלא תתקדש בכל התמרים ביחד אם יש בכולם שוה פרוטה ולא ב</w:t>
      </w:r>
      <w:r>
        <w:rPr>
          <w:rtl/>
        </w:rPr>
        <w:t>אח</w:t>
      </w:r>
      <w:r w:rsidRPr="00483D3C">
        <w:rPr>
          <w:rtl/>
        </w:rPr>
        <w:t>ד מהן לבד? וכן הקש</w:t>
      </w:r>
      <w:r>
        <w:rPr>
          <w:rtl/>
        </w:rPr>
        <w:t>ו המהרש"ל</w:t>
      </w:r>
      <w:r w:rsidRPr="00483D3C">
        <w:rPr>
          <w:rtl/>
        </w:rPr>
        <w:t xml:space="preserve"> והמהרש"א</w:t>
      </w:r>
      <w:r w:rsidR="00267755">
        <w:rPr>
          <w:rStyle w:val="FootnoteReference"/>
          <w:rtl/>
        </w:rPr>
        <w:footnoteReference w:id="44"/>
      </w:r>
      <w:r w:rsidRPr="00483D3C">
        <w:rPr>
          <w:rtl/>
        </w:rPr>
        <w:t>.</w:t>
      </w:r>
    </w:p>
    <w:p w:rsidR="006C4F09" w:rsidRPr="00483D3C" w:rsidRDefault="006C4F09" w:rsidP="004B0C42">
      <w:pPr>
        <w:pStyle w:val="a3"/>
        <w:rPr>
          <w:rtl/>
        </w:rPr>
      </w:pPr>
      <w:r w:rsidRPr="00483D3C">
        <w:rPr>
          <w:rtl/>
        </w:rPr>
        <w:t>[והמהרש"א תירץ דאכן הגמ' ידעה דמשנה זו אינה כפי מ"ד זה, אלא כהמ"ד דאינה מקודשת במלוה וע"כ שאלה ג"כ רק על מ"ד זה שהמשנה קאי כוותי' איך יסביר את המשנה</w:t>
      </w:r>
      <w:r>
        <w:rPr>
          <w:rtl/>
        </w:rPr>
        <w:t xml:space="preserve"> -</w:t>
      </w:r>
      <w:r w:rsidRPr="00483D3C">
        <w:rPr>
          <w:rtl/>
        </w:rPr>
        <w:t xml:space="preserve"> עיין בארוכה בדבריו. (וכן עיי' בדברי המהרש"ל מה שתי' והקשה על דבריו המהרש"א עיי"ש). וע"פ הביאור דלקמן נוכל לבאר דגם להמ"ד המקדש במלוה מקודשת </w:t>
      </w:r>
      <w:r>
        <w:rPr>
          <w:rtl/>
        </w:rPr>
        <w:t>אתי שפיר</w:t>
      </w:r>
      <w:r w:rsidRPr="00483D3C">
        <w:rPr>
          <w:rtl/>
        </w:rPr>
        <w:t xml:space="preserve"> מתני']</w:t>
      </w:r>
      <w:r>
        <w:rPr>
          <w:rtl/>
        </w:rPr>
        <w:t>.</w:t>
      </w:r>
    </w:p>
    <w:p w:rsidR="00267755" w:rsidRDefault="006C4F09" w:rsidP="004B0C42">
      <w:pPr>
        <w:pStyle w:val="11"/>
        <w:bidi/>
        <w:rPr>
          <w:rtl/>
        </w:rPr>
      </w:pPr>
      <w:r w:rsidRPr="00483D3C">
        <w:rPr>
          <w:rtl/>
        </w:rPr>
        <w:t xml:space="preserve">ב. </w:t>
      </w:r>
    </w:p>
    <w:p w:rsidR="006C4F09" w:rsidRPr="00483D3C" w:rsidRDefault="006C4F09" w:rsidP="004B0C42">
      <w:pPr>
        <w:pStyle w:val="a3"/>
        <w:rPr>
          <w:rtl/>
        </w:rPr>
      </w:pPr>
      <w:r w:rsidRPr="00483D3C">
        <w:rPr>
          <w:rtl/>
        </w:rPr>
        <w:t>והנה על קושית הגמ' תירצו רב ושמואל דבאמת הבבא האחרונה במשנה קאי על הרישא, ולא מבעי</w:t>
      </w:r>
      <w:r>
        <w:rPr>
          <w:rtl/>
        </w:rPr>
        <w:t>א מנחת</w:t>
      </w:r>
      <w:r w:rsidRPr="00483D3C">
        <w:rPr>
          <w:rtl/>
        </w:rPr>
        <w:t xml:space="preserve"> אלא אפילו אוכלת דהו"א שתתקדש בפחות משוה פרוטה – וקמ"ל דבעי פרוטה באחת מהן.</w:t>
      </w:r>
    </w:p>
    <w:p w:rsidR="006C4F09" w:rsidRPr="00483D3C" w:rsidRDefault="006C4F09" w:rsidP="004B0C42">
      <w:pPr>
        <w:pStyle w:val="a3"/>
        <w:rPr>
          <w:rtl/>
        </w:rPr>
      </w:pPr>
      <w:r w:rsidRPr="00483D3C">
        <w:rPr>
          <w:rtl/>
        </w:rPr>
        <w:t xml:space="preserve">אך רבי אמי תירץ דלעולם אסיפא קאי, ומאי עד שיהא באחד מהן – עד שיהא באחרונה. </w:t>
      </w:r>
      <w:r w:rsidRPr="00483D3C">
        <w:rPr>
          <w:rtl/>
        </w:rPr>
        <w:lastRenderedPageBreak/>
        <w:t>ועל דברי רבי אמי אמר רבא דשמע מינה תלת, ואחד מהם דס"ל שהמקדש במלוה אינה מקודשת.</w:t>
      </w:r>
    </w:p>
    <w:p w:rsidR="006C4F09" w:rsidRPr="00483D3C" w:rsidRDefault="006C4F09" w:rsidP="004B0C42">
      <w:pPr>
        <w:pStyle w:val="a3"/>
        <w:rPr>
          <w:rtl/>
        </w:rPr>
      </w:pPr>
      <w:r w:rsidRPr="00483D3C">
        <w:rPr>
          <w:rtl/>
        </w:rPr>
        <w:t>ועל זה פירש רש"י, דהשמע מינה הוא "מדקביל הך אתקפתא דפרכינן לעיל הוא מלוה היא ואיזקיק לשנויי עלה מאי באחת באחרונה קאמר אלמא ס"ל שאינה מקודשת".</w:t>
      </w:r>
    </w:p>
    <w:p w:rsidR="006C4F09" w:rsidRPr="00483D3C" w:rsidRDefault="006C4F09" w:rsidP="004B0C42">
      <w:pPr>
        <w:pStyle w:val="a3"/>
        <w:rPr>
          <w:rtl/>
        </w:rPr>
      </w:pPr>
      <w:r w:rsidRPr="00483D3C">
        <w:rPr>
          <w:rtl/>
        </w:rPr>
        <w:t xml:space="preserve">והקשו באחרונים (עצמות יוסף וכן בחידושי המקנה) דלכאורה אינו מובן מדוע הוצרך רש"י לפרש שהשמע מינה הוא ממה שקיבל רב אמי את האתקפתא ולא ביאר שכן משמע מדבריו עצמו בפשטות, שזה שצריך שיהיה באחרונה שוה פרוטה ולא מספיק שיהיה בקמייתא – ע"כ דס"ל דהמקדש במלוה אינה מקודשת! ומדוע הוצרך להאריך שהראי' היא מזה </w:t>
      </w:r>
      <w:r w:rsidRPr="00483D3C">
        <w:rPr>
          <w:b/>
          <w:bCs/>
          <w:rtl/>
        </w:rPr>
        <w:t xml:space="preserve">שקיבל את האתקפתא </w:t>
      </w:r>
      <w:r w:rsidRPr="00483D3C">
        <w:rPr>
          <w:rtl/>
        </w:rPr>
        <w:t>(ועיי' שם מה שתירצו).</w:t>
      </w:r>
    </w:p>
    <w:p w:rsidR="006C4F09" w:rsidRPr="00483D3C" w:rsidRDefault="006C4F09" w:rsidP="004B0C42">
      <w:pPr>
        <w:pStyle w:val="a3"/>
        <w:rPr>
          <w:rtl/>
        </w:rPr>
      </w:pPr>
      <w:r w:rsidRPr="00483D3C">
        <w:rPr>
          <w:rtl/>
        </w:rPr>
        <w:t>ולהוסיף, דלכאורה רב ושמואל עצמם גם קיבלו את האתקפתא והוצרכו לבאר באופן שונה בגלל הקושיא, אלא שהם ביארו את המשנה באופן שאין ראי' לא לכאן ולא לכאן</w:t>
      </w:r>
      <w:r>
        <w:rPr>
          <w:rtl/>
        </w:rPr>
        <w:t xml:space="preserve"> (דהיינו כשום מ"ד מה הדין בהמקדש במלוה)</w:t>
      </w:r>
      <w:r w:rsidRPr="00483D3C">
        <w:rPr>
          <w:rtl/>
        </w:rPr>
        <w:t xml:space="preserve">, משא"כ רבי אמי </w:t>
      </w:r>
      <w:r>
        <w:rPr>
          <w:rtl/>
        </w:rPr>
        <w:t>- איך</w:t>
      </w:r>
      <w:r w:rsidRPr="00483D3C">
        <w:rPr>
          <w:rtl/>
        </w:rPr>
        <w:t xml:space="preserve"> שהוא הסביר את המשנה </w:t>
      </w:r>
      <w:r w:rsidRPr="00483D3C">
        <w:rPr>
          <w:b/>
          <w:bCs/>
          <w:rtl/>
        </w:rPr>
        <w:t xml:space="preserve">מזה הראי' </w:t>
      </w:r>
      <w:r w:rsidRPr="00483D3C">
        <w:rPr>
          <w:rtl/>
        </w:rPr>
        <w:t>שס"ל שהמקדש במלוה אינה מקודשת</w:t>
      </w:r>
      <w:r>
        <w:rPr>
          <w:rtl/>
        </w:rPr>
        <w:t>.</w:t>
      </w:r>
      <w:r w:rsidRPr="00483D3C">
        <w:rPr>
          <w:rtl/>
        </w:rPr>
        <w:t xml:space="preserve"> וא"כ עוד יותר  אינו מובן מה הפירוש בדברי רש"י שהראי' הוא ממה שקיבל רבי אמי את האתקפתא. דלכאורה עיקר הראי' הוא מביאורו במשנה ולא מעצם "קבלת האתקפתא".    </w:t>
      </w:r>
    </w:p>
    <w:p w:rsidR="00267755" w:rsidRDefault="006C4F09" w:rsidP="004B0C42">
      <w:pPr>
        <w:pStyle w:val="11"/>
        <w:bidi/>
        <w:rPr>
          <w:rtl/>
        </w:rPr>
      </w:pPr>
      <w:r w:rsidRPr="00483D3C">
        <w:rPr>
          <w:rtl/>
        </w:rPr>
        <w:t>ג.</w:t>
      </w:r>
    </w:p>
    <w:p w:rsidR="006C4F09" w:rsidRPr="00483D3C" w:rsidRDefault="006C4F09" w:rsidP="004B0C42">
      <w:pPr>
        <w:pStyle w:val="a3"/>
        <w:rPr>
          <w:rtl/>
        </w:rPr>
      </w:pPr>
      <w:r w:rsidRPr="00483D3C">
        <w:rPr>
          <w:rtl/>
        </w:rPr>
        <w:t xml:space="preserve"> והנה בתוד"ה ואפילו בקמייתא הקשו התוס', דמאי שנא המקרה דקדשה בכל התמרים והייתה אוכלת ראשונה ראשונה דהכא שאם אכלה הרי מה שאכלה נחשב מלוה</w:t>
      </w:r>
      <w:r>
        <w:rPr>
          <w:rtl/>
        </w:rPr>
        <w:t xml:space="preserve"> - למקרה</w:t>
      </w:r>
      <w:r w:rsidRPr="00483D3C">
        <w:rPr>
          <w:rtl/>
        </w:rPr>
        <w:t xml:space="preserve"> של האומר התקדשי לאחר ל' יום דאפילו נתאכלו המעות מקודשת ולא אמרינן שהמעות הם מלוה? ותירצו דצריך לחלק שכאן לא נגמר המסירה משא"כ שם שנגמר הדיבור</w:t>
      </w:r>
      <w:r>
        <w:rPr>
          <w:rtl/>
        </w:rPr>
        <w:t>.</w:t>
      </w:r>
    </w:p>
    <w:p w:rsidR="006C4F09" w:rsidRPr="00483D3C" w:rsidRDefault="006C4F09" w:rsidP="004B0C42">
      <w:pPr>
        <w:pStyle w:val="a3"/>
        <w:rPr>
          <w:rtl/>
        </w:rPr>
      </w:pPr>
      <w:r w:rsidRPr="00483D3C">
        <w:rPr>
          <w:rtl/>
        </w:rPr>
        <w:t xml:space="preserve">ולכאורה </w:t>
      </w:r>
      <w:r>
        <w:rPr>
          <w:rtl/>
        </w:rPr>
        <w:t>מה שביארו</w:t>
      </w:r>
      <w:r w:rsidRPr="00483D3C">
        <w:rPr>
          <w:rtl/>
        </w:rPr>
        <w:t xml:space="preserve"> התוס' </w:t>
      </w:r>
      <w:r>
        <w:rPr>
          <w:rtl/>
        </w:rPr>
        <w:t>בקושיית הגמרא ה</w:t>
      </w:r>
      <w:r w:rsidRPr="00483D3C">
        <w:rPr>
          <w:rtl/>
        </w:rPr>
        <w:t>וא בין לרב ושמואל, ובין לרבי אמי</w:t>
      </w:r>
      <w:r>
        <w:rPr>
          <w:rtl/>
        </w:rPr>
        <w:t>.</w:t>
      </w:r>
      <w:r w:rsidRPr="00483D3C">
        <w:rPr>
          <w:rtl/>
        </w:rPr>
        <w:t xml:space="preserve"> שהרי ממה שהגמרא מקשה בפשיטות </w:t>
      </w:r>
      <w:r>
        <w:rPr>
          <w:rtl/>
        </w:rPr>
        <w:t>"</w:t>
      </w:r>
      <w:r w:rsidRPr="00483D3C">
        <w:rPr>
          <w:rtl/>
        </w:rPr>
        <w:t>ואפילו בקמייתא והא מלוה היא</w:t>
      </w:r>
      <w:r>
        <w:rPr>
          <w:rtl/>
        </w:rPr>
        <w:t>" ומשום</w:t>
      </w:r>
      <w:r w:rsidRPr="00483D3C">
        <w:rPr>
          <w:rtl/>
        </w:rPr>
        <w:t xml:space="preserve"> כך הוצרכו לתרץ שאינו כן ולהעמיד המשנה באופן אחר</w:t>
      </w:r>
      <w:r>
        <w:rPr>
          <w:rtl/>
        </w:rPr>
        <w:t xml:space="preserve"> -</w:t>
      </w:r>
      <w:r w:rsidRPr="00483D3C">
        <w:rPr>
          <w:rtl/>
        </w:rPr>
        <w:t xml:space="preserve"> ע"כ דהקושיא היא לכולי עלמא,</w:t>
      </w:r>
      <w:r>
        <w:rPr>
          <w:rtl/>
        </w:rPr>
        <w:t xml:space="preserve"> וכמו"כ מה שביארו התוס' בקושיית הגמ' הוא לכו"ע -</w:t>
      </w:r>
      <w:r w:rsidRPr="00483D3C">
        <w:rPr>
          <w:rtl/>
        </w:rPr>
        <w:t xml:space="preserve"> דכולם </w:t>
      </w:r>
      <w:r>
        <w:rPr>
          <w:rtl/>
        </w:rPr>
        <w:t>(בין רב ושמואל ובין רבי אמי) ס"ל</w:t>
      </w:r>
      <w:r w:rsidRPr="00483D3C">
        <w:rPr>
          <w:rtl/>
        </w:rPr>
        <w:t xml:space="preserve"> שאין לדמות המקרה דהכא להמקרה דהאומר התקדשי לי לאחר ל' יום.</w:t>
      </w:r>
    </w:p>
    <w:p w:rsidR="006C4F09" w:rsidRPr="00483D3C" w:rsidRDefault="006C4F09" w:rsidP="004B0C42">
      <w:pPr>
        <w:pStyle w:val="a3"/>
        <w:rPr>
          <w:rtl/>
        </w:rPr>
      </w:pPr>
      <w:r w:rsidRPr="00483D3C">
        <w:rPr>
          <w:rtl/>
        </w:rPr>
        <w:t xml:space="preserve">אמנם בתוד"ה שמע מינה בעמוד ב, מבארים התוס' דלרב ושמואל הא דלא העמידו את המשנה דהייתה אוכלת </w:t>
      </w:r>
      <w:r>
        <w:rPr>
          <w:rtl/>
        </w:rPr>
        <w:t>א</w:t>
      </w:r>
      <w:r w:rsidRPr="00483D3C">
        <w:rPr>
          <w:rtl/>
        </w:rPr>
        <w:t xml:space="preserve">סיפא כרבי אמי </w:t>
      </w:r>
      <w:r>
        <w:rPr>
          <w:rtl/>
        </w:rPr>
        <w:t>- הוא</w:t>
      </w:r>
      <w:r w:rsidRPr="00483D3C">
        <w:rPr>
          <w:rtl/>
        </w:rPr>
        <w:t xml:space="preserve"> משום </w:t>
      </w:r>
      <w:r w:rsidRPr="00483D3C">
        <w:rPr>
          <w:b/>
          <w:bCs/>
          <w:rtl/>
        </w:rPr>
        <w:t xml:space="preserve">דלדעתם אם קדשה בכל התמרים והייתה אוכלת ראשונה ראשונה הוא ממש כמו האומר התקדשי לאחר ל' יום. </w:t>
      </w:r>
      <w:r w:rsidRPr="00483D3C">
        <w:rPr>
          <w:rtl/>
        </w:rPr>
        <w:t xml:space="preserve">דעל אף שכאן לא נגמר הדיבור  והמסירה מ"מ מאחר ובתורת קידושין אתי לידה היא יכולה להתקדש אף בקמייתא ואף בכל </w:t>
      </w:r>
      <w:r>
        <w:rPr>
          <w:rtl/>
        </w:rPr>
        <w:t>התמרים</w:t>
      </w:r>
      <w:r w:rsidRPr="00483D3C">
        <w:rPr>
          <w:rtl/>
        </w:rPr>
        <w:t xml:space="preserve"> יחד, וע"כ הוכרחו לפרש דקאי על הרישא</w:t>
      </w:r>
      <w:r>
        <w:rPr>
          <w:rtl/>
        </w:rPr>
        <w:t>.</w:t>
      </w:r>
    </w:p>
    <w:p w:rsidR="006C4F09" w:rsidRPr="00483D3C" w:rsidRDefault="006C4F09" w:rsidP="004B0C42">
      <w:pPr>
        <w:pStyle w:val="a3"/>
        <w:rPr>
          <w:rtl/>
        </w:rPr>
      </w:pPr>
      <w:r w:rsidRPr="00483D3C">
        <w:rPr>
          <w:rtl/>
        </w:rPr>
        <w:t>ולכאורה דברי התוס' סותרים זה לזה. שהרי לעיל ביארו שקושיית הגמרא היא דלא ייתכן להעמיד בסיפא כי הוי מלוה ו</w:t>
      </w:r>
      <w:r w:rsidRPr="00483D3C">
        <w:rPr>
          <w:b/>
          <w:bCs/>
          <w:rtl/>
        </w:rPr>
        <w:t>המקרה כאן אינו דומה להתקדשי לאחר ל' יום</w:t>
      </w:r>
      <w:r w:rsidRPr="00483D3C">
        <w:rPr>
          <w:rtl/>
        </w:rPr>
        <w:t xml:space="preserve">. ועתה כותבים התוס' שרב ושמואל לא העמידו בסיפא כרבי אמי </w:t>
      </w:r>
      <w:r w:rsidRPr="00483D3C">
        <w:rPr>
          <w:b/>
          <w:bCs/>
          <w:rtl/>
        </w:rPr>
        <w:t>מסיבה הפוכה ממש</w:t>
      </w:r>
      <w:r w:rsidRPr="00483D3C">
        <w:rPr>
          <w:rtl/>
        </w:rPr>
        <w:t xml:space="preserve">, דאם קאי על הסיפא הייתה אמורה להיות מקודשת אפילו בקמייתא כמו שהאומר התקדשי לאחר ל' יום. והדברים </w:t>
      </w:r>
      <w:r w:rsidRPr="00483D3C">
        <w:rPr>
          <w:rtl/>
        </w:rPr>
        <w:lastRenderedPageBreak/>
        <w:t>צריכים ביאור</w:t>
      </w:r>
      <w:r w:rsidR="00267755">
        <w:rPr>
          <w:rStyle w:val="FootnoteReference"/>
          <w:rtl/>
        </w:rPr>
        <w:footnoteReference w:id="45"/>
      </w:r>
      <w:r w:rsidRPr="00483D3C">
        <w:rPr>
          <w:rtl/>
        </w:rPr>
        <w:t>.</w:t>
      </w:r>
    </w:p>
    <w:p w:rsidR="00267755" w:rsidRDefault="006C4F09" w:rsidP="004B0C42">
      <w:pPr>
        <w:pStyle w:val="11"/>
        <w:bidi/>
        <w:rPr>
          <w:rtl/>
        </w:rPr>
      </w:pPr>
      <w:r w:rsidRPr="00483D3C">
        <w:rPr>
          <w:rtl/>
        </w:rPr>
        <w:t xml:space="preserve">ד. </w:t>
      </w:r>
    </w:p>
    <w:p w:rsidR="006C4F09" w:rsidRPr="00483D3C" w:rsidRDefault="006C4F09" w:rsidP="004B0C42">
      <w:pPr>
        <w:pStyle w:val="a3"/>
        <w:rPr>
          <w:rtl/>
        </w:rPr>
      </w:pPr>
      <w:r w:rsidRPr="00483D3C">
        <w:rPr>
          <w:rtl/>
        </w:rPr>
        <w:t xml:space="preserve">ונראה לומר הביאור בכהנ"ל, על פי מה שכתב הריטב"א בתחילת </w:t>
      </w:r>
      <w:r>
        <w:rPr>
          <w:rtl/>
        </w:rPr>
        <w:t>הסוגייא</w:t>
      </w:r>
      <w:r w:rsidRPr="00483D3C">
        <w:rPr>
          <w:rtl/>
        </w:rPr>
        <w:t xml:space="preserve">. וז"ל הריטב"א בביאור קושית הגמרא אלא אסיפא: "אלא אסיפא דקתני כללא בזו ובזו ובזו, ומאי עד שיהא בא' מהן – בכל אחד ואחד מהן, דאע"ג דכיילינהו לכלהו כחדא </w:t>
      </w:r>
      <w:r w:rsidRPr="00186886">
        <w:rPr>
          <w:b/>
          <w:bCs/>
          <w:rtl/>
        </w:rPr>
        <w:t>דעתו לקדשה באיזו מהם ששוה פרוטה</w:t>
      </w:r>
      <w:r w:rsidRPr="00483D3C">
        <w:rPr>
          <w:rtl/>
        </w:rPr>
        <w:t xml:space="preserve"> דלא גמרי קידושין עד דמטו כולהו לידה...".</w:t>
      </w:r>
    </w:p>
    <w:p w:rsidR="006C4F09" w:rsidRPr="00483D3C" w:rsidRDefault="006C4F09" w:rsidP="004B0C42">
      <w:pPr>
        <w:pStyle w:val="a3"/>
        <w:rPr>
          <w:rtl/>
        </w:rPr>
      </w:pPr>
      <w:r w:rsidRPr="00483D3C">
        <w:rPr>
          <w:rtl/>
        </w:rPr>
        <w:t>וכלומר, שחזינן בדברי הריטב"א שלמד בדברי המשנה "</w:t>
      </w:r>
      <w:r>
        <w:rPr>
          <w:rtl/>
        </w:rPr>
        <w:t>הייתה אוכלת ראשונה ראשונה אינה מקודשת עד</w:t>
      </w:r>
      <w:r w:rsidRPr="00483D3C">
        <w:rPr>
          <w:rtl/>
        </w:rPr>
        <w:t xml:space="preserve"> שיהא באחד מהן", שאין הכוונה רק מצד </w:t>
      </w:r>
      <w:r w:rsidRPr="00186886">
        <w:rPr>
          <w:b/>
          <w:bCs/>
          <w:rtl/>
        </w:rPr>
        <w:t>הדין</w:t>
      </w:r>
      <w:r w:rsidRPr="00483D3C">
        <w:rPr>
          <w:rtl/>
        </w:rPr>
        <w:t xml:space="preserve"> </w:t>
      </w:r>
      <w:r>
        <w:rPr>
          <w:rtl/>
        </w:rPr>
        <w:t>- שמאחר</w:t>
      </w:r>
      <w:r w:rsidRPr="00483D3C">
        <w:rPr>
          <w:rtl/>
        </w:rPr>
        <w:t xml:space="preserve"> ואוכלת על כן צריך שיהא באחד מהן שוה פרוטה, אלא כן הוא גם מצד </w:t>
      </w:r>
      <w:r w:rsidRPr="00186886">
        <w:rPr>
          <w:b/>
          <w:bCs/>
          <w:rtl/>
        </w:rPr>
        <w:t>הסברא</w:t>
      </w:r>
      <w:r w:rsidRPr="00483D3C">
        <w:rPr>
          <w:rtl/>
        </w:rPr>
        <w:t xml:space="preserve"> </w:t>
      </w:r>
      <w:r>
        <w:rPr>
          <w:rtl/>
        </w:rPr>
        <w:t>-</w:t>
      </w:r>
      <w:r>
        <w:rPr>
          <w:b/>
          <w:bCs/>
          <w:rtl/>
        </w:rPr>
        <w:t xml:space="preserve"> שדעתו</w:t>
      </w:r>
      <w:r w:rsidRPr="00483D3C">
        <w:rPr>
          <w:b/>
          <w:bCs/>
          <w:rtl/>
        </w:rPr>
        <w:t xml:space="preserve"> לקדשה באיזו מהן שיהא שוה פרוטה</w:t>
      </w:r>
      <w:r w:rsidRPr="00483D3C">
        <w:rPr>
          <w:rtl/>
        </w:rPr>
        <w:t xml:space="preserve">, </w:t>
      </w:r>
      <w:r>
        <w:rPr>
          <w:rtl/>
        </w:rPr>
        <w:t>(</w:t>
      </w:r>
      <w:r w:rsidRPr="00483D3C">
        <w:rPr>
          <w:rtl/>
        </w:rPr>
        <w:t>אלא שאין הקידושין חלין עד שתקבל הכל – דלזה מהני מה שכלל הכל יחד</w:t>
      </w:r>
      <w:r>
        <w:rPr>
          <w:rtl/>
        </w:rPr>
        <w:t>)</w:t>
      </w:r>
      <w:r w:rsidRPr="00483D3C">
        <w:rPr>
          <w:rtl/>
        </w:rPr>
        <w:t xml:space="preserve">. ולכאורה הביאור בזה, דלדברי הריטב"א </w:t>
      </w:r>
      <w:r>
        <w:rPr>
          <w:rtl/>
        </w:rPr>
        <w:t>במקרה שקידשה בכל התמרים ביחד, דעת המקדש לעשות</w:t>
      </w:r>
      <w:r w:rsidRPr="00483D3C">
        <w:rPr>
          <w:rtl/>
        </w:rPr>
        <w:t xml:space="preserve"> מעין תנאי, שאם לא תאכלם </w:t>
      </w:r>
      <w:r>
        <w:rPr>
          <w:rtl/>
        </w:rPr>
        <w:t>- היא</w:t>
      </w:r>
      <w:r w:rsidRPr="00483D3C">
        <w:rPr>
          <w:rtl/>
        </w:rPr>
        <w:t xml:space="preserve"> מתקדשת בכולם יחד, אבל אם היא תאכל</w:t>
      </w:r>
      <w:r>
        <w:rPr>
          <w:rtl/>
        </w:rPr>
        <w:t xml:space="preserve"> -</w:t>
      </w:r>
      <w:r w:rsidRPr="00483D3C">
        <w:rPr>
          <w:rtl/>
        </w:rPr>
        <w:t xml:space="preserve"> מאחר ויש כאלו שאינם בעין ויש כאלו שבעין שוב אינו מעונין לקדשה בהכל יחד אלא בכל אחד בפ"ע.</w:t>
      </w:r>
    </w:p>
    <w:p w:rsidR="006C4F09" w:rsidRPr="00483D3C" w:rsidRDefault="006C4F09" w:rsidP="004B0C42">
      <w:pPr>
        <w:pStyle w:val="a3"/>
        <w:rPr>
          <w:rtl/>
        </w:rPr>
      </w:pPr>
      <w:r w:rsidRPr="00483D3C">
        <w:rPr>
          <w:rtl/>
        </w:rPr>
        <w:t>ולכאורה מה שהכריח להריטב"א לבאר כן, הוא כדי שלא תקשה הקושיא הראשונה דלעיל, מדוע להמ"ד המקדש במל</w:t>
      </w:r>
      <w:r>
        <w:rPr>
          <w:rtl/>
        </w:rPr>
        <w:t>ו</w:t>
      </w:r>
      <w:r w:rsidRPr="00483D3C">
        <w:rPr>
          <w:rtl/>
        </w:rPr>
        <w:t>ה מקודשת אתי שפיר דברי המשנה, והרי גם לשיטתם קשה מדוע צריך שיהא בכל אחד מהן שו"פ?</w:t>
      </w:r>
    </w:p>
    <w:p w:rsidR="006C4F09" w:rsidRPr="00483D3C" w:rsidRDefault="006C4F09" w:rsidP="004B0C42">
      <w:pPr>
        <w:pStyle w:val="a3"/>
        <w:rPr>
          <w:rtl/>
        </w:rPr>
      </w:pPr>
      <w:r w:rsidRPr="00483D3C">
        <w:rPr>
          <w:rtl/>
        </w:rPr>
        <w:t xml:space="preserve">וע"כ ביאר הריטב"א שבקושיא סברה הגמ' שבאמת כן היה בדעת </w:t>
      </w:r>
      <w:r>
        <w:rPr>
          <w:rtl/>
        </w:rPr>
        <w:t>המקדש</w:t>
      </w:r>
      <w:r w:rsidRPr="00483D3C">
        <w:rPr>
          <w:rtl/>
        </w:rPr>
        <w:t xml:space="preserve"> – שאם תאכלם היא תתקדש בכל אחד לעצמו ולא בהכל ביחד, ועל כן לא קשה מדוע צריך שיהא באחד מהן שוה פרוטה  -  מאחר וזה הי' בדעתו של המקדש. ומשום זה שאלה הגמ' רק למ"ד שהמקדש במלוה אינה מקודשת</w:t>
      </w:r>
      <w:r w:rsidR="00267755">
        <w:rPr>
          <w:rStyle w:val="FootnoteReference"/>
          <w:rtl/>
        </w:rPr>
        <w:footnoteReference w:id="46"/>
      </w:r>
      <w:r w:rsidRPr="00483D3C">
        <w:rPr>
          <w:rtl/>
        </w:rPr>
        <w:t>.</w:t>
      </w:r>
      <w:r w:rsidRPr="008A1778">
        <w:rPr>
          <w:sz w:val="20"/>
          <w:szCs w:val="20"/>
          <w:rtl/>
        </w:rPr>
        <w:t xml:space="preserve"> (וכן ביארו בהערות על הריטב"א הוצאת מוה"ק</w:t>
      </w:r>
      <w:r w:rsidRPr="00483D3C">
        <w:rPr>
          <w:rtl/>
        </w:rPr>
        <w:t>).</w:t>
      </w:r>
    </w:p>
    <w:p w:rsidR="00267755" w:rsidRDefault="006C4F09" w:rsidP="004B0C42">
      <w:pPr>
        <w:pStyle w:val="11"/>
        <w:bidi/>
        <w:rPr>
          <w:rtl/>
        </w:rPr>
      </w:pPr>
      <w:r w:rsidRPr="00483D3C">
        <w:rPr>
          <w:rtl/>
        </w:rPr>
        <w:t>ה.</w:t>
      </w:r>
    </w:p>
    <w:p w:rsidR="006C4F09" w:rsidRDefault="006C4F09" w:rsidP="004B0C42">
      <w:pPr>
        <w:pStyle w:val="a3"/>
        <w:rPr>
          <w:rtl/>
        </w:rPr>
      </w:pPr>
      <w:r w:rsidRPr="00483D3C">
        <w:rPr>
          <w:rtl/>
        </w:rPr>
        <w:t xml:space="preserve"> ועפ"ז נראה לבאר מדוע הוצרך רש"י לפרש דהשמע מינה הוא מ"דקביל אתקפתא". דהנה, לפי סברא זו של הריטב"א שהמקדש מכוין לקדשה בכל אחד בנפרד מאחר ולא כל </w:t>
      </w:r>
      <w:r>
        <w:rPr>
          <w:rtl/>
        </w:rPr>
        <w:t>התמרים</w:t>
      </w:r>
      <w:r w:rsidRPr="00483D3C">
        <w:rPr>
          <w:rtl/>
        </w:rPr>
        <w:t xml:space="preserve"> בעין</w:t>
      </w:r>
      <w:r>
        <w:rPr>
          <w:rtl/>
        </w:rPr>
        <w:t xml:space="preserve"> - היה</w:t>
      </w:r>
      <w:r w:rsidRPr="00483D3C">
        <w:rPr>
          <w:rtl/>
        </w:rPr>
        <w:t xml:space="preserve"> אפשר לבאר שגם לאחר תשובתו של רבי אמי ש</w:t>
      </w:r>
      <w:r>
        <w:rPr>
          <w:rtl/>
        </w:rPr>
        <w:t>"</w:t>
      </w:r>
      <w:r w:rsidRPr="00483D3C">
        <w:rPr>
          <w:rtl/>
        </w:rPr>
        <w:t xml:space="preserve">עד שיהא באחת </w:t>
      </w:r>
      <w:r>
        <w:rPr>
          <w:rtl/>
        </w:rPr>
        <w:t>מהן"</w:t>
      </w:r>
      <w:r w:rsidRPr="00483D3C">
        <w:rPr>
          <w:rtl/>
        </w:rPr>
        <w:t xml:space="preserve"> היינו באחרונה, עדיין </w:t>
      </w:r>
      <w:r w:rsidRPr="0039199B">
        <w:rPr>
          <w:b/>
          <w:bCs/>
          <w:rtl/>
        </w:rPr>
        <w:t>אין ראי'</w:t>
      </w:r>
      <w:r w:rsidRPr="00483D3C">
        <w:rPr>
          <w:rtl/>
        </w:rPr>
        <w:t xml:space="preserve"> דס"ל שהמקדש במלוה אינה מקודשת. והיינו משום שאפשר לומר שכמו שישנה סברא לומר שדעתו של המקדש לקדשה בכל אחד </w:t>
      </w:r>
      <w:r>
        <w:rPr>
          <w:rtl/>
        </w:rPr>
        <w:t>ב</w:t>
      </w:r>
      <w:r w:rsidRPr="00483D3C">
        <w:rPr>
          <w:rtl/>
        </w:rPr>
        <w:t xml:space="preserve">נפרד מאחר והיא אוכלת, כמו"כ מסתבר שדעתו לקדשה </w:t>
      </w:r>
      <w:r w:rsidRPr="0039199B">
        <w:rPr>
          <w:b/>
          <w:bCs/>
          <w:rtl/>
        </w:rPr>
        <w:t>דוקא עם מה שאינה אוכלת</w:t>
      </w:r>
      <w:r w:rsidRPr="00483D3C">
        <w:rPr>
          <w:rtl/>
        </w:rPr>
        <w:t xml:space="preserve"> מאחר ותמרה זו עדיין בעין, ו</w:t>
      </w:r>
      <w:r>
        <w:rPr>
          <w:rtl/>
        </w:rPr>
        <w:t>מסתבר שרוצה</w:t>
      </w:r>
      <w:r w:rsidRPr="00483D3C">
        <w:rPr>
          <w:rtl/>
        </w:rPr>
        <w:t xml:space="preserve"> לקדשה במה שעדיין בעין </w:t>
      </w:r>
      <w:r>
        <w:rPr>
          <w:rtl/>
        </w:rPr>
        <w:t>(</w:t>
      </w:r>
      <w:r w:rsidRPr="00483D3C">
        <w:rPr>
          <w:rtl/>
        </w:rPr>
        <w:t xml:space="preserve">על אף שמצד </w:t>
      </w:r>
      <w:r w:rsidRPr="00FB60ED">
        <w:rPr>
          <w:b/>
          <w:bCs/>
          <w:rtl/>
        </w:rPr>
        <w:t xml:space="preserve">הדין יכול לקדשה במה </w:t>
      </w:r>
      <w:r w:rsidRPr="00FB60ED">
        <w:rPr>
          <w:b/>
          <w:bCs/>
          <w:rtl/>
        </w:rPr>
        <w:lastRenderedPageBreak/>
        <w:t>שאכלה</w:t>
      </w:r>
      <w:r>
        <w:rPr>
          <w:rtl/>
        </w:rPr>
        <w:t xml:space="preserve"> כי המקדש במלוה מקודשת)</w:t>
      </w:r>
      <w:r w:rsidRPr="00483D3C">
        <w:rPr>
          <w:rtl/>
        </w:rPr>
        <w:t xml:space="preserve">. </w:t>
      </w:r>
    </w:p>
    <w:p w:rsidR="006C4F09" w:rsidRDefault="006C4F09" w:rsidP="004B0C42">
      <w:pPr>
        <w:pStyle w:val="a3"/>
        <w:rPr>
          <w:rtl/>
        </w:rPr>
      </w:pPr>
      <w:r>
        <w:rPr>
          <w:rtl/>
        </w:rPr>
        <w:t>[ויתירה</w:t>
      </w:r>
      <w:r w:rsidRPr="00483D3C">
        <w:rPr>
          <w:rtl/>
        </w:rPr>
        <w:t xml:space="preserve"> מזו, סברא זו היא </w:t>
      </w:r>
      <w:r>
        <w:rPr>
          <w:rtl/>
        </w:rPr>
        <w:t xml:space="preserve">לכאורה </w:t>
      </w:r>
      <w:r w:rsidRPr="00483D3C">
        <w:rPr>
          <w:rtl/>
        </w:rPr>
        <w:t xml:space="preserve">חזקה יותר מאשר לומר שכשאוכלת רוצה לקדשה בכל אחד בנפרד – גם במה שהיא אכלה </w:t>
      </w:r>
      <w:r w:rsidRPr="00483D3C">
        <w:rPr>
          <w:b/>
          <w:bCs/>
          <w:rtl/>
        </w:rPr>
        <w:t>לבד,</w:t>
      </w:r>
      <w:r w:rsidRPr="00483D3C">
        <w:rPr>
          <w:rtl/>
        </w:rPr>
        <w:t xml:space="preserve"> שהרי עדיפא לי' לקדשה במה שבעין מאשר מה שהיא אוכלת</w:t>
      </w:r>
      <w:r>
        <w:rPr>
          <w:rtl/>
        </w:rPr>
        <w:t>]</w:t>
      </w:r>
      <w:r w:rsidR="00267755">
        <w:rPr>
          <w:rStyle w:val="FootnoteReference"/>
          <w:rtl/>
        </w:rPr>
        <w:footnoteReference w:id="47"/>
      </w:r>
      <w:r w:rsidRPr="00483D3C">
        <w:rPr>
          <w:rtl/>
        </w:rPr>
        <w:t xml:space="preserve">. </w:t>
      </w:r>
    </w:p>
    <w:p w:rsidR="006C4F09" w:rsidRPr="00483D3C" w:rsidRDefault="006C4F09" w:rsidP="004B0C42">
      <w:pPr>
        <w:pStyle w:val="a3"/>
        <w:rPr>
          <w:rtl/>
        </w:rPr>
      </w:pPr>
      <w:r w:rsidRPr="00483D3C">
        <w:rPr>
          <w:rtl/>
        </w:rPr>
        <w:t xml:space="preserve">וא"כ גם להמ"ד המקדש במלוה מקודשת – מ"מ היא מתקדשת דוקא </w:t>
      </w:r>
      <w:r w:rsidRPr="00483D3C">
        <w:rPr>
          <w:b/>
          <w:bCs/>
          <w:rtl/>
        </w:rPr>
        <w:t>באחרונה, במה שלא אכלה</w:t>
      </w:r>
      <w:r w:rsidRPr="00483D3C">
        <w:rPr>
          <w:rtl/>
        </w:rPr>
        <w:t xml:space="preserve">! ולפ"ז אין שום ראי' מדברי רבי אמי עצמם שס"ל דהמקדש במלוה אינה מקודשת. </w:t>
      </w:r>
    </w:p>
    <w:p w:rsidR="006C4F09" w:rsidRPr="00483D3C" w:rsidRDefault="006C4F09" w:rsidP="004B0C42">
      <w:pPr>
        <w:pStyle w:val="a3"/>
        <w:rPr>
          <w:rtl/>
        </w:rPr>
      </w:pPr>
      <w:r w:rsidRPr="00483D3C">
        <w:rPr>
          <w:rtl/>
        </w:rPr>
        <w:t xml:space="preserve">וע"כ ביאר רש"י שהראי' מרבי אמי היא מכך שתירץ כן משום קושית הגמ' "והוא מלוה היא", שמזה משמע שמה שבעינן שיהא באחרונה שוה פרוטה הוא לא מצד הסברא שכן היה בדעת המקדש אלא כדי שלא יהא מלוה, </w:t>
      </w:r>
      <w:r w:rsidRPr="00251790">
        <w:rPr>
          <w:b/>
          <w:bCs/>
          <w:rtl/>
        </w:rPr>
        <w:t>ו</w:t>
      </w:r>
      <w:r>
        <w:rPr>
          <w:b/>
          <w:bCs/>
          <w:rtl/>
        </w:rPr>
        <w:t xml:space="preserve">זוהי הסיבה </w:t>
      </w:r>
      <w:r>
        <w:rPr>
          <w:rtl/>
        </w:rPr>
        <w:t>שבאחרונה דוקא</w:t>
      </w:r>
      <w:r w:rsidRPr="00483D3C">
        <w:rPr>
          <w:rtl/>
        </w:rPr>
        <w:t xml:space="preserve"> מקודשת, ומזה מוכח שכן היא שיטת רבי אמי.</w:t>
      </w:r>
    </w:p>
    <w:p w:rsidR="006C4F09" w:rsidRPr="00483D3C" w:rsidRDefault="006C4F09" w:rsidP="004B0C42">
      <w:pPr>
        <w:pStyle w:val="a3"/>
        <w:rPr>
          <w:rtl/>
        </w:rPr>
      </w:pPr>
      <w:r w:rsidRPr="00483D3C">
        <w:rPr>
          <w:rtl/>
        </w:rPr>
        <w:t xml:space="preserve">ובסגנון אחר: אפשר לבאר את דברי המשנה </w:t>
      </w:r>
      <w:r>
        <w:rPr>
          <w:rtl/>
        </w:rPr>
        <w:t>"</w:t>
      </w:r>
      <w:r w:rsidRPr="00483D3C">
        <w:rPr>
          <w:rtl/>
        </w:rPr>
        <w:t xml:space="preserve">עד שיהא באחרונה </w:t>
      </w:r>
      <w:r>
        <w:rPr>
          <w:rtl/>
        </w:rPr>
        <w:t>שו"פ"</w:t>
      </w:r>
      <w:r w:rsidRPr="00483D3C">
        <w:rPr>
          <w:rtl/>
        </w:rPr>
        <w:t xml:space="preserve"> בשני אופנים: </w:t>
      </w:r>
      <w:r>
        <w:rPr>
          <w:rtl/>
        </w:rPr>
        <w:t>א. מצד</w:t>
      </w:r>
      <w:r w:rsidRPr="00483D3C">
        <w:rPr>
          <w:rtl/>
        </w:rPr>
        <w:t xml:space="preserve"> הדין, שלא יהא מקדש במלוה. ב. מצד הסברא שכן דעתו של מקדש. ומזה שרבי אמי ביאר </w:t>
      </w:r>
      <w:r>
        <w:rPr>
          <w:rtl/>
        </w:rPr>
        <w:t xml:space="preserve">כך </w:t>
      </w:r>
      <w:r w:rsidRPr="00483D3C">
        <w:rPr>
          <w:rtl/>
        </w:rPr>
        <w:t xml:space="preserve">את המשנה </w:t>
      </w:r>
      <w:r w:rsidRPr="00251790">
        <w:rPr>
          <w:b/>
          <w:bCs/>
          <w:rtl/>
        </w:rPr>
        <w:t xml:space="preserve">כהמשך לשאלה </w:t>
      </w:r>
      <w:r w:rsidRPr="00483D3C">
        <w:rPr>
          <w:rtl/>
        </w:rPr>
        <w:t xml:space="preserve">"והא מלוה היא" </w:t>
      </w:r>
      <w:r>
        <w:rPr>
          <w:rtl/>
        </w:rPr>
        <w:t>- משמע</w:t>
      </w:r>
      <w:r w:rsidRPr="00483D3C">
        <w:rPr>
          <w:rtl/>
        </w:rPr>
        <w:t xml:space="preserve"> שס"ל כהאופן הראשון.</w:t>
      </w:r>
    </w:p>
    <w:p w:rsidR="00267755" w:rsidRDefault="006C4F09" w:rsidP="004B0C42">
      <w:pPr>
        <w:pStyle w:val="11"/>
        <w:bidi/>
        <w:rPr>
          <w:rtl/>
        </w:rPr>
      </w:pPr>
      <w:r w:rsidRPr="00483D3C">
        <w:rPr>
          <w:rtl/>
        </w:rPr>
        <w:t xml:space="preserve">ו. </w:t>
      </w:r>
    </w:p>
    <w:p w:rsidR="006C4F09" w:rsidRPr="00483D3C" w:rsidRDefault="006C4F09" w:rsidP="004B0C42">
      <w:pPr>
        <w:pStyle w:val="a3"/>
        <w:rPr>
          <w:rtl/>
        </w:rPr>
      </w:pPr>
      <w:r w:rsidRPr="00483D3C">
        <w:rPr>
          <w:rtl/>
        </w:rPr>
        <w:t xml:space="preserve">והנה לפי כל זה נ"ל שדברי הריטב"א מוכרחים רק בקושיא של הגמ', כשהעמדנו הבבא דהייתה אוכלת בסיפא, </w:t>
      </w:r>
      <w:r>
        <w:rPr>
          <w:rtl/>
        </w:rPr>
        <w:t xml:space="preserve">דאז </w:t>
      </w:r>
      <w:r w:rsidRPr="00483D3C">
        <w:rPr>
          <w:rtl/>
        </w:rPr>
        <w:t>כדי שלא יהיה מזה קושיא על המ"ד שהמקדש במלוה מקודשת</w:t>
      </w:r>
      <w:r>
        <w:rPr>
          <w:rtl/>
        </w:rPr>
        <w:t xml:space="preserve"> על כן מוכרח לומר סברת הריטב"א. אבל</w:t>
      </w:r>
      <w:r w:rsidRPr="00483D3C">
        <w:rPr>
          <w:rtl/>
        </w:rPr>
        <w:t xml:space="preserve"> לפי תשובתם של רב ושמואל שלא קאי על הסיפא, וא"כ </w:t>
      </w:r>
      <w:r>
        <w:rPr>
          <w:rtl/>
        </w:rPr>
        <w:t xml:space="preserve">ממ"נ </w:t>
      </w:r>
      <w:r w:rsidRPr="00483D3C">
        <w:rPr>
          <w:rtl/>
        </w:rPr>
        <w:t xml:space="preserve">אין קושיא על מ"ד זה, וכן לפי רבי אמי שעל אף שקאי על הסיפא מ"מ ס"ל כמ"ד שהמקדש במלוה אינה מקודשת – </w:t>
      </w:r>
      <w:r>
        <w:rPr>
          <w:rtl/>
        </w:rPr>
        <w:t xml:space="preserve">תו </w:t>
      </w:r>
      <w:r w:rsidRPr="00483D3C">
        <w:rPr>
          <w:rtl/>
        </w:rPr>
        <w:t xml:space="preserve">לא צריכים לומר סברא זו אלא אפשר לומר שתמיד דעתו לקדש בכולה.   </w:t>
      </w:r>
    </w:p>
    <w:p w:rsidR="006C4F09" w:rsidRDefault="006C4F09" w:rsidP="004B0C42">
      <w:pPr>
        <w:pStyle w:val="a3"/>
        <w:rPr>
          <w:rtl/>
        </w:rPr>
      </w:pPr>
      <w:r w:rsidRPr="00483D3C">
        <w:rPr>
          <w:rtl/>
        </w:rPr>
        <w:t>ועפ"ז מתורצת היטיב הסתירה בדברי התוס' שהקשנו לעיל. דסיבת החילוק בדבריהם הוא שהתוס' הראשון קאי בשאלת הגמ', והתוס' השני הוא בתשובת הגמ'.</w:t>
      </w:r>
    </w:p>
    <w:p w:rsidR="006C4F09" w:rsidRPr="00483D3C" w:rsidRDefault="006C4F09" w:rsidP="004B0C42">
      <w:pPr>
        <w:pStyle w:val="a3"/>
        <w:rPr>
          <w:rtl/>
        </w:rPr>
      </w:pPr>
      <w:r w:rsidRPr="00483D3C">
        <w:rPr>
          <w:rtl/>
        </w:rPr>
        <w:t>והביאור: התוס' הראשון קאי בשאלת גמ', שאז סוברת הגמ' (ע"פ הריטב"א) שבדעת המקדש לקדשה בכולם רק אם אינה אוכלת אבל אם היא אוכלת ה"ה מקדשה רק באחד מהן. ולפי זה מובן היטיב מדוע כתבו התוס' שהכא</w:t>
      </w:r>
      <w:r>
        <w:rPr>
          <w:rtl/>
        </w:rPr>
        <w:t xml:space="preserve"> </w:t>
      </w:r>
      <w:r w:rsidRPr="00483D3C">
        <w:rPr>
          <w:rtl/>
        </w:rPr>
        <w:t>אינו דומה להתקדשי</w:t>
      </w:r>
      <w:r>
        <w:rPr>
          <w:rtl/>
        </w:rPr>
        <w:t xml:space="preserve"> לאחר ל' יום</w:t>
      </w:r>
      <w:r w:rsidRPr="00483D3C">
        <w:rPr>
          <w:rtl/>
        </w:rPr>
        <w:t>, שהרי שם בודאי שכוונתו לקדשה ב</w:t>
      </w:r>
      <w:r w:rsidRPr="00483D3C">
        <w:rPr>
          <w:b/>
          <w:bCs/>
          <w:rtl/>
        </w:rPr>
        <w:t xml:space="preserve">הכל, </w:t>
      </w:r>
      <w:r w:rsidRPr="00483D3C">
        <w:rPr>
          <w:rtl/>
        </w:rPr>
        <w:t xml:space="preserve">ולכן אינו נחשב מלוה כלל. משא"כ כאן על אף שמקדשה דוקא לאחר שמקבלת הכל – מ"מ מקדשה רק </w:t>
      </w:r>
      <w:r w:rsidRPr="00483D3C">
        <w:rPr>
          <w:b/>
          <w:bCs/>
          <w:rtl/>
        </w:rPr>
        <w:t>באחד</w:t>
      </w:r>
      <w:r w:rsidRPr="00483D3C">
        <w:rPr>
          <w:rtl/>
        </w:rPr>
        <w:t xml:space="preserve">, ועל כן מסתבר לחלק שכל זמן שלא נגמר הדיבור </w:t>
      </w:r>
      <w:r w:rsidRPr="00CE75CB">
        <w:rPr>
          <w:b/>
          <w:bCs/>
          <w:rtl/>
        </w:rPr>
        <w:t>ולא הוברר באיזה מהן התקדשה</w:t>
      </w:r>
      <w:r w:rsidRPr="00483D3C">
        <w:rPr>
          <w:rtl/>
        </w:rPr>
        <w:t xml:space="preserve"> – כל מה שאכלה הוא בגדר מלוה, כי כל מה שאוכלת חוץ מאחד אינו מקדשה, והאחד הזה עדיין לא הוברר.</w:t>
      </w:r>
    </w:p>
    <w:p w:rsidR="006C4F09" w:rsidRPr="00483D3C" w:rsidRDefault="006C4F09" w:rsidP="004B0C42">
      <w:pPr>
        <w:pStyle w:val="a3"/>
        <w:rPr>
          <w:rtl/>
        </w:rPr>
      </w:pPr>
      <w:r w:rsidRPr="00483D3C">
        <w:rPr>
          <w:rtl/>
        </w:rPr>
        <w:t xml:space="preserve">משא"כ בעמוד ב' מאחר וקאי בתירוץ הגמ', אזי לכו"ע לא צריכים יותר לסברא זו, </w:t>
      </w:r>
      <w:r w:rsidRPr="00483D3C">
        <w:rPr>
          <w:rtl/>
        </w:rPr>
        <w:lastRenderedPageBreak/>
        <w:t xml:space="preserve">והמקדש בכולם תמיד דעתו לקדשה בהכל בין אכלה בין לא אכלה. ולפ"ז תו אין סיבה לחלק בין כאן להתם, שהרי גם כאן מקדשה בכולם ואף שלא </w:t>
      </w:r>
      <w:r>
        <w:rPr>
          <w:rtl/>
        </w:rPr>
        <w:t>נ</w:t>
      </w:r>
      <w:r w:rsidRPr="00483D3C">
        <w:rPr>
          <w:rtl/>
        </w:rPr>
        <w:t xml:space="preserve">גמר הדיבור סו"ס הוא נותן </w:t>
      </w:r>
      <w:r>
        <w:rPr>
          <w:rtl/>
        </w:rPr>
        <w:t xml:space="preserve">הכל </w:t>
      </w:r>
      <w:r w:rsidRPr="00483D3C">
        <w:rPr>
          <w:rtl/>
        </w:rPr>
        <w:t>לשם קידושין והיא הולכת להתקדש בהכל, ולכן זה לא נחשב</w:t>
      </w:r>
      <w:r>
        <w:rPr>
          <w:rtl/>
        </w:rPr>
        <w:t xml:space="preserve"> מלוה.</w:t>
      </w:r>
    </w:p>
    <w:p w:rsidR="00760DB7" w:rsidRPr="00760DB7" w:rsidRDefault="00CE4E4A" w:rsidP="00CE4E4A">
      <w:pPr>
        <w:bidi/>
        <w:spacing w:line="276" w:lineRule="auto"/>
        <w:jc w:val="center"/>
        <w:rPr>
          <w:rFonts w:ascii="Nymphette" w:eastAsia="Times New Roman" w:hAnsi="Nymphette" w:cs="Nymphette"/>
          <w:sz w:val="44"/>
          <w:szCs w:val="44"/>
        </w:rPr>
      </w:pPr>
      <w:r>
        <w:rPr>
          <w:rFonts w:ascii="Nymphette" w:eastAsia="Times New Roman" w:hAnsi="Nymphette" w:cs="Nymphette"/>
          <w:sz w:val="44"/>
          <w:szCs w:val="44"/>
        </w:rPr>
        <w:t>g</w:t>
      </w:r>
    </w:p>
    <w:p w:rsidR="00760DB7" w:rsidRDefault="00760DB7" w:rsidP="00AC425E">
      <w:pPr>
        <w:pStyle w:val="12"/>
        <w:rPr>
          <w:rtl/>
        </w:rPr>
      </w:pPr>
      <w:bookmarkStart w:id="137" w:name="_Toc39817440"/>
      <w:r w:rsidRPr="00760DB7">
        <w:rPr>
          <w:rFonts w:hint="cs"/>
          <w:rtl/>
        </w:rPr>
        <w:t>חסידות</w:t>
      </w:r>
      <w:bookmarkEnd w:id="128"/>
      <w:bookmarkEnd w:id="137"/>
    </w:p>
    <w:p w:rsidR="001C53DC" w:rsidRDefault="001C53DC" w:rsidP="003951FF">
      <w:pPr>
        <w:pStyle w:val="a0"/>
        <w:rPr>
          <w:rtl/>
        </w:rPr>
      </w:pPr>
      <w:bookmarkStart w:id="138" w:name="_Toc39817441"/>
      <w:r w:rsidRPr="001C53DC">
        <w:rPr>
          <w:rtl/>
        </w:rPr>
        <w:t>מחשבה בתרומה - ביאור מ"ש בלקוטי לוי יצחק</w:t>
      </w:r>
      <w:bookmarkEnd w:id="138"/>
    </w:p>
    <w:p w:rsidR="003951FF" w:rsidRPr="00C60FEE" w:rsidRDefault="003951FF" w:rsidP="00C93F24">
      <w:pPr>
        <w:pStyle w:val="a"/>
        <w:rPr>
          <w:rtl/>
        </w:rPr>
      </w:pPr>
      <w:bookmarkStart w:id="139" w:name="_Toc39817442"/>
      <w:r w:rsidRPr="00C60FEE">
        <w:rPr>
          <w:rFonts w:hint="cs"/>
          <w:rtl/>
        </w:rPr>
        <w:t>הרב אפרים פישל אסטער</w:t>
      </w:r>
      <w:bookmarkEnd w:id="139"/>
    </w:p>
    <w:p w:rsidR="003951FF" w:rsidRPr="00C60FEE" w:rsidRDefault="003951FF" w:rsidP="003951FF">
      <w:pPr>
        <w:pStyle w:val="a1"/>
        <w:rPr>
          <w:rtl/>
        </w:rPr>
      </w:pPr>
      <w:r w:rsidRPr="00C60FEE">
        <w:rPr>
          <w:rFonts w:hint="cs"/>
          <w:rtl/>
        </w:rPr>
        <w:t>ר"מ בישיבה</w:t>
      </w:r>
    </w:p>
    <w:p w:rsidR="001C53DC" w:rsidRPr="001C53DC" w:rsidRDefault="001C53DC" w:rsidP="004B0C42">
      <w:pPr>
        <w:pStyle w:val="a3"/>
        <w:rPr>
          <w:rFonts w:ascii="Times New Roman" w:hAnsi="Times New Roman" w:cs="Times New Roman"/>
          <w:sz w:val="24"/>
          <w:szCs w:val="24"/>
          <w:rtl/>
        </w:rPr>
      </w:pPr>
      <w:r w:rsidRPr="001C53DC">
        <w:rPr>
          <w:rtl/>
        </w:rPr>
        <w:t>בלקוטי לוי יצחק בהאגרת מיא טבת תרצ"ד כתב כ"ק הרה"ג והרה"ח וכו' המקובל מוהר"ר לוי יצחק ז"ל נ"ע "ואפילו לדעת רש"י שנותן עיניו בצד זה ואוכל בצד אחר, ג"כ יש לספק ולומר שזה די רק לענין שיהא מותר לאכול בצד אחר שהצד האחר יצא מטבל ונחשב כחולין, מפני שהתורה אמרה ונחשב שבמח' בלבד די לענין החלק הנשאר שיהא נחשב כחולין שכבר תרמו ממנו, אבל החלק שנתן בו עיניו שיהא תרומה (אם שהמחשבה מועלת, שדוקא הצד שנתן בו עיניו אותו צריך להפריש לתרומה, אך) אינו קדוש עדיין בקדושת תרומה כ"ז שלא הפרישו, שיהא חייבין עליו זר האוכלו וכדומה".</w:t>
      </w:r>
    </w:p>
    <w:p w:rsidR="001C53DC" w:rsidRPr="001C53DC" w:rsidRDefault="001C53DC" w:rsidP="004B0C42">
      <w:pPr>
        <w:pStyle w:val="a3"/>
        <w:rPr>
          <w:rFonts w:ascii="Times New Roman" w:hAnsi="Times New Roman" w:cs="Times New Roman"/>
          <w:sz w:val="24"/>
          <w:szCs w:val="24"/>
          <w:rtl/>
        </w:rPr>
      </w:pPr>
      <w:r w:rsidRPr="001C53DC">
        <w:rPr>
          <w:rtl/>
        </w:rPr>
        <w:t>והנה פי' דבריו לכאורה, דההפרשה במחשבה אינה מועלת לענין חלות קדושת תרומה אבל מועלת בשתיים: לענין ההיתר של איסור טבל, וגם מועלת שיתחייב להפריש במעשה דוקא מה שהפריש במחשבה. ובפשטות מיתלי תלי בהדדי, דע"י שההפרשה במחשבה פועל שהוא יתחייב להפריש דוקא צד זה לתרומה, סגי בזה להתירו מטבל. והיינו דלא בעינן חלות קדושת תרומה כדי להתיר הטבל מאיסורו אלא סגי בזה לחוד דההפרשה במחשבה מחייבו להפריש צד זה להתיר הטבל.</w:t>
      </w:r>
      <w:r w:rsidRPr="001C53DC">
        <w:rPr>
          <w:rFonts w:ascii="Cambria" w:hAnsi="Cambria" w:cs="Cambria" w:hint="cs"/>
          <w:rtl/>
        </w:rPr>
        <w:t> </w:t>
      </w:r>
    </w:p>
    <w:p w:rsidR="001C53DC" w:rsidRPr="001C53DC" w:rsidRDefault="001C53DC" w:rsidP="004B0C42">
      <w:pPr>
        <w:pStyle w:val="a3"/>
        <w:rPr>
          <w:rFonts w:ascii="Times New Roman" w:hAnsi="Times New Roman" w:cs="Times New Roman"/>
          <w:sz w:val="24"/>
          <w:szCs w:val="24"/>
          <w:rtl/>
        </w:rPr>
      </w:pPr>
      <w:r w:rsidRPr="001C53DC">
        <w:rPr>
          <w:rtl/>
        </w:rPr>
        <w:t>וזה דומה לפעולת המחשבה בקדשים שמבאר בהמשך האיגרת (וכן לעיל ע' שא), שהמחשבה להקדיש מועלת רק לחייבו להקדיש אבל ליכא שום חלות קדשים עי"ז, ועד"ז בתרומה ליכא חלות תרומה כלל רק שמתחייב להפריש מצד זה.</w:t>
      </w:r>
    </w:p>
    <w:p w:rsidR="001C53DC" w:rsidRPr="001C53DC" w:rsidRDefault="001C53DC" w:rsidP="004B0C42">
      <w:pPr>
        <w:pStyle w:val="a3"/>
        <w:rPr>
          <w:rFonts w:ascii="Times New Roman" w:hAnsi="Times New Roman" w:cs="Times New Roman"/>
          <w:sz w:val="24"/>
          <w:szCs w:val="24"/>
          <w:rtl/>
        </w:rPr>
      </w:pPr>
      <w:r w:rsidRPr="001C53DC">
        <w:rPr>
          <w:rtl/>
        </w:rPr>
        <w:t xml:space="preserve">אמנם אם נפרש דבריו הכי, הרי מה שמתחייב להפריש מצד זה גורם היתר איסור טבל בצד האחר, אבל לא משמע הכי כלל בסגנון דבריו של הרלוי"צ, שהרי כתב שההפרשה במח' פועלת ההיתר בצד אחר, ורק בסוגריים הוסיף כדבר נוסף </w:t>
      </w:r>
      <w:r w:rsidRPr="001C53DC">
        <w:rPr>
          <w:sz w:val="24"/>
          <w:szCs w:val="24"/>
          <w:rtl/>
        </w:rPr>
        <w:t>שצריך להפריש משם התרומה, ומשמע שההיתר לא שייך לזה שמתחייב להפריש דוקא בצד זה אלא המחשבה פועלת ההיתר.</w:t>
      </w:r>
      <w:r w:rsidRPr="001C53DC">
        <w:rPr>
          <w:rFonts w:ascii="Cambria" w:hAnsi="Cambria" w:cs="Cambria" w:hint="cs"/>
          <w:sz w:val="24"/>
          <w:szCs w:val="24"/>
          <w:rtl/>
        </w:rPr>
        <w:t> </w:t>
      </w:r>
    </w:p>
    <w:p w:rsidR="001C53DC" w:rsidRPr="001C53DC" w:rsidRDefault="001C53DC" w:rsidP="004B0C42">
      <w:pPr>
        <w:pStyle w:val="a3"/>
        <w:rPr>
          <w:rFonts w:ascii="Times New Roman" w:hAnsi="Times New Roman" w:cs="Times New Roman"/>
          <w:rtl/>
        </w:rPr>
      </w:pPr>
      <w:r w:rsidRPr="001C53DC">
        <w:rPr>
          <w:rtl/>
        </w:rPr>
        <w:t xml:space="preserve">ובאמת דצ"ב בסגנון דבריו דמה רצה להוסיף במ"ש בסוגריים "אם שהמחשבה מועלת וכו'", הרי כבר ביאר היטב לפנ"ז דהמחשבה מועלת להתירו מטבל, וא"כ מדוע הוצרך להוסיף </w:t>
      </w:r>
      <w:r w:rsidRPr="001C53DC">
        <w:rPr>
          <w:rtl/>
        </w:rPr>
        <w:lastRenderedPageBreak/>
        <w:t>עוד שהמח' מועלת וכו'? וע"כ שמ"ש בסוגריים הוא דבר נוסף למ"ש לפנ"ז. ויבואר לקמן.</w:t>
      </w:r>
      <w:r w:rsidRPr="001C53DC">
        <w:rPr>
          <w:rFonts w:ascii="Cambria" w:hAnsi="Cambria" w:cs="Cambria" w:hint="cs"/>
          <w:rtl/>
        </w:rPr>
        <w:t>  </w:t>
      </w:r>
    </w:p>
    <w:p w:rsidR="001C53DC" w:rsidRPr="001C53DC" w:rsidRDefault="001C53DC" w:rsidP="004B0C42">
      <w:pPr>
        <w:pStyle w:val="11"/>
        <w:bidi/>
        <w:rPr>
          <w:rFonts w:ascii="Times New Roman" w:hAnsi="Times New Roman" w:cs="Times New Roman"/>
          <w:rtl/>
        </w:rPr>
      </w:pPr>
      <w:r w:rsidRPr="001C53DC">
        <w:rPr>
          <w:rtl/>
        </w:rPr>
        <w:t>האם חיוב להפריש התרומה מתיר איסור טבל</w:t>
      </w:r>
    </w:p>
    <w:p w:rsidR="001C53DC" w:rsidRPr="001C53DC" w:rsidRDefault="001C53DC" w:rsidP="004B0C42">
      <w:pPr>
        <w:pStyle w:val="a3"/>
        <w:rPr>
          <w:rFonts w:ascii="Times New Roman" w:hAnsi="Times New Roman" w:cs="Times New Roman"/>
          <w:rtl/>
        </w:rPr>
      </w:pPr>
      <w:r w:rsidRPr="001C53DC">
        <w:rPr>
          <w:rtl/>
        </w:rPr>
        <w:t>וגם מסברא לכאורה קשה קצת לומר שההתחייבות להפריש פועל ההיתר, דהנה מה שמתחייב להפריש בצד זה לכאורה הוא רק התחייבות הגברא לחוד להפריש, וא"כ איך פועלת להתירו מטבל, שהרי עדיין לא נשתנה כלום ע"י המחשבה בהחפצא. בשלמא במחשבה בקדשים אפשר לומר שזה רק מחייב הגברא להביאו אבל אין שום קדושה בהבהמה, אבל תרומה אינו דומה לזה, שהרי המחשבה צריך לפעול דבר נוסף להתירו מטבל ומי יימר דסגי התחייבות הגברא לחוד להתיר האיסור טבל כשלא נשתנה כלום ע"י מחשבתו בהחפצא.</w:t>
      </w:r>
      <w:r w:rsidRPr="001C53DC">
        <w:rPr>
          <w:rFonts w:ascii="Cambria" w:hAnsi="Cambria" w:cs="Cambria" w:hint="cs"/>
          <w:rtl/>
        </w:rPr>
        <w:t>  </w:t>
      </w:r>
    </w:p>
    <w:p w:rsidR="001C53DC" w:rsidRPr="001C53DC" w:rsidRDefault="001C53DC" w:rsidP="004B0C42">
      <w:pPr>
        <w:pStyle w:val="a3"/>
        <w:rPr>
          <w:rFonts w:ascii="Times New Roman" w:hAnsi="Times New Roman" w:cs="Times New Roman"/>
          <w:rtl/>
        </w:rPr>
      </w:pPr>
      <w:r w:rsidRPr="001C53DC">
        <w:rPr>
          <w:rtl/>
        </w:rPr>
        <w:t>אמנם זה לא קשה כ"כ דיתכן דרק התחייבות הגברא לחוד להפריש פועלת היתר, ובפרט שהרי מוכרח דהרלוי"צ אזיל להשיטה דטבל הוא איסור חדש בפ"ע. דהנה ידוע מה שחקרו האחרונים בנוגע לאיסור טבל (הובא בלקו"ש חל"ח קרח א וש"נ) אי האיסור הוא מחמת תערובת התרומה בחולין או דלמא ליכא תערובת תרומה לפני שקרא שם תרומה והוי טבל איסור חדש בפ"ע, ובצפע"נ הל' תרומות (ע' נ) כתב כדברי הרלוי"צ שההפרשה במח' מועלת רק להתיר השיריים ולא לקדושת תרומה, ומבאר שזה רק אם נאמר דטבל הוא איסור בפ"ע, אבל אם נאמר דהוא מצד תערובות התרומה הרי מיד שמפריש אפי' במחשבה איכא חלות קדושת תרומה במה שהפריש.</w:t>
      </w:r>
      <w:r w:rsidRPr="001C53DC">
        <w:rPr>
          <w:rFonts w:ascii="Cambria" w:hAnsi="Cambria" w:cs="Cambria" w:hint="cs"/>
          <w:rtl/>
        </w:rPr>
        <w:t> </w:t>
      </w:r>
    </w:p>
    <w:p w:rsidR="001C53DC" w:rsidRPr="001C53DC" w:rsidRDefault="001C53DC" w:rsidP="004B0C42">
      <w:pPr>
        <w:pStyle w:val="a3"/>
        <w:rPr>
          <w:rFonts w:ascii="Times New Roman" w:hAnsi="Times New Roman" w:cs="Times New Roman"/>
          <w:rtl/>
        </w:rPr>
      </w:pPr>
      <w:r w:rsidRPr="001C53DC">
        <w:rPr>
          <w:rtl/>
        </w:rPr>
        <w:t>ועפ"ז דטבל הוי איסור בפ"ע, הנה אם נאמר דגם לצד זה סיבת האיסור הוא מכיון שחייב להפריש תרומה, א"כ רק כשהפריש בפועל ונפטר מחיובו ה"ז מתיר איסור טבל. אמנם אפ"ל דטבל הוא איסור בפ"ע (וע"ד איסור ערלה) ואין סיבת האיסור חיוב התרומה, אלא אדרבא איסור טבל ניתר ע"י הפרשת התרומה. וא"כ אפ"ל דממ"ש ונחשב ילפינן דגם התחייבות הגברא להפריש מועלת להתירו מטבל.</w:t>
      </w:r>
    </w:p>
    <w:p w:rsidR="001C53DC" w:rsidRPr="001C53DC" w:rsidRDefault="001C53DC" w:rsidP="004B0C42">
      <w:pPr>
        <w:pStyle w:val="a3"/>
        <w:rPr>
          <w:rFonts w:ascii="Times New Roman" w:hAnsi="Times New Roman" w:cs="Times New Roman"/>
          <w:rtl/>
        </w:rPr>
      </w:pPr>
      <w:r w:rsidRPr="001C53DC">
        <w:rPr>
          <w:rtl/>
        </w:rPr>
        <w:t>והנה לכאורה אפשר לומר דלא ככל הנ"ל, דבאמת ההפרשה במח' פועלת רק התחייבות להפריש בצד זה, אבל מ"מ אין זה רק התחייבות הגברא לחוד, אלא דהתחייבות זו גופא פועלת בהחפצא דמישך שייך לתרומה, דמיוחד הוא חפצא זו להיות נפרש לתרומה, ולכן פועלת להתיר הטבל דאיכא כאן איזה חלות של תרומה כלפי החפצא שמועלת להתיר הטבל. וסגי בזה להתיר האיסור טבל, אפי' אם נאמר דאיסור טבל יסודו מחמת חיוב תרומה ולא איסור חדש כיון דכבר איכא התחלת חלות תרומה.</w:t>
      </w:r>
      <w:r w:rsidRPr="001C53DC">
        <w:rPr>
          <w:rFonts w:ascii="Cambria" w:hAnsi="Cambria" w:cs="Cambria" w:hint="cs"/>
          <w:rtl/>
        </w:rPr>
        <w:t>       </w:t>
      </w:r>
    </w:p>
    <w:p w:rsidR="001C53DC" w:rsidRPr="001C53DC" w:rsidRDefault="001C53DC" w:rsidP="004B0C42">
      <w:pPr>
        <w:pStyle w:val="a3"/>
        <w:rPr>
          <w:rFonts w:ascii="Times New Roman" w:hAnsi="Times New Roman" w:cs="Times New Roman"/>
          <w:rtl/>
        </w:rPr>
      </w:pPr>
      <w:r w:rsidRPr="001C53DC">
        <w:rPr>
          <w:rtl/>
        </w:rPr>
        <w:t xml:space="preserve">אמנם כנ"ל לא משמע הכי כלל בדברי הרלוי"צ דא"כ הול"ל ע"ד שכ' בקדשים דהמחשבה מועלת לחייב להפריש (או חיוב גברא לחוד או חיוב שפועל גם על החפצא) ועי"ז נפעל ההיתר. והגם שעיקר דבריו הם לפרש מ"ש רש"י ההיתר ד"אוכל בצד אחר" ולכן הקדים ענין ההיתר, אבל כנ"ל זה שמתחייב להפריש הכניס בסוגריים כדבר נוסף, ומובן שאין כוונתו שזה פועל ההיתר. וגם מדברי הצפע"נ שהובא לעיל מובן שהמחשבה פועלת בהפצא להתירו מטבל, שהרי כתב דאם נאמר דאיסור טבל הוא תערובות חולין ותרומה מיד שהפריש במחשבה איכא חלות תרומה. אמנם אם נאמר דההפרשה במחשבה הוא רק התחייבות הגברא ולא נשתנה כלום בהחפצא, הרי אפילו אם טבל הוא תערובות חולין ותרומה אפ"ל דמהני המחשבה (שהוא רק התחייבות) רק להתיר אבל עדיין הוי תערובות חולין ותרומה, ורק ע"י </w:t>
      </w:r>
      <w:r w:rsidRPr="001C53DC">
        <w:rPr>
          <w:rtl/>
        </w:rPr>
        <w:lastRenderedPageBreak/>
        <w:t>שמפריש במעשה איכא חלות קדושה על תרומה בפ"ע. אלא מוכרח דס"ל דמה שפועלת המחשבה להתיר הוא כיון דאיכא שם תרומה בהחפצא לענין זה, ולכן כתב דאי איכא תערובות תרומה בהחולין הרי מיד כשהפריש במח' איכא חלות קדושת תרומה.</w:t>
      </w:r>
      <w:r w:rsidRPr="001C53DC">
        <w:rPr>
          <w:rFonts w:ascii="Cambria" w:hAnsi="Cambria" w:cs="Cambria" w:hint="cs"/>
          <w:rtl/>
        </w:rPr>
        <w:t> </w:t>
      </w:r>
    </w:p>
    <w:p w:rsidR="001C53DC" w:rsidRPr="001C53DC" w:rsidRDefault="001C53DC" w:rsidP="004B0C42">
      <w:pPr>
        <w:pStyle w:val="11"/>
        <w:bidi/>
        <w:rPr>
          <w:rFonts w:ascii="Times New Roman" w:hAnsi="Times New Roman" w:cs="Times New Roman"/>
          <w:rtl/>
        </w:rPr>
      </w:pPr>
      <w:r w:rsidRPr="001C53DC">
        <w:rPr>
          <w:rtl/>
        </w:rPr>
        <w:t>ביאור בדא"פ דברי הרלוי"צ ז"ל</w:t>
      </w:r>
    </w:p>
    <w:p w:rsidR="001C53DC" w:rsidRPr="001C53DC" w:rsidRDefault="001C53DC" w:rsidP="004B0C42">
      <w:pPr>
        <w:pStyle w:val="a3"/>
        <w:rPr>
          <w:rFonts w:ascii="Times New Roman" w:hAnsi="Times New Roman" w:cs="Times New Roman"/>
          <w:rtl/>
        </w:rPr>
      </w:pPr>
      <w:r w:rsidRPr="001C53DC">
        <w:rPr>
          <w:rtl/>
        </w:rPr>
        <w:t>ואפ"ל בביאור דבריו דבאמת מ"ש הרלוי"צ לענין מח' בתרומה לא דמי לגמרי לפעולת המח' בקדשים, דבתרומה ההפרשה במחשבה פועלת על החפצא שם תרומה, אמנם לא הרי מה שמועלת להיתר לזה שמועלת לקדושת תרומה, דאיכא שם תרומה שהו"ע שלילי היינו רק לגבי זה שנפרש מהחולין, ואיכא שם תרומה שהו"ע חיובי מה שחל עליו קדושת תרומה, והמח' פועלת שם תרומה רק לגבי ענין השלילי בהתרומה שנפרש מהחולין, וההפרשה במעשה פועלת גם זה שחל בה קדושת תרומה.</w:t>
      </w:r>
    </w:p>
    <w:p w:rsidR="001C53DC" w:rsidRPr="001C53DC" w:rsidRDefault="001C53DC" w:rsidP="004B0C42">
      <w:pPr>
        <w:pStyle w:val="a3"/>
        <w:rPr>
          <w:rFonts w:ascii="Times New Roman" w:hAnsi="Times New Roman" w:cs="Times New Roman"/>
          <w:rtl/>
        </w:rPr>
      </w:pPr>
      <w:r w:rsidRPr="001C53DC">
        <w:rPr>
          <w:rtl/>
        </w:rPr>
        <w:t>בסגנון אחר, ב' פרטים בתרומה: תרומה שהוא מל' הפרשה שזה חפצא שנפרש מהחולין, דהפרשה זו גופא היא היא גדר החפצא דהתרומה, וחלות הקדושה בהתרומה (מל' הרמה) שאסור לזרים ומותר רק לכהנים. וחילוק עיקרי ביניהם, דשם תרומה שהוא הפרשה מהחולין, הגם שזה שם תרומה כלפי החפצא אבל ענינו רק זה שנפרש מדבר אחר, ואין כאן שינוי וחידוש או חלות בעצם החפצא מלבד ההפרשה, משא"כ חלות קדושת תרומה הוא שינוי בעצם החפצא מחולין לקדושת תרומה.</w:t>
      </w:r>
    </w:p>
    <w:p w:rsidR="001C53DC" w:rsidRPr="001C53DC" w:rsidRDefault="001C53DC" w:rsidP="004B0C42">
      <w:pPr>
        <w:pStyle w:val="a3"/>
        <w:rPr>
          <w:rFonts w:ascii="Times New Roman" w:hAnsi="Times New Roman" w:cs="Times New Roman"/>
          <w:rtl/>
        </w:rPr>
      </w:pPr>
      <w:r w:rsidRPr="001C53DC">
        <w:rPr>
          <w:rtl/>
        </w:rPr>
        <w:t>וזהו ביאור החילוק בין הפרשה במח' להפרשה במעשה, דלענין שם תרומה שנפרש מהחולין, הרי כיון שאינו מתחדש כלום בעצם החפצא רק הפרשה, בזה אמרה תורה דלא בעינן הפרשה בפועל להפריש התרומה מהחולין, וגם מה שהוא מפריש במחשבתו דצד זה חולין וצד זה תרומה הוי הפרשה מעלייתא, דמהשתא מופרש ועומד הוא. אמנם לפעול שינוי בעצם החפצא לקדושת תרומה, לא שמענו שמועלת מחשבה לענין זה.</w:t>
      </w:r>
    </w:p>
    <w:p w:rsidR="001C53DC" w:rsidRPr="001C53DC" w:rsidRDefault="001C53DC" w:rsidP="004B0C42">
      <w:pPr>
        <w:pStyle w:val="a3"/>
        <w:rPr>
          <w:rFonts w:ascii="Times New Roman" w:hAnsi="Times New Roman" w:cs="Times New Roman"/>
          <w:rtl/>
        </w:rPr>
      </w:pPr>
      <w:r w:rsidRPr="001C53DC">
        <w:rPr>
          <w:rtl/>
        </w:rPr>
        <w:t>ולכן הגם שכאן פועלת המח' שם תרומה בהחפצא ולא רק התחייבות הגברא כבמח' בקדשים, אבל סו"ס דומה הוא לקדשים בזה שאין המח' פועל שינוי או חלות בעצם החפצא, והוא משום דהמח' אינו פועל בדבר שחוץ ממנו, ובהפרשת התרומה סגי בזה שבמחשבתו הוא הוי זה מופרש לתרומה להיות הפרשה מעלייתא, ועד"ז בקדשים מתחייב רק הוא להקדישו.</w:t>
      </w:r>
    </w:p>
    <w:p w:rsidR="00233D5E" w:rsidRDefault="001C53DC" w:rsidP="004B0C42">
      <w:pPr>
        <w:pStyle w:val="a3"/>
        <w:rPr>
          <w:rFonts w:ascii="Cambria" w:hAnsi="Cambria" w:cs="Cambria"/>
          <w:rtl/>
        </w:rPr>
      </w:pPr>
      <w:r w:rsidRPr="001C53DC">
        <w:rPr>
          <w:rtl/>
        </w:rPr>
        <w:t>ודוק היטב בלישנא דהרלוי"צ, דגם המח' מועלת לגבי החפצא דתרומה להתיר, אלא שבמח' די לענין החלק הנשאר וכשהפרישו מועלת לגבי איסור אכילת זרים, ומדייק להוסיף איסור האכילה לזרים ולא הסתפק בזה שדוקא כשמפרישו במעשה חל קדושת תרומה, אלא י"ל דכונת דבריו דגם לפני זה איכא שם תרומה שנפרש מהחולין, ולא רק חיוב גברא להפרישו, דאם רק חיוב גברא הוא פשוט הוא שדוקא כשמפריש במעשה איכא חלות (קדושה) בהחפצא, אלא שבאמת איכא גם שם תרומה כלפי החפצא גם במח', אלא שמ"מ אין זה שינוי בעצם החפצא, דשינוי בעצם החפצא הוא רק בחלות קדושת תרומה, מכיון שגדר הקדושת תרומה הוא זה גופא שאינו רק ענין שלילי שנפרש מהחולין אלא זה דאיכא שינוי וחלות קדושה בחפצא זו לאסרו לזרים.</w:t>
      </w:r>
      <w:r w:rsidRPr="001C53DC">
        <w:rPr>
          <w:rFonts w:ascii="Cambria" w:hAnsi="Cambria" w:cs="Cambria" w:hint="cs"/>
          <w:rtl/>
        </w:rPr>
        <w:t> </w:t>
      </w:r>
    </w:p>
    <w:p w:rsidR="00233D5E" w:rsidRDefault="00233D5E">
      <w:pPr>
        <w:rPr>
          <w:rFonts w:ascii="Cambria" w:eastAsia="Calibri" w:hAnsi="Cambria" w:cs="Cambria"/>
          <w:color w:val="000000" w:themeColor="text1"/>
          <w:bdr w:val="nil"/>
          <w:rtl/>
          <w:lang w:val="bg-BG"/>
        </w:rPr>
      </w:pPr>
      <w:r>
        <w:rPr>
          <w:rFonts w:ascii="Cambria" w:hAnsi="Cambria" w:cs="Times New Roman"/>
          <w:rtl/>
        </w:rPr>
        <w:br w:type="page"/>
      </w:r>
    </w:p>
    <w:p w:rsidR="001C53DC" w:rsidRPr="001C53DC" w:rsidRDefault="001C53DC" w:rsidP="004B0C42">
      <w:pPr>
        <w:pStyle w:val="11"/>
        <w:bidi/>
        <w:rPr>
          <w:rFonts w:ascii="Times New Roman" w:hAnsi="Times New Roman" w:cs="Times New Roman"/>
          <w:rtl/>
        </w:rPr>
      </w:pPr>
      <w:r w:rsidRPr="001C53DC">
        <w:rPr>
          <w:rtl/>
        </w:rPr>
        <w:lastRenderedPageBreak/>
        <w:t>ביאור בדא"פ בדברי הרלוי"צ ז"ל בסוגריים</w:t>
      </w:r>
    </w:p>
    <w:p w:rsidR="001C53DC" w:rsidRPr="001C53DC" w:rsidRDefault="001C53DC" w:rsidP="004B0C42">
      <w:pPr>
        <w:pStyle w:val="a3"/>
        <w:rPr>
          <w:rFonts w:ascii="Times New Roman" w:hAnsi="Times New Roman" w:cs="Times New Roman"/>
          <w:rtl/>
        </w:rPr>
      </w:pPr>
      <w:r w:rsidRPr="001C53DC">
        <w:rPr>
          <w:rtl/>
        </w:rPr>
        <w:t>ועפ"ז מ"ש בסוגריים דבר נוסף שהמח' מועלת שצריך להפריש תרומה במעשה בצד זה, אין זה שייך להיתר איסור טבל, אלא שבנוסף להתירו מטבל מועלת המח' ג"כ לגבי קדושת התרומה, דהגם שאינה מועלת לחלות קדושת תרומה אבל מועלת עכ"פ לחייבו להפריש במעשה ולהחיל קדושת תרומה בצד זה, אבל אינו קדוש עדיין בקדושת תרומה.</w:t>
      </w:r>
    </w:p>
    <w:p w:rsidR="001C53DC" w:rsidRPr="001C53DC" w:rsidRDefault="001C53DC" w:rsidP="004B0C42">
      <w:pPr>
        <w:pStyle w:val="a3"/>
        <w:rPr>
          <w:rFonts w:ascii="Times New Roman" w:hAnsi="Times New Roman" w:cs="Times New Roman"/>
          <w:rtl/>
        </w:rPr>
      </w:pPr>
      <w:r w:rsidRPr="001C53DC">
        <w:rPr>
          <w:rtl/>
        </w:rPr>
        <w:t>ומובן היטב המשך דבריו, דזה שהמחשבה מועלת להתירו מטבל הוא מילתא אחריתי לגמרי מקדושת תרומה, דהיתר איסור טבל לאו מיתלי תלי כלל בקדושת תרומה, דשם ההפרשה של התרומה הוא בשלימות גם ע"י ההפרשה במח' לחוד. ותרי מילי נינהו. אבל מ"מ מוסיף שאכן מועלת המח' גם לגבי קדושת התרומה, אבל רק לחייבו להפריש ולא לענין חלות קדושת תרומה.</w:t>
      </w:r>
    </w:p>
    <w:p w:rsidR="001C53DC" w:rsidRPr="001C53DC" w:rsidRDefault="001C53DC" w:rsidP="004B0C42">
      <w:pPr>
        <w:pStyle w:val="a3"/>
        <w:rPr>
          <w:rFonts w:ascii="Times New Roman" w:hAnsi="Times New Roman" w:cs="Times New Roman"/>
          <w:rtl/>
        </w:rPr>
      </w:pPr>
      <w:r w:rsidRPr="001C53DC">
        <w:rPr>
          <w:rtl/>
        </w:rPr>
        <w:t>אמנם צ"ב מהו ההכרח להוסיף פרט זה? והנה לכאורה הסברת הענין הוא, דאם היות דתרי מילי נינהו שם ההפרשה דהתרומה וחלות קדושת תרומה, מ"מ שם הפרשת התרומה הוא שמכריחו להחיל קדושת התרומה דוקא בצד זה שנפרש מהחולין ולא במקום אחר. ובסגנון אחר, שלב הא' שנשלל מהחולין הוא ההקדמה לשלב הב' חלות קדושת תרומה בצד זה.</w:t>
      </w:r>
    </w:p>
    <w:p w:rsidR="001C53DC" w:rsidRPr="001C53DC" w:rsidRDefault="001C53DC" w:rsidP="004B0C42">
      <w:pPr>
        <w:pStyle w:val="a3"/>
        <w:rPr>
          <w:rFonts w:ascii="Times New Roman" w:hAnsi="Times New Roman" w:cs="Times New Roman"/>
          <w:rtl/>
        </w:rPr>
      </w:pPr>
      <w:r w:rsidRPr="001C53DC">
        <w:rPr>
          <w:rtl/>
        </w:rPr>
        <w:t>ונראה לומר, דההכרח להוספה זו, הוא מתוך עצם הסוגיא בקידושין מא, דהנה סוגיית הגמ' הוא בהילפותא לדין שליחות, וקאמר הגמ' דנכתוב רחמנא שליחות בתרומה ונילף גירושין וקידושין מיני', "איכא למיפרך שכן ישנה במחשבה". והנה לכאו' הא פשיטא דשליחות בתרומה מועלת הן לענין הפרשת התרומה להתירו מטבל והן לענין חלות קדושת תרומה, וא"כ לפי' הרלוי"צ בדברי רש"י שבתרומה מועלת המח' רק להתיר הטבל ד"אוכל בצד זה", אבל אין המח' מועלת לענין קדושת תרומה הרי אין זה פירכא על הא דמועלת שליחות לגבי קדושת תרומה, ועדיין נילף מזה דין שליחות?</w:t>
      </w:r>
    </w:p>
    <w:p w:rsidR="001C53DC" w:rsidRPr="001C53DC" w:rsidRDefault="001C53DC" w:rsidP="004B0C42">
      <w:pPr>
        <w:pStyle w:val="a3"/>
        <w:rPr>
          <w:rFonts w:ascii="Times New Roman" w:hAnsi="Times New Roman" w:cs="Times New Roman"/>
          <w:rtl/>
        </w:rPr>
      </w:pPr>
      <w:r w:rsidRPr="001C53DC">
        <w:rPr>
          <w:rtl/>
        </w:rPr>
        <w:t>ובפשטות אפ"ל דסו"ס חזינן דמועלת מח' לענין תרומה, וסגי בזה לומר דזה גורם דין שליחות הן לגבי היתר איסור טבל והן לגבי קדושת התרומה. אמנם הרי נת' דלביאור הרלוי"צ תרי מילי נינהו, ולא שייך קדושת תרומה להיתר איסור טבל, שהרי זהו כל חידושו, דלא נימא דקדושת התרומה הוא שלימות בהפרשת התרומה ובלא זה חסר בשם התרומה לענין להתירו מטבל, דאינו כן, דהפרשת התרומה להתירו מטבל לחוד וקדושת תרומה לחוד. וא"כ איך מהני הפירכא דישנה במחשבה לגבי היתר איסור טבל לענין דין השליחות בחלות קדושת תרומה?</w:t>
      </w:r>
    </w:p>
    <w:p w:rsidR="001C53DC" w:rsidRPr="001C53DC" w:rsidRDefault="001C53DC" w:rsidP="004B0C42">
      <w:pPr>
        <w:pStyle w:val="a3"/>
        <w:rPr>
          <w:rFonts w:ascii="Times New Roman" w:hAnsi="Times New Roman" w:cs="Times New Roman"/>
          <w:rtl/>
        </w:rPr>
      </w:pPr>
      <w:r w:rsidRPr="001C53DC">
        <w:rPr>
          <w:rtl/>
        </w:rPr>
        <w:t>וי"ל שלכן הוסיף הרלוי"צ דמועלת המח' גם לגבי קדושת התרומה דאם היות שאין המח' מועלת לחלות קדושת תרומה אבל מועלת לחייבו להפריש ולהחיל קדושת תרומה. ודי בזה ששייך הפירכא גם לגבי קדושת התרומה.</w:t>
      </w:r>
    </w:p>
    <w:p w:rsidR="001C53DC" w:rsidRPr="001C53DC" w:rsidRDefault="001C53DC" w:rsidP="004B0C42">
      <w:pPr>
        <w:pStyle w:val="a3"/>
        <w:rPr>
          <w:rFonts w:ascii="Times New Roman" w:hAnsi="Times New Roman" w:cs="Times New Roman"/>
          <w:rtl/>
        </w:rPr>
      </w:pPr>
      <w:r w:rsidRPr="001C53DC">
        <w:rPr>
          <w:rtl/>
        </w:rPr>
        <w:t>והנה לכאו' נמצא דפי' הרלוי"צ מדויק מאד ברש"י שנקט דמהני המח' ש"אוכל בצד זה" ולא כתב דחל קדושת תרומה. אמנם חזינן בלשונו שכ' "יש לספק ולומר" שחידוש הוא לפרש כן ברש"י. ובפשטות טעמא דמילתא כיון דחידוש הוא לומר דרש"י נקט כן בדבריו לדיוקא להוציא קדושת תרומה, ובפשטות כ' רש"י ההיתר וה"ה דמועלת מח' לגבי קדושת התרומה.</w:t>
      </w:r>
    </w:p>
    <w:p w:rsidR="001C53DC" w:rsidRPr="001C53DC" w:rsidRDefault="001C53DC" w:rsidP="004B0C42">
      <w:pPr>
        <w:pStyle w:val="a3"/>
        <w:rPr>
          <w:rFonts w:ascii="Times New Roman" w:hAnsi="Times New Roman" w:cs="Times New Roman"/>
          <w:rtl/>
        </w:rPr>
      </w:pPr>
      <w:r w:rsidRPr="001C53DC">
        <w:rPr>
          <w:rtl/>
        </w:rPr>
        <w:t xml:space="preserve">ולהנ"ל נמצא דעוד דוחק איכא בפירושו, דחסר בדברי רש"י איך מהני האי פירכא גם לגבי </w:t>
      </w:r>
      <w:r w:rsidRPr="001C53DC">
        <w:rPr>
          <w:rtl/>
        </w:rPr>
        <w:lastRenderedPageBreak/>
        <w:t>דין שליחות בקדושת תרומה, דרש"י ביאר רק הפירכא לגבי ההיתר דהפרשת תרומה.</w:t>
      </w:r>
    </w:p>
    <w:p w:rsidR="001C53DC" w:rsidRPr="001C53DC" w:rsidRDefault="001C53DC" w:rsidP="004B0C42">
      <w:pPr>
        <w:pStyle w:val="11"/>
        <w:bidi/>
        <w:rPr>
          <w:rFonts w:ascii="Times New Roman" w:hAnsi="Times New Roman" w:cs="Times New Roman"/>
          <w:rtl/>
        </w:rPr>
      </w:pPr>
      <w:r w:rsidRPr="001C53DC">
        <w:rPr>
          <w:rtl/>
        </w:rPr>
        <w:t>ביאור דברי רש"י לשיטת הרבי</w:t>
      </w:r>
    </w:p>
    <w:p w:rsidR="001C53DC" w:rsidRPr="001C53DC" w:rsidRDefault="001C53DC" w:rsidP="004B0C42">
      <w:pPr>
        <w:pStyle w:val="a3"/>
        <w:rPr>
          <w:rFonts w:ascii="Times New Roman" w:hAnsi="Times New Roman" w:cs="Times New Roman"/>
          <w:rtl/>
        </w:rPr>
      </w:pPr>
      <w:r w:rsidRPr="001C53DC">
        <w:rPr>
          <w:rtl/>
        </w:rPr>
        <w:t>והנה הרבי הרי מפרש שמועלת מחשבה גם לקדושת התרומה, וכמבואר גם באג"ק ח"א ע' רלט. וא"כ צ"ב מה שדייק רש"י שמועלת מח' שאוכל בצד זה, ולא כ' יתירה מזו שמועלת גם לקדושת התרומה.</w:t>
      </w:r>
      <w:r w:rsidRPr="001C53DC">
        <w:rPr>
          <w:rFonts w:ascii="Cambria" w:hAnsi="Cambria" w:cs="Cambria" w:hint="cs"/>
          <w:rtl/>
        </w:rPr>
        <w:t> </w:t>
      </w:r>
    </w:p>
    <w:p w:rsidR="001C53DC" w:rsidRPr="001C53DC" w:rsidRDefault="001C53DC" w:rsidP="004B0C42">
      <w:pPr>
        <w:pStyle w:val="a3"/>
        <w:rPr>
          <w:rFonts w:ascii="Times New Roman" w:hAnsi="Times New Roman" w:cs="Times New Roman"/>
          <w:rtl/>
        </w:rPr>
      </w:pPr>
      <w:r w:rsidRPr="001C53DC">
        <w:rPr>
          <w:rtl/>
        </w:rPr>
        <w:t>וי"ל בזה, דהנה אפ"ל דחידוש שיטת הרבי בזה הוא רק זה שמועלת מח' גם לענין קדושת תרומה, אבל עצם הענין שביאר הרלוי"צ דתרי מילי איכא בתרומה ההפרשה להתירו מטבל וחלות קדושת תרומה לא איירי בזה הרבי כלל, אמנם מקום לומר דטעמא דמלתא דמועלת מח' להפריש תרומה גם לחלות הקדושה הוא משום דס"ל דא"א לחלקו לתרתי, דחד מלתא הוא.</w:t>
      </w:r>
    </w:p>
    <w:p w:rsidR="001C53DC" w:rsidRPr="001C53DC" w:rsidRDefault="001C53DC" w:rsidP="004B0C42">
      <w:pPr>
        <w:pStyle w:val="a3"/>
        <w:rPr>
          <w:rFonts w:ascii="Times New Roman" w:hAnsi="Times New Roman" w:cs="Times New Roman"/>
          <w:rtl/>
        </w:rPr>
      </w:pPr>
      <w:r w:rsidRPr="001C53DC">
        <w:rPr>
          <w:rtl/>
        </w:rPr>
        <w:t>והי' אפשר לבאר זה, דהנה הצפע"נ (שהובא לעיל) כתב דאם גדר איסור טבל הוא תערובות חולין ותרומה פשוט דחלות קדושת תרומה הוא מיד כשמפרישו, ולא שייך לחלק הפרשת תרומה לתרתי. ולכאו' זהו יסוד שיטת הרבי דצריך לומר דהמח' מועלת גם לקדושת תרומה.</w:t>
      </w:r>
    </w:p>
    <w:p w:rsidR="001C53DC" w:rsidRPr="001C53DC" w:rsidRDefault="001C53DC" w:rsidP="004B0C42">
      <w:pPr>
        <w:pStyle w:val="a3"/>
        <w:rPr>
          <w:rFonts w:ascii="Times New Roman" w:hAnsi="Times New Roman" w:cs="Times New Roman"/>
          <w:rtl/>
        </w:rPr>
      </w:pPr>
      <w:r w:rsidRPr="001C53DC">
        <w:rPr>
          <w:rtl/>
        </w:rPr>
        <w:t>אמנם אם כי כן הוא בצפע"נ, אבל אין זה הסבר שיטת הרבי. דבאג"ק שם מביא ענין זה דתרומה כדוגמא לזה שהמחשבה פועלת מחוץ להאדם, וא"כ מוכח דס"ל דהמח' פועלת ומחדשת קדושת התרומה. אבל י"ל באופן אחר, דלעיל נתבאר בביאור דברי הרלוי"צ</w:t>
      </w:r>
      <w:r w:rsidRPr="001C53DC">
        <w:rPr>
          <w:rFonts w:ascii="Cambria" w:hAnsi="Cambria" w:cs="Cambria" w:hint="cs"/>
          <w:rtl/>
        </w:rPr>
        <w:t> </w:t>
      </w:r>
      <w:r w:rsidRPr="001C53DC">
        <w:rPr>
          <w:rtl/>
        </w:rPr>
        <w:t xml:space="preserve"> </w:t>
      </w:r>
      <w:r w:rsidRPr="001C53DC">
        <w:rPr>
          <w:rFonts w:hint="cs"/>
          <w:rtl/>
        </w:rPr>
        <w:t>דהפרשת</w:t>
      </w:r>
      <w:r w:rsidRPr="001C53DC">
        <w:rPr>
          <w:rtl/>
        </w:rPr>
        <w:t xml:space="preserve"> </w:t>
      </w:r>
      <w:r w:rsidRPr="001C53DC">
        <w:rPr>
          <w:rFonts w:hint="cs"/>
          <w:rtl/>
        </w:rPr>
        <w:t>התרומה</w:t>
      </w:r>
      <w:r w:rsidRPr="001C53DC">
        <w:rPr>
          <w:rtl/>
        </w:rPr>
        <w:t xml:space="preserve"> </w:t>
      </w:r>
      <w:r w:rsidRPr="001C53DC">
        <w:rPr>
          <w:rFonts w:hint="cs"/>
          <w:rtl/>
        </w:rPr>
        <w:t>הוא</w:t>
      </w:r>
      <w:r w:rsidRPr="001C53DC">
        <w:rPr>
          <w:rtl/>
        </w:rPr>
        <w:t xml:space="preserve"> </w:t>
      </w:r>
      <w:r w:rsidRPr="001C53DC">
        <w:rPr>
          <w:rFonts w:hint="cs"/>
          <w:rtl/>
        </w:rPr>
        <w:t>בשלימות</w:t>
      </w:r>
      <w:r w:rsidRPr="001C53DC">
        <w:rPr>
          <w:rtl/>
        </w:rPr>
        <w:t xml:space="preserve"> </w:t>
      </w:r>
      <w:r w:rsidRPr="001C53DC">
        <w:rPr>
          <w:rFonts w:hint="cs"/>
          <w:rtl/>
        </w:rPr>
        <w:t>בלי</w:t>
      </w:r>
      <w:r w:rsidRPr="001C53DC">
        <w:rPr>
          <w:rtl/>
        </w:rPr>
        <w:t xml:space="preserve"> </w:t>
      </w:r>
      <w:r w:rsidRPr="001C53DC">
        <w:rPr>
          <w:rFonts w:hint="cs"/>
          <w:rtl/>
        </w:rPr>
        <w:t>חלות</w:t>
      </w:r>
      <w:r w:rsidRPr="001C53DC">
        <w:rPr>
          <w:rtl/>
        </w:rPr>
        <w:t xml:space="preserve"> </w:t>
      </w:r>
      <w:r w:rsidRPr="001C53DC">
        <w:rPr>
          <w:rFonts w:hint="cs"/>
          <w:rtl/>
        </w:rPr>
        <w:t>קדושת</w:t>
      </w:r>
      <w:r w:rsidRPr="001C53DC">
        <w:rPr>
          <w:rtl/>
        </w:rPr>
        <w:t xml:space="preserve"> </w:t>
      </w:r>
      <w:r w:rsidRPr="001C53DC">
        <w:rPr>
          <w:rFonts w:hint="cs"/>
          <w:rtl/>
        </w:rPr>
        <w:t>התרומה</w:t>
      </w:r>
      <w:r w:rsidRPr="001C53DC">
        <w:rPr>
          <w:rtl/>
        </w:rPr>
        <w:t xml:space="preserve">, </w:t>
      </w:r>
      <w:r w:rsidRPr="001C53DC">
        <w:rPr>
          <w:rFonts w:hint="cs"/>
          <w:rtl/>
        </w:rPr>
        <w:t>והיינו</w:t>
      </w:r>
      <w:r w:rsidRPr="001C53DC">
        <w:rPr>
          <w:rtl/>
        </w:rPr>
        <w:t xml:space="preserve"> </w:t>
      </w:r>
      <w:r w:rsidRPr="001C53DC">
        <w:rPr>
          <w:rFonts w:hint="cs"/>
          <w:rtl/>
        </w:rPr>
        <w:t>משום</w:t>
      </w:r>
      <w:r w:rsidRPr="001C53DC">
        <w:rPr>
          <w:rtl/>
        </w:rPr>
        <w:t xml:space="preserve"> </w:t>
      </w:r>
      <w:r w:rsidRPr="001C53DC">
        <w:rPr>
          <w:rFonts w:hint="cs"/>
          <w:rtl/>
        </w:rPr>
        <w:t>שההפרשה</w:t>
      </w:r>
      <w:r w:rsidRPr="001C53DC">
        <w:rPr>
          <w:rtl/>
        </w:rPr>
        <w:t xml:space="preserve"> </w:t>
      </w:r>
      <w:r w:rsidRPr="001C53DC">
        <w:rPr>
          <w:rFonts w:hint="cs"/>
          <w:rtl/>
        </w:rPr>
        <w:t>נשלם</w:t>
      </w:r>
      <w:r w:rsidRPr="001C53DC">
        <w:rPr>
          <w:rtl/>
        </w:rPr>
        <w:t xml:space="preserve"> </w:t>
      </w:r>
      <w:r w:rsidRPr="001C53DC">
        <w:rPr>
          <w:rFonts w:hint="cs"/>
          <w:rtl/>
        </w:rPr>
        <w:t>בזו</w:t>
      </w:r>
      <w:r w:rsidRPr="001C53DC">
        <w:rPr>
          <w:rtl/>
        </w:rPr>
        <w:t xml:space="preserve"> </w:t>
      </w:r>
      <w:r w:rsidRPr="001C53DC">
        <w:rPr>
          <w:rFonts w:hint="cs"/>
          <w:rtl/>
        </w:rPr>
        <w:t>שבמציאות</w:t>
      </w:r>
      <w:r w:rsidRPr="001C53DC">
        <w:rPr>
          <w:rtl/>
        </w:rPr>
        <w:t xml:space="preserve"> </w:t>
      </w:r>
      <w:r w:rsidRPr="001C53DC">
        <w:rPr>
          <w:rFonts w:hint="cs"/>
          <w:rtl/>
        </w:rPr>
        <w:t>הוא</w:t>
      </w:r>
      <w:r w:rsidRPr="001C53DC">
        <w:rPr>
          <w:rtl/>
        </w:rPr>
        <w:t xml:space="preserve"> </w:t>
      </w:r>
      <w:r w:rsidRPr="001C53DC">
        <w:rPr>
          <w:rFonts w:hint="cs"/>
          <w:rtl/>
        </w:rPr>
        <w:t>מופרש</w:t>
      </w:r>
      <w:r w:rsidRPr="001C53DC">
        <w:rPr>
          <w:rtl/>
        </w:rPr>
        <w:t xml:space="preserve"> </w:t>
      </w:r>
      <w:r w:rsidRPr="001C53DC">
        <w:rPr>
          <w:rFonts w:hint="cs"/>
          <w:rtl/>
        </w:rPr>
        <w:t>מהחולין</w:t>
      </w:r>
      <w:r w:rsidRPr="001C53DC">
        <w:rPr>
          <w:rtl/>
        </w:rPr>
        <w:t xml:space="preserve">, </w:t>
      </w:r>
      <w:r w:rsidRPr="001C53DC">
        <w:rPr>
          <w:rFonts w:hint="cs"/>
          <w:rtl/>
        </w:rPr>
        <w:t>בין</w:t>
      </w:r>
      <w:r w:rsidRPr="001C53DC">
        <w:rPr>
          <w:rtl/>
        </w:rPr>
        <w:t xml:space="preserve"> </w:t>
      </w:r>
      <w:r w:rsidRPr="001C53DC">
        <w:rPr>
          <w:rFonts w:hint="cs"/>
          <w:rtl/>
        </w:rPr>
        <w:t>שנפרש</w:t>
      </w:r>
      <w:r w:rsidRPr="001C53DC">
        <w:rPr>
          <w:rtl/>
        </w:rPr>
        <w:t xml:space="preserve"> </w:t>
      </w:r>
      <w:r w:rsidRPr="001C53DC">
        <w:rPr>
          <w:rFonts w:hint="cs"/>
          <w:rtl/>
        </w:rPr>
        <w:t>בפועל</w:t>
      </w:r>
      <w:r w:rsidRPr="001C53DC">
        <w:rPr>
          <w:rtl/>
        </w:rPr>
        <w:t xml:space="preserve"> </w:t>
      </w:r>
      <w:r w:rsidRPr="001C53DC">
        <w:rPr>
          <w:rFonts w:hint="cs"/>
          <w:rtl/>
        </w:rPr>
        <w:t>או</w:t>
      </w:r>
      <w:r w:rsidRPr="001C53DC">
        <w:rPr>
          <w:rtl/>
        </w:rPr>
        <w:t xml:space="preserve"> </w:t>
      </w:r>
      <w:r w:rsidRPr="001C53DC">
        <w:rPr>
          <w:rFonts w:hint="cs"/>
          <w:rtl/>
        </w:rPr>
        <w:t>ע</w:t>
      </w:r>
      <w:r w:rsidRPr="001C53DC">
        <w:rPr>
          <w:rtl/>
        </w:rPr>
        <w:t>"</w:t>
      </w:r>
      <w:r w:rsidRPr="001C53DC">
        <w:rPr>
          <w:rFonts w:hint="cs"/>
          <w:rtl/>
        </w:rPr>
        <w:t>י</w:t>
      </w:r>
      <w:r w:rsidRPr="001C53DC">
        <w:rPr>
          <w:rtl/>
        </w:rPr>
        <w:t xml:space="preserve"> </w:t>
      </w:r>
      <w:r w:rsidRPr="001C53DC">
        <w:rPr>
          <w:rFonts w:hint="cs"/>
          <w:rtl/>
        </w:rPr>
        <w:t>מחשבה</w:t>
      </w:r>
      <w:r w:rsidRPr="001C53DC">
        <w:rPr>
          <w:rtl/>
        </w:rPr>
        <w:t xml:space="preserve">, </w:t>
      </w:r>
      <w:r w:rsidRPr="001C53DC">
        <w:rPr>
          <w:rFonts w:hint="cs"/>
          <w:rtl/>
        </w:rPr>
        <w:t>וא</w:t>
      </w:r>
      <w:r w:rsidRPr="001C53DC">
        <w:rPr>
          <w:rtl/>
        </w:rPr>
        <w:t>"</w:t>
      </w:r>
      <w:r w:rsidRPr="001C53DC">
        <w:rPr>
          <w:rFonts w:hint="cs"/>
          <w:rtl/>
        </w:rPr>
        <w:t>כ</w:t>
      </w:r>
      <w:r w:rsidRPr="001C53DC">
        <w:rPr>
          <w:rtl/>
        </w:rPr>
        <w:t xml:space="preserve"> </w:t>
      </w:r>
      <w:r w:rsidRPr="001C53DC">
        <w:rPr>
          <w:rFonts w:hint="cs"/>
          <w:rtl/>
        </w:rPr>
        <w:t>אין</w:t>
      </w:r>
      <w:r w:rsidRPr="001C53DC">
        <w:rPr>
          <w:rtl/>
        </w:rPr>
        <w:t xml:space="preserve"> </w:t>
      </w:r>
      <w:r w:rsidRPr="001C53DC">
        <w:rPr>
          <w:rFonts w:hint="cs"/>
          <w:rtl/>
        </w:rPr>
        <w:t>הקדושה</w:t>
      </w:r>
      <w:r w:rsidRPr="001C53DC">
        <w:rPr>
          <w:rtl/>
        </w:rPr>
        <w:t xml:space="preserve"> </w:t>
      </w:r>
      <w:r w:rsidRPr="001C53DC">
        <w:rPr>
          <w:rFonts w:hint="cs"/>
          <w:rtl/>
        </w:rPr>
        <w:t>מוסיף</w:t>
      </w:r>
      <w:r w:rsidRPr="001C53DC">
        <w:rPr>
          <w:rtl/>
        </w:rPr>
        <w:t xml:space="preserve"> </w:t>
      </w:r>
      <w:r w:rsidRPr="001C53DC">
        <w:rPr>
          <w:rFonts w:hint="cs"/>
          <w:rtl/>
        </w:rPr>
        <w:t>כלום</w:t>
      </w:r>
      <w:r w:rsidRPr="001C53DC">
        <w:rPr>
          <w:rtl/>
        </w:rPr>
        <w:t xml:space="preserve"> </w:t>
      </w:r>
      <w:r w:rsidRPr="001C53DC">
        <w:rPr>
          <w:rFonts w:hint="cs"/>
          <w:rtl/>
        </w:rPr>
        <w:t>בהמציאות</w:t>
      </w:r>
      <w:r w:rsidRPr="001C53DC">
        <w:rPr>
          <w:rtl/>
        </w:rPr>
        <w:t xml:space="preserve"> </w:t>
      </w:r>
      <w:r w:rsidRPr="001C53DC">
        <w:rPr>
          <w:rFonts w:hint="cs"/>
          <w:rtl/>
        </w:rPr>
        <w:t>שנפרש</w:t>
      </w:r>
      <w:r w:rsidRPr="001C53DC">
        <w:rPr>
          <w:rtl/>
        </w:rPr>
        <w:t>.</w:t>
      </w:r>
      <w:r w:rsidRPr="001C53DC">
        <w:rPr>
          <w:rFonts w:ascii="Cambria" w:hAnsi="Cambria" w:cs="Cambria" w:hint="cs"/>
          <w:rtl/>
        </w:rPr>
        <w:t> </w:t>
      </w:r>
    </w:p>
    <w:p w:rsidR="001C53DC" w:rsidRPr="001C53DC" w:rsidRDefault="001C53DC" w:rsidP="004B0C42">
      <w:pPr>
        <w:pStyle w:val="a3"/>
        <w:rPr>
          <w:rFonts w:ascii="Times New Roman" w:hAnsi="Times New Roman" w:cs="Times New Roman"/>
          <w:rtl/>
        </w:rPr>
      </w:pPr>
      <w:r w:rsidRPr="001C53DC">
        <w:rPr>
          <w:rtl/>
        </w:rPr>
        <w:t>אבל י"ל בביאור שיטת הרבי, ששלימות הפרשת התרומה הוא לא בזה לחוד דמופרש במציאות מהחולין אלא בזה שחל עליו קדושת תרומה, דהפרשה לגמרי הוא כשהוא מופרש בסוג אחר לגמרי מהחולין מצד קדושת התרומה, ולכן לולי חלות קדושת תרומה א"א להתיר איסור טבל כיון שעדיין לא נשלם הפרשת התרומה. וא"כ מכיון שזה עכ"פ מוכרחים לומר דמועלת המח' להתירו מטבל, ע"כ שנכלל בזה גם דמועלת מח' לחלות קדושת תרומה, דרק עי"ז הוא שלימות ההפרשה להתירו מטבל.</w:t>
      </w:r>
    </w:p>
    <w:p w:rsidR="001C53DC" w:rsidRPr="001C53DC" w:rsidRDefault="001C53DC" w:rsidP="004B0C42">
      <w:pPr>
        <w:pStyle w:val="a3"/>
        <w:rPr>
          <w:rFonts w:ascii="Times New Roman" w:hAnsi="Times New Roman" w:cs="Times New Roman"/>
          <w:rtl/>
        </w:rPr>
      </w:pPr>
      <w:r w:rsidRPr="001C53DC">
        <w:rPr>
          <w:rtl/>
        </w:rPr>
        <w:t>וא"כ הגם דנקט רש"י ההיתר דאוכל בצד זה דע"ז קאי קרא דונחשב וכמ"ש הרלוי"צ, אבל מ"מ מוכרח ממילא לומר דנתחדש בזה דמועלת מח' לקדושת תרומה. ולא פירשו רש"י להדיא, דמובן הוא דאין ההפרשה בשלימות בלי חלות קדושת תרומה, וא"כ מובן דגם חלות קדושת תרומה בכלל מ"ש דמועלת להתיר אוכל בצד זה.</w:t>
      </w:r>
      <w:r w:rsidRPr="001C53DC">
        <w:rPr>
          <w:rFonts w:ascii="Cambria" w:hAnsi="Cambria" w:cs="Cambria" w:hint="cs"/>
          <w:rtl/>
        </w:rPr>
        <w:t>                   </w:t>
      </w:r>
    </w:p>
    <w:p w:rsidR="00760DB7" w:rsidRDefault="00760DB7" w:rsidP="00760DB7">
      <w:pPr>
        <w:tabs>
          <w:tab w:val="left" w:pos="2171"/>
          <w:tab w:val="center" w:pos="3096"/>
        </w:tabs>
        <w:bidi/>
        <w:spacing w:after="100" w:line="360" w:lineRule="auto"/>
        <w:ind w:firstLine="288"/>
        <w:jc w:val="center"/>
        <w:rPr>
          <w:rFonts w:ascii="Nymphette" w:eastAsia="Times New Roman" w:hAnsi="Nymphette" w:cs="Nymphette"/>
          <w:sz w:val="44"/>
          <w:szCs w:val="44"/>
          <w:rtl/>
        </w:rPr>
      </w:pPr>
      <w:bookmarkStart w:id="140" w:name="_Toc26492291"/>
      <w:r w:rsidRPr="00760DB7">
        <w:rPr>
          <w:rFonts w:ascii="Nymphette" w:eastAsia="Times New Roman" w:hAnsi="Nymphette" w:cs="Nymphette"/>
          <w:sz w:val="44"/>
          <w:szCs w:val="44"/>
        </w:rPr>
        <w:t>g</w:t>
      </w:r>
    </w:p>
    <w:p w:rsidR="003951FF" w:rsidRPr="003951FF" w:rsidRDefault="003951FF" w:rsidP="003951FF">
      <w:pPr>
        <w:pStyle w:val="a0"/>
        <w:rPr>
          <w:rFonts w:eastAsia="Calibri"/>
          <w:rtl/>
        </w:rPr>
      </w:pPr>
      <w:bookmarkStart w:id="141" w:name="_Toc417613797"/>
      <w:bookmarkStart w:id="142" w:name="_Toc424876492"/>
      <w:bookmarkStart w:id="143" w:name="_Toc39817443"/>
      <w:r w:rsidRPr="003951FF">
        <w:rPr>
          <w:rFonts w:eastAsia="Calibri" w:hint="cs"/>
          <w:rtl/>
        </w:rPr>
        <w:lastRenderedPageBreak/>
        <w:t>מאמר ד"ה א-ל הוי' ויאר לנו עזר"ת</w:t>
      </w:r>
      <w:bookmarkEnd w:id="143"/>
      <w:r w:rsidRPr="003951FF">
        <w:rPr>
          <w:rFonts w:eastAsia="Calibri" w:hint="cs"/>
          <w:rtl/>
        </w:rPr>
        <w:t xml:space="preserve"> </w:t>
      </w:r>
    </w:p>
    <w:p w:rsidR="003951FF" w:rsidRPr="003951FF" w:rsidRDefault="003951FF" w:rsidP="00C93F24">
      <w:pPr>
        <w:pStyle w:val="a"/>
        <w:rPr>
          <w:rtl/>
        </w:rPr>
      </w:pPr>
      <w:bookmarkStart w:id="144" w:name="_Toc458140187"/>
      <w:r w:rsidRPr="00B34485">
        <w:rPr>
          <w:rFonts w:ascii="David" w:hAnsi="David" w:cs="David"/>
          <w:sz w:val="28"/>
          <w:szCs w:val="28"/>
          <w:rtl/>
        </w:rPr>
        <w:t xml:space="preserve"> </w:t>
      </w:r>
      <w:bookmarkStart w:id="145" w:name="_Toc39817444"/>
      <w:r w:rsidRPr="003951FF">
        <w:rPr>
          <w:rFonts w:hint="cs"/>
          <w:rtl/>
        </w:rPr>
        <w:t xml:space="preserve">הרב </w:t>
      </w:r>
      <w:r w:rsidRPr="003951FF">
        <w:rPr>
          <w:rtl/>
        </w:rPr>
        <w:t>מנחם מענדל רייצס</w:t>
      </w:r>
      <w:bookmarkEnd w:id="141"/>
      <w:bookmarkEnd w:id="142"/>
      <w:bookmarkEnd w:id="144"/>
      <w:bookmarkEnd w:id="145"/>
    </w:p>
    <w:p w:rsidR="003951FF" w:rsidRPr="003951FF" w:rsidRDefault="003951FF" w:rsidP="003951FF">
      <w:pPr>
        <w:pStyle w:val="a1"/>
        <w:rPr>
          <w:rtl/>
        </w:rPr>
      </w:pPr>
      <w:r w:rsidRPr="003951FF">
        <w:rPr>
          <w:rtl/>
        </w:rPr>
        <w:t>קרית גת</w:t>
      </w:r>
    </w:p>
    <w:p w:rsidR="003951FF" w:rsidRDefault="003951FF" w:rsidP="004B0C42">
      <w:pPr>
        <w:pStyle w:val="a3"/>
        <w:rPr>
          <w:rtl/>
        </w:rPr>
      </w:pPr>
      <w:r>
        <w:rPr>
          <w:rFonts w:hint="cs"/>
          <w:rtl/>
        </w:rPr>
        <w:t>בספר המאמרים עזר"ת, בין המאמר דש"פ תולדות (ער"ח כסלו)</w:t>
      </w:r>
      <w:r>
        <w:rPr>
          <w:rFonts w:hint="cs"/>
        </w:rPr>
        <w:t xml:space="preserve"> </w:t>
      </w:r>
      <w:r>
        <w:rPr>
          <w:rFonts w:hint="cs"/>
          <w:rtl/>
        </w:rPr>
        <w:t>לש"פ ויצא, בא מאמר המתחיל '</w:t>
      </w:r>
      <w:r w:rsidRPr="005F2385">
        <w:rPr>
          <w:rFonts w:hint="cs"/>
          <w:b/>
          <w:bCs/>
          <w:rtl/>
        </w:rPr>
        <w:t>א-ל</w:t>
      </w:r>
      <w:r>
        <w:rPr>
          <w:rFonts w:hint="cs"/>
          <w:rtl/>
        </w:rPr>
        <w:t xml:space="preserve"> </w:t>
      </w:r>
      <w:r w:rsidRPr="005F2385">
        <w:rPr>
          <w:rFonts w:hint="cs"/>
          <w:b/>
          <w:bCs/>
          <w:rtl/>
        </w:rPr>
        <w:t>הוי' ויאר לנו'</w:t>
      </w:r>
      <w:r>
        <w:rPr>
          <w:rFonts w:hint="cs"/>
          <w:rtl/>
        </w:rPr>
        <w:t xml:space="preserve">, ובמפתח איתא שמאמר זה 'לא נאמר'. </w:t>
      </w:r>
    </w:p>
    <w:p w:rsidR="003951FF" w:rsidRDefault="003951FF" w:rsidP="004B0C42">
      <w:pPr>
        <w:pStyle w:val="a3"/>
        <w:rPr>
          <w:rtl/>
        </w:rPr>
      </w:pPr>
      <w:r>
        <w:rPr>
          <w:rFonts w:hint="cs"/>
          <w:rtl/>
        </w:rPr>
        <w:t xml:space="preserve">ולא נתפרש ענינו של מאמר זה ולכבוד מה נכתב בזמן זה דוקא [סיום המאמר מדבר בענין ההארה שמאירה במועדים, ובענין 'אסרו חג' שהוא המשך של החג </w:t>
      </w:r>
      <w:r>
        <w:rPr>
          <w:rtl/>
        </w:rPr>
        <w:t>–</w:t>
      </w:r>
      <w:r>
        <w:rPr>
          <w:rFonts w:hint="cs"/>
          <w:rtl/>
        </w:rPr>
        <w:t xml:space="preserve"> שע"ז נאמר הפסוק 'א-ל הוי' ויאר לנו </w:t>
      </w:r>
      <w:r w:rsidRPr="005F2385">
        <w:rPr>
          <w:rFonts w:hint="cs"/>
          <w:b/>
          <w:bCs/>
          <w:rtl/>
        </w:rPr>
        <w:t>אסרו חג</w:t>
      </w:r>
      <w:r>
        <w:rPr>
          <w:rFonts w:hint="cs"/>
          <w:rtl/>
        </w:rPr>
        <w:t xml:space="preserve"> וגו'' </w:t>
      </w:r>
      <w:r>
        <w:rPr>
          <w:rtl/>
        </w:rPr>
        <w:t>–</w:t>
      </w:r>
      <w:r>
        <w:rPr>
          <w:rFonts w:hint="cs"/>
          <w:rtl/>
        </w:rPr>
        <w:t xml:space="preserve"> אבל לפי זה לכאורה היה צריך להיכתב בזמן השייך למועדים ולא בסוף חודש מרחשון]. </w:t>
      </w:r>
    </w:p>
    <w:p w:rsidR="003951FF" w:rsidRDefault="003951FF" w:rsidP="004B0C42">
      <w:pPr>
        <w:pStyle w:val="a3"/>
        <w:rPr>
          <w:rtl/>
        </w:rPr>
      </w:pPr>
      <w:r>
        <w:rPr>
          <w:rFonts w:hint="cs"/>
          <w:rtl/>
        </w:rPr>
        <w:t xml:space="preserve">ואולי יש לתת השערה בדרך אפשר בזה, דהנה מיד לאחר מאמר זה בא מאמר קצר נוסף, שגם הוא 'לא נאמר', והוא ביאור על התחלת מזמור </w:t>
      </w:r>
      <w:r w:rsidRPr="005F2385">
        <w:rPr>
          <w:rFonts w:hint="cs"/>
          <w:b/>
          <w:bCs/>
          <w:rtl/>
        </w:rPr>
        <w:t>נ"ז</w:t>
      </w:r>
      <w:r>
        <w:rPr>
          <w:rFonts w:hint="cs"/>
          <w:rtl/>
        </w:rPr>
        <w:t xml:space="preserve"> שבתהלים. </w:t>
      </w:r>
    </w:p>
    <w:p w:rsidR="003951FF" w:rsidRDefault="003951FF" w:rsidP="004B0C42">
      <w:pPr>
        <w:pStyle w:val="a3"/>
        <w:rPr>
          <w:rtl/>
        </w:rPr>
      </w:pPr>
      <w:r>
        <w:rPr>
          <w:rFonts w:hint="cs"/>
          <w:rtl/>
        </w:rPr>
        <w:t>וכתב כ"ק אדמו"ר במפתח שבתחילת הספר:</w:t>
      </w:r>
      <w:r>
        <w:rPr>
          <w:rFonts w:hint="cs"/>
        </w:rPr>
        <w:t xml:space="preserve"> </w:t>
      </w:r>
    </w:p>
    <w:p w:rsidR="003951FF" w:rsidRDefault="003951FF" w:rsidP="004B0C42">
      <w:pPr>
        <w:pStyle w:val="a3"/>
        <w:rPr>
          <w:rtl/>
        </w:rPr>
      </w:pPr>
      <w:r>
        <w:rPr>
          <w:rFonts w:hint="cs"/>
          <w:rtl/>
        </w:rPr>
        <w:t xml:space="preserve">"להעיר, אשר כ' מ"ח שנה זו </w:t>
      </w:r>
      <w:r>
        <w:rPr>
          <w:rtl/>
        </w:rPr>
        <w:t>–</w:t>
      </w:r>
      <w:r>
        <w:rPr>
          <w:rFonts w:hint="cs"/>
          <w:rtl/>
        </w:rPr>
        <w:t xml:space="preserve"> תרע"ז </w:t>
      </w:r>
      <w:r>
        <w:rPr>
          <w:rtl/>
        </w:rPr>
        <w:t>–</w:t>
      </w:r>
      <w:r>
        <w:rPr>
          <w:rFonts w:hint="cs"/>
          <w:rtl/>
        </w:rPr>
        <w:t xml:space="preserve"> התחילה שנת </w:t>
      </w:r>
      <w:r w:rsidRPr="005F2385">
        <w:rPr>
          <w:rFonts w:hint="cs"/>
          <w:b/>
          <w:bCs/>
          <w:rtl/>
        </w:rPr>
        <w:t>הנ"ז</w:t>
      </w:r>
      <w:r>
        <w:rPr>
          <w:rFonts w:hint="cs"/>
          <w:rtl/>
        </w:rPr>
        <w:t xml:space="preserve"> לכ"ק אדמו"ר מהורש"ב נ"ע". </w:t>
      </w:r>
    </w:p>
    <w:p w:rsidR="003951FF" w:rsidRDefault="003951FF" w:rsidP="004B0C42">
      <w:pPr>
        <w:pStyle w:val="a3"/>
        <w:rPr>
          <w:rtl/>
        </w:rPr>
      </w:pPr>
      <w:r>
        <w:rPr>
          <w:rFonts w:hint="cs"/>
          <w:rtl/>
        </w:rPr>
        <w:t>והיינו, שהביאור בתחילת מזמור נ"ז שבתהלים שייך לזה שאז נכנס כ"ק אדמו"ר מהורש"ב לשנתו הנ"ז והחל לומר קאפיטל נ"ז שבתהלים.</w:t>
      </w:r>
    </w:p>
    <w:p w:rsidR="003951FF" w:rsidRDefault="003951FF" w:rsidP="004B0C42">
      <w:pPr>
        <w:pStyle w:val="a3"/>
        <w:rPr>
          <w:rtl/>
        </w:rPr>
      </w:pPr>
      <w:r>
        <w:rPr>
          <w:rFonts w:hint="cs"/>
          <w:rtl/>
        </w:rPr>
        <w:t xml:space="preserve">ומעתה יתכן שגם המאמר שלפניו שייך הוא לתחילת שנת הנ"ז </w:t>
      </w:r>
      <w:r>
        <w:rPr>
          <w:rtl/>
        </w:rPr>
        <w:t>–</w:t>
      </w:r>
      <w:r>
        <w:rPr>
          <w:rFonts w:hint="cs"/>
          <w:rtl/>
        </w:rPr>
        <w:t xml:space="preserve"> ע"פ המבואר בכמה מקומות </w:t>
      </w:r>
      <w:r w:rsidRPr="005F2385">
        <w:rPr>
          <w:rFonts w:hint="cs"/>
          <w:rtl/>
        </w:rPr>
        <w:t>ש</w:t>
      </w:r>
      <w:r w:rsidRPr="005F2385">
        <w:rPr>
          <w:rFonts w:hint="cs"/>
          <w:b/>
          <w:bCs/>
          <w:rtl/>
        </w:rPr>
        <w:t>'א-ל הוי''</w:t>
      </w:r>
      <w:r>
        <w:rPr>
          <w:rFonts w:hint="cs"/>
          <w:rtl/>
        </w:rPr>
        <w:t xml:space="preserve"> בגימטריא </w:t>
      </w:r>
      <w:r w:rsidRPr="005F2385">
        <w:rPr>
          <w:rFonts w:hint="cs"/>
          <w:b/>
          <w:bCs/>
          <w:rtl/>
        </w:rPr>
        <w:t>נ"ז</w:t>
      </w:r>
      <w:r>
        <w:rPr>
          <w:rFonts w:hint="cs"/>
          <w:rtl/>
        </w:rPr>
        <w:t xml:space="preserve">, ומתאים שלכבוד </w:t>
      </w:r>
      <w:r w:rsidRPr="00BB40F4">
        <w:rPr>
          <w:rFonts w:hint="cs"/>
          <w:b/>
          <w:bCs/>
          <w:rtl/>
        </w:rPr>
        <w:t>שנת הנ"ז</w:t>
      </w:r>
      <w:r>
        <w:rPr>
          <w:rFonts w:hint="cs"/>
          <w:rtl/>
        </w:rPr>
        <w:t xml:space="preserve"> נכתב מאמר על הפסוק 'א-ל הוי' ויאר לנו'. וק"ל.</w:t>
      </w:r>
    </w:p>
    <w:p w:rsidR="003951FF" w:rsidRDefault="003951FF" w:rsidP="00CE4E4A">
      <w:pPr>
        <w:pStyle w:val="a3"/>
        <w:jc w:val="center"/>
        <w:rPr>
          <w:rtl/>
        </w:rPr>
      </w:pPr>
      <w:r>
        <w:rPr>
          <w:rFonts w:hint="cs"/>
          <w:rtl/>
        </w:rPr>
        <w:t>*</w:t>
      </w:r>
    </w:p>
    <w:p w:rsidR="003951FF" w:rsidRDefault="003951FF" w:rsidP="004B0C42">
      <w:pPr>
        <w:pStyle w:val="a3"/>
        <w:rPr>
          <w:rtl/>
        </w:rPr>
      </w:pPr>
      <w:r>
        <w:rPr>
          <w:rFonts w:hint="cs"/>
          <w:rtl/>
        </w:rPr>
        <w:t>ומענין לענין באותו ענין:</w:t>
      </w:r>
    </w:p>
    <w:p w:rsidR="003951FF" w:rsidRDefault="003951FF" w:rsidP="004B0C42">
      <w:pPr>
        <w:pStyle w:val="a3"/>
        <w:rPr>
          <w:rtl/>
        </w:rPr>
      </w:pPr>
      <w:r>
        <w:rPr>
          <w:rFonts w:hint="cs"/>
          <w:rtl/>
        </w:rPr>
        <w:t>בסיום המאמר שם מדבר בענין השייכות דשם 'א-ל' להמועדים, וז"ל:</w:t>
      </w:r>
      <w:r>
        <w:rPr>
          <w:rFonts w:hint="cs"/>
        </w:rPr>
        <w:t xml:space="preserve"> </w:t>
      </w:r>
      <w:r>
        <w:rPr>
          <w:rFonts w:hint="cs"/>
          <w:rtl/>
        </w:rPr>
        <w:t>"</w:t>
      </w:r>
      <w:r w:rsidRPr="00BB40F4">
        <w:rPr>
          <w:rFonts w:hint="cs"/>
          <w:b/>
          <w:bCs/>
          <w:rtl/>
        </w:rPr>
        <w:t>שם א-ל</w:t>
      </w:r>
      <w:r>
        <w:rPr>
          <w:rFonts w:hint="cs"/>
          <w:rtl/>
        </w:rPr>
        <w:t xml:space="preserve">, בחי' חסד א-ל כל היום, </w:t>
      </w:r>
      <w:r w:rsidRPr="00BB40F4">
        <w:rPr>
          <w:rFonts w:hint="cs"/>
          <w:b/>
          <w:bCs/>
          <w:rtl/>
        </w:rPr>
        <w:t>מאיר לנו ברגל</w:t>
      </w:r>
      <w:r>
        <w:rPr>
          <w:rFonts w:hint="cs"/>
          <w:rtl/>
        </w:rPr>
        <w:t xml:space="preserve"> שהיא שמחה שאין לה גבול כו'". </w:t>
      </w:r>
    </w:p>
    <w:p w:rsidR="003951FF" w:rsidRDefault="003951FF" w:rsidP="004B0C42">
      <w:pPr>
        <w:pStyle w:val="a3"/>
        <w:rPr>
          <w:rtl/>
        </w:rPr>
      </w:pPr>
      <w:r>
        <w:rPr>
          <w:rFonts w:hint="cs"/>
          <w:rtl/>
        </w:rPr>
        <w:t xml:space="preserve">וכן מבואר בכ"מ.    </w:t>
      </w:r>
    </w:p>
    <w:p w:rsidR="003951FF" w:rsidRDefault="003951FF" w:rsidP="004B0C42">
      <w:pPr>
        <w:pStyle w:val="a3"/>
        <w:rPr>
          <w:rtl/>
        </w:rPr>
      </w:pPr>
      <w:r>
        <w:rPr>
          <w:rFonts w:hint="cs"/>
          <w:rtl/>
        </w:rPr>
        <w:t xml:space="preserve">ויש להעיר בדרך אפשר,  ש'פרשת המועדות' שבה מפורטים כל עניני הרגלים והמועדים היא בפרשת </w:t>
      </w:r>
      <w:r w:rsidRPr="00BB40F4">
        <w:rPr>
          <w:rFonts w:hint="cs"/>
          <w:b/>
          <w:bCs/>
          <w:rtl/>
        </w:rPr>
        <w:t>אמור</w:t>
      </w:r>
      <w:r>
        <w:rPr>
          <w:rFonts w:hint="cs"/>
          <w:rtl/>
        </w:rPr>
        <w:t>;</w:t>
      </w:r>
    </w:p>
    <w:p w:rsidR="003951FF" w:rsidRDefault="003951FF" w:rsidP="004B0C42">
      <w:pPr>
        <w:pStyle w:val="a3"/>
        <w:rPr>
          <w:rtl/>
        </w:rPr>
      </w:pPr>
      <w:r>
        <w:rPr>
          <w:rFonts w:hint="cs"/>
          <w:rtl/>
        </w:rPr>
        <w:t xml:space="preserve">וכשנמנה את סדרות התורה לפי סדרן (ראה שיחת ש"פ משפטים תשמ"ט בתחילתה), נמצא שפרשת אמור היא הסדרה </w:t>
      </w:r>
      <w:r w:rsidRPr="00BB40F4">
        <w:rPr>
          <w:rFonts w:hint="cs"/>
          <w:rtl/>
        </w:rPr>
        <w:t>ה</w:t>
      </w:r>
      <w:r w:rsidRPr="00BB40F4">
        <w:rPr>
          <w:rFonts w:hint="cs"/>
          <w:b/>
          <w:bCs/>
          <w:rtl/>
        </w:rPr>
        <w:t>ל"א</w:t>
      </w:r>
      <w:r>
        <w:rPr>
          <w:rFonts w:hint="cs"/>
          <w:rtl/>
        </w:rPr>
        <w:t xml:space="preserve"> שבתורה </w:t>
      </w:r>
      <w:r>
        <w:rPr>
          <w:rtl/>
        </w:rPr>
        <w:t>–</w:t>
      </w:r>
      <w:r>
        <w:rPr>
          <w:rFonts w:hint="cs"/>
          <w:rtl/>
        </w:rPr>
        <w:t xml:space="preserve"> כמנין </w:t>
      </w:r>
      <w:r w:rsidRPr="00BB40F4">
        <w:rPr>
          <w:rFonts w:hint="cs"/>
          <w:b/>
          <w:bCs/>
          <w:rtl/>
        </w:rPr>
        <w:t>'א-ל'</w:t>
      </w:r>
      <w:r>
        <w:rPr>
          <w:rFonts w:hint="cs"/>
          <w:rtl/>
        </w:rPr>
        <w:t>.</w:t>
      </w:r>
    </w:p>
    <w:p w:rsidR="003951FF" w:rsidRDefault="003951FF" w:rsidP="004B0C42">
      <w:pPr>
        <w:pStyle w:val="a3"/>
        <w:rPr>
          <w:rtl/>
        </w:rPr>
      </w:pPr>
      <w:r>
        <w:rPr>
          <w:rFonts w:hint="cs"/>
          <w:rtl/>
        </w:rPr>
        <w:t xml:space="preserve">ואם שגיתי ה' יכפר. </w:t>
      </w:r>
    </w:p>
    <w:p w:rsidR="00BF0497" w:rsidRPr="00233D5E" w:rsidRDefault="003951FF" w:rsidP="00233D5E">
      <w:pPr>
        <w:bidi/>
        <w:spacing w:line="276" w:lineRule="auto"/>
        <w:jc w:val="center"/>
        <w:rPr>
          <w:rFonts w:ascii="Nymphette" w:eastAsia="Times New Roman" w:hAnsi="Nymphette" w:cs="Nymphette"/>
          <w:sz w:val="44"/>
          <w:szCs w:val="44"/>
          <w:rtl/>
        </w:rPr>
      </w:pPr>
      <w:r w:rsidRPr="00760DB7">
        <w:rPr>
          <w:rFonts w:ascii="Nymphette" w:eastAsia="Times New Roman" w:hAnsi="Nymphette" w:cs="Nymphette"/>
          <w:sz w:val="44"/>
          <w:szCs w:val="44"/>
        </w:rPr>
        <w:t>g</w:t>
      </w:r>
    </w:p>
    <w:p w:rsidR="003951FF" w:rsidRPr="006D040B" w:rsidRDefault="003951FF" w:rsidP="003951FF">
      <w:pPr>
        <w:pStyle w:val="a0"/>
        <w:bidi w:val="0"/>
        <w:rPr>
          <w:rtl/>
        </w:rPr>
      </w:pPr>
      <w:bookmarkStart w:id="146" w:name="_Toc39817445"/>
      <w:r w:rsidRPr="006D040B">
        <w:rPr>
          <w:rFonts w:hint="cs"/>
          <w:rtl/>
        </w:rPr>
        <w:lastRenderedPageBreak/>
        <w:t>ב' הביאורים בטעם 'אני ולא מלאך' בתורת רבותינו נשיאינו</w:t>
      </w:r>
      <w:bookmarkEnd w:id="146"/>
    </w:p>
    <w:p w:rsidR="003951FF" w:rsidRPr="006D040B" w:rsidRDefault="003951FF" w:rsidP="00C93F24">
      <w:pPr>
        <w:pStyle w:val="a"/>
        <w:rPr>
          <w:rtl/>
        </w:rPr>
      </w:pPr>
      <w:bookmarkStart w:id="147" w:name="_Toc39817446"/>
      <w:r>
        <w:rPr>
          <w:rFonts w:hint="cs"/>
          <w:rtl/>
        </w:rPr>
        <w:t>הרב</w:t>
      </w:r>
      <w:r w:rsidRPr="006D040B">
        <w:rPr>
          <w:rFonts w:hint="cs"/>
          <w:rtl/>
        </w:rPr>
        <w:t xml:space="preserve"> שניאור זלמן בריכטא</w:t>
      </w:r>
      <w:bookmarkEnd w:id="147"/>
    </w:p>
    <w:p w:rsidR="003951FF" w:rsidRPr="006D040B" w:rsidRDefault="003951FF" w:rsidP="003951FF">
      <w:pPr>
        <w:pStyle w:val="a1"/>
        <w:rPr>
          <w:rtl/>
        </w:rPr>
      </w:pPr>
      <w:r w:rsidRPr="006D040B">
        <w:rPr>
          <w:rFonts w:hint="cs"/>
          <w:rtl/>
        </w:rPr>
        <w:t>ירושלים ת"ו</w:t>
      </w:r>
    </w:p>
    <w:p w:rsidR="003951FF" w:rsidRPr="004B4209" w:rsidRDefault="003951FF" w:rsidP="004B0C42">
      <w:pPr>
        <w:pStyle w:val="11"/>
        <w:rPr>
          <w:sz w:val="32"/>
          <w:szCs w:val="32"/>
          <w:rtl/>
        </w:rPr>
      </w:pPr>
      <w:r w:rsidRPr="004B4209">
        <w:rPr>
          <w:rFonts w:hint="cs"/>
          <w:rtl/>
        </w:rPr>
        <w:t>א.</w:t>
      </w:r>
    </w:p>
    <w:p w:rsidR="003951FF" w:rsidRPr="00B676B1" w:rsidRDefault="003951FF" w:rsidP="004B0C42">
      <w:pPr>
        <w:pStyle w:val="a3"/>
        <w:rPr>
          <w:rtl/>
        </w:rPr>
      </w:pPr>
      <w:r>
        <w:rPr>
          <w:rFonts w:hint="cs"/>
          <w:rtl/>
        </w:rPr>
        <w:t xml:space="preserve">כתוב בתורה בחומש שמות </w:t>
      </w:r>
      <w:r w:rsidRPr="00B676B1">
        <w:rPr>
          <w:rFonts w:hint="cs"/>
          <w:rtl/>
        </w:rPr>
        <w:t>בנוגע למכת בכורות</w:t>
      </w:r>
      <w:r>
        <w:rPr>
          <w:rFonts w:hint="cs"/>
          <w:rtl/>
        </w:rPr>
        <w:t xml:space="preserve"> (יב, יב)</w:t>
      </w:r>
      <w:r w:rsidRPr="00B676B1">
        <w:rPr>
          <w:rFonts w:hint="cs"/>
          <w:rtl/>
        </w:rPr>
        <w:t>: "ועברתי בארץ מצרים בלילה הזה והכיתי כל בכור בארץ מצרים מאדם ועד בהמה ובכל אלוהי מצרים אעשה שפטים אני ה'".</w:t>
      </w:r>
    </w:p>
    <w:p w:rsidR="003951FF" w:rsidRPr="00B676B1" w:rsidRDefault="003951FF" w:rsidP="004B0C42">
      <w:pPr>
        <w:pStyle w:val="a3"/>
        <w:rPr>
          <w:rtl/>
        </w:rPr>
      </w:pPr>
      <w:r>
        <w:rPr>
          <w:rFonts w:hint="cs"/>
          <w:rtl/>
        </w:rPr>
        <w:t>רש"י פירש את המילים '</w:t>
      </w:r>
      <w:r w:rsidRPr="00B676B1">
        <w:rPr>
          <w:rFonts w:hint="cs"/>
          <w:rtl/>
        </w:rPr>
        <w:t xml:space="preserve">אעשה שפטים אני </w:t>
      </w:r>
      <w:r>
        <w:rPr>
          <w:rFonts w:hint="cs"/>
          <w:rtl/>
        </w:rPr>
        <w:t>ה'': "אני בעצמי</w:t>
      </w:r>
      <w:r w:rsidRPr="00B676B1">
        <w:rPr>
          <w:rFonts w:hint="cs"/>
          <w:rtl/>
        </w:rPr>
        <w:t xml:space="preserve"> ולא על ידי שליח".</w:t>
      </w:r>
    </w:p>
    <w:p w:rsidR="003951FF" w:rsidRDefault="003951FF" w:rsidP="004B0C42">
      <w:pPr>
        <w:pStyle w:val="a3"/>
        <w:rPr>
          <w:rtl/>
        </w:rPr>
      </w:pPr>
      <w:r w:rsidRPr="00B676B1">
        <w:rPr>
          <w:rFonts w:hint="cs"/>
          <w:rtl/>
        </w:rPr>
        <w:t xml:space="preserve">בנוסח ההגדה של פסח מובא הפירוש דתורה שבעל פה על פסוק זה בהרחבה: "ועברתי בארץ מצרים </w:t>
      </w:r>
      <w:r w:rsidRPr="00B676B1">
        <w:rPr>
          <w:rtl/>
        </w:rPr>
        <w:t>–</w:t>
      </w:r>
      <w:r w:rsidRPr="00B676B1">
        <w:rPr>
          <w:rFonts w:hint="cs"/>
          <w:rtl/>
        </w:rPr>
        <w:t xml:space="preserve"> אני ולא מלאך. והכיתי כל בכור בארץ מצרים </w:t>
      </w:r>
      <w:r w:rsidRPr="00B676B1">
        <w:rPr>
          <w:rtl/>
        </w:rPr>
        <w:t>–</w:t>
      </w:r>
      <w:r w:rsidRPr="00B676B1">
        <w:rPr>
          <w:rFonts w:hint="cs"/>
          <w:rtl/>
        </w:rPr>
        <w:t xml:space="preserve"> אני ולא שרף. ובכל אלוהי מצרים אעשה שפטים </w:t>
      </w:r>
      <w:r w:rsidRPr="00B676B1">
        <w:rPr>
          <w:rtl/>
        </w:rPr>
        <w:t>–</w:t>
      </w:r>
      <w:r w:rsidRPr="00B676B1">
        <w:rPr>
          <w:rFonts w:hint="cs"/>
          <w:rtl/>
        </w:rPr>
        <w:t xml:space="preserve"> אני ולא השליח. אני ה' </w:t>
      </w:r>
      <w:r w:rsidRPr="00B676B1">
        <w:rPr>
          <w:rtl/>
        </w:rPr>
        <w:t>–</w:t>
      </w:r>
      <w:r w:rsidRPr="00B676B1">
        <w:rPr>
          <w:rFonts w:hint="cs"/>
          <w:rtl/>
        </w:rPr>
        <w:t xml:space="preserve"> אני הוא ולא אחר".</w:t>
      </w:r>
    </w:p>
    <w:p w:rsidR="003951FF" w:rsidRDefault="003951FF" w:rsidP="004B0C42">
      <w:pPr>
        <w:pStyle w:val="a3"/>
        <w:rPr>
          <w:rtl/>
        </w:rPr>
      </w:pPr>
      <w:r>
        <w:rPr>
          <w:rFonts w:hint="cs"/>
          <w:rtl/>
        </w:rPr>
        <w:t xml:space="preserve">רבי שבתי מראשקוב ביאר בסידורו (בסדר ההגדה) מדוע אכן הוצרך הקב"ה לרדת בעצמו למצרים להכות את הבכורות ולא שלח לשם מלאך: </w:t>
      </w:r>
      <w:r w:rsidRPr="00B676B1">
        <w:rPr>
          <w:rFonts w:hint="cs"/>
          <w:rtl/>
        </w:rPr>
        <w:t>"</w:t>
      </w:r>
      <w:r w:rsidRPr="004F1F19">
        <w:rPr>
          <w:rFonts w:hint="cs"/>
          <w:rtl/>
        </w:rPr>
        <w:t>טומאת מצרים הייתה כל כך חזקה שאם היה יורד מלאך היה ח"ו נשקע תוך הקליפה, כי טומאה הייתה חזקה שם ביותר</w:t>
      </w:r>
      <w:r>
        <w:rPr>
          <w:rFonts w:hint="cs"/>
          <w:rtl/>
        </w:rPr>
        <w:t>".</w:t>
      </w:r>
    </w:p>
    <w:p w:rsidR="003951FF" w:rsidRDefault="003951FF" w:rsidP="004B0C42">
      <w:pPr>
        <w:pStyle w:val="11"/>
        <w:bidi/>
        <w:rPr>
          <w:rtl/>
        </w:rPr>
      </w:pPr>
      <w:r>
        <w:rPr>
          <w:rFonts w:hint="cs"/>
          <w:rtl/>
        </w:rPr>
        <w:t>ב.</w:t>
      </w:r>
    </w:p>
    <w:p w:rsidR="003951FF" w:rsidRDefault="003951FF" w:rsidP="004B0C42">
      <w:pPr>
        <w:pStyle w:val="a3"/>
        <w:rPr>
          <w:rtl/>
        </w:rPr>
      </w:pPr>
      <w:r>
        <w:rPr>
          <w:rFonts w:hint="cs"/>
          <w:rtl/>
        </w:rPr>
        <w:t>בספר תורת חיים לכ"ק אדמו"ר האמצעי (שמות חלק א נג, ב) מובאת הנחה ממאמר ד"ה 'ערבים עלי דברי סופרים' שאמר אביו כ"ק אדמו"ר הזקן בשבת חוה"מ פסח בשנת תקנ"ח</w:t>
      </w:r>
      <w:r>
        <w:rPr>
          <w:rStyle w:val="FootnoteReference"/>
          <w:rFonts w:ascii="David" w:hAnsi="David" w:cs="David"/>
          <w:sz w:val="28"/>
          <w:szCs w:val="28"/>
          <w:rtl/>
        </w:rPr>
        <w:footnoteReference w:id="48"/>
      </w:r>
      <w:r>
        <w:rPr>
          <w:rFonts w:hint="cs"/>
          <w:rtl/>
        </w:rPr>
        <w:t xml:space="preserve">, ושם ביאר אדמו"ר הזקן את הסיבה ש'אני ולא מלאך' כפי שביאר הר"ש מראשקוב: "אני ולא מלאך, שאיזה מלאך שיהיה, אפילו מהמלאכים עליונים דעולם הבריאה או מהארת כלים דאצילות </w:t>
      </w:r>
      <w:r>
        <w:rPr>
          <w:rtl/>
        </w:rPr>
        <w:t>–</w:t>
      </w:r>
      <w:r>
        <w:rPr>
          <w:rFonts w:hint="cs"/>
          <w:rtl/>
        </w:rPr>
        <w:t xml:space="preserve"> מאחר שנמשך בהשתלשלות, לא הייתה הקליפה מתבטלת בהתגלותו. . תאוות הניאוף דמצרים, אף שמאוד מגושם הוא לגבי השגת מיכאל וכדומה, עם כל זה יחשיכנו קצת". </w:t>
      </w:r>
    </w:p>
    <w:p w:rsidR="003951FF" w:rsidRDefault="003951FF" w:rsidP="004B0C42">
      <w:pPr>
        <w:pStyle w:val="a3"/>
        <w:rPr>
          <w:rtl/>
        </w:rPr>
      </w:pPr>
      <w:r>
        <w:rPr>
          <w:rFonts w:hint="cs"/>
          <w:rtl/>
        </w:rPr>
        <w:t>וכן מובא במאמר ד"ה שמע ישראל שנאמר בליל שישי פרשת חיי שרה תקס"ו (מאמרי אדה"ז תקס"ו חלק א' עמוד סד): "אני ולא מלאך, מפני שמצרים הייתה ערוות הארץ שהיו שטופי זימה, לזאת מצד ריבוי וגדלות הטומאה לא היה למלאך הקדושה באפשרי לירד לשם זולתי הקב"ה בכבודו ובעצמו".</w:t>
      </w:r>
    </w:p>
    <w:p w:rsidR="003951FF" w:rsidRPr="00B676B1" w:rsidRDefault="003951FF" w:rsidP="004B0C42">
      <w:pPr>
        <w:pStyle w:val="a3"/>
        <w:rPr>
          <w:rtl/>
        </w:rPr>
      </w:pPr>
      <w:r>
        <w:rPr>
          <w:rFonts w:hint="cs"/>
          <w:rtl/>
        </w:rPr>
        <w:t>והנה, במאמר ד"ה 'להבין מפני מה נשתנה יו"ט דפסח' שנאמר ביום א' דפסח תקע"א (לקוטי תורה צו טז, א</w:t>
      </w:r>
      <w:r>
        <w:rPr>
          <w:rStyle w:val="FootnoteReference"/>
          <w:rFonts w:ascii="David" w:hAnsi="David" w:cs="David"/>
          <w:sz w:val="28"/>
          <w:szCs w:val="28"/>
          <w:rtl/>
        </w:rPr>
        <w:footnoteReference w:id="49"/>
      </w:r>
      <w:r>
        <w:rPr>
          <w:rFonts w:hint="cs"/>
          <w:rtl/>
        </w:rPr>
        <w:t xml:space="preserve">) מביא אדמו"ר הזקן את הביאור הנ"ל אך </w:t>
      </w:r>
      <w:r w:rsidRPr="00511692">
        <w:rPr>
          <w:rFonts w:hint="cs"/>
          <w:b/>
          <w:bCs/>
          <w:rtl/>
        </w:rPr>
        <w:t>דוחה</w:t>
      </w:r>
      <w:r>
        <w:rPr>
          <w:rFonts w:hint="cs"/>
          <w:rtl/>
        </w:rPr>
        <w:t xml:space="preserve"> </w:t>
      </w:r>
      <w:r w:rsidRPr="00511692">
        <w:rPr>
          <w:rFonts w:hint="cs"/>
          <w:b/>
          <w:bCs/>
          <w:rtl/>
        </w:rPr>
        <w:t xml:space="preserve">אותו </w:t>
      </w:r>
      <w:r>
        <w:rPr>
          <w:rFonts w:hint="cs"/>
          <w:rtl/>
        </w:rPr>
        <w:t xml:space="preserve">מכוח המסופר בספר מלכים </w:t>
      </w:r>
      <w:r w:rsidRPr="00B676B1">
        <w:rPr>
          <w:rFonts w:hint="cs"/>
          <w:rtl/>
        </w:rPr>
        <w:t xml:space="preserve">שכאשר סנחריב מלך אשור עלה </w:t>
      </w:r>
      <w:r>
        <w:rPr>
          <w:rFonts w:hint="cs"/>
          <w:rtl/>
        </w:rPr>
        <w:t>לירושלים להילחם עם המלך חזקיהו שלח הקב"ה מלאך שיהרוג את מחנה אשור, כמו שכתוב (שם ב, יט, לה) "</w:t>
      </w:r>
      <w:r w:rsidRPr="00516CC3">
        <w:rPr>
          <w:rFonts w:hint="cs"/>
          <w:rtl/>
        </w:rPr>
        <w:t>ויצא מלאך ה'</w:t>
      </w:r>
      <w:r w:rsidRPr="00B676B1">
        <w:rPr>
          <w:rFonts w:hint="cs"/>
          <w:rtl/>
        </w:rPr>
        <w:t xml:space="preserve"> ויך במחנה </w:t>
      </w:r>
      <w:r w:rsidRPr="00B676B1">
        <w:rPr>
          <w:rFonts w:hint="cs"/>
          <w:rtl/>
        </w:rPr>
        <w:lastRenderedPageBreak/>
        <w:t>אשור מאה שמונים וחמישה אלף", ואם כן רואים שבכוחו של מלאך לרדת ולפעול גם במקום טמא.</w:t>
      </w:r>
    </w:p>
    <w:p w:rsidR="003951FF" w:rsidRPr="00B676B1" w:rsidRDefault="003951FF" w:rsidP="004B0C42">
      <w:pPr>
        <w:pStyle w:val="a3"/>
        <w:rPr>
          <w:rtl/>
        </w:rPr>
      </w:pPr>
      <w:r w:rsidRPr="00B676B1">
        <w:rPr>
          <w:rFonts w:hint="cs"/>
          <w:rtl/>
        </w:rPr>
        <w:t>וזה לשונו של אדמו"ר הזקן במאמר שם: "מה שכתוב בספרים</w:t>
      </w:r>
      <w:r>
        <w:rPr>
          <w:rStyle w:val="FootnoteReference"/>
          <w:rFonts w:ascii="David" w:hAnsi="David" w:cs="David"/>
          <w:sz w:val="28"/>
          <w:szCs w:val="28"/>
          <w:rtl/>
        </w:rPr>
        <w:footnoteReference w:id="50"/>
      </w:r>
      <w:r w:rsidRPr="00B676B1">
        <w:rPr>
          <w:rFonts w:hint="cs"/>
          <w:rtl/>
        </w:rPr>
        <w:t xml:space="preserve"> טעם </w:t>
      </w:r>
      <w:r>
        <w:rPr>
          <w:rFonts w:hint="cs"/>
          <w:rtl/>
        </w:rPr>
        <w:t>משום</w:t>
      </w:r>
      <w:r w:rsidRPr="00B676B1">
        <w:rPr>
          <w:rFonts w:hint="cs"/>
          <w:rtl/>
        </w:rPr>
        <w:t xml:space="preserve"> שהמלאך אינו יכול לירד כל כך במקום טומאה, דחוק, שהרי מחנה אשור תוכיח".</w:t>
      </w:r>
    </w:p>
    <w:p w:rsidR="003951FF" w:rsidRPr="00B676B1" w:rsidRDefault="003951FF" w:rsidP="004B0C42">
      <w:pPr>
        <w:pStyle w:val="a3"/>
        <w:rPr>
          <w:rtl/>
        </w:rPr>
      </w:pPr>
      <w:r>
        <w:rPr>
          <w:rFonts w:hint="cs"/>
          <w:rtl/>
        </w:rPr>
        <w:t xml:space="preserve">למסקנת אדמו"ר הזקן במאמר שם, </w:t>
      </w:r>
      <w:r w:rsidRPr="00B676B1">
        <w:rPr>
          <w:rFonts w:hint="cs"/>
          <w:rtl/>
        </w:rPr>
        <w:t xml:space="preserve">הסיבה שבגינה הקב"ה לא שלח מלאך להכות את בכורי מצרים היא כי הכאת בכורי מצרים הצריכה הבחנה ודיוק רב בשביל לדעת מי בכור ומי לא, שהרי מלבד זאת שהיו בכורות </w:t>
      </w:r>
      <w:r>
        <w:rPr>
          <w:rFonts w:hint="cs"/>
          <w:rtl/>
        </w:rPr>
        <w:t>זקנים שלא היה מי שיתייחס אליהם בתור בכורות</w:t>
      </w:r>
      <w:r w:rsidRPr="00B676B1">
        <w:rPr>
          <w:rFonts w:hint="cs"/>
          <w:rtl/>
        </w:rPr>
        <w:t xml:space="preserve">, הרי שבמצרים היה קשה לזהות </w:t>
      </w:r>
      <w:r w:rsidRPr="00516CC3">
        <w:rPr>
          <w:rFonts w:hint="cs"/>
          <w:u w:val="single"/>
          <w:rtl/>
        </w:rPr>
        <w:t>גם בכורות צעירים</w:t>
      </w:r>
      <w:r w:rsidRPr="00B676B1">
        <w:rPr>
          <w:rFonts w:hint="cs"/>
          <w:rtl/>
        </w:rPr>
        <w:t xml:space="preserve"> שגרו בבית יחד עם </w:t>
      </w:r>
      <w:r>
        <w:rPr>
          <w:rFonts w:hint="cs"/>
          <w:rtl/>
        </w:rPr>
        <w:t>משפחתם</w:t>
      </w:r>
      <w:r w:rsidRPr="00B676B1">
        <w:rPr>
          <w:rFonts w:hint="cs"/>
          <w:rtl/>
        </w:rPr>
        <w:t>, כיון</w:t>
      </w:r>
      <w:r>
        <w:rPr>
          <w:rFonts w:hint="cs"/>
          <w:rtl/>
        </w:rPr>
        <w:t xml:space="preserve"> שבמכת בכורות מתו גם כאלו שהיו בכורות </w:t>
      </w:r>
      <w:r w:rsidRPr="0057199B">
        <w:rPr>
          <w:rFonts w:hint="cs"/>
          <w:rtl/>
        </w:rPr>
        <w:t>לאביהם בלבד</w:t>
      </w:r>
      <w:r>
        <w:rPr>
          <w:rFonts w:hint="cs"/>
          <w:rtl/>
        </w:rPr>
        <w:t xml:space="preserve">, ולכן </w:t>
      </w:r>
      <w:r w:rsidRPr="00B676B1">
        <w:rPr>
          <w:rFonts w:hint="cs"/>
          <w:rtl/>
        </w:rPr>
        <w:t xml:space="preserve">פעמים רבות </w:t>
      </w:r>
      <w:r>
        <w:rPr>
          <w:rFonts w:hint="cs"/>
          <w:rtl/>
        </w:rPr>
        <w:t>אפילו</w:t>
      </w:r>
      <w:r w:rsidRPr="00B676B1">
        <w:rPr>
          <w:rFonts w:hint="cs"/>
          <w:rtl/>
        </w:rPr>
        <w:t xml:space="preserve"> בני המשפחה לא </w:t>
      </w:r>
      <w:r>
        <w:rPr>
          <w:rFonts w:hint="cs"/>
          <w:rtl/>
        </w:rPr>
        <w:t>ידעו באמת</w:t>
      </w:r>
      <w:r w:rsidRPr="00B676B1">
        <w:rPr>
          <w:rFonts w:hint="cs"/>
          <w:rtl/>
        </w:rPr>
        <w:t xml:space="preserve"> מי מהם בכור ומי לא, שהרי המצרים היו כידוע שטופי זימה, ופעמים רבות כמה מבני הבית היו בכור</w:t>
      </w:r>
      <w:r>
        <w:rPr>
          <w:rFonts w:hint="cs"/>
          <w:rtl/>
        </w:rPr>
        <w:t>ות</w:t>
      </w:r>
      <w:r w:rsidRPr="00B676B1">
        <w:rPr>
          <w:rFonts w:hint="cs"/>
          <w:rtl/>
        </w:rPr>
        <w:t xml:space="preserve"> </w:t>
      </w:r>
      <w:r>
        <w:rPr>
          <w:rFonts w:hint="cs"/>
          <w:rtl/>
        </w:rPr>
        <w:t>לאנשים אחרים שאינם בעל הבית</w:t>
      </w:r>
      <w:r w:rsidRPr="00B676B1">
        <w:rPr>
          <w:rFonts w:hint="cs"/>
          <w:rtl/>
        </w:rPr>
        <w:t xml:space="preserve">, ואין </w:t>
      </w:r>
      <w:r>
        <w:rPr>
          <w:rFonts w:hint="cs"/>
          <w:rtl/>
        </w:rPr>
        <w:t>ביכולתו</w:t>
      </w:r>
      <w:r w:rsidRPr="00B676B1">
        <w:rPr>
          <w:rFonts w:hint="cs"/>
          <w:rtl/>
        </w:rPr>
        <w:t xml:space="preserve"> של מלאך להבחין בדברים מעין אלו, ולכן לא שלח הקב"ה מלאך להכות את בכורי מצרים אלא הוא </w:t>
      </w:r>
      <w:r>
        <w:rPr>
          <w:rFonts w:hint="cs"/>
          <w:rtl/>
        </w:rPr>
        <w:t>בעצמו עשה זאת</w:t>
      </w:r>
      <w:r w:rsidRPr="00B676B1">
        <w:rPr>
          <w:rFonts w:hint="cs"/>
          <w:rtl/>
        </w:rPr>
        <w:t>, זאת בניגוד להכאת מחנה סנחריב שלא הצריכה הבחנה ודיוק רב אלא רק הריגת צבאו של סנחריב שעמד יחדיו באופן מרוכז, ותו לא.</w:t>
      </w:r>
    </w:p>
    <w:p w:rsidR="003951FF" w:rsidRDefault="003951FF" w:rsidP="004B0C42">
      <w:pPr>
        <w:pStyle w:val="a3"/>
        <w:rPr>
          <w:rtl/>
        </w:rPr>
      </w:pPr>
      <w:r w:rsidRPr="00B676B1">
        <w:rPr>
          <w:rFonts w:hint="cs"/>
          <w:rtl/>
        </w:rPr>
        <w:t xml:space="preserve">וזה לשונו של אדמו"ר הזקן: "הטעם שהיה צריך להיות כן ['אני ולא מלאך'] ולא כמו במחנה סנחריב . . </w:t>
      </w:r>
      <w:r>
        <w:rPr>
          <w:rFonts w:hint="cs"/>
          <w:rtl/>
        </w:rPr>
        <w:t xml:space="preserve"> כי </w:t>
      </w:r>
      <w:r w:rsidRPr="00B676B1">
        <w:rPr>
          <w:rFonts w:hint="cs"/>
          <w:rtl/>
        </w:rPr>
        <w:t xml:space="preserve">שם </w:t>
      </w:r>
      <w:r>
        <w:rPr>
          <w:rFonts w:hint="cs"/>
          <w:rtl/>
        </w:rPr>
        <w:t>היה רק שליחות בלבד לדבר מוכן, 'צא ופגע בהם'</w:t>
      </w:r>
      <w:r w:rsidRPr="00B676B1">
        <w:rPr>
          <w:rFonts w:hint="cs"/>
          <w:rtl/>
        </w:rPr>
        <w:t xml:space="preserve">, מה שאין </w:t>
      </w:r>
      <w:r>
        <w:rPr>
          <w:rFonts w:hint="cs"/>
          <w:rtl/>
        </w:rPr>
        <w:t>במצרים מכת בכורות כל בכור, וצריך הבחנה לידע מיהו הבכור לאב, שהיו שטופים בזימה, ואפילו בכור לאם גם כן קשה לידע, שהרי מהם שהיו זקנים, וזה אין בכוח המלאך להבחין".</w:t>
      </w:r>
    </w:p>
    <w:p w:rsidR="003951FF" w:rsidRDefault="003951FF" w:rsidP="004B0C42">
      <w:pPr>
        <w:pStyle w:val="a3"/>
        <w:rPr>
          <w:rtl/>
        </w:rPr>
      </w:pPr>
      <w:r>
        <w:rPr>
          <w:rFonts w:hint="cs"/>
          <w:rtl/>
        </w:rPr>
        <w:t>בכדי שלא תיווצרנה סתירה בין מאמרי אדמו"ר הזקן שבהם נקט כביאור הר"ש מראשקוב לבין מאמר זה, נראה לומר שבמשך השנים שעברו עד שנת תקע"א, שבהם '</w:t>
      </w:r>
      <w:r w:rsidRPr="007B0552">
        <w:rPr>
          <w:rtl/>
        </w:rPr>
        <w:t>הוסיף פליאות חכמה על חכמתו בעמקות ובקיאות</w:t>
      </w:r>
      <w:r>
        <w:rPr>
          <w:rFonts w:hint="cs"/>
          <w:rtl/>
        </w:rPr>
        <w:t>'</w:t>
      </w:r>
      <w:r>
        <w:rPr>
          <w:rStyle w:val="FootnoteReference"/>
          <w:rFonts w:ascii="David" w:hAnsi="David" w:cs="David"/>
          <w:sz w:val="28"/>
          <w:szCs w:val="28"/>
          <w:rtl/>
        </w:rPr>
        <w:footnoteReference w:id="51"/>
      </w:r>
      <w:r>
        <w:rPr>
          <w:rFonts w:hint="cs"/>
          <w:rtl/>
        </w:rPr>
        <w:t>, חזר בו אדמו"ר הזקן מהביאור הראשון ונטה לבאר את הטעם שהקב"ה לא שלח מלאך לארץ מצרים באופן השני.</w:t>
      </w:r>
    </w:p>
    <w:p w:rsidR="003951FF" w:rsidRDefault="003951FF" w:rsidP="004B0C42">
      <w:pPr>
        <w:pStyle w:val="11"/>
        <w:bidi/>
        <w:rPr>
          <w:rtl/>
        </w:rPr>
      </w:pPr>
      <w:r>
        <w:rPr>
          <w:rFonts w:hint="cs"/>
          <w:rtl/>
        </w:rPr>
        <w:t>ג.</w:t>
      </w:r>
    </w:p>
    <w:p w:rsidR="003951FF" w:rsidRPr="00B676B1" w:rsidRDefault="003951FF" w:rsidP="004B0C42">
      <w:pPr>
        <w:pStyle w:val="a3"/>
        <w:rPr>
          <w:rtl/>
        </w:rPr>
      </w:pPr>
      <w:r w:rsidRPr="00B676B1">
        <w:rPr>
          <w:rFonts w:hint="cs"/>
          <w:rtl/>
        </w:rPr>
        <w:t xml:space="preserve">והנה, </w:t>
      </w:r>
      <w:r>
        <w:rPr>
          <w:rFonts w:hint="cs"/>
          <w:rtl/>
        </w:rPr>
        <w:t>קושיית אדמו"ר הזקן על הטעם הראשון מזה שמלאך היכה את מחנה אשור</w:t>
      </w:r>
      <w:r w:rsidRPr="00B676B1">
        <w:rPr>
          <w:rFonts w:hint="cs"/>
          <w:rtl/>
        </w:rPr>
        <w:t xml:space="preserve"> דרושה לכאורה ביאור, כיון שמפורש בתורה ובדברי חז"ל שארץ מצרים הייתה מקום טמא באופן מיוחד, ולדוגמא: בחומש ויקרא (יח, ג) כתוב "כמעשה ארץ מצרים אשר ישבתם בה לא תעשו" וגו', ורש"י </w:t>
      </w:r>
      <w:r>
        <w:rPr>
          <w:rFonts w:hint="cs"/>
          <w:rtl/>
        </w:rPr>
        <w:t>הביא שם את דברי התורת כוהנים על הפסוק</w:t>
      </w:r>
      <w:r w:rsidRPr="00B676B1">
        <w:rPr>
          <w:rFonts w:hint="cs"/>
          <w:rtl/>
        </w:rPr>
        <w:t xml:space="preserve">: "מגיד שמעשיהם של מצרים </w:t>
      </w:r>
      <w:r>
        <w:rPr>
          <w:rFonts w:hint="cs"/>
          <w:rtl/>
        </w:rPr>
        <w:t>ושל כנעניים מקולקלים מכל האומות</w:t>
      </w:r>
      <w:r w:rsidRPr="00B676B1">
        <w:rPr>
          <w:rFonts w:hint="cs"/>
          <w:rtl/>
        </w:rPr>
        <w:t>"</w:t>
      </w:r>
      <w:r>
        <w:rPr>
          <w:rFonts w:hint="cs"/>
          <w:rtl/>
        </w:rPr>
        <w:t>, וכמו כן</w:t>
      </w:r>
      <w:r w:rsidRPr="00B676B1">
        <w:rPr>
          <w:rFonts w:hint="cs"/>
          <w:rtl/>
        </w:rPr>
        <w:t xml:space="preserve"> מפורש בספר עץ חיים (שער מ"ג פרק א) שמצרים מכונה 'ערוות הארץ'; ואם כן, ניתן להעמיד את </w:t>
      </w:r>
      <w:r>
        <w:rPr>
          <w:rFonts w:hint="cs"/>
          <w:rtl/>
        </w:rPr>
        <w:t>הביאור הראשון</w:t>
      </w:r>
      <w:r w:rsidRPr="00B676B1">
        <w:rPr>
          <w:rFonts w:hint="cs"/>
          <w:rtl/>
        </w:rPr>
        <w:t xml:space="preserve"> על כנו ולומר שזה שהקב"ה שלח מלאך להכות את מחנה אשור הוא מפני שבמחנה אשור לא שרתה טומאה גדולה כל כך כמו בארץ מצרים</w:t>
      </w:r>
      <w:r>
        <w:rPr>
          <w:rFonts w:hint="cs"/>
          <w:rtl/>
        </w:rPr>
        <w:t xml:space="preserve"> והמלאך יכל לסבול את הטומאה הזו</w:t>
      </w:r>
      <w:r w:rsidRPr="00B676B1">
        <w:rPr>
          <w:rFonts w:hint="cs"/>
          <w:rtl/>
        </w:rPr>
        <w:t xml:space="preserve">, ואיך "מחנה אשור </w:t>
      </w:r>
      <w:r w:rsidRPr="00B676B1">
        <w:rPr>
          <w:rFonts w:hint="cs"/>
          <w:rtl/>
        </w:rPr>
        <w:lastRenderedPageBreak/>
        <w:t>תוכיח"</w:t>
      </w:r>
      <w:r>
        <w:rPr>
          <w:rFonts w:hint="cs"/>
          <w:rtl/>
        </w:rPr>
        <w:t>?</w:t>
      </w:r>
    </w:p>
    <w:p w:rsidR="003951FF" w:rsidRPr="00B676B1" w:rsidRDefault="003951FF" w:rsidP="004B0C42">
      <w:pPr>
        <w:pStyle w:val="11"/>
        <w:bidi/>
        <w:rPr>
          <w:rtl/>
        </w:rPr>
      </w:pPr>
      <w:r>
        <w:rPr>
          <w:rFonts w:hint="cs"/>
          <w:rtl/>
        </w:rPr>
        <w:t>ד</w:t>
      </w:r>
      <w:r w:rsidRPr="00B676B1">
        <w:rPr>
          <w:rFonts w:hint="cs"/>
          <w:rtl/>
        </w:rPr>
        <w:t>.</w:t>
      </w:r>
    </w:p>
    <w:p w:rsidR="003951FF" w:rsidRPr="00B676B1" w:rsidRDefault="003951FF" w:rsidP="004B0C42">
      <w:pPr>
        <w:pStyle w:val="a3"/>
        <w:rPr>
          <w:rtl/>
        </w:rPr>
      </w:pPr>
      <w:r>
        <w:rPr>
          <w:rFonts w:hint="cs"/>
          <w:rtl/>
        </w:rPr>
        <w:t>מסופר במסכת סנהדרין (צ</w:t>
      </w:r>
      <w:r w:rsidRPr="00B676B1">
        <w:rPr>
          <w:rFonts w:hint="cs"/>
          <w:rtl/>
        </w:rPr>
        <w:t>ה, ב) שלאחר שהמלאך היכה את מחנה אשור, הקב"ה התגלה לסנחריב בדמות אדם זקן ויעץ לו לגזור את שערותיו בכדי ששאר המלכים שנתנו לו את החיילים שלהם לצורך המלחמה לא יזהו אותו ו</w:t>
      </w:r>
      <w:r>
        <w:rPr>
          <w:rFonts w:hint="cs"/>
          <w:rtl/>
        </w:rPr>
        <w:t xml:space="preserve">לא </w:t>
      </w:r>
      <w:r w:rsidRPr="00B676B1">
        <w:rPr>
          <w:rFonts w:hint="cs"/>
          <w:rtl/>
        </w:rPr>
        <w:t>י</w:t>
      </w:r>
      <w:r>
        <w:rPr>
          <w:rFonts w:hint="cs"/>
          <w:rtl/>
        </w:rPr>
        <w:t>ו</w:t>
      </w:r>
      <w:r w:rsidRPr="00B676B1">
        <w:rPr>
          <w:rFonts w:hint="cs"/>
          <w:rtl/>
        </w:rPr>
        <w:t xml:space="preserve">כלו </w:t>
      </w:r>
      <w:r>
        <w:rPr>
          <w:rFonts w:hint="cs"/>
          <w:rtl/>
        </w:rPr>
        <w:t xml:space="preserve">לכלות </w:t>
      </w:r>
      <w:r w:rsidRPr="00B676B1">
        <w:rPr>
          <w:rFonts w:hint="cs"/>
          <w:rtl/>
        </w:rPr>
        <w:t xml:space="preserve">בו את זעמם בעקבות מות חייליהם, וכיון שתוך כדי הדברים החשיך היום ונהיה לילה </w:t>
      </w:r>
      <w:r w:rsidRPr="00B676B1">
        <w:rPr>
          <w:rtl/>
        </w:rPr>
        <w:t>–</w:t>
      </w:r>
      <w:r w:rsidRPr="00B676B1">
        <w:rPr>
          <w:rFonts w:hint="cs"/>
          <w:rtl/>
        </w:rPr>
        <w:t xml:space="preserve"> סנחריב הוצרך להשיג אש בכדי ש'האדם הזקן' יוכל לראות אותו ולספרו, ותוך כדי התעסקותו בהשגת האש נת</w:t>
      </w:r>
      <w:r>
        <w:rPr>
          <w:rFonts w:hint="cs"/>
          <w:rtl/>
        </w:rPr>
        <w:t>פסה</w:t>
      </w:r>
      <w:r w:rsidRPr="00B676B1">
        <w:rPr>
          <w:rFonts w:hint="cs"/>
          <w:rtl/>
        </w:rPr>
        <w:t xml:space="preserve"> האש בזקנו, ובעקבות כך גזר סנחריב את שאר שערות זקנו וראשו, וכל זאת גלגל הקב"ה בכדי לקיים את הנבואה (ישעיה ז, כ) "ביום ההוא יגלח ה' בתער השכירה בעברי נהר במלך אשור את הראש ושער הרגלים וגם את הזקן תספה".</w:t>
      </w:r>
    </w:p>
    <w:p w:rsidR="003951FF" w:rsidRPr="00B676B1" w:rsidRDefault="003951FF" w:rsidP="004B0C42">
      <w:pPr>
        <w:pStyle w:val="a3"/>
        <w:rPr>
          <w:rtl/>
        </w:rPr>
      </w:pPr>
      <w:r w:rsidRPr="00B676B1">
        <w:rPr>
          <w:rFonts w:hint="cs"/>
          <w:rtl/>
        </w:rPr>
        <w:t>במ</w:t>
      </w:r>
      <w:r>
        <w:rPr>
          <w:rFonts w:hint="cs"/>
          <w:rtl/>
        </w:rPr>
        <w:t>אמרי אדמו"ר הזקן תקע"ב (עמוד רכ</w:t>
      </w:r>
      <w:r w:rsidRPr="00B676B1">
        <w:rPr>
          <w:rFonts w:hint="cs"/>
          <w:rtl/>
        </w:rPr>
        <w:t>ב) מופיע מאמר ד"ה "ביום ההוא יגלח" שבו אדמו"ר הזקן מבאר את עניינו של גילוח שערות סנחריב על פי פנימיות העניינים, וכהקדמה לביאור כותב: "הנה באמת זהו דבר פלא מה שהוצרך הקב"ה לגלח שער מלך אשור אשר לא עשה כן לכל שר משרי אומות העולם, כי גם פרעה מלך מצרים שהכביד עולו על ישראל ומרד בה' ואמר 'מי ה' אשר אשמע בקולו', הנה הכהו ה' בעשר מכות והאביד כל חילו בים סוף, אבל לא עשה דבר זה לגלח ראשו וזקנו</w:t>
      </w:r>
      <w:r w:rsidRPr="00B676B1">
        <w:rPr>
          <w:rFonts w:hint="cs"/>
          <w:b/>
          <w:bCs/>
          <w:rtl/>
        </w:rPr>
        <w:t>'</w:t>
      </w:r>
      <w:r w:rsidRPr="00B676B1">
        <w:rPr>
          <w:rFonts w:hint="cs"/>
          <w:rtl/>
        </w:rPr>
        <w:t>".</w:t>
      </w:r>
    </w:p>
    <w:p w:rsidR="003951FF" w:rsidRPr="00B676B1" w:rsidRDefault="003951FF" w:rsidP="004B0C42">
      <w:pPr>
        <w:pStyle w:val="a3"/>
        <w:rPr>
          <w:rtl/>
        </w:rPr>
      </w:pPr>
      <w:r w:rsidRPr="00B676B1">
        <w:rPr>
          <w:rFonts w:hint="cs"/>
          <w:rtl/>
        </w:rPr>
        <w:t xml:space="preserve">ועונה על כך אדמו"ר הזקן: "אך הנה סנחריב מלך אשור היה מורד באלוקים חיים </w:t>
      </w:r>
      <w:r w:rsidRPr="00B676B1">
        <w:rPr>
          <w:rFonts w:hint="cs"/>
          <w:b/>
          <w:bCs/>
          <w:rtl/>
        </w:rPr>
        <w:t>יותר מכל שאר אומות העולם</w:t>
      </w:r>
      <w:r w:rsidRPr="00B676B1">
        <w:rPr>
          <w:rFonts w:hint="cs"/>
          <w:rtl/>
        </w:rPr>
        <w:t>, כי כל אומות העולם יודעים את רבונם, שהרי קרו ליה אלקא דאלקיא . . באמרם עז</w:t>
      </w:r>
      <w:r>
        <w:rPr>
          <w:rFonts w:hint="cs"/>
          <w:rtl/>
        </w:rPr>
        <w:t>ב</w:t>
      </w:r>
      <w:r w:rsidRPr="00B676B1">
        <w:rPr>
          <w:rFonts w:hint="cs"/>
          <w:rtl/>
        </w:rPr>
        <w:t xml:space="preserve"> ה' את הארץ להיות מתנהג הכול על פי כוכבים ומזלות</w:t>
      </w:r>
      <w:r>
        <w:rPr>
          <w:rFonts w:hint="cs"/>
          <w:rtl/>
        </w:rPr>
        <w:t xml:space="preserve"> . .</w:t>
      </w:r>
      <w:r w:rsidRPr="00B676B1">
        <w:rPr>
          <w:rFonts w:hint="cs"/>
          <w:rtl/>
        </w:rPr>
        <w:t xml:space="preserve"> </w:t>
      </w:r>
      <w:r w:rsidRPr="00B676B1">
        <w:rPr>
          <w:rFonts w:hint="cs"/>
          <w:b/>
          <w:bCs/>
          <w:rtl/>
        </w:rPr>
        <w:t xml:space="preserve">וגם פרעה לא אמר רק 'מי ה' אשר אשמע' כו' </w:t>
      </w:r>
      <w:r w:rsidRPr="00B676B1">
        <w:rPr>
          <w:b/>
          <w:bCs/>
          <w:rtl/>
        </w:rPr>
        <w:t>–</w:t>
      </w:r>
      <w:r w:rsidRPr="00B676B1">
        <w:rPr>
          <w:rFonts w:hint="cs"/>
          <w:b/>
          <w:bCs/>
          <w:rtl/>
        </w:rPr>
        <w:t xml:space="preserve"> שם הוי' דוקא הוא שלא הכיר והשיג, אבל שם אלוקים ידע והכיר</w:t>
      </w:r>
      <w:r w:rsidRPr="00B676B1">
        <w:rPr>
          <w:rFonts w:hint="cs"/>
          <w:rtl/>
        </w:rPr>
        <w:t xml:space="preserve">, אך סנחריב מלך אשור הוא אשר מרד יותר ברום לבבו . . על כן אמר 'מי בכל אלוקי הארצות אשר הצילו את ארצם מידי כי יציל ה' את ירושלים מידי', שהשווה אלוקים חיים לכל אלוקי הארצות עץ ואבן, שזהו חירוף וגידוף ביותר להכחיש באלוקים חיים שאינו אלקא דאלקיא, </w:t>
      </w:r>
      <w:r w:rsidRPr="00B676B1">
        <w:rPr>
          <w:rFonts w:hint="cs"/>
          <w:b/>
          <w:bCs/>
          <w:rtl/>
        </w:rPr>
        <w:t>ובחינת קליפה קשה כזו עדיין לא הייתה בכל מלכי ושרי אומות העולם כמו סנחריב</w:t>
      </w:r>
      <w:r w:rsidRPr="00B676B1">
        <w:rPr>
          <w:rFonts w:hint="cs"/>
          <w:rtl/>
        </w:rPr>
        <w:t>, אשר על כן לא היה לזה תיקון רק שלא יהיה לו יניקה ושורש למעלה, להיותו בבחינת פירוד גמור, וזהו דווקא על ידי הגילוח".</w:t>
      </w:r>
    </w:p>
    <w:p w:rsidR="003951FF" w:rsidRPr="00B676B1" w:rsidRDefault="003951FF" w:rsidP="004B0C42">
      <w:pPr>
        <w:pStyle w:val="a3"/>
        <w:rPr>
          <w:rtl/>
        </w:rPr>
      </w:pPr>
      <w:r w:rsidRPr="00B676B1">
        <w:rPr>
          <w:rFonts w:hint="cs"/>
          <w:rtl/>
        </w:rPr>
        <w:t xml:space="preserve">ובהמשך המאמר שם (עמודים רל"א-רל"ב) מסביר אדמו"ר הזקן שהחילוק בין פרעה ושאר מלכי הגוים לבין סנחריב נעוץ </w:t>
      </w:r>
      <w:r>
        <w:rPr>
          <w:rFonts w:hint="cs"/>
          <w:rtl/>
        </w:rPr>
        <w:t>באופן בו קיבלו את חיותם מהקב"ה</w:t>
      </w:r>
      <w:r w:rsidRPr="00B676B1">
        <w:rPr>
          <w:rFonts w:hint="cs"/>
          <w:rtl/>
        </w:rPr>
        <w:t>: פרעה ושאר מלכי הגוים קיבלו את חיותם מהקב"ה באופ</w:t>
      </w:r>
      <w:r>
        <w:rPr>
          <w:rFonts w:hint="cs"/>
          <w:rtl/>
        </w:rPr>
        <w:t>ן מצומצם מאוד אך בצורה שעדיין נרגש ש</w:t>
      </w:r>
      <w:r w:rsidRPr="00B676B1">
        <w:rPr>
          <w:rFonts w:hint="cs"/>
          <w:rtl/>
        </w:rPr>
        <w:t xml:space="preserve">מדובר כאן אודות חיות אלוקית, ואילו סנחריב קיבל את חיותו מהקב"ה בצורה מצומצמת כל כך עד שהוא הרגיש שלא מדובר כאן כלל </w:t>
      </w:r>
      <w:r>
        <w:rPr>
          <w:rFonts w:hint="cs"/>
          <w:rtl/>
        </w:rPr>
        <w:t>אודות</w:t>
      </w:r>
      <w:r w:rsidRPr="00B676B1">
        <w:rPr>
          <w:rFonts w:hint="cs"/>
          <w:rtl/>
        </w:rPr>
        <w:t xml:space="preserve"> חיות אלוקית.</w:t>
      </w:r>
    </w:p>
    <w:p w:rsidR="003951FF" w:rsidRPr="00B676B1" w:rsidRDefault="003951FF" w:rsidP="004B0C42">
      <w:pPr>
        <w:pStyle w:val="a3"/>
        <w:rPr>
          <w:rtl/>
        </w:rPr>
      </w:pPr>
      <w:r w:rsidRPr="00B676B1">
        <w:rPr>
          <w:rFonts w:hint="cs"/>
          <w:rtl/>
        </w:rPr>
        <w:t xml:space="preserve">ובמילותיו של אדמו"ר הזקן: הכרתו של פרעה ומלכי הגוים בקב"ה הגיעה מצד זה </w:t>
      </w:r>
      <w:r>
        <w:rPr>
          <w:rFonts w:hint="cs"/>
          <w:rtl/>
        </w:rPr>
        <w:t xml:space="preserve">ש"ההארה הראשונה [הארת החיות שהושפעה למצרים ושאר האומות] לא נשתנה בשינוי </w:t>
      </w:r>
      <w:r w:rsidRPr="00807AFF">
        <w:rPr>
          <w:rFonts w:hint="cs"/>
          <w:u w:val="single"/>
          <w:rtl/>
        </w:rPr>
        <w:t>המהות</w:t>
      </w:r>
      <w:r>
        <w:rPr>
          <w:rFonts w:hint="cs"/>
          <w:rtl/>
        </w:rPr>
        <w:t xml:space="preserve">, רק שבא במיעוט וצמצום ביותר . . כמו על דרך משל עבד המורד באדונו, שהגם שמורד ואינו רוצה לישא עול אדוניו, מכל מקום יודע ומודה שהוא עבד", ואילו כפירתו של סנחריב הגיעה מצד זה ש"בא האור </w:t>
      </w:r>
      <w:r w:rsidRPr="00807AFF">
        <w:rPr>
          <w:rFonts w:hint="cs"/>
          <w:u w:val="single"/>
          <w:rtl/>
        </w:rPr>
        <w:t>בשינוי המהות</w:t>
      </w:r>
      <w:r>
        <w:rPr>
          <w:rFonts w:hint="cs"/>
          <w:rtl/>
        </w:rPr>
        <w:t xml:space="preserve">, ועל כן יוכל להיות התהוות מהות חדשה </w:t>
      </w:r>
      <w:r w:rsidRPr="00807AFF">
        <w:rPr>
          <w:rFonts w:hint="cs"/>
          <w:u w:val="single"/>
          <w:rtl/>
        </w:rPr>
        <w:lastRenderedPageBreak/>
        <w:t>שאינו בערך כלל</w:t>
      </w:r>
      <w:r>
        <w:rPr>
          <w:rFonts w:hint="cs"/>
          <w:rtl/>
        </w:rPr>
        <w:t xml:space="preserve"> ממהות המשפיע . . עבד המורד בעיקר המלוכה לומר </w:t>
      </w:r>
      <w:r w:rsidRPr="003B0284">
        <w:rPr>
          <w:rFonts w:hint="cs"/>
          <w:u w:val="single"/>
          <w:rtl/>
        </w:rPr>
        <w:t>שאינו מלך כלל</w:t>
      </w:r>
      <w:r>
        <w:rPr>
          <w:rFonts w:hint="cs"/>
          <w:rtl/>
        </w:rPr>
        <w:t xml:space="preserve"> אלא הוא המלך . . הוא ענין קליפה דסנחריב מלך אשור שהיה מכחיש במציאות אלוקות לגמרי".</w:t>
      </w:r>
    </w:p>
    <w:p w:rsidR="003951FF" w:rsidRPr="00B676B1" w:rsidRDefault="003951FF" w:rsidP="004B0C42">
      <w:pPr>
        <w:pStyle w:val="a3"/>
        <w:rPr>
          <w:rtl/>
        </w:rPr>
      </w:pPr>
      <w:r w:rsidRPr="00B676B1">
        <w:rPr>
          <w:rFonts w:hint="cs"/>
          <w:rtl/>
        </w:rPr>
        <w:t>[בסיום המאמר (עמוד רל"ד) 'מתרגם' אדמו"ר הזקן את קליפת סנחריב לימינו: "ובפרט כמו חכמת הפלוסופיא שנמשך ממנה האפיקורסין כידוע, שמזה היה שורש קליפת סנחריב".]</w:t>
      </w:r>
    </w:p>
    <w:p w:rsidR="003951FF" w:rsidRDefault="003951FF" w:rsidP="004B0C42">
      <w:pPr>
        <w:pStyle w:val="a3"/>
        <w:rPr>
          <w:rtl/>
        </w:rPr>
      </w:pPr>
      <w:r w:rsidRPr="00B676B1">
        <w:rPr>
          <w:rFonts w:hint="cs"/>
          <w:rtl/>
        </w:rPr>
        <w:t>ובכל אופן, על פי המבואר במאמר זה ניתן לבאר היטב את קושייתו של אדמו"ר הזקן</w:t>
      </w:r>
      <w:r>
        <w:rPr>
          <w:rFonts w:hint="cs"/>
          <w:rtl/>
        </w:rPr>
        <w:t xml:space="preserve"> על</w:t>
      </w:r>
      <w:r w:rsidRPr="00B676B1">
        <w:rPr>
          <w:rFonts w:hint="cs"/>
          <w:rtl/>
        </w:rPr>
        <w:t xml:space="preserve"> </w:t>
      </w:r>
      <w:r>
        <w:rPr>
          <w:rFonts w:hint="cs"/>
          <w:rtl/>
        </w:rPr>
        <w:t>הביאור הראשון</w:t>
      </w:r>
      <w:r w:rsidRPr="00B676B1">
        <w:rPr>
          <w:rFonts w:hint="cs"/>
          <w:rtl/>
        </w:rPr>
        <w:t xml:space="preserve">: למרות שמעשיהם של המצרים היו מקולקלים יותר ממעשיהם של שאר האומות, הנה הקלקול הזה הוא רק ברובד </w:t>
      </w:r>
      <w:r w:rsidRPr="00B676B1">
        <w:rPr>
          <w:rFonts w:hint="cs"/>
          <w:u w:val="single"/>
          <w:rtl/>
        </w:rPr>
        <w:t>המעשי</w:t>
      </w:r>
      <w:r>
        <w:rPr>
          <w:rFonts w:hint="cs"/>
          <w:rtl/>
        </w:rPr>
        <w:t xml:space="preserve"> (</w:t>
      </w:r>
      <w:r w:rsidRPr="00B676B1">
        <w:rPr>
          <w:rFonts w:hint="cs"/>
          <w:rtl/>
        </w:rPr>
        <w:t xml:space="preserve">כפי שמתוארים מעשיהם בתורה בפסוקים שאחרי הציווי "כמעשה ארץ מצרים אשר ישבתם בה לא תעשו"), אך ברובד של הריחוק מהקב"ה </w:t>
      </w:r>
      <w:r w:rsidRPr="00B676B1">
        <w:rPr>
          <w:rFonts w:hint="cs"/>
          <w:u w:val="single"/>
          <w:rtl/>
        </w:rPr>
        <w:t>ו</w:t>
      </w:r>
      <w:r>
        <w:rPr>
          <w:rFonts w:hint="cs"/>
          <w:u w:val="single"/>
          <w:rtl/>
        </w:rPr>
        <w:t xml:space="preserve">רמת </w:t>
      </w:r>
      <w:r w:rsidRPr="00B676B1">
        <w:rPr>
          <w:rFonts w:hint="cs"/>
          <w:u w:val="single"/>
          <w:rtl/>
        </w:rPr>
        <w:t>הטומאה לכשעצמה</w:t>
      </w:r>
      <w:r w:rsidRPr="00B676B1">
        <w:rPr>
          <w:rFonts w:hint="cs"/>
          <w:rtl/>
        </w:rPr>
        <w:t xml:space="preserve"> </w:t>
      </w:r>
      <w:r w:rsidRPr="00B676B1">
        <w:rPr>
          <w:rtl/>
        </w:rPr>
        <w:t>–</w:t>
      </w:r>
      <w:r w:rsidRPr="00B676B1">
        <w:rPr>
          <w:rFonts w:hint="cs"/>
          <w:rtl/>
        </w:rPr>
        <w:t xml:space="preserve"> סנחריב ואומתו היו מקולקלים הרבה יותר מפרעה ואומתו, כיון שהם לא הכירו כלל במציאותו של הקב"ה, </w:t>
      </w:r>
      <w:r>
        <w:rPr>
          <w:rFonts w:hint="cs"/>
          <w:rtl/>
        </w:rPr>
        <w:t>ולכן</w:t>
      </w:r>
      <w:r w:rsidRPr="00B676B1">
        <w:rPr>
          <w:rFonts w:hint="cs"/>
          <w:rtl/>
        </w:rPr>
        <w:t xml:space="preserve"> </w:t>
      </w:r>
      <w:r>
        <w:rPr>
          <w:rFonts w:hint="cs"/>
          <w:rtl/>
        </w:rPr>
        <w:t xml:space="preserve">דחוק לומר </w:t>
      </w:r>
      <w:r w:rsidRPr="00B676B1">
        <w:rPr>
          <w:rFonts w:hint="cs"/>
          <w:rtl/>
        </w:rPr>
        <w:t>שהסיבה שהקב"ה לא שלח מלאך לארץ מצרים היא כי אין בכוחו של מלאך לסבול</w:t>
      </w:r>
      <w:r>
        <w:rPr>
          <w:rFonts w:hint="cs"/>
          <w:rtl/>
        </w:rPr>
        <w:t xml:space="preserve"> את טומאת מצרים בה בשעה שמפורש </w:t>
      </w:r>
      <w:r w:rsidRPr="00B676B1">
        <w:rPr>
          <w:rFonts w:hint="cs"/>
          <w:rtl/>
        </w:rPr>
        <w:t>בכתוב שהקב"ה שלח מלאך למחנה אשור שהיה טמא הרבה יותר</w:t>
      </w:r>
      <w:r w:rsidRPr="00B676B1">
        <w:rPr>
          <w:vertAlign w:val="superscript"/>
          <w:rtl/>
        </w:rPr>
        <w:footnoteReference w:id="52"/>
      </w:r>
      <w:r w:rsidRPr="00B676B1">
        <w:rPr>
          <w:rFonts w:hint="cs"/>
          <w:rtl/>
        </w:rPr>
        <w:t>.</w:t>
      </w:r>
    </w:p>
    <w:p w:rsidR="003951FF" w:rsidRPr="00344BD5" w:rsidRDefault="003951FF" w:rsidP="006A01B4">
      <w:pPr>
        <w:pStyle w:val="a3"/>
        <w:jc w:val="center"/>
        <w:rPr>
          <w:rtl/>
        </w:rPr>
      </w:pPr>
      <w:r w:rsidRPr="00344BD5">
        <w:rPr>
          <w:rFonts w:hint="cs"/>
          <w:rtl/>
        </w:rPr>
        <w:t>*   *   *</w:t>
      </w:r>
    </w:p>
    <w:p w:rsidR="003951FF" w:rsidRDefault="003951FF" w:rsidP="004B0C42">
      <w:pPr>
        <w:pStyle w:val="11"/>
        <w:bidi/>
        <w:rPr>
          <w:rtl/>
        </w:rPr>
      </w:pPr>
      <w:r>
        <w:rPr>
          <w:rFonts w:hint="cs"/>
          <w:rtl/>
        </w:rPr>
        <w:t>ה.</w:t>
      </w:r>
    </w:p>
    <w:p w:rsidR="003951FF" w:rsidRDefault="003951FF" w:rsidP="004B0C42">
      <w:pPr>
        <w:pStyle w:val="a3"/>
        <w:rPr>
          <w:rtl/>
        </w:rPr>
      </w:pPr>
      <w:r>
        <w:rPr>
          <w:rFonts w:hint="cs"/>
          <w:rtl/>
        </w:rPr>
        <w:t xml:space="preserve">והנה, כ"ק אדמו"ר מהר"ש בספר תורת שמואל במאמר ד"ה ולאחותו הבתולה תרכ"ז (תורת שמואל תרכ"ז עמוד רעג) ביאר את הסיבה ש'אני ולא מלאך' </w:t>
      </w:r>
      <w:r w:rsidRPr="00AA01D0">
        <w:rPr>
          <w:rFonts w:hint="cs"/>
          <w:b/>
          <w:bCs/>
          <w:rtl/>
        </w:rPr>
        <w:t>כפי שביאר אדמו"ר הזקן בתחילה</w:t>
      </w:r>
      <w:r>
        <w:rPr>
          <w:rFonts w:hint="cs"/>
          <w:rtl/>
        </w:rPr>
        <w:t>, ולא כפי שביאר אדמו"ר הזקן בתקע"א. וזה לשונו במאמר שם: "ביציאת מצרים כתיב 'ועברתי בארץ מצרים', אני ולא מלאך אני ולא שרף, שהמלאך לא היה יכול להשפיל את עצמו כל כך לירד במקום גילולים וטינופת, שמצרים נקראת ערוות הארץ".</w:t>
      </w:r>
    </w:p>
    <w:p w:rsidR="003951FF" w:rsidRDefault="003951FF" w:rsidP="004B0C42">
      <w:pPr>
        <w:pStyle w:val="a3"/>
        <w:rPr>
          <w:rtl/>
        </w:rPr>
      </w:pPr>
      <w:r>
        <w:rPr>
          <w:rFonts w:hint="cs"/>
          <w:rtl/>
        </w:rPr>
        <w:t xml:space="preserve">וכן ביאר כ"ק אדמו"ר מוהרש"ב במאמר ד"ה אנכי הוי' אלוקיך אעת"ר (סה"מ אעת"ר עמוד עה) את הסיבה ש'אני ולא מלאך': "הנה נודע דבזמן שעבוד מצרים היו ישראל משוקעים במ"ט שערי טומאה במצרים ערוות הארץ מקום החושך והטומאה ביותר, </w:t>
      </w:r>
      <w:r w:rsidRPr="00040F0A">
        <w:rPr>
          <w:rFonts w:hint="cs"/>
          <w:b/>
          <w:bCs/>
          <w:rtl/>
        </w:rPr>
        <w:t>ובכדי להוציאם ממצרים לא היה אפשר להיות על ידי האור דסדר ההשתלשלות שבסדר והדרגה [כיון] שאינו מאיר רק בקדושה</w:t>
      </w:r>
      <w:r>
        <w:rPr>
          <w:rFonts w:hint="cs"/>
          <w:rtl/>
        </w:rPr>
        <w:t xml:space="preserve"> . . ועל כן הוצרך להיות המשכה שבבחינת דילוג מבחינת עצמות אור אין סוף . . </w:t>
      </w:r>
      <w:r w:rsidRPr="00040F0A">
        <w:rPr>
          <w:rFonts w:hint="cs"/>
          <w:rtl/>
        </w:rPr>
        <w:t>וזהו שאמרו רז"ל 'לא על ידי מלאך ושרף ושליח'</w:t>
      </w:r>
      <w:r>
        <w:rPr>
          <w:rFonts w:hint="cs"/>
          <w:rtl/>
        </w:rPr>
        <w:t xml:space="preserve"> . . דבמצרים ערוות הארץ אי אפשר לשום אור השייך להשתלשלות לירד לשם".</w:t>
      </w:r>
    </w:p>
    <w:p w:rsidR="003951FF" w:rsidRDefault="003951FF" w:rsidP="004B0C42">
      <w:pPr>
        <w:pStyle w:val="a3"/>
        <w:rPr>
          <w:rtl/>
        </w:rPr>
      </w:pPr>
      <w:r>
        <w:rPr>
          <w:rFonts w:hint="cs"/>
          <w:rtl/>
        </w:rPr>
        <w:lastRenderedPageBreak/>
        <w:t xml:space="preserve">גם כ"ק אדמו"ר ביאר את הסיבה ש'אני ולא מלאך' כפי שביאר אדמו"ר הזקן בתחילה, בשיחה שנשא לאחר עריכת ליל הסדר ביום א' דפסח בשנת תשי"ב, וזה לשונו (תו"מ התוועדויות חלק ה עמוד 112): "הטעם שהוצרך להיות גילוי מהותו ועצמותו ית' דווקא </w:t>
      </w:r>
      <w:r>
        <w:rPr>
          <w:rtl/>
        </w:rPr>
        <w:t>–</w:t>
      </w:r>
      <w:r>
        <w:rPr>
          <w:rFonts w:hint="cs"/>
          <w:rtl/>
        </w:rPr>
        <w:t xml:space="preserve"> כי במצרים היו בני ישראל שקועים במ"ט שערי טומאה, שזוהי ירידה הכי גדולה שיכולה להיות אצל בני ישראל, וכדי להוציאם משם לא מספיק הגילוי דארבעת העולמות אבי"ע, מלאך שרף שליח ואחר, </w:t>
      </w:r>
      <w:r w:rsidRPr="008909C9">
        <w:rPr>
          <w:rFonts w:hint="cs"/>
          <w:rtl/>
        </w:rPr>
        <w:t xml:space="preserve">ויתירה מזה ואדרבה </w:t>
      </w:r>
      <w:r w:rsidRPr="008909C9">
        <w:rPr>
          <w:rtl/>
        </w:rPr>
        <w:t>–</w:t>
      </w:r>
      <w:r w:rsidRPr="008909C9">
        <w:rPr>
          <w:rFonts w:hint="cs"/>
          <w:rtl/>
        </w:rPr>
        <w:t xml:space="preserve"> אם היה יורד מלאך כו' היה נשקע תוך הקליפה</w:t>
      </w:r>
      <w:r>
        <w:rPr>
          <w:rFonts w:hint="cs"/>
          <w:rtl/>
        </w:rPr>
        <w:t>".</w:t>
      </w:r>
    </w:p>
    <w:p w:rsidR="003951FF" w:rsidRDefault="003951FF" w:rsidP="004B0C42">
      <w:pPr>
        <w:pStyle w:val="a3"/>
        <w:rPr>
          <w:rtl/>
        </w:rPr>
      </w:pPr>
      <w:r>
        <w:rPr>
          <w:rFonts w:hint="cs"/>
          <w:rtl/>
        </w:rPr>
        <w:t xml:space="preserve">גם בשיחת יום ב' דחג השבועות תשכ"ה ביאר כך כ"ק אדמו"ר את הסיבה ש'אני ולא מלאך' (תו"מ התוועדויות חלק מג עמוד 386): "כמבואר בכתבי האריז"ל בפירוש מאמר רז"ל 'אני ולא מלאך', שאילו היה מלאך יורד למצרים, </w:t>
      </w:r>
      <w:r w:rsidRPr="008909C9">
        <w:rPr>
          <w:rFonts w:hint="cs"/>
          <w:rtl/>
        </w:rPr>
        <w:t>הנה מצד גודל הטומאה כו', לא זו בלבד שלא היה יכול להוציא את בני ישראל משם, אלא הוא בעצמו היה נשקע שם</w:t>
      </w:r>
      <w:r>
        <w:rPr>
          <w:rFonts w:hint="cs"/>
          <w:rtl/>
        </w:rPr>
        <w:t xml:space="preserve">. מלאכים </w:t>
      </w:r>
      <w:r>
        <w:rPr>
          <w:rtl/>
        </w:rPr>
        <w:t>–</w:t>
      </w:r>
      <w:r>
        <w:rPr>
          <w:rFonts w:hint="cs"/>
          <w:rtl/>
        </w:rPr>
        <w:t xml:space="preserve"> יכולים רק למלא שליחות, אבל אינם יכולים לפעול בירור וזיכוך".</w:t>
      </w:r>
    </w:p>
    <w:p w:rsidR="003951FF" w:rsidRDefault="003951FF" w:rsidP="004B0C42">
      <w:pPr>
        <w:pStyle w:val="a3"/>
        <w:rPr>
          <w:rtl/>
        </w:rPr>
      </w:pPr>
      <w:r>
        <w:rPr>
          <w:rFonts w:hint="cs"/>
          <w:rtl/>
        </w:rPr>
        <w:t xml:space="preserve">ומכל זה נראה שעל אף קושיית אדמו"ר הזקן על הביאור שמלאך לא יכול לרדת למקום טמא </w:t>
      </w:r>
      <w:r>
        <w:rPr>
          <w:rtl/>
        </w:rPr>
        <w:t>–</w:t>
      </w:r>
      <w:r>
        <w:rPr>
          <w:rFonts w:hint="cs"/>
          <w:rtl/>
        </w:rPr>
        <w:t xml:space="preserve"> רבותינו נשיאינו נתנו לו מקום רב ואף הביאו אותו בתור הביאור הפשוט</w:t>
      </w:r>
      <w:r w:rsidRPr="004C3605">
        <w:rPr>
          <w:vertAlign w:val="superscript"/>
          <w:rtl/>
        </w:rPr>
        <w:footnoteReference w:id="53"/>
      </w:r>
      <w:r>
        <w:rPr>
          <w:rFonts w:hint="cs"/>
          <w:rtl/>
        </w:rPr>
        <w:t>.</w:t>
      </w:r>
    </w:p>
    <w:p w:rsidR="003951FF" w:rsidRPr="00760DB7" w:rsidRDefault="003951FF" w:rsidP="003951FF">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760DB7">
        <w:rPr>
          <w:rFonts w:ascii="Nymphette" w:eastAsia="Times New Roman" w:hAnsi="Nymphette" w:cs="Nymphette"/>
          <w:sz w:val="44"/>
          <w:szCs w:val="44"/>
        </w:rPr>
        <w:t>g</w:t>
      </w:r>
    </w:p>
    <w:p w:rsidR="00642014" w:rsidRDefault="00642014" w:rsidP="00642014">
      <w:pPr>
        <w:pStyle w:val="a0"/>
        <w:rPr>
          <w:rtl/>
        </w:rPr>
      </w:pPr>
      <w:bookmarkStart w:id="148" w:name="_Toc39817447"/>
      <w:r w:rsidRPr="004F6C8E">
        <w:rPr>
          <w:rFonts w:hint="cs"/>
          <w:rtl/>
        </w:rPr>
        <w:t>תניא פרק כ"ב</w:t>
      </w:r>
      <w:bookmarkEnd w:id="148"/>
    </w:p>
    <w:p w:rsidR="00642014" w:rsidRDefault="00642014" w:rsidP="00C93F24">
      <w:pPr>
        <w:pStyle w:val="a"/>
        <w:rPr>
          <w:rtl/>
        </w:rPr>
      </w:pPr>
      <w:bookmarkStart w:id="149" w:name="_Toc39817448"/>
      <w:r w:rsidRPr="00642014">
        <w:rPr>
          <w:rFonts w:hint="cs"/>
          <w:rtl/>
        </w:rPr>
        <w:t>הרב</w:t>
      </w:r>
      <w:r w:rsidRPr="00642014">
        <w:rPr>
          <w:rtl/>
        </w:rPr>
        <w:t xml:space="preserve"> </w:t>
      </w:r>
      <w:r w:rsidRPr="00642014">
        <w:rPr>
          <w:rFonts w:hint="cs"/>
          <w:rtl/>
        </w:rPr>
        <w:t>ישראל</w:t>
      </w:r>
      <w:r w:rsidRPr="00642014">
        <w:rPr>
          <w:rtl/>
        </w:rPr>
        <w:t xml:space="preserve"> </w:t>
      </w:r>
      <w:r w:rsidRPr="00642014">
        <w:rPr>
          <w:rFonts w:hint="cs"/>
          <w:rtl/>
        </w:rPr>
        <w:t>ארי</w:t>
      </w:r>
      <w:r w:rsidRPr="00642014">
        <w:rPr>
          <w:rtl/>
        </w:rPr>
        <w:t xml:space="preserve">' </w:t>
      </w:r>
      <w:r w:rsidRPr="00642014">
        <w:rPr>
          <w:rFonts w:hint="cs"/>
          <w:rtl/>
        </w:rPr>
        <w:t>לייב</w:t>
      </w:r>
      <w:r w:rsidRPr="00642014">
        <w:rPr>
          <w:rtl/>
        </w:rPr>
        <w:t xml:space="preserve"> </w:t>
      </w:r>
      <w:r w:rsidRPr="00642014">
        <w:rPr>
          <w:rFonts w:hint="cs"/>
          <w:rtl/>
        </w:rPr>
        <w:t>הכהן</w:t>
      </w:r>
      <w:r w:rsidRPr="00642014">
        <w:rPr>
          <w:rtl/>
        </w:rPr>
        <w:t xml:space="preserve"> </w:t>
      </w:r>
      <w:r w:rsidRPr="00642014">
        <w:rPr>
          <w:rFonts w:hint="cs"/>
          <w:rtl/>
        </w:rPr>
        <w:t>כץ</w:t>
      </w:r>
      <w:bookmarkEnd w:id="149"/>
    </w:p>
    <w:p w:rsidR="00642014" w:rsidRPr="00642014" w:rsidRDefault="00642014" w:rsidP="00642014">
      <w:pPr>
        <w:pStyle w:val="a1"/>
      </w:pPr>
      <w:r w:rsidRPr="00642014">
        <w:rPr>
          <w:rtl/>
        </w:rPr>
        <w:t>אוק פארק, מישיגן</w:t>
      </w:r>
    </w:p>
    <w:p w:rsidR="00642014" w:rsidRDefault="00642014" w:rsidP="004B0C42">
      <w:pPr>
        <w:pStyle w:val="a3"/>
        <w:rPr>
          <w:rtl/>
        </w:rPr>
      </w:pPr>
      <w:r>
        <w:rPr>
          <w:rFonts w:hint="cs"/>
          <w:rtl/>
        </w:rPr>
        <w:t>א. בתניא פרק כ"ד מסביר אדה"ז שע"י מעשה העבירה מכיון שזה נגד רצון העליון, הרי האדם נפרד בשעת מעשה בתכלית מיחודו של הקב"ה. ועפ"ז מסביר שאם יהודי היה מכיר בזה, בוודאי לא היה עובר על חטא, וכל טעם עשייתו החטא הוא רק מצד הרוח שטות.</w:t>
      </w:r>
    </w:p>
    <w:p w:rsidR="00642014" w:rsidRPr="001C546C" w:rsidRDefault="00642014" w:rsidP="004B0C42">
      <w:pPr>
        <w:pStyle w:val="a3"/>
        <w:rPr>
          <w:shd w:val="clear" w:color="auto" w:fill="FFFFFF"/>
          <w:rtl/>
        </w:rPr>
      </w:pPr>
      <w:r>
        <w:rPr>
          <w:rFonts w:hint="cs"/>
          <w:rtl/>
        </w:rPr>
        <w:t>וכל זה מיוסד על מה שביאר ב</w:t>
      </w:r>
      <w:r>
        <w:rPr>
          <w:rFonts w:hint="cs"/>
          <w:shd w:val="clear" w:color="auto" w:fill="FFFFFF"/>
          <w:rtl/>
        </w:rPr>
        <w:t>פרק כ' וכ"א, דיחוד ה' האמיתי הוא שכולא קמיה כלא חשיב ממש, וא"כ כל מי שנפרד מזה (אע"פ שמאמין בהקב"ה וכו'), הנה הוא נפרד מהקב"ה. ובלשונו בסוף פכ"ב "עיקר ושרש ע"ז הוא מה שנחשב לדבר בפ"ע נפרד מקדושתו של מקום, ולא כפירה בה' לגמרי".</w:t>
      </w:r>
    </w:p>
    <w:p w:rsidR="00642014" w:rsidRDefault="00642014" w:rsidP="004B0C42">
      <w:pPr>
        <w:pStyle w:val="a3"/>
        <w:rPr>
          <w:rtl/>
        </w:rPr>
      </w:pPr>
      <w:r>
        <w:rPr>
          <w:rFonts w:hint="cs"/>
          <w:rtl/>
        </w:rPr>
        <w:t>וצריך להבין כמה שאלות פשוטות בזה:</w:t>
      </w:r>
    </w:p>
    <w:p w:rsidR="00642014" w:rsidRPr="00F14DFC" w:rsidRDefault="00642014" w:rsidP="004B0C42">
      <w:pPr>
        <w:pStyle w:val="a3"/>
        <w:rPr>
          <w:rtl/>
        </w:rPr>
      </w:pPr>
      <w:r>
        <w:rPr>
          <w:rFonts w:hint="cs"/>
          <w:rtl/>
        </w:rPr>
        <w:t>1.</w:t>
      </w:r>
      <w:r>
        <w:rPr>
          <w:rFonts w:ascii="Arial" w:hAnsi="Arial" w:hint="cs"/>
          <w:color w:val="222222"/>
          <w:shd w:val="clear" w:color="auto" w:fill="FFFFFF"/>
          <w:rtl/>
        </w:rPr>
        <w:t xml:space="preserve"> הנה כל נברא, מעצם היותו נברא</w:t>
      </w:r>
      <w:r w:rsidRPr="00407E6F">
        <w:rPr>
          <w:rtl/>
        </w:rPr>
        <w:t xml:space="preserve">, </w:t>
      </w:r>
      <w:r>
        <w:rPr>
          <w:rFonts w:hint="cs"/>
          <w:rtl/>
        </w:rPr>
        <w:t xml:space="preserve">מרגיש א"ע כמציאות </w:t>
      </w:r>
      <w:r w:rsidRPr="00407E6F">
        <w:rPr>
          <w:rtl/>
        </w:rPr>
        <w:t xml:space="preserve">ואינו </w:t>
      </w:r>
      <w:r>
        <w:rPr>
          <w:rFonts w:hint="cs"/>
          <w:rtl/>
        </w:rPr>
        <w:t>נרגש אצלו ה</w:t>
      </w:r>
      <w:r w:rsidRPr="00407E6F">
        <w:rPr>
          <w:rtl/>
        </w:rPr>
        <w:t>ביטול דכל"ח</w:t>
      </w:r>
      <w:r>
        <w:rPr>
          <w:rFonts w:hint="cs"/>
          <w:rtl/>
        </w:rPr>
        <w:t xml:space="preserve"> המבואר בפרק כ' וכ"א</w:t>
      </w:r>
      <w:r w:rsidRPr="00407E6F">
        <w:rPr>
          <w:rtl/>
        </w:rPr>
        <w:t xml:space="preserve"> [וכמבואר בתניא פל"ה דאפי' צדיק גמור "אינו בטילה במציאות </w:t>
      </w:r>
      <w:r w:rsidRPr="00407E6F">
        <w:rPr>
          <w:rtl/>
        </w:rPr>
        <w:lastRenderedPageBreak/>
        <w:t>לגמרי ליבטל וליכלל באור ה' ממש, אלא הוא דבר בפני עצמו</w:t>
      </w:r>
      <w:r>
        <w:rPr>
          <w:rFonts w:hint="cs"/>
          <w:rtl/>
        </w:rPr>
        <w:t>"]</w:t>
      </w:r>
      <w:r>
        <w:rPr>
          <w:rtl/>
        </w:rPr>
        <w:t xml:space="preserve"> </w:t>
      </w:r>
      <w:r>
        <w:rPr>
          <w:rFonts w:hint="cs"/>
          <w:rtl/>
        </w:rPr>
        <w:t>ו</w:t>
      </w:r>
      <w:r w:rsidRPr="00407E6F">
        <w:rPr>
          <w:rtl/>
        </w:rPr>
        <w:t xml:space="preserve">במילא </w:t>
      </w:r>
      <w:r>
        <w:rPr>
          <w:rFonts w:hint="cs"/>
          <w:rtl/>
        </w:rPr>
        <w:t>מצד "גדר הנברא והצמצום"</w:t>
      </w:r>
      <w:r w:rsidRPr="00407E6F">
        <w:rPr>
          <w:rtl/>
        </w:rPr>
        <w:t xml:space="preserve"> </w:t>
      </w:r>
      <w:r>
        <w:rPr>
          <w:rFonts w:hint="cs"/>
          <w:rtl/>
        </w:rPr>
        <w:t xml:space="preserve">הוא </w:t>
      </w:r>
      <w:r w:rsidRPr="00407E6F">
        <w:rPr>
          <w:rtl/>
        </w:rPr>
        <w:t>נפרד מיחוד זה דהקב"ה</w:t>
      </w:r>
      <w:r>
        <w:rPr>
          <w:rFonts w:hint="cs"/>
          <w:rtl/>
        </w:rPr>
        <w:t>, [וכן מפורש בתניא גבי צדיק גמור "ואין אור ה' שורה ומתגלה בו"]</w:t>
      </w:r>
      <w:r w:rsidRPr="00407E6F">
        <w:rPr>
          <w:rtl/>
        </w:rPr>
        <w:t xml:space="preserve"> ו</w:t>
      </w:r>
      <w:r>
        <w:rPr>
          <w:rFonts w:hint="cs"/>
          <w:rtl/>
        </w:rPr>
        <w:t xml:space="preserve">א"כ </w:t>
      </w:r>
      <w:r w:rsidRPr="00407E6F">
        <w:rPr>
          <w:rtl/>
        </w:rPr>
        <w:t>הוא "כמו הסט"א וקליפה זו הנק' ע"ז" שענין קליפה זו הוא "שגם הם מחשיבים עצמם ליש ודבר בפני עצמו".</w:t>
      </w:r>
      <w:r>
        <w:rPr>
          <w:rFonts w:hint="cs"/>
          <w:rtl/>
        </w:rPr>
        <w:t xml:space="preserve"> [וכן מבואר בפכ"ג שדוקא ע"י תומ"צ מתגלה על האדם יחוד העליון]</w:t>
      </w:r>
      <w:r w:rsidRPr="00407E6F">
        <w:rPr>
          <w:rtl/>
        </w:rPr>
        <w:t xml:space="preserve"> ואם כן מה מוסיף ענין החטא על הפירוד הטבעי (לכאורה) דכאו"א מיחוד זה</w:t>
      </w:r>
      <w:r>
        <w:rPr>
          <w:rFonts w:hint="cs"/>
          <w:rtl/>
        </w:rPr>
        <w:t xml:space="preserve"> מעצם הרגשתו כמציאות</w:t>
      </w:r>
      <w:r w:rsidRPr="00407E6F">
        <w:rPr>
          <w:rtl/>
        </w:rPr>
        <w:t>.</w:t>
      </w:r>
    </w:p>
    <w:p w:rsidR="00642014" w:rsidRDefault="00642014" w:rsidP="004B0C42">
      <w:pPr>
        <w:pStyle w:val="a3"/>
        <w:rPr>
          <w:rtl/>
        </w:rPr>
      </w:pPr>
      <w:r w:rsidRPr="00407E6F">
        <w:rPr>
          <w:rtl/>
        </w:rPr>
        <w:t>ובסגנון אחר, הרי עצם תכונת הבחירה חפשית, הוא כפירה באחדותו של הקב"ה, וא"כ לא מיבעי עבירה, אלא גם קיום מצוה (שהוא בחר בבחירתו החפשית לעשות מצוה זו) הוא פירוד מאחדותו ויחודו ית'</w:t>
      </w:r>
      <w:r w:rsidRPr="00CE4E4A">
        <w:rPr>
          <w:vertAlign w:val="superscript"/>
          <w:rtl/>
        </w:rPr>
        <w:footnoteReference w:id="54"/>
      </w:r>
      <w:r w:rsidRPr="00407E6F">
        <w:rPr>
          <w:rtl/>
        </w:rPr>
        <w:t>?</w:t>
      </w:r>
      <w:r>
        <w:rPr>
          <w:rFonts w:hint="cs"/>
          <w:rtl/>
        </w:rPr>
        <w:t xml:space="preserve"> וכי מי שמזדהה בהמבואר בי"ג עיקרים בענין הבחירה חפשיית הוא נפרד מיחודו ית'?</w:t>
      </w:r>
    </w:p>
    <w:p w:rsidR="00642014" w:rsidRPr="00407E6F" w:rsidRDefault="00642014" w:rsidP="004B0C42">
      <w:pPr>
        <w:pStyle w:val="a3"/>
      </w:pPr>
      <w:r>
        <w:rPr>
          <w:rFonts w:hint="cs"/>
          <w:rtl/>
        </w:rPr>
        <w:t>[ויש לתרץ שאלה זו, ד</w:t>
      </w:r>
      <w:r w:rsidRPr="00407E6F">
        <w:rPr>
          <w:rtl/>
        </w:rPr>
        <w:t>י"ל דאדה"ז כבר הבהיר שאלה זו בפרק ו', דכתב "</w:t>
      </w:r>
      <w:r w:rsidRPr="00407E6F">
        <w:rPr>
          <w:shd w:val="clear" w:color="auto" w:fill="FFFFFF"/>
          <w:rtl/>
        </w:rPr>
        <w:t>אין הקב"ה שורה אלא על דבר שבטל אצלו יתברך, בין בפועל ממש כמלאכים עליונים, בין ב</w:t>
      </w:r>
      <w:r w:rsidRPr="00407E6F">
        <w:rPr>
          <w:b/>
          <w:bCs/>
          <w:shd w:val="clear" w:color="auto" w:fill="FFFFFF"/>
          <w:rtl/>
        </w:rPr>
        <w:t>כח</w:t>
      </w:r>
      <w:r w:rsidRPr="00407E6F">
        <w:rPr>
          <w:shd w:val="clear" w:color="auto" w:fill="FFFFFF"/>
          <w:rtl/>
        </w:rPr>
        <w:t xml:space="preserve">, ככל איש ישראל למטה שבכחו להיות בטל ממש לגבי הקב"ה במסירת נפשו על קדושת השם". והיינו דכל אחד מישראל מאיר "בכח" בנפשו הביטול האמיתי דכל"ח, ועל יסוד זה הוא מוסר נפשו, ולכן אינו נפרד מיחוד זה. </w:t>
      </w:r>
    </w:p>
    <w:p w:rsidR="00642014" w:rsidRPr="00407E6F" w:rsidRDefault="00642014" w:rsidP="004B0C42">
      <w:pPr>
        <w:pStyle w:val="a3"/>
        <w:rPr>
          <w:rtl/>
        </w:rPr>
      </w:pPr>
      <w:r w:rsidRPr="00407E6F">
        <w:rPr>
          <w:rtl/>
        </w:rPr>
        <w:t>ו</w:t>
      </w:r>
      <w:r>
        <w:rPr>
          <w:rFonts w:hint="cs"/>
          <w:rtl/>
        </w:rPr>
        <w:t>פירוש "ביטול כח" י"ל:</w:t>
      </w:r>
      <w:r w:rsidRPr="00407E6F">
        <w:rPr>
          <w:rtl/>
        </w:rPr>
        <w:t xml:space="preserve"> דכדי לקבוע, אם הדבר הוא חלק מה"יחוד העליון", זה תלוי במציאותו האמיתית של הדבר, ומציאות האמיתית של יהודי (גם הנה"ב, כיון שמקבל חיותו מנה"א), הוא ביטול לה' לגמרי במציאות. והיינו דבנקודה הפנימית שלו נרגש הענין דכולא קמיה כלא חשיב.</w:t>
      </w:r>
    </w:p>
    <w:p w:rsidR="00642014" w:rsidRDefault="00642014" w:rsidP="00FD2ECE">
      <w:pPr>
        <w:pStyle w:val="a3"/>
        <w:rPr>
          <w:color w:val="222222"/>
          <w:shd w:val="clear" w:color="auto" w:fill="FFFFFF"/>
          <w:rtl/>
        </w:rPr>
      </w:pPr>
      <w:r w:rsidRPr="00407E6F">
        <w:rPr>
          <w:rtl/>
        </w:rPr>
        <w:t>ובסגנון אחר: ובהקדים דבהמשך כל הפרקים מדגיש אדה"ז תמיד ענין האמונה, בספכ"ב "והרי זו כפירה באחדותו האמיתית דכולא קמיה כלא חשיב". ובפרק כ"ד מדבר על הסט"א "להחשיב עצמם אלקות וה"ז כפירה באחדותו" וכשיהודי עבור עבירה "וכאלו כופר באחדותו יותר ממנה", ולאחרי החטא הנה"ב חוזר ועולה להנה"א "המאמינה בה' אחד, וגם בשעת החטא היתה באמנה אתו ית'". ואם כן כל זמן שיש ליהודי "אמונה" בהיחוד האמיתי של הקב"ה</w:t>
      </w:r>
      <w:r>
        <w:rPr>
          <w:rFonts w:hint="cs"/>
          <w:rtl/>
        </w:rPr>
        <w:t xml:space="preserve"> (שהוא </w:t>
      </w:r>
      <w:r w:rsidRPr="00AF70A6">
        <w:rPr>
          <w:rFonts w:hint="cs"/>
          <w:b/>
          <w:bCs/>
          <w:rtl/>
        </w:rPr>
        <w:t>מודה</w:t>
      </w:r>
      <w:r>
        <w:rPr>
          <w:rFonts w:hint="cs"/>
          <w:rtl/>
        </w:rPr>
        <w:t xml:space="preserve"> בכל"ח, אע"ג שאי"ז מונח במציאותו ושכלו)</w:t>
      </w:r>
      <w:r w:rsidRPr="00407E6F">
        <w:rPr>
          <w:rtl/>
        </w:rPr>
        <w:t>, הרי הוא חלק מ"יחוד זה", ודוקא מי שאין אצלו ענין זה אפי' ב"אמונה" הוא נפרד מיחוד העליון.והרי כתב אדה"ז בפרק מ"ב "</w:t>
      </w:r>
      <w:r w:rsidRPr="00407E6F">
        <w:rPr>
          <w:color w:val="222222"/>
          <w:shd w:val="clear" w:color="auto" w:fill="FFFFFF"/>
          <w:rtl/>
        </w:rPr>
        <w:t xml:space="preserve"> אך כל ישראל מאמינים בני מאמינים, בלי שום חקירת שכל אנושי, ואומרים: "אתה ה</w:t>
      </w:r>
      <w:r w:rsidR="00FD2ECE">
        <w:rPr>
          <w:color w:val="222222"/>
          <w:shd w:val="clear" w:color="auto" w:fill="FFFFFF"/>
          <w:rtl/>
        </w:rPr>
        <w:t>וא עד שלא נברא העולם" וכו', כנ</w:t>
      </w:r>
      <w:r w:rsidRPr="00407E6F">
        <w:rPr>
          <w:color w:val="222222"/>
          <w:shd w:val="clear" w:color="auto" w:fill="FFFFFF"/>
          <w:rtl/>
        </w:rPr>
        <w:t xml:space="preserve"> ".</w:t>
      </w:r>
    </w:p>
    <w:p w:rsidR="00642014" w:rsidRDefault="00642014" w:rsidP="004B0C42">
      <w:pPr>
        <w:pStyle w:val="a3"/>
        <w:rPr>
          <w:shd w:val="clear" w:color="auto" w:fill="FFFFFF"/>
          <w:rtl/>
        </w:rPr>
      </w:pPr>
      <w:r w:rsidRPr="00407E6F">
        <w:rPr>
          <w:shd w:val="clear" w:color="auto" w:fill="FFFFFF"/>
          <w:rtl/>
        </w:rPr>
        <w:t>[והיינו דבנקודת האמונה של איש ישראל, שם מתגלה אמיתית מציאותו, ושם מתגלה האוא"ס שמאיר בנפשו בגילוי. וכל זה באמת מבואר בתניא פי"ט "וזהו כלל בסטרא דקדושה שנמשך מקדש העליון הבטל במציאות באוא"ס ב"ה המלובש בו..." ורק שנמצא בשינה אצל הרשעים].</w:t>
      </w:r>
    </w:p>
    <w:p w:rsidR="00642014" w:rsidRDefault="00642014" w:rsidP="004B0C42">
      <w:pPr>
        <w:pStyle w:val="a3"/>
        <w:rPr>
          <w:shd w:val="clear" w:color="auto" w:fill="FFFFFF"/>
          <w:rtl/>
        </w:rPr>
      </w:pPr>
      <w:r>
        <w:rPr>
          <w:rFonts w:hint="cs"/>
          <w:shd w:val="clear" w:color="auto" w:fill="FFFFFF"/>
          <w:rtl/>
        </w:rPr>
        <w:t xml:space="preserve">ואולי זה מתבטא בכך, שהיהודי יודע ומרגיש, שהא גופא שהוא מציאות הוא רק בשביל שכך בחר הקב"ה (ובל' הרמב"ם בהלכות תשובה בנוגע לכח הבחירה "דע דהכל כחפצו"), ורק </w:t>
      </w:r>
      <w:r>
        <w:rPr>
          <w:rFonts w:hint="cs"/>
          <w:shd w:val="clear" w:color="auto" w:fill="FFFFFF"/>
          <w:rtl/>
        </w:rPr>
        <w:lastRenderedPageBreak/>
        <w:t>בשביל למלאת הכוונה דרצון העליון. אבל לא שיש חשיבות אמיתית למציאותו ולתאוות העולם.</w:t>
      </w:r>
    </w:p>
    <w:p w:rsidR="00642014" w:rsidRPr="00407E6F" w:rsidRDefault="00642014" w:rsidP="004B0C42">
      <w:pPr>
        <w:pStyle w:val="a3"/>
        <w:rPr>
          <w:shd w:val="clear" w:color="auto" w:fill="FFFFFF"/>
          <w:rtl/>
        </w:rPr>
      </w:pPr>
      <w:r>
        <w:rPr>
          <w:rFonts w:hint="cs"/>
          <w:shd w:val="clear" w:color="auto" w:fill="FFFFFF"/>
          <w:rtl/>
        </w:rPr>
        <w:t>אך עדיין קשה:]</w:t>
      </w:r>
    </w:p>
    <w:p w:rsidR="00642014" w:rsidRDefault="00642014" w:rsidP="004B0C42">
      <w:pPr>
        <w:pStyle w:val="a3"/>
        <w:rPr>
          <w:rtl/>
        </w:rPr>
      </w:pPr>
      <w:r>
        <w:rPr>
          <w:rFonts w:hint="cs"/>
          <w:rtl/>
        </w:rPr>
        <w:t xml:space="preserve">2. </w:t>
      </w:r>
      <w:r w:rsidRPr="00407E6F">
        <w:rPr>
          <w:rtl/>
        </w:rPr>
        <w:t xml:space="preserve">מדברי התניא משמע </w:t>
      </w:r>
      <w:r>
        <w:rPr>
          <w:rFonts w:hint="cs"/>
          <w:rtl/>
        </w:rPr>
        <w:t>שהאוכל לשם תאוה, אינו נפרד מיחודו ואחדותו ית' (שהרי כותב שדוקא "שס"ה מצות ל"ת" הם בתכלית הפירוד", ולא מבואר בתניא שיהודי יש לו למסור נפשו שלא יאכל לשם תאווה)</w:t>
      </w:r>
      <w:r w:rsidRPr="00CE4E4A">
        <w:rPr>
          <w:vertAlign w:val="superscript"/>
          <w:rtl/>
        </w:rPr>
        <w:footnoteReference w:id="55"/>
      </w:r>
      <w:r>
        <w:rPr>
          <w:rFonts w:hint="cs"/>
          <w:rtl/>
        </w:rPr>
        <w:t xml:space="preserve">. וכן משמע שהבהמות וכו' שמק"נ אינם נפרדים מאחדותו ית'. ואי אפשר לומר שגם בק"נ נרגש האמת דכל"ח. [דהרי א"א לומר על ק"נ הכלל דפי"ט על סטרא דקדושה "שאינו אלא מה שנמשך מחכמה...הבטל במציאות לגבי אוא"ס ב"ה המלובש בה"]. </w:t>
      </w:r>
    </w:p>
    <w:p w:rsidR="00642014" w:rsidRDefault="00642014" w:rsidP="004B0C42">
      <w:pPr>
        <w:pStyle w:val="a3"/>
        <w:rPr>
          <w:rtl/>
        </w:rPr>
      </w:pPr>
      <w:r>
        <w:rPr>
          <w:rFonts w:hint="cs"/>
          <w:rtl/>
        </w:rPr>
        <w:t>3. כיון שהקב"ה ברא הנבראים באופן ש"נדמה להם האור וחיות של מקום ב"ה כאלו הוא דבר מובדל מעצמותו כמו דיבור של אדם מנפשו", (ומבואר דא"ח שמצד גדר הנבראים, הנה דעתם הוא גם אמת), למה המכחיש האמת איך שהוא "קמיה ית'", ש"אין שום דבר המעלים ומסתיר לפניו וכחשיכה כאורה", הנה הוא נעשה נפרד מיחודו של הקב"ה, והלא מצד דרגת האלקות של הנבראים הוא זהו האמת , והוא עדיין מיוחד עם האור האלקי שמשם הוא שרשו?</w:t>
      </w:r>
    </w:p>
    <w:p w:rsidR="00642014" w:rsidRDefault="00642014" w:rsidP="004B0C42">
      <w:pPr>
        <w:pStyle w:val="a3"/>
        <w:rPr>
          <w:rtl/>
        </w:rPr>
      </w:pPr>
      <w:r>
        <w:rPr>
          <w:rFonts w:hint="cs"/>
          <w:rtl/>
        </w:rPr>
        <w:t xml:space="preserve">4. גם צריך להבין מה התחדש בהבנת פירוד הקליפות והעבירות בפרק כ"ב וכ"ד תניא על המבואר כבר בפ"ו, דשם ביאר אדה"ז דהקליפות אינם בטלים לה' והדבר הוי' מתלבש "בבחי' גלות תוך אותו דבר הנפרד", וביאר שם ד"קיום וחיות כל שס"ה ל"ת וענפיהן" יונקים חיותם מג' קליפות הטמאות (שהדבר הוי' נמצא אצלם בבחי' גלות). ולכאורה זה בדיוק כל הנקודה דפרק כ"ב להגיע להנקודה ד"לכך היא מקום המיתה והטומאה..כי מעט מזעיר אור וחיות הוא </w:t>
      </w:r>
      <w:r>
        <w:rPr>
          <w:rFonts w:hint="cs"/>
          <w:rtl/>
        </w:rPr>
        <w:lastRenderedPageBreak/>
        <w:t>בבחי' גלות בתוכם", ומה ניתוסיף בפרק כ"ב?</w:t>
      </w:r>
    </w:p>
    <w:p w:rsidR="00642014" w:rsidRDefault="00642014" w:rsidP="004B0C42">
      <w:pPr>
        <w:pStyle w:val="a3"/>
        <w:rPr>
          <w:rtl/>
        </w:rPr>
      </w:pPr>
      <w:r>
        <w:rPr>
          <w:rFonts w:hint="cs"/>
          <w:rtl/>
        </w:rPr>
        <w:t xml:space="preserve">5. ועוד צלה"ב, דמצד איך שביאר אדה"ז הענינים בפרק כ"א שמצד "קמיה ית'" "כחשיכה כאורה" ו"אין דבר מעלים ומסתיר לפניו", וכל הרגשת הישות והפירוד הוא רק מצד הצמצום והנבראים. הנה גם העובר על חטא מצד "קמיה ית'" הוא עדיין קשור וחלק מיחוד העליון. ולמה יהודי ימסור נפשו? ובסגנון אחר: מסירת נפש שלא ליפרד מיחודו ואחדותו ית', הוא לכאורה תרתי דסתרי, דהרי מצד יחודו ית' </w:t>
      </w:r>
      <w:r w:rsidRPr="00A529C1">
        <w:rPr>
          <w:rFonts w:hint="cs"/>
          <w:b/>
          <w:bCs/>
          <w:rtl/>
        </w:rPr>
        <w:t>א"א</w:t>
      </w:r>
      <w:r>
        <w:rPr>
          <w:rFonts w:hint="cs"/>
          <w:rtl/>
        </w:rPr>
        <w:t xml:space="preserve"> להיות נפרד, וא"כ איך שייך למסור את הנפש שלא להיות נפרד מיחוד (האומר דאין מציאות ד"נפרד")?</w:t>
      </w:r>
    </w:p>
    <w:p w:rsidR="00642014" w:rsidRDefault="00642014" w:rsidP="004B0C42">
      <w:pPr>
        <w:pStyle w:val="a3"/>
        <w:rPr>
          <w:rtl/>
        </w:rPr>
      </w:pPr>
      <w:r>
        <w:rPr>
          <w:rFonts w:hint="cs"/>
          <w:rtl/>
        </w:rPr>
        <w:t>ב.</w:t>
      </w:r>
      <w:r w:rsidR="00CE4E4A">
        <w:rPr>
          <w:rFonts w:hint="cs"/>
          <w:rtl/>
        </w:rPr>
        <w:t xml:space="preserve"> </w:t>
      </w:r>
      <w:r>
        <w:rPr>
          <w:rFonts w:hint="cs"/>
          <w:rtl/>
        </w:rPr>
        <w:t>וכמדומה שכל קושיות אלו, מגיעים מצד ההנחה שפירוד הקליפות והעבירות מיחוד העליון הוא מצד גדר הנבראים והצמצום (ובלשון הידוע "דעת תחתון"). אך באמת הנקודה דהפרקים בתניא כאן הוא להסביר שהקליפות והעבירות נפרדים מהיחוד העליון גם מצד "קמיה ית'"</w:t>
      </w:r>
      <w:r w:rsidRPr="00CE4E4A">
        <w:rPr>
          <w:vertAlign w:val="superscript"/>
          <w:rtl/>
        </w:rPr>
        <w:footnoteReference w:id="56"/>
      </w:r>
      <w:r>
        <w:rPr>
          <w:rFonts w:hint="cs"/>
          <w:rtl/>
        </w:rPr>
        <w:t xml:space="preserve"> (וכמבואר בד"ה למען דעת דלקמן), והיינו דהאמור דלגבי הקב"ה "כחשיכה כאורה" ו"ואין שום דבר מעלים ומסתיר לפניו" והכל כלול בו לא קאי על הקליפות והעבירות</w:t>
      </w:r>
      <w:r w:rsidRPr="00CE4E4A">
        <w:rPr>
          <w:vertAlign w:val="superscript"/>
          <w:rtl/>
        </w:rPr>
        <w:footnoteReference w:id="57"/>
      </w:r>
      <w:r w:rsidRPr="00CE4E4A">
        <w:rPr>
          <w:rFonts w:hint="cs"/>
          <w:vertAlign w:val="superscript"/>
          <w:rtl/>
        </w:rPr>
        <w:t xml:space="preserve"> </w:t>
      </w:r>
      <w:r>
        <w:rPr>
          <w:rFonts w:hint="cs"/>
          <w:rtl/>
        </w:rPr>
        <w:t>(ר"ל?), אלא דהם נפרדים באמת מיחודו ואחדותו של הקב"ה. [והענין ד"כחשיכה כאורה" בנוגע לקליפות הוא, שהקליפות לא מחשיכים עליו וכו', אך לא שהם חלק מהאחדות].</w:t>
      </w:r>
    </w:p>
    <w:p w:rsidR="00642014" w:rsidRDefault="00642014" w:rsidP="004B0C42">
      <w:pPr>
        <w:pStyle w:val="a3"/>
        <w:rPr>
          <w:rtl/>
        </w:rPr>
      </w:pPr>
      <w:r>
        <w:rPr>
          <w:rFonts w:hint="cs"/>
          <w:rtl/>
        </w:rPr>
        <w:t>ואף שלפי זה צריך להבין מהו הביאור ב"אני הוי' לא שניתי" ובהא דהקב"ה הוא אחד? הנה הענין מבואר בד"ה</w:t>
      </w:r>
      <w:r w:rsidRPr="00072D72">
        <w:rPr>
          <w:rFonts w:ascii="Arial" w:hAnsi="Arial" w:hint="cs"/>
          <w:color w:val="222222"/>
          <w:shd w:val="clear" w:color="auto" w:fill="FFFFFF"/>
          <w:rtl/>
        </w:rPr>
        <w:t xml:space="preserve"> </w:t>
      </w:r>
      <w:r w:rsidRPr="00583F17">
        <w:rPr>
          <w:rFonts w:ascii="Arial" w:hAnsi="Arial" w:hint="cs"/>
          <w:color w:val="222222"/>
          <w:shd w:val="clear" w:color="auto" w:fill="FFFFFF"/>
          <w:rtl/>
        </w:rPr>
        <w:t xml:space="preserve">למען דעת תרע"ה </w:t>
      </w:r>
      <w:r w:rsidRPr="00F30F99">
        <w:rPr>
          <w:rFonts w:ascii="Arial" w:hAnsi="Arial" w:hint="cs"/>
          <w:shd w:val="clear" w:color="auto" w:fill="FFFFFF"/>
          <w:rtl/>
        </w:rPr>
        <w:t>וז"ל "</w:t>
      </w:r>
      <w:r w:rsidRPr="00F30F99">
        <w:rPr>
          <w:rtl/>
        </w:rPr>
        <w:t xml:space="preserve">אין לך דבר שחוץ ממנו כו', שזהו האמונה </w:t>
      </w:r>
      <w:r w:rsidRPr="00F30F99">
        <w:rPr>
          <w:rtl/>
        </w:rPr>
        <w:lastRenderedPageBreak/>
        <w:t xml:space="preserve">פשוטה שבכאו"א מישראל באחדות ה' </w:t>
      </w:r>
      <w:r w:rsidRPr="009D03C2">
        <w:rPr>
          <w:b/>
          <w:bCs/>
          <w:rtl/>
        </w:rPr>
        <w:t>שלא יש דבר שהוא נפרד מאלקות</w:t>
      </w:r>
      <w:r w:rsidRPr="00F30F99">
        <w:rPr>
          <w:rtl/>
        </w:rPr>
        <w:t xml:space="preserve"> כו', שכן הוא גם במציאות היש שאינו חוץ ממנו ית', וכ"ש בכח אלקי המהווה אינו שייך לומר שהוא בבחי' נפרד ח"ו,</w:t>
      </w:r>
      <w:r w:rsidRPr="00F30F99">
        <w:rPr>
          <w:rFonts w:hint="cs"/>
          <w:rtl/>
        </w:rPr>
        <w:t xml:space="preserve"> [-וזהו </w:t>
      </w:r>
      <w:r>
        <w:rPr>
          <w:rFonts w:hint="cs"/>
          <w:rtl/>
        </w:rPr>
        <w:t xml:space="preserve">בכללות </w:t>
      </w:r>
      <w:r w:rsidRPr="00F30F99">
        <w:rPr>
          <w:rFonts w:hint="cs"/>
          <w:rtl/>
        </w:rPr>
        <w:t>הביאור דתניא פכ"א לכאורה, וממשיך]</w:t>
      </w:r>
      <w:r w:rsidRPr="00F30F99">
        <w:rPr>
          <w:rtl/>
        </w:rPr>
        <w:t xml:space="preserve"> </w:t>
      </w:r>
      <w:r w:rsidRPr="009D03C2">
        <w:rPr>
          <w:b/>
          <w:bCs/>
          <w:rtl/>
        </w:rPr>
        <w:t>רק הקלי' הם בבחי' נפרד שהפרידן מאחדותו ית',</w:t>
      </w:r>
      <w:r w:rsidRPr="00F30F99">
        <w:rPr>
          <w:rtl/>
        </w:rPr>
        <w:t xml:space="preserve"> ובאמת אינן בבחי' מציאות כלל, והיינו שהן בבחי' העדר המציאות כו', וכמ"ש סר צלם מעליהם שכל קיומם הוא רק מצד המקיף אבל באמת אינם בבחי' מציאות כלל, דתחלת התהוותם הוא מבחי' העדר הרצוןוכמא' דין לא אהני' לי', וכמו"כ לאחר שנתהוו הפרידן מאחדותו ית' וממילא אינם בשום מציאות כלל כו', והוא רק כח הא"ס להעמיד דבר שאינו מציאות כלל רק דבר נדמה בבחי' דמיון בלבד שיהי' נראה למציאות ועוד בתוקף המציאות כו'. </w:t>
      </w:r>
    </w:p>
    <w:p w:rsidR="00642014" w:rsidRPr="001F3F3B" w:rsidRDefault="00642014" w:rsidP="004B0C42">
      <w:pPr>
        <w:pStyle w:val="a3"/>
        <w:rPr>
          <w:rtl/>
        </w:rPr>
      </w:pPr>
      <w:r w:rsidRPr="00F30F99">
        <w:rPr>
          <w:rtl/>
        </w:rPr>
        <w:t xml:space="preserve">וזהו מה שהמציאות שלהם אינו סותר לענין האחדות, דלכאו' מאחר שהפרידן מאחדותו ית' </w:t>
      </w:r>
      <w:r w:rsidRPr="009D03C2">
        <w:rPr>
          <w:b/>
          <w:bCs/>
          <w:rtl/>
        </w:rPr>
        <w:t>א"כ איך הוא ענין האחדות,</w:t>
      </w:r>
      <w:r w:rsidRPr="00F30F99">
        <w:rPr>
          <w:rtl/>
        </w:rPr>
        <w:t xml:space="preserve"> אך אין זה סותר כלל מפני שבאמת אינם בבחי' מציאות כלל, והוא גופא מפני שהפרידן מאחדותו ית' משו"ז אינם בבחי' מציאות כו'. </w:t>
      </w:r>
      <w:r w:rsidRPr="00F30F99">
        <w:rPr>
          <w:rFonts w:hint="cs"/>
          <w:rtl/>
        </w:rPr>
        <w:t>...</w:t>
      </w:r>
      <w:r w:rsidRPr="00F30F99">
        <w:rPr>
          <w:rtl/>
        </w:rPr>
        <w:t>כי אלקות הוא דבר (איז א זאך) ומה שנפרד מאלקות אינו במציאות דבר כלל כו', אבל כל דבר שאין בזה איסור ואדרבה יש בזה כוונה אלקית ה"ז בבחי' מציאות דב</w:t>
      </w:r>
      <w:r>
        <w:rPr>
          <w:rtl/>
        </w:rPr>
        <w:t>ר ואין לך דבר שחוץ ממנו ית' כו'</w:t>
      </w:r>
      <w:r>
        <w:rPr>
          <w:rFonts w:hint="cs"/>
          <w:rtl/>
        </w:rPr>
        <w:t>" עכ"ל.</w:t>
      </w:r>
      <w:r w:rsidRPr="00F30F99">
        <w:rPr>
          <w:rtl/>
        </w:rPr>
        <w:t xml:space="preserve"> </w:t>
      </w:r>
    </w:p>
    <w:p w:rsidR="00642014" w:rsidRPr="00407E6F" w:rsidRDefault="00642014" w:rsidP="004B0C42">
      <w:pPr>
        <w:pStyle w:val="a3"/>
        <w:rPr>
          <w:rtl/>
        </w:rPr>
      </w:pPr>
      <w:r>
        <w:rPr>
          <w:rFonts w:hint="cs"/>
          <w:rtl/>
        </w:rPr>
        <w:t xml:space="preserve">ג. ובפרטיות יותר:  דהנה עד </w:t>
      </w:r>
      <w:r>
        <w:rPr>
          <w:rtl/>
        </w:rPr>
        <w:t xml:space="preserve">אמצע פרק כ"ב </w:t>
      </w:r>
      <w:r>
        <w:rPr>
          <w:rFonts w:hint="cs"/>
          <w:rtl/>
        </w:rPr>
        <w:t>כל הנושא דבריאת העולמות הגיע מה"דבר הוי'"</w:t>
      </w:r>
      <w:r w:rsidRPr="00407E6F">
        <w:rPr>
          <w:rtl/>
        </w:rPr>
        <w:t xml:space="preserve"> אדה"ז שהוא חיות כל העולמות וכו'. אך באמצע פרק כ"ב (כשהתחיל לבאר איך שהקליפה נפרד מהקב"ה) שינה אדה"ז הסגנון שלו, והתחיל לדבר על רצון העליון שהוא מקור החיים דכל העולמות. וטעמא בעי. </w:t>
      </w:r>
    </w:p>
    <w:p w:rsidR="00642014" w:rsidRPr="00407E6F" w:rsidRDefault="00642014" w:rsidP="004B0C42">
      <w:pPr>
        <w:pStyle w:val="a3"/>
        <w:rPr>
          <w:rtl/>
        </w:rPr>
      </w:pPr>
      <w:r>
        <w:rPr>
          <w:rFonts w:hint="cs"/>
          <w:rtl/>
        </w:rPr>
        <w:t>ומבואר מזה,</w:t>
      </w:r>
      <w:r w:rsidRPr="00407E6F">
        <w:rPr>
          <w:rtl/>
        </w:rPr>
        <w:t xml:space="preserve"> דהפירוד</w:t>
      </w:r>
      <w:r>
        <w:rPr>
          <w:rFonts w:hint="cs"/>
          <w:rtl/>
        </w:rPr>
        <w:t xml:space="preserve"> (דהקליפות)</w:t>
      </w:r>
      <w:r w:rsidRPr="00407E6F">
        <w:rPr>
          <w:rtl/>
        </w:rPr>
        <w:t xml:space="preserve"> מהקב"ה נוצר </w:t>
      </w:r>
      <w:r>
        <w:rPr>
          <w:rFonts w:hint="cs"/>
          <w:rtl/>
        </w:rPr>
        <w:t xml:space="preserve">מזה שהם </w:t>
      </w:r>
      <w:r w:rsidRPr="00407E6F">
        <w:rPr>
          <w:rtl/>
        </w:rPr>
        <w:t>נגד רצון העליון, או לא. דאם יש להקב"ה "ענין ורצון" בך, אתה שייך להיחוד העליון. ואם לאו ח"ו, אז לא.</w:t>
      </w:r>
    </w:p>
    <w:p w:rsidR="00642014" w:rsidRDefault="00642014" w:rsidP="004B0C42">
      <w:pPr>
        <w:pStyle w:val="a3"/>
        <w:rPr>
          <w:shd w:val="clear" w:color="auto" w:fill="FFFFFF"/>
          <w:rtl/>
        </w:rPr>
      </w:pPr>
      <w:r w:rsidRPr="00407E6F">
        <w:rPr>
          <w:rtl/>
        </w:rPr>
        <w:t>וכן בפכ"ד כותב "</w:t>
      </w:r>
      <w:r w:rsidRPr="00407E6F">
        <w:rPr>
          <w:shd w:val="clear" w:color="auto" w:fill="FFFFFF"/>
          <w:rtl/>
        </w:rPr>
        <w:t xml:space="preserve">שס"ה מצות לא תעשה דאורייתא וכל איסורי דרבנן, מאחר שהן נגד </w:t>
      </w:r>
      <w:r w:rsidRPr="00407E6F">
        <w:rPr>
          <w:b/>
          <w:bCs/>
          <w:shd w:val="clear" w:color="auto" w:fill="FFFFFF"/>
          <w:rtl/>
        </w:rPr>
        <w:t xml:space="preserve">רצונו </w:t>
      </w:r>
      <w:r w:rsidRPr="00407E6F">
        <w:rPr>
          <w:shd w:val="clear" w:color="auto" w:fill="FFFFFF"/>
          <w:rtl/>
        </w:rPr>
        <w:t>וחכמתו יתברך והפכם ממש, הם נפרדים מיחודו ואחדותו יתברך בתכלית הפירוד ממש". ומובן שפיר דק"נ מכיון שיש בהם כוונת אלקית, אינם נפרדים מהיחוד העליון</w:t>
      </w:r>
      <w:r w:rsidRPr="00CE4E4A">
        <w:rPr>
          <w:vertAlign w:val="superscript"/>
          <w:rtl/>
        </w:rPr>
        <w:footnoteReference w:id="58"/>
      </w:r>
      <w:r w:rsidRPr="00407E6F">
        <w:rPr>
          <w:shd w:val="clear" w:color="auto" w:fill="FFFFFF"/>
          <w:rtl/>
        </w:rPr>
        <w:t>.</w:t>
      </w:r>
    </w:p>
    <w:p w:rsidR="00642014" w:rsidRDefault="00642014" w:rsidP="004B0C42">
      <w:pPr>
        <w:pStyle w:val="a3"/>
        <w:rPr>
          <w:rtl/>
        </w:rPr>
      </w:pPr>
      <w:r>
        <w:rPr>
          <w:rFonts w:hint="cs"/>
          <w:rtl/>
        </w:rPr>
        <w:t>והנה החילוק בין ה"דיבור" לה"רצון", דהדיבור זהו ההארה האלקית שמחיה העולמות וכו' (שבאי"ע לעצמו"ה כמבואר בפרק כ'), משא"כ ה"רצון" (מבואר בפרק כ"ג) ש"היא היא רצונו ית' הנקרא סובב כל עלמין" שזהו מהותו ועצמותו ית', שעליה אמרנו בפרק כ"א שאין הצמצום מסתיר לגביו, ולגביו כולא קמיה כלא חשיב.</w:t>
      </w:r>
    </w:p>
    <w:p w:rsidR="00642014" w:rsidRDefault="00642014" w:rsidP="004B0C42">
      <w:pPr>
        <w:pStyle w:val="a3"/>
        <w:rPr>
          <w:rtl/>
        </w:rPr>
      </w:pPr>
      <w:r>
        <w:rPr>
          <w:rFonts w:hint="cs"/>
          <w:rtl/>
        </w:rPr>
        <w:t xml:space="preserve">ונמצא דכשאנו שואלים אם אתה שייך ל"פנימיות הרצון" או לא, זה שאלה איך מסתכל </w:t>
      </w:r>
      <w:r>
        <w:rPr>
          <w:rFonts w:hint="cs"/>
          <w:rtl/>
        </w:rPr>
        <w:lastRenderedPageBreak/>
        <w:t xml:space="preserve">עליך "דעת עליון" (דפרק כא), ואם "דעת עליון" יש לו רצון בך, ואתה מקבל חיות ממנו, אתה חלק מה"יחוד העליון". ואם אין להקב"ה שום ענין בך, ובמילא אתה מקבל חיות מאחוריים וקליפה, במילא אין אתה חלק מהיחוד העליון. </w:t>
      </w:r>
    </w:p>
    <w:p w:rsidR="00642014" w:rsidRDefault="00642014" w:rsidP="004B0C42">
      <w:pPr>
        <w:pStyle w:val="a3"/>
        <w:rPr>
          <w:rtl/>
        </w:rPr>
      </w:pPr>
      <w:r>
        <w:rPr>
          <w:rFonts w:hint="cs"/>
          <w:rtl/>
        </w:rPr>
        <w:t>והיינו דפירוד הקליפות מהקב"ה (ועבירות), אינו רק מצד גדר הנברא (דעת תחתון), אלא שהם נפרדים מהקב"ה גם מצד דעת עליון.</w:t>
      </w:r>
    </w:p>
    <w:p w:rsidR="00642014" w:rsidRDefault="00642014" w:rsidP="004B0C42">
      <w:pPr>
        <w:pStyle w:val="a3"/>
        <w:rPr>
          <w:rtl/>
        </w:rPr>
      </w:pPr>
      <w:r>
        <w:rPr>
          <w:rFonts w:hint="cs"/>
          <w:rtl/>
        </w:rPr>
        <w:t xml:space="preserve">ואם כן עצם הרגש המציאות והישות, </w:t>
      </w:r>
      <w:r w:rsidRPr="00407E6F">
        <w:rPr>
          <w:rtl/>
        </w:rPr>
        <w:t>אינו סתירה שהאדם יהיה כלול ובטל לו ית'</w:t>
      </w:r>
      <w:r>
        <w:rPr>
          <w:rFonts w:hint="cs"/>
          <w:rtl/>
        </w:rPr>
        <w:t xml:space="preserve"> (כפי המבואר כאן בתניא)</w:t>
      </w:r>
      <w:r w:rsidRPr="00407E6F">
        <w:rPr>
          <w:rtl/>
        </w:rPr>
        <w:t>, דהרי הרגש הישות עצמו [כיון שאינו סותר לרצון העליון] הוא כלול ובטל לו ית</w:t>
      </w:r>
      <w:r>
        <w:rPr>
          <w:rFonts w:hint="cs"/>
          <w:rtl/>
        </w:rPr>
        <w:t>'</w:t>
      </w:r>
      <w:r w:rsidRPr="00CE4E4A">
        <w:rPr>
          <w:vertAlign w:val="superscript"/>
          <w:rtl/>
        </w:rPr>
        <w:footnoteReference w:id="59"/>
      </w:r>
      <w:r w:rsidRPr="00CE4E4A">
        <w:rPr>
          <w:vertAlign w:val="superscript"/>
          <w:rtl/>
        </w:rPr>
        <w:footnoteReference w:id="60"/>
      </w:r>
      <w:r w:rsidRPr="00407E6F">
        <w:rPr>
          <w:rtl/>
        </w:rPr>
        <w:t>. ורק מה שהוא נגד רצון העליון הוא מחוץ ליחוד העליון</w:t>
      </w:r>
      <w:r>
        <w:rPr>
          <w:rFonts w:hint="cs"/>
          <w:rtl/>
        </w:rPr>
        <w:t>. והיינו דכיון שענין ה"בחירה חפשית" וכו' זה חלק מהכוונה העליונה, הרי הבחירה חפשית עצמו אינו מעלים ומסתיר, וכלול בו ית' וכו'</w:t>
      </w:r>
      <w:r w:rsidRPr="00CE4E4A">
        <w:rPr>
          <w:vertAlign w:val="superscript"/>
          <w:rtl/>
        </w:rPr>
        <w:footnoteReference w:id="61"/>
      </w:r>
      <w:r>
        <w:rPr>
          <w:rFonts w:hint="cs"/>
          <w:rtl/>
        </w:rPr>
        <w:t>.</w:t>
      </w:r>
    </w:p>
    <w:p w:rsidR="00642014" w:rsidRPr="00FA5CCA" w:rsidRDefault="00642014" w:rsidP="004B0C42">
      <w:pPr>
        <w:pStyle w:val="a3"/>
        <w:rPr>
          <w:vertAlign w:val="superscript"/>
          <w:rtl/>
        </w:rPr>
      </w:pPr>
      <w:r>
        <w:rPr>
          <w:rFonts w:hint="cs"/>
          <w:rtl/>
        </w:rPr>
        <w:lastRenderedPageBreak/>
        <w:t xml:space="preserve">ד. </w:t>
      </w:r>
      <w:r w:rsidRPr="00F30F99">
        <w:rPr>
          <w:rFonts w:ascii="Helvetica" w:eastAsia="Times New Roman" w:hAnsi="Helvetica" w:hint="cs"/>
          <w:rtl/>
        </w:rPr>
        <w:t xml:space="preserve">ולפי הבנה זו יבואר כל המשך דברי אדה"ז בהמשך הפרק </w:t>
      </w:r>
      <w:r w:rsidRPr="00407E6F">
        <w:rPr>
          <w:rtl/>
        </w:rPr>
        <w:t>אחרי שאדה"ז ביאר עד כמה התצמצם אורו ית' עד שיוכלו להתהוות ממנו הקליפות. ממשיך בכמה פרטים: 1. שהקליפות הם תועבת ה' ואינם מקבלים רק מבחי' אחוריים דרצון 2. טעם התהוותם הוא ל</w:t>
      </w:r>
      <w:r w:rsidRPr="00F30F99">
        <w:rPr>
          <w:b/>
          <w:bCs/>
          <w:rtl/>
        </w:rPr>
        <w:t>אבד הרשעים</w:t>
      </w:r>
      <w:r w:rsidRPr="00FA5CCA">
        <w:rPr>
          <w:vertAlign w:val="superscript"/>
          <w:rtl/>
        </w:rPr>
        <w:footnoteReference w:id="62"/>
      </w:r>
      <w:r w:rsidRPr="00F30F99">
        <w:rPr>
          <w:b/>
          <w:bCs/>
          <w:rtl/>
        </w:rPr>
        <w:t xml:space="preserve"> </w:t>
      </w:r>
      <w:r w:rsidRPr="00407E6F">
        <w:rPr>
          <w:rtl/>
        </w:rPr>
        <w:t xml:space="preserve">וליתן שכר לצדיקים </w:t>
      </w:r>
      <w:r w:rsidRPr="00F30F99">
        <w:rPr>
          <w:b/>
          <w:bCs/>
          <w:rtl/>
        </w:rPr>
        <w:t>דאכפיין לסט"א</w:t>
      </w:r>
      <w:r w:rsidRPr="00407E6F">
        <w:rPr>
          <w:rtl/>
        </w:rPr>
        <w:t xml:space="preserve">. 3. פנימיות הרצון (דהוא להשפיע חיות לסטרא דקדושה), ממנו חיות כל העולמות </w:t>
      </w:r>
      <w:r>
        <w:rPr>
          <w:rFonts w:hint="cs"/>
          <w:rtl/>
        </w:rPr>
        <w:t>ו</w:t>
      </w:r>
      <w:r w:rsidRPr="00407E6F">
        <w:rPr>
          <w:rtl/>
        </w:rPr>
        <w:t xml:space="preserve">אינו שורה על הסט"א </w:t>
      </w:r>
      <w:r>
        <w:rPr>
          <w:rFonts w:hint="cs"/>
          <w:rtl/>
        </w:rPr>
        <w:t>ואין לו שום חיות פנימי מאלקות</w:t>
      </w:r>
      <w:r w:rsidRPr="00407E6F">
        <w:rPr>
          <w:rtl/>
        </w:rPr>
        <w:t xml:space="preserve"> 5. קליפה כיון דאין מתלבש ושורה בו שום אור ה' [אלא מעט מזעיר חיות בבחי' גלות] הוא מקום המיתה והטומאה</w:t>
      </w:r>
      <w:r w:rsidRPr="00FA5CCA">
        <w:rPr>
          <w:vertAlign w:val="superscript"/>
          <w:rtl/>
        </w:rPr>
        <w:footnoteReference w:id="63"/>
      </w:r>
      <w:r w:rsidR="00FA5CCA">
        <w:rPr>
          <w:rFonts w:hint="cs"/>
          <w:rtl/>
        </w:rPr>
        <w:t>.</w:t>
      </w:r>
    </w:p>
    <w:p w:rsidR="00642014" w:rsidRDefault="00642014" w:rsidP="004B0C42">
      <w:pPr>
        <w:pStyle w:val="a3"/>
        <w:rPr>
          <w:rtl/>
        </w:rPr>
      </w:pPr>
      <w:r>
        <w:rPr>
          <w:rFonts w:hint="cs"/>
          <w:rtl/>
        </w:rPr>
        <w:t>דבא לבאר כאן ב' פרטים (המבוארים בד"ה למען דעת הנ"ל), איך שמצד אחד, א. שהקליפות נפרדים מהקב"ה, אך לאידך,  ב. אין זה סתירה לאחדות ה'. וע"ז מבאר שאין להקב"ה שום רצון פנימי בהקליפות, וכל הסיבה של קיומם הוא בשביל שבירתם [ובמילא אין הם חלק מהיחוד העליון], ולאידך אין זה סתירה לאחדותו, דהם מקום ה</w:t>
      </w:r>
      <w:r w:rsidRPr="00F30F99">
        <w:rPr>
          <w:rFonts w:hint="cs"/>
          <w:b/>
          <w:bCs/>
          <w:rtl/>
        </w:rPr>
        <w:t>מיתה</w:t>
      </w:r>
      <w:r>
        <w:rPr>
          <w:rFonts w:hint="cs"/>
          <w:rtl/>
        </w:rPr>
        <w:t>, ואין הם מציאות כלל, דמציאותם הוא איבודם.</w:t>
      </w:r>
    </w:p>
    <w:p w:rsidR="00642014" w:rsidRPr="000B6BA1" w:rsidRDefault="00642014" w:rsidP="004B0C42">
      <w:pPr>
        <w:pStyle w:val="a3"/>
        <w:rPr>
          <w:rtl/>
        </w:rPr>
      </w:pPr>
      <w:r>
        <w:rPr>
          <w:rFonts w:hint="cs"/>
          <w:rtl/>
        </w:rPr>
        <w:t>ה.</w:t>
      </w:r>
      <w:r w:rsidR="00C64F44">
        <w:rPr>
          <w:rFonts w:hint="cs"/>
          <w:rtl/>
        </w:rPr>
        <w:t xml:space="preserve"> </w:t>
      </w:r>
      <w:r>
        <w:rPr>
          <w:rFonts w:hint="cs"/>
          <w:rtl/>
        </w:rPr>
        <w:t xml:space="preserve">ועפ"ז יש לתרץ שאלה ידועה בהתחלת פרק כ"ב. דהנה </w:t>
      </w:r>
      <w:r w:rsidRPr="00583F17">
        <w:rPr>
          <w:rFonts w:hint="cs"/>
          <w:rtl/>
        </w:rPr>
        <w:t>בתניא פרקים כ' וכ"א מסביר אדה"ז איך ש</w:t>
      </w:r>
      <w:r>
        <w:rPr>
          <w:rFonts w:hint="cs"/>
          <w:rtl/>
        </w:rPr>
        <w:t>ה</w:t>
      </w:r>
      <w:r w:rsidRPr="00583F17">
        <w:rPr>
          <w:rFonts w:hint="cs"/>
          <w:rtl/>
        </w:rPr>
        <w:t>דבר הוי' עדיין נמצא במקורו</w:t>
      </w:r>
      <w:r>
        <w:rPr>
          <w:rFonts w:hint="cs"/>
          <w:rtl/>
        </w:rPr>
        <w:t>,</w:t>
      </w:r>
      <w:r>
        <w:t xml:space="preserve"> </w:t>
      </w:r>
      <w:r>
        <w:rPr>
          <w:rFonts w:hint="cs"/>
          <w:rtl/>
        </w:rPr>
        <w:t>הוא "מה</w:t>
      </w:r>
      <w:r w:rsidRPr="00583F17">
        <w:rPr>
          <w:rFonts w:hint="cs"/>
          <w:rtl/>
        </w:rPr>
        <w:t>ותו ו</w:t>
      </w:r>
      <w:r>
        <w:rPr>
          <w:rFonts w:hint="cs"/>
          <w:rtl/>
        </w:rPr>
        <w:t>עצ</w:t>
      </w:r>
      <w:r w:rsidRPr="00583F17">
        <w:rPr>
          <w:rFonts w:hint="cs"/>
          <w:rtl/>
        </w:rPr>
        <w:t>מותו ית'</w:t>
      </w:r>
      <w:r>
        <w:rPr>
          <w:rFonts w:hint="cs"/>
          <w:rtl/>
        </w:rPr>
        <w:t>"</w:t>
      </w:r>
      <w:r w:rsidRPr="00583F17">
        <w:rPr>
          <w:rFonts w:hint="cs"/>
          <w:rtl/>
        </w:rPr>
        <w:t>, ולעולם לא נעשה נפרד ממנו ית'. ולכן הא דנקרא "דיבור" הוא רק מצד ענין הגילוי, ולא מצד ענין הפירוד. (ובלשונו "</w:t>
      </w:r>
      <w:r w:rsidRPr="00583F17">
        <w:rPr>
          <w:rFonts w:hint="cs"/>
          <w:b/>
          <w:bCs/>
          <w:rtl/>
        </w:rPr>
        <w:t>ולא</w:t>
      </w:r>
      <w:r w:rsidRPr="00583F17">
        <w:rPr>
          <w:rFonts w:hint="cs"/>
          <w:rtl/>
        </w:rPr>
        <w:t xml:space="preserve"> נקרא בתורה דיבורו של מקום בשם דיבור </w:t>
      </w:r>
      <w:r w:rsidRPr="00583F17">
        <w:rPr>
          <w:rFonts w:hint="cs"/>
          <w:b/>
          <w:bCs/>
          <w:rtl/>
        </w:rPr>
        <w:t>רק</w:t>
      </w:r>
      <w:r w:rsidRPr="00583F17">
        <w:rPr>
          <w:rFonts w:hint="cs"/>
          <w:rtl/>
        </w:rPr>
        <w:t>..."). ורק ש</w:t>
      </w:r>
      <w:r>
        <w:rPr>
          <w:rFonts w:hint="cs"/>
          <w:rtl/>
        </w:rPr>
        <w:t xml:space="preserve">להנבראים </w:t>
      </w:r>
      <w:r w:rsidRPr="00583F17">
        <w:rPr>
          <w:rFonts w:hint="cs"/>
          <w:rtl/>
        </w:rPr>
        <w:t>מצד הצמצומים "</w:t>
      </w:r>
      <w:r w:rsidRPr="00583F17">
        <w:rPr>
          <w:rFonts w:ascii="Arial" w:hAnsi="Arial"/>
          <w:b/>
          <w:bCs/>
          <w:color w:val="222222"/>
          <w:shd w:val="clear" w:color="auto" w:fill="FFFFFF"/>
          <w:rtl/>
        </w:rPr>
        <w:t xml:space="preserve">נדמה </w:t>
      </w:r>
      <w:r w:rsidRPr="00583F17">
        <w:rPr>
          <w:rFonts w:ascii="Arial" w:hAnsi="Arial"/>
          <w:color w:val="222222"/>
          <w:shd w:val="clear" w:color="auto" w:fill="FFFFFF"/>
          <w:rtl/>
        </w:rPr>
        <w:t>ל</w:t>
      </w:r>
      <w:r w:rsidRPr="00FA5CCA">
        <w:rPr>
          <w:rtl/>
        </w:rPr>
        <w:t xml:space="preserve">הם אור וחיות הדיבור של מקום ברוך הוא המלובש בהם, כאילו הוא דבר </w:t>
      </w:r>
      <w:r w:rsidRPr="00583F17">
        <w:rPr>
          <w:rFonts w:ascii="Arial" w:hAnsi="Arial"/>
          <w:color w:val="222222"/>
          <w:shd w:val="clear" w:color="auto" w:fill="FFFFFF"/>
          <w:rtl/>
        </w:rPr>
        <w:t xml:space="preserve">מובדל ממהותו ועצמותו יתברך, רק שנמשך ממנו יתברך כמו דבור של אדם מנפשו. אך לגבי </w:t>
      </w:r>
      <w:r w:rsidRPr="00583F17">
        <w:rPr>
          <w:rFonts w:ascii="Arial" w:hAnsi="Arial"/>
          <w:color w:val="222222"/>
          <w:shd w:val="clear" w:color="auto" w:fill="FFFFFF"/>
          <w:rtl/>
        </w:rPr>
        <w:lastRenderedPageBreak/>
        <w:t>הקב"ה, אין שום צמצום והסתר והעלם מסתיר ומעלים לפניו</w:t>
      </w:r>
      <w:r w:rsidRPr="00583F17">
        <w:rPr>
          <w:rFonts w:ascii="Arial" w:hAnsi="Arial" w:hint="cs"/>
          <w:color w:val="222222"/>
          <w:shd w:val="clear" w:color="auto" w:fill="FFFFFF"/>
          <w:rtl/>
        </w:rPr>
        <w:t>...".ובפרק כ"ב ממשיך "</w:t>
      </w:r>
      <w:r w:rsidRPr="00583F17">
        <w:rPr>
          <w:rFonts w:ascii="Arial" w:hAnsi="Arial"/>
          <w:color w:val="222222"/>
          <w:shd w:val="clear" w:color="auto" w:fill="FFFFFF"/>
          <w:rtl/>
        </w:rPr>
        <w:t xml:space="preserve">רק שהתורה דיברה כלשון בני אדם, ונקרא בתורה דיבורו של מקום ברוך הוא בשם "דיבור" </w:t>
      </w:r>
      <w:r w:rsidRPr="00583F17">
        <w:rPr>
          <w:rFonts w:ascii="Arial" w:hAnsi="Arial"/>
          <w:b/>
          <w:bCs/>
          <w:color w:val="222222"/>
          <w:shd w:val="clear" w:color="auto" w:fill="FFFFFF"/>
          <w:rtl/>
        </w:rPr>
        <w:t>ממש</w:t>
      </w:r>
      <w:r w:rsidRPr="00583F17">
        <w:rPr>
          <w:rFonts w:ascii="Arial" w:hAnsi="Arial"/>
          <w:color w:val="222222"/>
          <w:shd w:val="clear" w:color="auto" w:fill="FFFFFF"/>
          <w:rtl/>
        </w:rPr>
        <w:t xml:space="preserve">, </w:t>
      </w:r>
      <w:r w:rsidRPr="00583F17">
        <w:rPr>
          <w:rFonts w:ascii="Arial" w:hAnsi="Arial"/>
          <w:b/>
          <w:bCs/>
          <w:color w:val="222222"/>
          <w:shd w:val="clear" w:color="auto" w:fill="FFFFFF"/>
          <w:rtl/>
        </w:rPr>
        <w:t>כדיבורו של אדם</w:t>
      </w:r>
      <w:r w:rsidRPr="00583F17">
        <w:rPr>
          <w:rFonts w:ascii="Arial" w:hAnsi="Arial"/>
          <w:color w:val="222222"/>
          <w:shd w:val="clear" w:color="auto" w:fill="FFFFFF"/>
          <w:rtl/>
        </w:rPr>
        <w:t>, לפי ש</w:t>
      </w:r>
      <w:r w:rsidRPr="00583F17">
        <w:rPr>
          <w:rFonts w:ascii="Arial" w:hAnsi="Arial"/>
          <w:b/>
          <w:bCs/>
          <w:color w:val="222222"/>
          <w:shd w:val="clear" w:color="auto" w:fill="FFFFFF"/>
          <w:rtl/>
        </w:rPr>
        <w:t>באמת</w:t>
      </w:r>
      <w:r w:rsidRPr="00583F17">
        <w:rPr>
          <w:rFonts w:ascii="Arial" w:hAnsi="Arial"/>
          <w:color w:val="222222"/>
          <w:shd w:val="clear" w:color="auto" w:fill="FFFFFF"/>
          <w:rtl/>
        </w:rPr>
        <w:t xml:space="preserve"> כך הוא דרך ירידת והמשכת החיות לתחתונים, בצמצומים רבים ועצומים</w:t>
      </w:r>
      <w:r w:rsidRPr="00583F17">
        <w:rPr>
          <w:rFonts w:ascii="Arial" w:hAnsi="Arial" w:hint="cs"/>
          <w:color w:val="222222"/>
          <w:shd w:val="clear" w:color="auto" w:fill="FFFFFF"/>
          <w:rtl/>
        </w:rPr>
        <w:t>". והיינו שמפרש ש"דיבור הוי'"</w:t>
      </w:r>
      <w:r>
        <w:rPr>
          <w:rFonts w:ascii="Arial" w:hAnsi="Arial" w:hint="cs"/>
          <w:color w:val="222222"/>
          <w:shd w:val="clear" w:color="auto" w:fill="FFFFFF"/>
          <w:rtl/>
        </w:rPr>
        <w:t xml:space="preserve"> נקרא בשם "דיבור"</w:t>
      </w:r>
      <w:r w:rsidRPr="00583F17">
        <w:rPr>
          <w:rFonts w:ascii="Arial" w:hAnsi="Arial" w:hint="cs"/>
          <w:color w:val="222222"/>
          <w:shd w:val="clear" w:color="auto" w:fill="FFFFFF"/>
          <w:rtl/>
        </w:rPr>
        <w:t xml:space="preserve"> כפשוטו ("כדיבורו של אדם"), גם</w:t>
      </w:r>
      <w:r>
        <w:rPr>
          <w:rFonts w:ascii="Arial" w:hAnsi="Arial" w:hint="cs"/>
          <w:color w:val="222222"/>
          <w:shd w:val="clear" w:color="auto" w:fill="FFFFFF"/>
          <w:rtl/>
        </w:rPr>
        <w:t xml:space="preserve"> מצד</w:t>
      </w:r>
      <w:r w:rsidRPr="00583F17">
        <w:rPr>
          <w:rFonts w:ascii="Arial" w:hAnsi="Arial" w:hint="cs"/>
          <w:color w:val="222222"/>
          <w:shd w:val="clear" w:color="auto" w:fill="FFFFFF"/>
          <w:rtl/>
        </w:rPr>
        <w:t xml:space="preserve"> ענין הפירוד, מצד ענין הצמצומים שיש על דיבורו של הקב"ה</w:t>
      </w:r>
      <w:r>
        <w:rPr>
          <w:rFonts w:ascii="Arial" w:hAnsi="Arial" w:hint="cs"/>
          <w:color w:val="222222"/>
          <w:shd w:val="clear" w:color="auto" w:fill="FFFFFF"/>
          <w:rtl/>
        </w:rPr>
        <w:t>.</w:t>
      </w:r>
      <w:r w:rsidRPr="00583F17">
        <w:rPr>
          <w:rFonts w:ascii="Arial" w:hAnsi="Arial" w:hint="cs"/>
          <w:color w:val="222222"/>
          <w:shd w:val="clear" w:color="auto" w:fill="FFFFFF"/>
          <w:rtl/>
        </w:rPr>
        <w:t>וידוע השאלה, מה השינוי דפרק כ"א כתב דאין ל"דיבור ה'" תכונת ה"פירוד", וזה רק דמיון דהנבראים, ובפרק כ"ב מפר</w:t>
      </w:r>
      <w:r>
        <w:rPr>
          <w:rFonts w:ascii="Arial" w:hAnsi="Arial" w:hint="cs"/>
          <w:color w:val="222222"/>
          <w:shd w:val="clear" w:color="auto" w:fill="FFFFFF"/>
          <w:rtl/>
        </w:rPr>
        <w:t>ש ד"דיבור ה'" יש לו ענין הפירוד.</w:t>
      </w:r>
    </w:p>
    <w:p w:rsidR="00642014" w:rsidRDefault="00642014" w:rsidP="004B0C42">
      <w:pPr>
        <w:pStyle w:val="a3"/>
        <w:rPr>
          <w:shd w:val="clear" w:color="auto" w:fill="FFFFFF"/>
          <w:rtl/>
        </w:rPr>
      </w:pPr>
      <w:r>
        <w:rPr>
          <w:rFonts w:hint="cs"/>
          <w:shd w:val="clear" w:color="auto" w:fill="FFFFFF"/>
          <w:rtl/>
        </w:rPr>
        <w:t>וע"פ הנ"ל י"ל הביאור בזה</w:t>
      </w:r>
      <w:r w:rsidRPr="00583F17">
        <w:rPr>
          <w:rFonts w:hint="cs"/>
          <w:shd w:val="clear" w:color="auto" w:fill="FFFFFF"/>
          <w:rtl/>
        </w:rPr>
        <w:t>, דבפרק כ"א דיבר על הצמצומים הרגילים לברוא עולמות העליונים ועוה"ז, משא"כ בפרק כ"ב דיבר על סוג חדש של צמצומים ("כ"כ גברו ועצמו הצמצומים...בחירת אחריים") שעל ידם מתהווים הקליפות. ולכן על הצמצומים הרגילים דפרק כ"א, לא חל עליהם הגדר ד"פירו</w:t>
      </w:r>
      <w:r>
        <w:rPr>
          <w:rFonts w:hint="cs"/>
          <w:shd w:val="clear" w:color="auto" w:fill="FFFFFF"/>
          <w:rtl/>
        </w:rPr>
        <w:t>ד</w:t>
      </w:r>
      <w:r w:rsidRPr="00583F17">
        <w:rPr>
          <w:rFonts w:hint="cs"/>
          <w:shd w:val="clear" w:color="auto" w:fill="FFFFFF"/>
          <w:rtl/>
        </w:rPr>
        <w:t>", משא"כ על הקליפות דפרק כ"ב</w:t>
      </w:r>
      <w:r w:rsidRPr="00FA5CCA">
        <w:rPr>
          <w:vertAlign w:val="superscript"/>
          <w:rtl/>
        </w:rPr>
        <w:footnoteReference w:id="64"/>
      </w:r>
      <w:r w:rsidRPr="00583F17">
        <w:rPr>
          <w:rFonts w:hint="cs"/>
          <w:shd w:val="clear" w:color="auto" w:fill="FFFFFF"/>
          <w:rtl/>
        </w:rPr>
        <w:t>.והיינו דעל כל הנבראים דעוה"ז שייך לומר דאין הצמצום מסתיר כלפי הקב"ה, ולכן אין בזה ענין של פירוד, וכל ההרגשה של "מציאות" הוא מצד "דמיון" ("נדמה להם"). משא"כ לגבי הקליפות שהצמצום מסתיר גם לגבי הקב"ה, ואורו ית' באמת אינו נמצא בהם, ולכן עליהם</w:t>
      </w:r>
      <w:r>
        <w:rPr>
          <w:rFonts w:hint="cs"/>
          <w:shd w:val="clear" w:color="auto" w:fill="FFFFFF"/>
          <w:rtl/>
        </w:rPr>
        <w:t xml:space="preserve"> </w:t>
      </w:r>
      <w:r w:rsidRPr="00583F17">
        <w:rPr>
          <w:rFonts w:hint="cs"/>
          <w:shd w:val="clear" w:color="auto" w:fill="FFFFFF"/>
          <w:rtl/>
        </w:rPr>
        <w:t>שפיר חל הגדר ד"פירוד"</w:t>
      </w:r>
      <w:r w:rsidRPr="00FA5CCA">
        <w:rPr>
          <w:vertAlign w:val="superscript"/>
          <w:rtl/>
        </w:rPr>
        <w:footnoteReference w:id="65"/>
      </w:r>
      <w:r w:rsidRPr="00583F17">
        <w:rPr>
          <w:rFonts w:hint="cs"/>
          <w:shd w:val="clear" w:color="auto" w:fill="FFFFFF"/>
          <w:rtl/>
        </w:rPr>
        <w:t>.</w:t>
      </w:r>
    </w:p>
    <w:p w:rsidR="00642014" w:rsidRPr="00583F17" w:rsidRDefault="00642014" w:rsidP="004B0C42">
      <w:pPr>
        <w:pStyle w:val="a3"/>
        <w:rPr>
          <w:shd w:val="clear" w:color="auto" w:fill="FFFFFF"/>
          <w:rtl/>
        </w:rPr>
      </w:pPr>
      <w:r>
        <w:rPr>
          <w:rFonts w:hint="cs"/>
          <w:shd w:val="clear" w:color="auto" w:fill="FFFFFF"/>
          <w:rtl/>
        </w:rPr>
        <w:t>ובלשון הנחת מאמר ד"ה ראשית גוים עמלק תשכ"ג (והוא ממש לשון כ"ק אדמו"ר בהטייפ) "ועד שנעשה יש נפרד, והיינו שלא זו בלבד שבהרגשתו הוא יש, אלא הוא באמת יש ונפרד מאלקות" ובהמשך לזה מביא המבואר בתניא כאן בענין אלקים אחרים. או בלשון אוה"ת (המצויין בהערה 1 שם) "יש ונפרד גמור".</w:t>
      </w:r>
    </w:p>
    <w:p w:rsidR="00642014" w:rsidRPr="000B6BA1" w:rsidRDefault="00642014" w:rsidP="004B0C42">
      <w:pPr>
        <w:pStyle w:val="a3"/>
        <w:rPr>
          <w:rFonts w:ascii="Narkisim" w:hAnsi="Narkisim"/>
          <w:rtl/>
        </w:rPr>
      </w:pPr>
      <w:r>
        <w:rPr>
          <w:rFonts w:hint="cs"/>
          <w:shd w:val="clear" w:color="auto" w:fill="FFFFFF"/>
          <w:rtl/>
        </w:rPr>
        <w:t>[</w:t>
      </w:r>
      <w:r w:rsidRPr="00583F17">
        <w:rPr>
          <w:rFonts w:hint="cs"/>
          <w:shd w:val="clear" w:color="auto" w:fill="FFFFFF"/>
          <w:rtl/>
        </w:rPr>
        <w:t>ו</w:t>
      </w:r>
      <w:r>
        <w:rPr>
          <w:rFonts w:hint="cs"/>
          <w:shd w:val="clear" w:color="auto" w:fill="FFFFFF"/>
          <w:rtl/>
        </w:rPr>
        <w:t>הנה בביאור הרש"ג על התניא ובחסידות מבוארת (בעיונים לתחילת פרק כ"ב) פירשו דהחידוש דפרק כ"ב הוא דלבי הנבראים הצמצון הוא ענין אמיתי, ובסגנון הידוע דגם "דעת תחתון" הוא אמיתי ("לפי שבאמת כך הוא</w:t>
      </w:r>
      <w:r w:rsidRPr="00FA5CCA">
        <w:rPr>
          <w:vertAlign w:val="superscript"/>
          <w:rtl/>
        </w:rPr>
        <w:footnoteReference w:id="66"/>
      </w:r>
      <w:r>
        <w:rPr>
          <w:rFonts w:hint="cs"/>
          <w:shd w:val="clear" w:color="auto" w:fill="FFFFFF"/>
          <w:rtl/>
        </w:rPr>
        <w:t>"). ולכן שפיר אפשר לקרוא לדבר הוי' בשם דיבור, כיון שגם הרגשת הנברא הוא אמת.</w:t>
      </w:r>
      <w:r>
        <w:rPr>
          <w:rFonts w:ascii="Narkisim" w:hAnsi="Narkisim" w:hint="cs"/>
          <w:rtl/>
        </w:rPr>
        <w:t xml:space="preserve"> </w:t>
      </w:r>
      <w:r>
        <w:rPr>
          <w:rFonts w:hint="cs"/>
          <w:shd w:val="clear" w:color="auto" w:fill="FFFFFF"/>
          <w:rtl/>
        </w:rPr>
        <w:t xml:space="preserve">ויש הממשיכים עם הבנה זו לכל המשך הפרקים דכ"ב וכ"ד, בפירוד הקליפות והחטא מהקב"ה הוא רק מצד גדר הנבראים ומצד הצמצום, אבל מצד הקב"ה אין שום שינוי והעלם והסתר מעלים לפניו, וגם העובר על חטא הנה מצד דעת </w:t>
      </w:r>
      <w:r>
        <w:rPr>
          <w:rFonts w:hint="cs"/>
          <w:shd w:val="clear" w:color="auto" w:fill="FFFFFF"/>
          <w:rtl/>
        </w:rPr>
        <w:lastRenderedPageBreak/>
        <w:t xml:space="preserve">עליון הוא בטל לו ית', והם חלק מהיחוד העליון. וכן הקליפות הם חלק מהיחוד העליון מצד "קמיה ית'" דהצמצום אינו מסתיר. [והעובר על חטא </w:t>
      </w:r>
      <w:r w:rsidRPr="006762D1">
        <w:rPr>
          <w:rFonts w:hint="cs"/>
          <w:b/>
          <w:bCs/>
          <w:shd w:val="clear" w:color="auto" w:fill="FFFFFF"/>
          <w:rtl/>
        </w:rPr>
        <w:t>מצד הקב"ה</w:t>
      </w:r>
      <w:r>
        <w:rPr>
          <w:rFonts w:hint="cs"/>
          <w:shd w:val="clear" w:color="auto" w:fill="FFFFFF"/>
          <w:rtl/>
        </w:rPr>
        <w:t xml:space="preserve"> הוא עדיין קשור אליו בדיוק כמו קודם החטא].</w:t>
      </w:r>
    </w:p>
    <w:p w:rsidR="00642014" w:rsidRDefault="00642014" w:rsidP="004B0C42">
      <w:pPr>
        <w:pStyle w:val="a3"/>
        <w:rPr>
          <w:shd w:val="clear" w:color="auto" w:fill="FFFFFF"/>
          <w:rtl/>
        </w:rPr>
      </w:pPr>
      <w:r>
        <w:rPr>
          <w:rFonts w:hint="cs"/>
          <w:shd w:val="clear" w:color="auto" w:fill="FFFFFF"/>
          <w:rtl/>
        </w:rPr>
        <w:t>אך באמת הנה גם לביאור הרש"ג וחס"מ, דמדובר על דעת תחתון כאן, זה רק בהחצי הראשון של הפרק, אך בהמשך הפרקים בענין פירוד הקליפות מהקב"ה, שם הוא אמיתי גם מצד דעת עליון</w:t>
      </w:r>
      <w:r w:rsidRPr="00FA5CCA">
        <w:rPr>
          <w:vertAlign w:val="superscript"/>
          <w:rtl/>
        </w:rPr>
        <w:footnoteReference w:id="67"/>
      </w:r>
      <w:r>
        <w:rPr>
          <w:rFonts w:hint="cs"/>
          <w:shd w:val="clear" w:color="auto" w:fill="FFFFFF"/>
          <w:rtl/>
        </w:rPr>
        <w:t>].</w:t>
      </w:r>
    </w:p>
    <w:p w:rsidR="00642014" w:rsidRDefault="00642014" w:rsidP="004B0C42">
      <w:pPr>
        <w:pStyle w:val="a3"/>
        <w:rPr>
          <w:rtl/>
        </w:rPr>
      </w:pPr>
      <w:r>
        <w:rPr>
          <w:rFonts w:hint="cs"/>
          <w:rtl/>
        </w:rPr>
        <w:t>ו</w:t>
      </w:r>
      <w:r w:rsidRPr="00583F17">
        <w:rPr>
          <w:rFonts w:hint="cs"/>
          <w:rtl/>
        </w:rPr>
        <w:t>. ולפי זה נמצא ד</w:t>
      </w:r>
      <w:r>
        <w:rPr>
          <w:rFonts w:hint="cs"/>
          <w:rtl/>
        </w:rPr>
        <w:t xml:space="preserve">זה דחטא ועון נפרדים </w:t>
      </w:r>
      <w:r w:rsidRPr="00583F17">
        <w:rPr>
          <w:rFonts w:hint="cs"/>
          <w:rtl/>
        </w:rPr>
        <w:t xml:space="preserve">מהקב"ה (ובל' אדה"ז </w:t>
      </w:r>
      <w:r>
        <w:rPr>
          <w:rFonts w:hint="cs"/>
          <w:rtl/>
        </w:rPr>
        <w:t xml:space="preserve">בפכ"ד </w:t>
      </w:r>
      <w:r w:rsidRPr="00583F17">
        <w:rPr>
          <w:rFonts w:hint="cs"/>
          <w:rtl/>
        </w:rPr>
        <w:t>"הם נפרדים מיחודו ואחדותו ית</w:t>
      </w:r>
      <w:r>
        <w:rPr>
          <w:rFonts w:hint="cs"/>
          <w:rtl/>
        </w:rPr>
        <w:t>' בתכלית הפירוד ממש") ה"ז גם "קמיה  ית'"</w:t>
      </w:r>
      <w:r w:rsidRPr="00FA5CCA">
        <w:rPr>
          <w:vertAlign w:val="superscript"/>
          <w:rtl/>
        </w:rPr>
        <w:footnoteReference w:id="68"/>
      </w:r>
      <w:r w:rsidRPr="00583F17">
        <w:rPr>
          <w:rFonts w:hint="cs"/>
          <w:rtl/>
        </w:rPr>
        <w:t xml:space="preserve">. </w:t>
      </w:r>
    </w:p>
    <w:p w:rsidR="00642014" w:rsidRDefault="00642014" w:rsidP="004B0C42">
      <w:pPr>
        <w:pStyle w:val="a3"/>
        <w:rPr>
          <w:rtl/>
        </w:rPr>
      </w:pPr>
      <w:r>
        <w:rPr>
          <w:rFonts w:hint="cs"/>
          <w:rtl/>
        </w:rPr>
        <w:t>[וב"חכמה שבנפש שבה אוא"ס בה" נרגש היחוד מצד "קמיה ית'", ואדרבה היחוד שלו עם ה', אינו לפי ההגבלות של הגוף, אלא לפי ההשגות וכו' של "אור ה' המלובש בנפשם", ובמילא נרגש שם האחדות והפירוד מצד "קמיה ית']</w:t>
      </w:r>
      <w:r w:rsidRPr="00FA5CCA">
        <w:rPr>
          <w:vertAlign w:val="superscript"/>
          <w:rtl/>
        </w:rPr>
        <w:footnoteReference w:id="69"/>
      </w:r>
      <w:r>
        <w:rPr>
          <w:rFonts w:hint="cs"/>
          <w:rtl/>
        </w:rPr>
        <w:t>.</w:t>
      </w:r>
    </w:p>
    <w:p w:rsidR="00642014" w:rsidRPr="00842847" w:rsidRDefault="00642014" w:rsidP="004B0C42">
      <w:pPr>
        <w:pStyle w:val="a3"/>
        <w:rPr>
          <w:shd w:val="clear" w:color="auto" w:fill="FFFFFF"/>
          <w:rtl/>
        </w:rPr>
      </w:pPr>
      <w:r>
        <w:rPr>
          <w:rFonts w:hint="cs"/>
          <w:shd w:val="clear" w:color="auto" w:fill="FFFFFF"/>
          <w:rtl/>
        </w:rPr>
        <w:t xml:space="preserve">ולפי כל זה נמצא, דעצם הרגש האדם שיכול לעשות ככל העולה על רוחו, והכח בידו, כיון שכך ברא הקב"ה את האדם (שיש לו כח הבחירה וכו') וזהו רצונו ית', אי"ז סתירה לאחדותו ית'. [ואדם שנכתכוין לאכול חזיר אך בטעות עלה בידו כשר, לא נעשה נפרד מאחדותו ית', וכנ"ל דעצם ההרגש שהוא יכול לעבור על רצונו ית', לא עושהו נפרד מ"קמיה ית'"]. ורק העובר על רצונו ית', הוא נעשה נפרד באמת. [ומתורץ מה שהקשו בחס"מ בעיונים לפכ"ד </w:t>
      </w:r>
      <w:r>
        <w:rPr>
          <w:rFonts w:hint="cs"/>
          <w:shd w:val="clear" w:color="auto" w:fill="FFFFFF"/>
          <w:rtl/>
        </w:rPr>
        <w:lastRenderedPageBreak/>
        <w:t>אות ו'</w:t>
      </w:r>
      <w:r>
        <w:rPr>
          <w:rStyle w:val="FootnoteReference"/>
          <w:rFonts w:ascii="Arial" w:hAnsi="Arial" w:cs="Narkisim"/>
          <w:color w:val="222222"/>
          <w:sz w:val="26"/>
          <w:szCs w:val="26"/>
          <w:shd w:val="clear" w:color="auto" w:fill="FFFFFF"/>
          <w:rtl/>
        </w:rPr>
        <w:footnoteReference w:id="70"/>
      </w:r>
      <w:r>
        <w:rPr>
          <w:rFonts w:hint="cs"/>
          <w:shd w:val="clear" w:color="auto" w:fill="FFFFFF"/>
          <w:rtl/>
        </w:rPr>
        <w:t>. וכן בקובץ זכרון שי"ל לשלושים של הר"א ע"ה צוויבל הובא קושיא זו משמו</w:t>
      </w:r>
      <w:r>
        <w:rPr>
          <w:rStyle w:val="FootnoteReference"/>
          <w:rFonts w:ascii="Arial" w:hAnsi="Arial" w:cs="Narkisim"/>
          <w:color w:val="222222"/>
          <w:sz w:val="26"/>
          <w:szCs w:val="26"/>
          <w:shd w:val="clear" w:color="auto" w:fill="FFFFFF"/>
          <w:rtl/>
        </w:rPr>
        <w:footnoteReference w:id="71"/>
      </w:r>
      <w:r>
        <w:rPr>
          <w:rFonts w:hint="cs"/>
          <w:shd w:val="clear" w:color="auto" w:fill="FFFFFF"/>
          <w:rtl/>
        </w:rPr>
        <w:t>].</w:t>
      </w:r>
    </w:p>
    <w:p w:rsidR="00642014" w:rsidRDefault="00642014" w:rsidP="004B0C42">
      <w:pPr>
        <w:pStyle w:val="a3"/>
        <w:rPr>
          <w:rtl/>
        </w:rPr>
      </w:pPr>
      <w:r>
        <w:rPr>
          <w:rFonts w:hint="cs"/>
          <w:rtl/>
        </w:rPr>
        <w:t>ז. ולפי זה יש ג' מדריגות בביטול היהודי (והעולם) להקב"ה:</w:t>
      </w:r>
    </w:p>
    <w:p w:rsidR="00642014" w:rsidRPr="000E0B77" w:rsidRDefault="00642014" w:rsidP="004B0C42">
      <w:pPr>
        <w:pStyle w:val="a3"/>
        <w:rPr>
          <w:shd w:val="clear" w:color="auto" w:fill="FFFFFF"/>
          <w:rtl/>
        </w:rPr>
      </w:pPr>
      <w:r>
        <w:rPr>
          <w:rFonts w:ascii="Narkisim" w:hAnsi="Narkisim" w:hint="cs"/>
          <w:rtl/>
        </w:rPr>
        <w:t xml:space="preserve">א. מצד עצם בריאתו (כשאינו עוסק במצוה, ולא עוסק בעבירה), דמצד "קמיה ית'" </w:t>
      </w:r>
      <w:r w:rsidRPr="000E0B77">
        <w:rPr>
          <w:rFonts w:ascii="Narkisim" w:hAnsi="Narkisim" w:hint="cs"/>
          <w:rtl/>
        </w:rPr>
        <w:t xml:space="preserve">הוא </w:t>
      </w:r>
      <w:r w:rsidRPr="000E0B77">
        <w:rPr>
          <w:rFonts w:hint="cs"/>
          <w:shd w:val="clear" w:color="auto" w:fill="FFFFFF"/>
          <w:rtl/>
        </w:rPr>
        <w:t>"</w:t>
      </w:r>
      <w:r w:rsidRPr="000E0B77">
        <w:rPr>
          <w:shd w:val="clear" w:color="auto" w:fill="FFFFFF"/>
          <w:rtl/>
        </w:rPr>
        <w:t>מיוחדים ממש בא</w:t>
      </w:r>
      <w:r w:rsidRPr="000E0B77">
        <w:rPr>
          <w:rFonts w:hint="cs"/>
          <w:shd w:val="clear" w:color="auto" w:fill="FFFFFF"/>
          <w:rtl/>
        </w:rPr>
        <w:t>"ס</w:t>
      </w:r>
      <w:r w:rsidRPr="000E0B77">
        <w:rPr>
          <w:shd w:val="clear" w:color="auto" w:fill="FFFFFF"/>
          <w:rtl/>
        </w:rPr>
        <w:t xml:space="preserve"> ברוך הוא </w:t>
      </w:r>
      <w:r w:rsidRPr="000E0B77">
        <w:rPr>
          <w:rFonts w:hint="cs"/>
          <w:shd w:val="clear" w:color="auto" w:fill="FFFFFF"/>
          <w:rtl/>
        </w:rPr>
        <w:t>...</w:t>
      </w:r>
      <w:r w:rsidRPr="000E0B77">
        <w:rPr>
          <w:shd w:val="clear" w:color="auto" w:fill="FFFFFF"/>
          <w:rtl/>
        </w:rPr>
        <w:t>בתכלית היחוד, כיחוד דיבורו ומחשבתו של הקב"ה במהותו ועצמותו כנ"ל, כי אין שום דבר נפרד</w:t>
      </w:r>
      <w:r w:rsidRPr="000E0B77">
        <w:rPr>
          <w:rFonts w:hint="cs"/>
          <w:shd w:val="clear" w:color="auto" w:fill="FFFFFF"/>
          <w:rtl/>
        </w:rPr>
        <w:t>".</w:t>
      </w:r>
      <w:r>
        <w:rPr>
          <w:rFonts w:hint="cs"/>
          <w:shd w:val="clear" w:color="auto" w:fill="FFFFFF"/>
          <w:rtl/>
        </w:rPr>
        <w:t xml:space="preserve"> אבל עדיין מצד הצמצום הוא נפרד מהקב"ה "כמו דיבורו של אדם מנפשו". ובלשון התניא (פל"ה) </w:t>
      </w:r>
      <w:r w:rsidRPr="000E0B77">
        <w:rPr>
          <w:rFonts w:hint="cs"/>
          <w:shd w:val="clear" w:color="auto" w:fill="FFFFFF"/>
          <w:rtl/>
        </w:rPr>
        <w:t>"</w:t>
      </w:r>
      <w:r w:rsidRPr="000E0B77">
        <w:rPr>
          <w:shd w:val="clear" w:color="auto" w:fill="FFFFFF"/>
          <w:rtl/>
        </w:rPr>
        <w:t xml:space="preserve">והנה, ענין השראת השכינה הוא </w:t>
      </w:r>
      <w:r w:rsidRPr="000E0B77">
        <w:rPr>
          <w:b/>
          <w:bCs/>
          <w:shd w:val="clear" w:color="auto" w:fill="FFFFFF"/>
          <w:rtl/>
        </w:rPr>
        <w:t>גילוי</w:t>
      </w:r>
      <w:r w:rsidRPr="000E0B77">
        <w:rPr>
          <w:shd w:val="clear" w:color="auto" w:fill="FFFFFF"/>
          <w:rtl/>
        </w:rPr>
        <w:t xml:space="preserve"> אלהותו יתברך ואור א</w:t>
      </w:r>
      <w:r>
        <w:rPr>
          <w:rFonts w:hint="cs"/>
          <w:shd w:val="clear" w:color="auto" w:fill="FFFFFF"/>
          <w:rtl/>
        </w:rPr>
        <w:t>"ס</w:t>
      </w:r>
      <w:r w:rsidRPr="000E0B77">
        <w:rPr>
          <w:shd w:val="clear" w:color="auto" w:fill="FFFFFF"/>
          <w:rtl/>
        </w:rPr>
        <w:t xml:space="preserve"> ברוך הוא באיזה דבר, והיינו לומר שאותו דבר נכלל באור ה' </w:t>
      </w:r>
      <w:r w:rsidRPr="000E0B77">
        <w:rPr>
          <w:b/>
          <w:bCs/>
          <w:shd w:val="clear" w:color="auto" w:fill="FFFFFF"/>
          <w:rtl/>
        </w:rPr>
        <w:t>ובטל לו במציאות לגמרי</w:t>
      </w:r>
      <w:r w:rsidRPr="000E0B77">
        <w:rPr>
          <w:shd w:val="clear" w:color="auto" w:fill="FFFFFF"/>
          <w:rtl/>
        </w:rPr>
        <w:t>, שאז הוא ש</w:t>
      </w:r>
      <w:r w:rsidRPr="000E0B77">
        <w:rPr>
          <w:b/>
          <w:bCs/>
          <w:shd w:val="clear" w:color="auto" w:fill="FFFFFF"/>
          <w:rtl/>
        </w:rPr>
        <w:t xml:space="preserve">שורה ומתגלה </w:t>
      </w:r>
      <w:r w:rsidRPr="000E0B77">
        <w:rPr>
          <w:shd w:val="clear" w:color="auto" w:fill="FFFFFF"/>
          <w:rtl/>
        </w:rPr>
        <w:t>בו ה' אחד. אבל כל מה שלא בטל אליו במציאות לגמרי, אין אור ה' שורה ומתגלה</w:t>
      </w:r>
      <w:r w:rsidRPr="000E0B77">
        <w:rPr>
          <w:rFonts w:hint="cs"/>
          <w:shd w:val="clear" w:color="auto" w:fill="FFFFFF"/>
          <w:rtl/>
        </w:rPr>
        <w:t>"</w:t>
      </w:r>
    </w:p>
    <w:p w:rsidR="00642014" w:rsidRDefault="00642014" w:rsidP="004B0C42">
      <w:pPr>
        <w:pStyle w:val="a3"/>
        <w:rPr>
          <w:shd w:val="clear" w:color="auto" w:fill="FFFFFF"/>
          <w:rtl/>
        </w:rPr>
      </w:pPr>
      <w:r w:rsidRPr="000E0B77">
        <w:rPr>
          <w:rFonts w:hint="cs"/>
          <w:shd w:val="clear" w:color="auto" w:fill="FFFFFF"/>
          <w:rtl/>
        </w:rPr>
        <w:t>ב.</w:t>
      </w:r>
      <w:r>
        <w:rPr>
          <w:rFonts w:hint="cs"/>
          <w:shd w:val="clear" w:color="auto" w:fill="FFFFFF"/>
          <w:rtl/>
        </w:rPr>
        <w:t xml:space="preserve"> כשעושה עבירה ר"ל הוא נפרד מיחודו ואחדותו ית' מצד "קמיה ית'". והוא נעשה בבחי' מת. [ובל' למען דעת "העדר"].</w:t>
      </w:r>
    </w:p>
    <w:p w:rsidR="00642014" w:rsidRDefault="00642014" w:rsidP="004B0C42">
      <w:pPr>
        <w:pStyle w:val="a3"/>
        <w:rPr>
          <w:shd w:val="clear" w:color="auto" w:fill="FFFFFF"/>
          <w:rtl/>
        </w:rPr>
      </w:pPr>
      <w:r>
        <w:rPr>
          <w:rFonts w:hint="cs"/>
          <w:shd w:val="clear" w:color="auto" w:fill="FFFFFF"/>
          <w:rtl/>
        </w:rPr>
        <w:t xml:space="preserve">ג. כשעושה מצוה, אז מתגלה גם בדעת תחתון (בתוך "גדר הנברא" כפי שהוא מצד הצמצום), היחוד כפי שזה במהותו ועצמותו. [וזהו מה שניתוסיף ע"י עשיית המצוות, שלא רק שלא יהיה נפרד אלא </w:t>
      </w:r>
      <w:r w:rsidRPr="00FE1D38">
        <w:rPr>
          <w:rFonts w:hint="cs"/>
          <w:shd w:val="clear" w:color="auto" w:fill="FFFFFF"/>
          <w:rtl/>
        </w:rPr>
        <w:t>"</w:t>
      </w:r>
      <w:r w:rsidRPr="00FE1D38">
        <w:rPr>
          <w:shd w:val="clear" w:color="auto" w:fill="FFFFFF"/>
          <w:rtl/>
        </w:rPr>
        <w:t>יתגלה בה פנימית רצון העליון, בבחינת פנים וגילוי רב, ולא בהסתר כלל</w:t>
      </w:r>
      <w:r w:rsidRPr="00FE1D38">
        <w:rPr>
          <w:rFonts w:hint="cs"/>
          <w:shd w:val="clear" w:color="auto" w:fill="FFFFFF"/>
          <w:rtl/>
        </w:rPr>
        <w:t>" (ל' אדה"ז בפרק כ"ה)</w:t>
      </w:r>
      <w:r>
        <w:rPr>
          <w:rFonts w:hint="cs"/>
          <w:shd w:val="clear" w:color="auto" w:fill="FFFFFF"/>
          <w:rtl/>
        </w:rPr>
        <w:t>].</w:t>
      </w:r>
    </w:p>
    <w:p w:rsidR="00642014" w:rsidRDefault="00642014" w:rsidP="004B0C42">
      <w:pPr>
        <w:pStyle w:val="a3"/>
        <w:rPr>
          <w:shd w:val="clear" w:color="auto" w:fill="FFFFFF"/>
          <w:rtl/>
        </w:rPr>
      </w:pPr>
      <w:r>
        <w:rPr>
          <w:rFonts w:hint="cs"/>
          <w:shd w:val="clear" w:color="auto" w:fill="FFFFFF"/>
          <w:rtl/>
        </w:rPr>
        <w:t>[משא"כ אם נלמוד הפשט התניא, שכל הפרקים מדובר מצד "דעת תחתון", קשה להבין החילוק בין מצב האדם כפי שהוא "עושה עבירה" ובין מצבו כפי שהוא "יש", דממ"נ מצד "קמיה ית'" הוא בטל במציאות, ומצד הצמצום בשניהם הוא מציאות].</w:t>
      </w:r>
    </w:p>
    <w:p w:rsidR="00642014" w:rsidRDefault="00642014" w:rsidP="004B0C42">
      <w:pPr>
        <w:pStyle w:val="a3"/>
        <w:rPr>
          <w:shd w:val="clear" w:color="auto" w:fill="FFFFFF"/>
          <w:rtl/>
        </w:rPr>
      </w:pPr>
      <w:r>
        <w:rPr>
          <w:rFonts w:ascii="Arial" w:hAnsi="Arial" w:hint="cs"/>
          <w:shd w:val="clear" w:color="auto" w:fill="FFFFFF"/>
          <w:rtl/>
        </w:rPr>
        <w:t>ועפ"ז יובן בטוב מה דמבאר אדה"ז בפרק כ"ה בנוגע להתגברות על היצה"ר בועשה טוב "</w:t>
      </w:r>
      <w:r w:rsidRPr="000B6BA1">
        <w:rPr>
          <w:shd w:val="clear" w:color="auto" w:fill="FFFFFF"/>
          <w:rtl/>
        </w:rPr>
        <w:t>ויסורי מיתה, ה' ישמרנו, היה מקבל באהבה וברצון שלא ליפרד מיחודו ואחדותו יתברך אפילו לפי שעה להשתחות לעבודה-זרה ח"ו, וכל-שכן שיש לו לקבל באהבה וברצון כדי</w:t>
      </w:r>
      <w:r w:rsidRPr="000B6BA1">
        <w:rPr>
          <w:rFonts w:ascii="Cambria" w:hAnsi="Cambria" w:cs="Cambria" w:hint="cs"/>
          <w:shd w:val="clear" w:color="auto" w:fill="FFFFFF"/>
          <w:rtl/>
        </w:rPr>
        <w:t> </w:t>
      </w:r>
      <w:r w:rsidRPr="000B6BA1">
        <w:rPr>
          <w:b/>
          <w:bCs/>
          <w:shd w:val="clear" w:color="auto" w:fill="FFFFFF"/>
          <w:rtl/>
        </w:rPr>
        <w:t>לדבקה</w:t>
      </w:r>
      <w:r w:rsidRPr="000B6BA1">
        <w:rPr>
          <w:rFonts w:ascii="Cambria" w:hAnsi="Cambria" w:cs="Cambria" w:hint="cs"/>
          <w:shd w:val="clear" w:color="auto" w:fill="FFFFFF"/>
          <w:rtl/>
        </w:rPr>
        <w:t> </w:t>
      </w:r>
      <w:r w:rsidRPr="000B6BA1">
        <w:rPr>
          <w:rFonts w:hint="cs"/>
          <w:shd w:val="clear" w:color="auto" w:fill="FFFFFF"/>
          <w:rtl/>
        </w:rPr>
        <w:t>בו</w:t>
      </w:r>
      <w:r w:rsidRPr="000B6BA1">
        <w:rPr>
          <w:shd w:val="clear" w:color="auto" w:fill="FFFFFF"/>
          <w:rtl/>
        </w:rPr>
        <w:t>"</w:t>
      </w:r>
      <w:r>
        <w:rPr>
          <w:rFonts w:hint="cs"/>
          <w:shd w:val="clear" w:color="auto" w:fill="FFFFFF"/>
          <w:rtl/>
        </w:rPr>
        <w:t>,</w:t>
      </w:r>
    </w:p>
    <w:p w:rsidR="00642014" w:rsidRDefault="00642014" w:rsidP="004B0C42">
      <w:pPr>
        <w:pStyle w:val="a3"/>
        <w:rPr>
          <w:shd w:val="clear" w:color="auto" w:fill="FFFFFF"/>
          <w:rtl/>
        </w:rPr>
      </w:pPr>
      <w:r>
        <w:rPr>
          <w:rFonts w:hint="cs"/>
          <w:shd w:val="clear" w:color="auto" w:fill="FFFFFF"/>
          <w:rtl/>
        </w:rPr>
        <w:t xml:space="preserve">[ובפרט דצ"ע: הרי בנוהג שבעולם בהרבה קשרים בין אדם לאדם, שישנו אדם שיעשה הרבה יגיעה לא רוצה להיות נפרד, אך בשביל דביקות (שהאהבה והקשר ישגשג וכו') הוא לא </w:t>
      </w:r>
      <w:r>
        <w:rPr>
          <w:rFonts w:hint="cs"/>
          <w:shd w:val="clear" w:color="auto" w:fill="FFFFFF"/>
          <w:rtl/>
        </w:rPr>
        <w:lastRenderedPageBreak/>
        <w:t>יתייגע. וכמו שמוצאים כמדומה בקשר שבין בן לאביו].</w:t>
      </w:r>
    </w:p>
    <w:p w:rsidR="00642014" w:rsidRPr="000B6BA1" w:rsidRDefault="00642014" w:rsidP="004B0C42">
      <w:pPr>
        <w:pStyle w:val="a3"/>
        <w:rPr>
          <w:shd w:val="clear" w:color="auto" w:fill="FFFFFF"/>
          <w:rtl/>
        </w:rPr>
      </w:pPr>
      <w:r>
        <w:rPr>
          <w:rFonts w:hint="cs"/>
          <w:shd w:val="clear" w:color="auto" w:fill="FFFFFF"/>
          <w:rtl/>
        </w:rPr>
        <w:t xml:space="preserve">אלא, דבלי ה"דביקות", הנה </w:t>
      </w:r>
      <w:r w:rsidRPr="000B6BA1">
        <w:rPr>
          <w:rFonts w:hint="cs"/>
          <w:b/>
          <w:bCs/>
          <w:shd w:val="clear" w:color="auto" w:fill="FFFFFF"/>
          <w:rtl/>
        </w:rPr>
        <w:t>למטה</w:t>
      </w:r>
      <w:r>
        <w:rPr>
          <w:rFonts w:hint="cs"/>
          <w:shd w:val="clear" w:color="auto" w:fill="FFFFFF"/>
          <w:rtl/>
        </w:rPr>
        <w:t xml:space="preserve"> אין האדם דבוק כלל בו ית' [ובלשון אדה"ז בסוף פכ"ה "נפרד מהיחוד העליון </w:t>
      </w:r>
      <w:r w:rsidRPr="000B6BA1">
        <w:rPr>
          <w:rFonts w:hint="cs"/>
          <w:b/>
          <w:bCs/>
          <w:shd w:val="clear" w:color="auto" w:fill="FFFFFF"/>
          <w:rtl/>
        </w:rPr>
        <w:t>למטה</w:t>
      </w:r>
      <w:r>
        <w:rPr>
          <w:rFonts w:hint="cs"/>
          <w:shd w:val="clear" w:color="auto" w:fill="FFFFFF"/>
          <w:rtl/>
        </w:rPr>
        <w:t>"], דבתוך מציאותו הוא "יש". ודוקא ע"י קיום מצוה הנה היחוד דלמעלה נכנס בתוך מציאות האדם. ומובן לפי"ז דאין ענין המ"ע "לשפר ולחזק" הקשר, אלא "יצירת הקשר" למטה.</w:t>
      </w:r>
    </w:p>
    <w:p w:rsidR="00642014" w:rsidRDefault="00642014" w:rsidP="004B0C42">
      <w:pPr>
        <w:pStyle w:val="a3"/>
        <w:rPr>
          <w:shd w:val="clear" w:color="auto" w:fill="FFFFFF"/>
          <w:rtl/>
        </w:rPr>
      </w:pPr>
      <w:r>
        <w:rPr>
          <w:rFonts w:hint="cs"/>
          <w:shd w:val="clear" w:color="auto" w:fill="FFFFFF"/>
          <w:rtl/>
        </w:rPr>
        <w:t>ח. ואפשר לפי"ז יובן הפשט בתניא שבתוך האהבה נכלל גם יראה. וידוע השאלה 1. מהו החידוש בזה, הלא בתוך כל אהבה כלולה יראה [כמו שהקשו בחס"מ בפי"ט עיונים ל']. 2. אדה"ז מסביר בפכ"ה, דהזהירות משס"ה ל"ת מגיע דוקא מה"יראה" והקיום ד"רמ"ח" מגיע מהאהבה. וצלה"ב ולכאורה גם הרצון של יהודי להיות דבוק בהקב"ה- אהבה, מספיק להשמר מ"שס"ה ל"ת", ומה נוגע חידוש זה ד"ונכלל בה גם דחילו",</w:t>
      </w:r>
      <w:r w:rsidRPr="000B6BA1">
        <w:rPr>
          <w:rFonts w:hint="cs"/>
          <w:shd w:val="clear" w:color="auto" w:fill="FFFFFF"/>
          <w:rtl/>
        </w:rPr>
        <w:t xml:space="preserve"> </w:t>
      </w:r>
      <w:r>
        <w:rPr>
          <w:rFonts w:hint="cs"/>
          <w:shd w:val="clear" w:color="auto" w:fill="FFFFFF"/>
          <w:rtl/>
        </w:rPr>
        <w:t>לעבודה</w:t>
      </w:r>
      <w:r>
        <w:rPr>
          <w:rStyle w:val="FootnoteReference"/>
          <w:rFonts w:ascii="Arial" w:hAnsi="Arial" w:cs="Narkisim"/>
          <w:color w:val="222222"/>
          <w:sz w:val="26"/>
          <w:szCs w:val="26"/>
          <w:shd w:val="clear" w:color="auto" w:fill="FFFFFF"/>
          <w:rtl/>
        </w:rPr>
        <w:footnoteReference w:id="72"/>
      </w:r>
      <w:r>
        <w:rPr>
          <w:rFonts w:hint="cs"/>
          <w:shd w:val="clear" w:color="auto" w:fill="FFFFFF"/>
          <w:rtl/>
        </w:rPr>
        <w:t xml:space="preserve"> [כמו שהקשו בחס"מ בעיונים לתחילת פרק כ"ה].</w:t>
      </w:r>
    </w:p>
    <w:p w:rsidR="00642014" w:rsidRDefault="00642014" w:rsidP="004B0C42">
      <w:pPr>
        <w:pStyle w:val="a3"/>
        <w:rPr>
          <w:shd w:val="clear" w:color="auto" w:fill="FFFFFF"/>
          <w:rtl/>
        </w:rPr>
      </w:pPr>
      <w:r>
        <w:rPr>
          <w:rFonts w:hint="cs"/>
          <w:shd w:val="clear" w:color="auto" w:fill="FFFFFF"/>
          <w:rtl/>
        </w:rPr>
        <w:t>ולפי הנ"ל יובן דזה ב' תנועות שונות בנפש לגמרי. דהנה ענין האהבה מסותרת (כפי שזה מתבטא למטה בשפה דהנר"נ דהנשמה) בהתנועה ד"חיוב" שבו הוא, שהאדם רוצה ש</w:t>
      </w:r>
      <w:r w:rsidRPr="00842847">
        <w:rPr>
          <w:rFonts w:hint="cs"/>
          <w:b/>
          <w:bCs/>
          <w:shd w:val="clear" w:color="auto" w:fill="FFFFFF"/>
          <w:rtl/>
        </w:rPr>
        <w:t>מציאותו</w:t>
      </w:r>
      <w:r>
        <w:rPr>
          <w:rFonts w:hint="cs"/>
          <w:shd w:val="clear" w:color="auto" w:fill="FFFFFF"/>
          <w:rtl/>
        </w:rPr>
        <w:t xml:space="preserve"> יהיה דבוק בו ית'</w:t>
      </w:r>
      <w:r>
        <w:rPr>
          <w:shd w:val="clear" w:color="auto" w:fill="FFFFFF"/>
        </w:rPr>
        <w:t xml:space="preserve"> </w:t>
      </w:r>
      <w:r>
        <w:rPr>
          <w:rFonts w:hint="cs"/>
          <w:shd w:val="clear" w:color="auto" w:fill="FFFFFF"/>
          <w:rtl/>
        </w:rPr>
        <w:t xml:space="preserve">כמבואר בפי"ד וכ"ה "רק אני רוצה לדבקה בו </w:t>
      </w:r>
      <w:r>
        <w:rPr>
          <w:rFonts w:hint="cs"/>
          <w:b/>
          <w:bCs/>
          <w:shd w:val="clear" w:color="auto" w:fill="FFFFFF"/>
          <w:rtl/>
        </w:rPr>
        <w:t xml:space="preserve">נפשי ורוחי ונשמתי </w:t>
      </w:r>
      <w:r>
        <w:rPr>
          <w:rFonts w:hint="cs"/>
          <w:shd w:val="clear" w:color="auto" w:fill="FFFFFF"/>
          <w:rtl/>
        </w:rPr>
        <w:t xml:space="preserve">בהתלבשן בשלשה לבושיו ית'", ואהבה מחפש "גילוי". </w:t>
      </w:r>
    </w:p>
    <w:p w:rsidR="00642014" w:rsidRDefault="00642014" w:rsidP="004B0C42">
      <w:pPr>
        <w:pStyle w:val="a3"/>
        <w:rPr>
          <w:shd w:val="clear" w:color="auto" w:fill="FFFFFF"/>
          <w:rtl/>
        </w:rPr>
      </w:pPr>
      <w:r>
        <w:rPr>
          <w:rFonts w:hint="cs"/>
          <w:shd w:val="clear" w:color="auto" w:fill="FFFFFF"/>
          <w:rtl/>
        </w:rPr>
        <w:t>והנה ע"י קיום השס"ה לא נוצר שום דביקות להקב"ה שיכול לרוות צמאון האדם, כיון שאין דביקות זה נרגש בהאדם כלל. דע"י השמירה מהעבירה גרידא לא נפעל בהאדם (בתוך גדרי מציאותו) שום קשר להקב"ה (שהרי בשעת עסקו בעסקיו "אין אור ה' שורה ומתגלה בו". ונמצא דבתוך גדר האדם כפי שהוא אחרי הצמצום, אין חילוק בין אם הוא חוטא או לא- דהרי בלאו אי הכי מצד גדרו אין הוא שייך להיחוד העליון, דהא דהוא חלק מה"יחוד העליון" זה רק מצד "קמיה ית'"</w:t>
      </w:r>
      <w:r w:rsidRPr="005C2C83">
        <w:rPr>
          <w:rFonts w:hint="cs"/>
          <w:shd w:val="clear" w:color="auto" w:fill="FFFFFF"/>
          <w:rtl/>
        </w:rPr>
        <w:t xml:space="preserve"> </w:t>
      </w:r>
      <w:r>
        <w:rPr>
          <w:rFonts w:hint="cs"/>
          <w:shd w:val="clear" w:color="auto" w:fill="FFFFFF"/>
          <w:rtl/>
        </w:rPr>
        <w:t>וב"אור ה' דנשמתו" ששם מאירים הענינים כפי שזה קמיה ית').</w:t>
      </w:r>
    </w:p>
    <w:p w:rsidR="00642014" w:rsidRDefault="00642014" w:rsidP="004B0C42">
      <w:pPr>
        <w:pStyle w:val="a3"/>
        <w:rPr>
          <w:shd w:val="clear" w:color="auto" w:fill="FFFFFF"/>
          <w:rtl/>
        </w:rPr>
      </w:pPr>
      <w:r>
        <w:rPr>
          <w:rFonts w:hint="cs"/>
          <w:shd w:val="clear" w:color="auto" w:fill="FFFFFF"/>
          <w:rtl/>
        </w:rPr>
        <w:t xml:space="preserve">ובמילא ה"יראה" כאן, אינו כמו כל אהבה היוצר גם "יראה" שלא יפרד מהאוהב, דהרי הקשר להאוהב הוא קשר גלוי הנרגש בתוך מציאותו, ובמילא ה"אהבה" מחפש קשר זה. אבל כאן ה"יראה הכלולה בהאהבה" הוא שלא להפרד מקשר עצמי (שמצד קמיה ית') ואינו נרגש בתוך האדם כלל, דע"י השמירה משס"ה ל"ת לא ניתוסיף להנשמה </w:t>
      </w:r>
      <w:r>
        <w:rPr>
          <w:rFonts w:hint="cs"/>
          <w:b/>
          <w:bCs/>
          <w:shd w:val="clear" w:color="auto" w:fill="FFFFFF"/>
          <w:rtl/>
        </w:rPr>
        <w:t xml:space="preserve">למטה </w:t>
      </w:r>
      <w:r>
        <w:rPr>
          <w:rFonts w:hint="cs"/>
          <w:shd w:val="clear" w:color="auto" w:fill="FFFFFF"/>
          <w:rtl/>
        </w:rPr>
        <w:t xml:space="preserve">דביקות בהקב"ה. ואהבה </w:t>
      </w:r>
      <w:r>
        <w:rPr>
          <w:rFonts w:hint="cs"/>
          <w:b/>
          <w:bCs/>
          <w:shd w:val="clear" w:color="auto" w:fill="FFFFFF"/>
          <w:rtl/>
        </w:rPr>
        <w:t xml:space="preserve">רגילה </w:t>
      </w:r>
      <w:r>
        <w:rPr>
          <w:rFonts w:hint="cs"/>
          <w:shd w:val="clear" w:color="auto" w:fill="FFFFFF"/>
          <w:rtl/>
        </w:rPr>
        <w:t xml:space="preserve">אינו מחפשת ותובעת אותה. </w:t>
      </w:r>
    </w:p>
    <w:p w:rsidR="00642014" w:rsidRDefault="00642014" w:rsidP="004B0C42">
      <w:pPr>
        <w:pStyle w:val="a3"/>
        <w:rPr>
          <w:shd w:val="clear" w:color="auto" w:fill="FFFFFF"/>
          <w:rtl/>
        </w:rPr>
      </w:pPr>
      <w:r>
        <w:rPr>
          <w:rFonts w:hint="cs"/>
          <w:shd w:val="clear" w:color="auto" w:fill="FFFFFF"/>
          <w:rtl/>
        </w:rPr>
        <w:t>וממילא מובן דיש חידוש דבתוך האהבה נמצא יראה, (כיון שזה אהבה עצמית וכו'). וענין ה"יראה" בתנועה דשלילה שלא להיות נפרד, נוגע לעבודת האדם</w:t>
      </w:r>
      <w:r>
        <w:rPr>
          <w:rStyle w:val="FootnoteReference"/>
          <w:rFonts w:ascii="Arial" w:hAnsi="Arial" w:cs="Narkisim"/>
          <w:color w:val="222222"/>
          <w:sz w:val="26"/>
          <w:szCs w:val="26"/>
          <w:shd w:val="clear" w:color="auto" w:fill="FFFFFF"/>
          <w:rtl/>
        </w:rPr>
        <w:footnoteReference w:id="73"/>
      </w:r>
      <w:r>
        <w:rPr>
          <w:rFonts w:hint="cs"/>
          <w:shd w:val="clear" w:color="auto" w:fill="FFFFFF"/>
          <w:rtl/>
        </w:rPr>
        <w:t xml:space="preserve">. </w:t>
      </w:r>
    </w:p>
    <w:p w:rsidR="00642014" w:rsidRDefault="00642014" w:rsidP="004B0C42">
      <w:pPr>
        <w:pStyle w:val="a3"/>
        <w:rPr>
          <w:shd w:val="clear" w:color="auto" w:fill="FFFFFF"/>
          <w:rtl/>
        </w:rPr>
      </w:pPr>
      <w:r>
        <w:rPr>
          <w:rFonts w:hint="cs"/>
          <w:shd w:val="clear" w:color="auto" w:fill="FFFFFF"/>
          <w:rtl/>
        </w:rPr>
        <w:lastRenderedPageBreak/>
        <w:t>י. אך באמת אפי' אם מי יתעקש (ר"ל?) ויאמר דמצד "קמיה ית'" אין העון והקליפות נפרדים. וכל הפירוד דפכ"ב וכ"ד הוא מצד הסתר הצמצום. יש לתרץ השאלות שבתחילת ההערה.</w:t>
      </w:r>
    </w:p>
    <w:p w:rsidR="00642014" w:rsidRDefault="00642014" w:rsidP="004B0C42">
      <w:pPr>
        <w:pStyle w:val="a3"/>
        <w:rPr>
          <w:shd w:val="clear" w:color="auto" w:fill="FFFFFF"/>
          <w:rtl/>
        </w:rPr>
      </w:pPr>
      <w:r>
        <w:rPr>
          <w:rFonts w:hint="cs"/>
          <w:shd w:val="clear" w:color="auto" w:fill="FFFFFF"/>
          <w:rtl/>
        </w:rPr>
        <w:t>דהנה אף שמצד הצמצום הדיבור הוא נפרד ממהותו ועצמותו ית', והצמצום הוא אמיתי וכו'. הנה אין הכוונה שבתוך האור האלקי והנבראים דאחרי הצמצום, לא נרגש מהו"ע ית' הסוכ"ע, אלא דגם מצד הצמצום מאיר סוכ"ע. אך באופן אחר מאיך שזה קמיה ית'.</w:t>
      </w:r>
    </w:p>
    <w:p w:rsidR="00642014" w:rsidRDefault="00642014" w:rsidP="004B0C42">
      <w:pPr>
        <w:pStyle w:val="a3"/>
        <w:rPr>
          <w:shd w:val="clear" w:color="auto" w:fill="FFFFFF"/>
          <w:rtl/>
        </w:rPr>
      </w:pPr>
      <w:r>
        <w:rPr>
          <w:rFonts w:hint="cs"/>
          <w:shd w:val="clear" w:color="auto" w:fill="FFFFFF"/>
          <w:rtl/>
        </w:rPr>
        <w:t>ולפי ביאור זה, זהו כוונת אדה"ז בכתבו "והנה רצון העליון הוא מקור החיים המחיה את כל העולמות", דבא לומר דגם מצד דבר ה' דאחרי הצמצום, נרגש שם שמקורו הוא "רצון העליון" דזהו מהותו ועצמותו הסוכ"ע. [ואלא כיון דיש צמצום, לא נרגש שם כפי האמת דהדיבור כלול בו וכו']. וכמבואר בדא"ח שמצד ממכ"ע [-דיבור העליון] לא היה נברא גשמיות חומר הנברא, וגשמיות הנברא נברא מצד סוכ"ע [וזה וודאי נרגש בתוך הדיבור העליון, שהוא בעצמו לא יכול לפעול ענין זה]. ועיין בביאור הרש"ג על מילים אלו בתניא.</w:t>
      </w:r>
    </w:p>
    <w:p w:rsidR="00642014" w:rsidRDefault="00642014" w:rsidP="004B0C42">
      <w:pPr>
        <w:pStyle w:val="a3"/>
        <w:rPr>
          <w:shd w:val="clear" w:color="auto" w:fill="FFFFFF"/>
          <w:rtl/>
        </w:rPr>
      </w:pPr>
      <w:r>
        <w:rPr>
          <w:rFonts w:hint="cs"/>
          <w:shd w:val="clear" w:color="auto" w:fill="FFFFFF"/>
          <w:rtl/>
        </w:rPr>
        <w:t xml:space="preserve">ולפי"ז עבודת פרק כ"ב וכ"ד [משא"כ פרק כ"ג] אלו הוא, שיורגש בתוך הדבר ה' והנבראים [כפי שהוא </w:t>
      </w:r>
      <w:r w:rsidRPr="000C15CB">
        <w:rPr>
          <w:rFonts w:hint="cs"/>
          <w:b/>
          <w:bCs/>
          <w:shd w:val="clear" w:color="auto" w:fill="FFFFFF"/>
          <w:rtl/>
        </w:rPr>
        <w:t xml:space="preserve">אחרי </w:t>
      </w:r>
      <w:r>
        <w:rPr>
          <w:rFonts w:hint="cs"/>
          <w:shd w:val="clear" w:color="auto" w:fill="FFFFFF"/>
          <w:rtl/>
        </w:rPr>
        <w:t>הצמצום], שייכותם למהו"ע הסוכ"ע. [כפי שהוא מתגלה ושייך בתוך גדרי הצמצום].</w:t>
      </w:r>
    </w:p>
    <w:p w:rsidR="00642014" w:rsidRDefault="00642014" w:rsidP="004B0C42">
      <w:pPr>
        <w:pStyle w:val="a3"/>
        <w:rPr>
          <w:shd w:val="clear" w:color="auto" w:fill="FFFFFF"/>
          <w:rtl/>
        </w:rPr>
      </w:pPr>
      <w:r>
        <w:rPr>
          <w:rFonts w:hint="cs"/>
          <w:shd w:val="clear" w:color="auto" w:fill="FFFFFF"/>
          <w:rtl/>
        </w:rPr>
        <w:t>וכנראה היחס בין סוכ"ע והבריאה [איך שזה נרגש בהבריאה מצד הצמצום] הוא "רצון", וכידוע משל לסובב הוא רצון שזה מקיף, דאע"פ שזה חיות כל הנברא וכו', אין שם שום גילוי ממנו וכו'. והיינו דהיחס בין סובב להעולם הוא, שכיון שהוא רצה לכן זה נהיה (ולדוגמא ראה באוה"ת מג"א ע' פ"ג בארוכה). ולכן כל זמן שהנברא ממלא תכלית בריאתו, הרי הוא שייך לסוכ"ע, אבל אם אינה ממלא התכלית שבשבילו נברא [שמשום הא עלה במהו"ע ית' לברוא אותו], הרי הוא מאבד כל שייכותו לסוכ"ע [איך שזה נרגש בהצמצום].</w:t>
      </w:r>
      <w:r w:rsidRPr="000C15CB">
        <w:rPr>
          <w:rFonts w:hint="cs"/>
          <w:shd w:val="clear" w:color="auto" w:fill="FFFFFF"/>
          <w:rtl/>
        </w:rPr>
        <w:t xml:space="preserve"> </w:t>
      </w:r>
      <w:r>
        <w:rPr>
          <w:rFonts w:hint="cs"/>
          <w:shd w:val="clear" w:color="auto" w:fill="FFFFFF"/>
          <w:rtl/>
        </w:rPr>
        <w:t>וכ"ז כתבתי מסברא, באשר שאינני יודע מהו יחס זה בלשון דא"ח וכו'</w:t>
      </w:r>
    </w:p>
    <w:p w:rsidR="00642014" w:rsidRDefault="00642014" w:rsidP="004B0C42">
      <w:pPr>
        <w:pStyle w:val="a3"/>
        <w:rPr>
          <w:shd w:val="clear" w:color="auto" w:fill="FFFFFF"/>
          <w:rtl/>
        </w:rPr>
      </w:pPr>
      <w:r>
        <w:rPr>
          <w:rFonts w:hint="cs"/>
          <w:shd w:val="clear" w:color="auto" w:fill="FFFFFF"/>
          <w:rtl/>
        </w:rPr>
        <w:t>ולפי"ז מובן הג' מדריגות: 1. הנברא מצ"ע שייך ל"קמיה ית'" באשר שנרגש בו שיש בו "רצון העליון". 2. אם הוא חוטא ר"ל, הרי מאבד הקשר שלו לסוכ"ע. 3. וכשעושה מצוה מתגלה בו סוכ"ע כפי שזה לפני הצמצום.</w:t>
      </w:r>
    </w:p>
    <w:p w:rsidR="00642014" w:rsidRDefault="00642014" w:rsidP="004B0C42">
      <w:pPr>
        <w:pStyle w:val="a3"/>
        <w:rPr>
          <w:shd w:val="clear" w:color="auto" w:fill="FFFFFF"/>
          <w:rtl/>
        </w:rPr>
      </w:pPr>
      <w:r>
        <w:rPr>
          <w:rFonts w:hint="cs"/>
          <w:shd w:val="clear" w:color="auto" w:fill="FFFFFF"/>
          <w:rtl/>
        </w:rPr>
        <w:t>אך לביאור זה לכאורה לא צריך להגיע לפרק כ"א שהדבר הוי' כלול במהותו ועצמותו ית', ומספיק פרק כ' לדעת שהקב"ה עצמו הוא למעלה מעלה מהדבר הוי' המצומצם, אך לאידך הוא המקור של הדבר הוי'.</w:t>
      </w:r>
    </w:p>
    <w:p w:rsidR="006A01B4" w:rsidRDefault="003951FF" w:rsidP="003951FF">
      <w:pPr>
        <w:tabs>
          <w:tab w:val="left" w:pos="2171"/>
          <w:tab w:val="center" w:pos="3096"/>
        </w:tabs>
        <w:bidi/>
        <w:spacing w:after="100" w:line="360" w:lineRule="auto"/>
        <w:ind w:firstLine="288"/>
        <w:jc w:val="center"/>
        <w:rPr>
          <w:rFonts w:ascii="Nymphette" w:eastAsia="Times New Roman" w:hAnsi="Nymphette" w:cs="Nymphette"/>
          <w:sz w:val="44"/>
          <w:szCs w:val="44"/>
        </w:rPr>
      </w:pPr>
      <w:r w:rsidRPr="00760DB7">
        <w:rPr>
          <w:rFonts w:ascii="Nymphette" w:eastAsia="Times New Roman" w:hAnsi="Nymphette" w:cs="Nymphette"/>
          <w:sz w:val="44"/>
          <w:szCs w:val="44"/>
        </w:rPr>
        <w:t>g</w:t>
      </w:r>
    </w:p>
    <w:p w:rsidR="00760DB7" w:rsidRDefault="006A01B4" w:rsidP="00BF0497">
      <w:pPr>
        <w:pStyle w:val="12"/>
        <w:bidi w:val="0"/>
        <w:rPr>
          <w:rtl/>
        </w:rPr>
      </w:pPr>
      <w:r>
        <w:rPr>
          <w:rFonts w:ascii="Nymphette" w:hAnsi="Nymphette" w:cs="Nymphette"/>
          <w:sz w:val="44"/>
          <w:szCs w:val="44"/>
        </w:rPr>
        <w:br w:type="page"/>
      </w:r>
      <w:bookmarkStart w:id="150" w:name="_Toc39817449"/>
      <w:r w:rsidR="00760DB7" w:rsidRPr="00760DB7">
        <w:rPr>
          <w:rFonts w:hint="cs"/>
          <w:rtl/>
        </w:rPr>
        <w:lastRenderedPageBreak/>
        <w:t>הלכה ומנהג</w:t>
      </w:r>
      <w:bookmarkEnd w:id="140"/>
      <w:bookmarkEnd w:id="150"/>
    </w:p>
    <w:p w:rsidR="00642014" w:rsidRPr="00221FDE" w:rsidRDefault="00642014" w:rsidP="004C1858">
      <w:pPr>
        <w:pStyle w:val="a0"/>
        <w:bidi w:val="0"/>
        <w:rPr>
          <w:rtl/>
        </w:rPr>
      </w:pPr>
      <w:bookmarkStart w:id="151" w:name="_Toc39817450"/>
      <w:r>
        <w:rPr>
          <w:rFonts w:hint="cs"/>
          <w:rtl/>
        </w:rPr>
        <w:t xml:space="preserve">בענין </w:t>
      </w:r>
      <w:r w:rsidRPr="00221FDE">
        <w:rPr>
          <w:rFonts w:hint="cs"/>
          <w:rtl/>
        </w:rPr>
        <w:t>הזכרת נשמות במוצאי יו"ט האחרון של פסח</w:t>
      </w:r>
      <w:bookmarkEnd w:id="151"/>
    </w:p>
    <w:p w:rsidR="00642014" w:rsidRPr="00916959" w:rsidRDefault="004C1858" w:rsidP="00C93F24">
      <w:pPr>
        <w:pStyle w:val="a"/>
        <w:rPr>
          <w:rtl/>
        </w:rPr>
      </w:pPr>
      <w:bookmarkStart w:id="152" w:name="_Toc39817451"/>
      <w:r>
        <w:rPr>
          <w:rFonts w:hint="cs"/>
          <w:rtl/>
        </w:rPr>
        <w:t xml:space="preserve">הרב </w:t>
      </w:r>
      <w:r w:rsidR="00642014" w:rsidRPr="00916959">
        <w:rPr>
          <w:rtl/>
        </w:rPr>
        <w:t>ברוך אבערלאנדער</w:t>
      </w:r>
      <w:bookmarkEnd w:id="152"/>
    </w:p>
    <w:p w:rsidR="00642014" w:rsidRPr="00916959" w:rsidRDefault="00642014" w:rsidP="006A01B4">
      <w:pPr>
        <w:pStyle w:val="a1"/>
        <w:spacing w:after="0"/>
        <w:rPr>
          <w:rtl/>
          <w:lang w:val="hu-HU"/>
        </w:rPr>
      </w:pPr>
      <w:r w:rsidRPr="00916959">
        <w:rPr>
          <w:rtl/>
          <w:lang w:val="hu-HU"/>
        </w:rPr>
        <w:t>אב"ד הבד"צ דקהילות החרדים</w:t>
      </w:r>
    </w:p>
    <w:p w:rsidR="00642014" w:rsidRPr="00916959" w:rsidRDefault="00642014" w:rsidP="006A01B4">
      <w:pPr>
        <w:pStyle w:val="a1"/>
        <w:spacing w:after="0"/>
        <w:rPr>
          <w:rtl/>
          <w:lang w:val="hu-HU"/>
        </w:rPr>
      </w:pPr>
      <w:r w:rsidRPr="00916959">
        <w:rPr>
          <w:rtl/>
          <w:lang w:val="hu-HU"/>
        </w:rPr>
        <w:t>ושליח כ"ק אדמו"ר זי"ע</w:t>
      </w:r>
    </w:p>
    <w:p w:rsidR="00642014" w:rsidRPr="00916959" w:rsidRDefault="00642014" w:rsidP="006A01B4">
      <w:pPr>
        <w:pStyle w:val="a1"/>
        <w:spacing w:after="0"/>
        <w:rPr>
          <w:rtl/>
          <w:lang w:val="hu-HU"/>
        </w:rPr>
      </w:pPr>
      <w:r w:rsidRPr="00916959">
        <w:rPr>
          <w:rtl/>
          <w:lang w:val="hu-HU"/>
        </w:rPr>
        <w:t>בודאפעסט, הונגריה</w:t>
      </w:r>
    </w:p>
    <w:p w:rsidR="00642014" w:rsidRDefault="00642014" w:rsidP="006A01B4">
      <w:pPr>
        <w:pStyle w:val="a3"/>
        <w:spacing w:before="240"/>
        <w:rPr>
          <w:rtl/>
        </w:rPr>
      </w:pPr>
      <w:r>
        <w:rPr>
          <w:rFonts w:hint="cs"/>
          <w:rtl/>
        </w:rPr>
        <w:t>אעתיק בזה מה שכתבתי לידידי השליח הרה"ת אברמל שטרנברג, שליח כ"ק אדמו"ר זי"ע במדינת קונטיקוט.</w:t>
      </w:r>
    </w:p>
    <w:p w:rsidR="00642014" w:rsidRPr="000541ED" w:rsidRDefault="00642014" w:rsidP="004B0C42">
      <w:pPr>
        <w:pStyle w:val="a3"/>
        <w:rPr>
          <w:rtl/>
        </w:rPr>
      </w:pPr>
      <w:r>
        <w:rPr>
          <w:rFonts w:hint="cs"/>
          <w:rtl/>
        </w:rPr>
        <w:t xml:space="preserve">כתבת: </w:t>
      </w:r>
      <w:r w:rsidRPr="000541ED">
        <w:rPr>
          <w:rtl/>
        </w:rPr>
        <w:t>ראיתי כתבה בקשר להיזכור שעשית במוצאי החג.</w:t>
      </w:r>
      <w:r>
        <w:rPr>
          <w:rFonts w:hint="cs"/>
          <w:rtl/>
        </w:rPr>
        <w:t xml:space="preserve"> </w:t>
      </w:r>
      <w:r w:rsidRPr="000541ED">
        <w:rPr>
          <w:rtl/>
        </w:rPr>
        <w:t>השאלות שיש לי נובע</w:t>
      </w:r>
      <w:r>
        <w:rPr>
          <w:rFonts w:hint="cs"/>
          <w:rtl/>
        </w:rPr>
        <w:t>ים</w:t>
      </w:r>
      <w:r w:rsidRPr="000541ED">
        <w:rPr>
          <w:rtl/>
        </w:rPr>
        <w:t xml:space="preserve"> בעיקר מהעדר ידיעתי בהנושא</w:t>
      </w:r>
      <w:r>
        <w:rPr>
          <w:rFonts w:hint="cs"/>
          <w:rtl/>
        </w:rPr>
        <w:t>,</w:t>
      </w:r>
      <w:r w:rsidRPr="000541ED">
        <w:rPr>
          <w:rtl/>
        </w:rPr>
        <w:t xml:space="preserve"> ומסתמא חקרת ודרשת היטב הנושא</w:t>
      </w:r>
      <w:r>
        <w:rPr>
          <w:rFonts w:hint="cs"/>
          <w:rtl/>
        </w:rPr>
        <w:t>,</w:t>
      </w:r>
      <w:r w:rsidRPr="000541ED">
        <w:rPr>
          <w:rtl/>
        </w:rPr>
        <w:t xml:space="preserve"> ואמרתי שלא הביישן למד</w:t>
      </w:r>
      <w:r>
        <w:rPr>
          <w:rFonts w:hint="cs"/>
          <w:rtl/>
        </w:rPr>
        <w:t>,</w:t>
      </w:r>
      <w:r w:rsidRPr="000541ED">
        <w:rPr>
          <w:rtl/>
        </w:rPr>
        <w:t xml:space="preserve"> ולכן הנני פונה למעלת כבודו. </w:t>
      </w:r>
    </w:p>
    <w:p w:rsidR="00642014" w:rsidRDefault="00642014" w:rsidP="004B0C42">
      <w:pPr>
        <w:pStyle w:val="a3"/>
        <w:rPr>
          <w:rtl/>
        </w:rPr>
      </w:pPr>
      <w:r w:rsidRPr="000541ED">
        <w:rPr>
          <w:rtl/>
        </w:rPr>
        <w:t>בכתבה</w:t>
      </w:r>
      <w:r>
        <w:rPr>
          <w:rFonts w:hint="cs"/>
          <w:rtl/>
        </w:rPr>
        <w:t xml:space="preserve"> </w:t>
      </w:r>
      <w:r w:rsidRPr="000541ED">
        <w:rPr>
          <w:rtl/>
        </w:rPr>
        <w:t>כתוב שלא עשית את זה בחוה"מ מחמת קדושת המועד</w:t>
      </w:r>
      <w:r>
        <w:rPr>
          <w:rFonts w:hint="cs"/>
          <w:rtl/>
        </w:rPr>
        <w:t>,</w:t>
      </w:r>
      <w:r w:rsidRPr="000541ED">
        <w:rPr>
          <w:rtl/>
        </w:rPr>
        <w:t xml:space="preserve"> ולכן דחית את זה למוצאי יו"ט</w:t>
      </w:r>
      <w:r>
        <w:rPr>
          <w:rFonts w:hint="cs"/>
          <w:rtl/>
        </w:rPr>
        <w:t xml:space="preserve">. </w:t>
      </w:r>
      <w:r w:rsidRPr="000541ED">
        <w:rPr>
          <w:rtl/>
        </w:rPr>
        <w:t>שאלתי היא, הרי למרות האבלות של הזכרת נשמות אנחנו כן עושים את זה ביו"ט, ולכאורה הביאור בזה שהתועלת שיש להנשמות שהזכרתם יהי' ביו"ט חשובה כ"כ שאנחנו עושים זה ביו"ט</w:t>
      </w:r>
      <w:r>
        <w:rPr>
          <w:rFonts w:hint="cs"/>
          <w:rtl/>
        </w:rPr>
        <w:t>,</w:t>
      </w:r>
      <w:r w:rsidRPr="000541ED">
        <w:rPr>
          <w:rtl/>
        </w:rPr>
        <w:t xml:space="preserve"> וא"כ לכאורה כאשר ישנו בחירה בין חוה"מ למוצאי יו"ט לכאורה יש עדיפות לעשותו בחוה"מ. </w:t>
      </w:r>
    </w:p>
    <w:p w:rsidR="00642014" w:rsidRDefault="00642014" w:rsidP="004B0C42">
      <w:pPr>
        <w:pStyle w:val="a3"/>
        <w:rPr>
          <w:rtl/>
        </w:rPr>
      </w:pPr>
      <w:r w:rsidRPr="000541ED">
        <w:rPr>
          <w:rtl/>
        </w:rPr>
        <w:t>גם באם שהיית עושה זה בחוה"מ הי' זה ביום, בזמן שלבישת טלית רצוי</w:t>
      </w:r>
      <w:r>
        <w:rPr>
          <w:rFonts w:hint="cs"/>
          <w:rtl/>
        </w:rPr>
        <w:t>ה</w:t>
      </w:r>
      <w:r w:rsidRPr="000541ED">
        <w:rPr>
          <w:rtl/>
        </w:rPr>
        <w:t>, והיא גם עת של קריאת התורה</w:t>
      </w:r>
      <w:r>
        <w:rPr>
          <w:rFonts w:hint="cs"/>
          <w:rtl/>
        </w:rPr>
        <w:t>,</w:t>
      </w:r>
      <w:r w:rsidRPr="000541ED">
        <w:rPr>
          <w:rtl/>
        </w:rPr>
        <w:t xml:space="preserve"> ואולי זה זמן מסוגל יותר.</w:t>
      </w:r>
    </w:p>
    <w:p w:rsidR="00642014" w:rsidRDefault="00642014" w:rsidP="004B0C42">
      <w:pPr>
        <w:pStyle w:val="a3"/>
        <w:rPr>
          <w:rtl/>
        </w:rPr>
      </w:pPr>
      <w:r>
        <w:rPr>
          <w:rFonts w:hint="cs"/>
          <w:rtl/>
        </w:rPr>
        <w:t>עד כאן דבריך.</w:t>
      </w:r>
    </w:p>
    <w:p w:rsidR="00642014" w:rsidRDefault="00642014" w:rsidP="004B0C42">
      <w:pPr>
        <w:pStyle w:val="a3"/>
        <w:rPr>
          <w:rtl/>
        </w:rPr>
      </w:pPr>
      <w:r>
        <w:rPr>
          <w:rFonts w:hint="cs"/>
          <w:rtl/>
        </w:rPr>
        <w:t>ואציע את דבריי בקיצור מפני הטירדות.</w:t>
      </w:r>
    </w:p>
    <w:p w:rsidR="00642014" w:rsidRPr="00801933" w:rsidRDefault="00642014" w:rsidP="004B0C42">
      <w:pPr>
        <w:pStyle w:val="11"/>
        <w:bidi/>
        <w:rPr>
          <w:rtl/>
        </w:rPr>
      </w:pPr>
      <w:r w:rsidRPr="00801933">
        <w:rPr>
          <w:rFonts w:hint="cs"/>
          <w:rtl/>
        </w:rPr>
        <w:t>מקור למנהג שמזכירין נשמות בכל החגים</w:t>
      </w:r>
    </w:p>
    <w:p w:rsidR="00642014" w:rsidRDefault="00642014" w:rsidP="004B0C42">
      <w:pPr>
        <w:pStyle w:val="a3"/>
        <w:rPr>
          <w:rtl/>
        </w:rPr>
      </w:pPr>
      <w:r>
        <w:rPr>
          <w:rFonts w:hint="cs"/>
          <w:rtl/>
        </w:rPr>
        <w:t xml:space="preserve">מנהג הזכרת נשמות מוזכר בהגהת הרמ"א בשו"ע או"ח </w:t>
      </w:r>
      <w:r w:rsidRPr="00CA2B58">
        <w:rPr>
          <w:rFonts w:hint="cs"/>
          <w:sz w:val="20"/>
          <w:szCs w:val="20"/>
          <w:rtl/>
        </w:rPr>
        <w:t xml:space="preserve">(סי' רפד ס"ז בהגה, ואדה"ז שם סי"ד) </w:t>
      </w:r>
      <w:r>
        <w:rPr>
          <w:rFonts w:hint="cs"/>
          <w:rtl/>
        </w:rPr>
        <w:t xml:space="preserve">שנוהגים כן בכל שבת עכ"פ למי שנקבר באותו שבוע, ולא מבואר טעם מיוחד להזכרה זו. ובב"י שם </w:t>
      </w:r>
      <w:r w:rsidRPr="009448D6">
        <w:rPr>
          <w:rFonts w:hint="cs"/>
          <w:sz w:val="20"/>
          <w:szCs w:val="20"/>
          <w:rtl/>
        </w:rPr>
        <w:t xml:space="preserve">[ז] </w:t>
      </w:r>
      <w:r>
        <w:rPr>
          <w:rFonts w:hint="cs"/>
          <w:rtl/>
        </w:rPr>
        <w:t>הביא משם השבלי הלקט "</w:t>
      </w:r>
      <w:r w:rsidRPr="000541ED">
        <w:rPr>
          <w:rtl/>
        </w:rPr>
        <w:t>לפי ששבת הוא יום מנוחה דוגמא לעתיד לבא</w:t>
      </w:r>
      <w:r>
        <w:rPr>
          <w:rFonts w:hint="cs"/>
          <w:rtl/>
        </w:rPr>
        <w:t>,</w:t>
      </w:r>
      <w:r w:rsidRPr="000541ED">
        <w:rPr>
          <w:rtl/>
        </w:rPr>
        <w:t xml:space="preserve"> ויום שגם המתים נוחים בו ואינם נדונין</w:t>
      </w:r>
      <w:r>
        <w:rPr>
          <w:rFonts w:hint="cs"/>
          <w:rtl/>
        </w:rPr>
        <w:t>,</w:t>
      </w:r>
      <w:r w:rsidRPr="000541ED">
        <w:rPr>
          <w:rtl/>
        </w:rPr>
        <w:t xml:space="preserve"> ראוי להזכירם למנוחה ולברכה</w:t>
      </w:r>
      <w:r>
        <w:rPr>
          <w:rFonts w:hint="cs"/>
          <w:rtl/>
        </w:rPr>
        <w:t xml:space="preserve">". </w:t>
      </w:r>
    </w:p>
    <w:p w:rsidR="00642014" w:rsidRDefault="00642014" w:rsidP="004B0C42">
      <w:pPr>
        <w:pStyle w:val="a3"/>
        <w:rPr>
          <w:rtl/>
        </w:rPr>
      </w:pPr>
      <w:r>
        <w:rPr>
          <w:rFonts w:hint="cs"/>
          <w:rtl/>
        </w:rPr>
        <w:t xml:space="preserve">ושוב זה מוזכר בנוגע ליוהכ"פ </w:t>
      </w:r>
      <w:r w:rsidRPr="008139DD">
        <w:rPr>
          <w:rFonts w:hint="cs"/>
          <w:sz w:val="20"/>
          <w:szCs w:val="20"/>
          <w:rtl/>
        </w:rPr>
        <w:t>(שם סי' תרכא ס"ו, ואדה"ז שם סי"ד)</w:t>
      </w:r>
      <w:r>
        <w:rPr>
          <w:rFonts w:hint="cs"/>
          <w:rtl/>
        </w:rPr>
        <w:t>, ושם זה מבואר שזה קשור למה שנודרים צדקה בעבורם, וגם המתים יש להם כפרה.</w:t>
      </w:r>
    </w:p>
    <w:p w:rsidR="00642014" w:rsidRDefault="00642014" w:rsidP="004B0C42">
      <w:pPr>
        <w:pStyle w:val="a3"/>
        <w:rPr>
          <w:rtl/>
        </w:rPr>
      </w:pPr>
      <w:r>
        <w:rPr>
          <w:rFonts w:hint="cs"/>
          <w:rtl/>
        </w:rPr>
        <w:t xml:space="preserve">אחרי זה התפתח המנהג הלאה להזכיר נשמות כל יו"ט אחרון של חג כשקוראים את פרשת 'כל הבכור', שבו נאמר איש כמתנת ידו, ראה כל המקורות שנעתקו ב'אנציקלופדיה תלמודית' </w:t>
      </w:r>
      <w:r w:rsidRPr="0075557D">
        <w:rPr>
          <w:rFonts w:hint="cs"/>
          <w:sz w:val="20"/>
          <w:szCs w:val="20"/>
          <w:rtl/>
        </w:rPr>
        <w:t xml:space="preserve">(ח"ח עמ' תרג-תרט) </w:t>
      </w:r>
      <w:r>
        <w:rPr>
          <w:rFonts w:hint="cs"/>
          <w:rtl/>
        </w:rPr>
        <w:t xml:space="preserve">ובשו"ת 'בצל החכמה' </w:t>
      </w:r>
      <w:r w:rsidRPr="0075557D">
        <w:rPr>
          <w:rFonts w:hint="cs"/>
          <w:sz w:val="20"/>
          <w:szCs w:val="20"/>
          <w:rtl/>
        </w:rPr>
        <w:t>(ח"ד סי' קיט)</w:t>
      </w:r>
      <w:r>
        <w:rPr>
          <w:rFonts w:hint="cs"/>
          <w:rtl/>
        </w:rPr>
        <w:t>.</w:t>
      </w:r>
    </w:p>
    <w:p w:rsidR="00642014" w:rsidRDefault="00642014" w:rsidP="004B0C42">
      <w:pPr>
        <w:pStyle w:val="a3"/>
        <w:rPr>
          <w:rtl/>
        </w:rPr>
      </w:pPr>
      <w:r>
        <w:rPr>
          <w:rFonts w:hint="cs"/>
          <w:rtl/>
        </w:rPr>
        <w:lastRenderedPageBreak/>
        <w:t xml:space="preserve">ומעתה העיר בצדק בשו"ת 'בצל החכמה' שם, שלפי זה למה מזכירים נשמות באה"ק ביום האחרון של החג, והרי לא קוראים שם פרשת עשר תעשר. וכתב </w:t>
      </w:r>
      <w:r w:rsidRPr="00CA2B58">
        <w:rPr>
          <w:rFonts w:hint="cs"/>
          <w:sz w:val="20"/>
          <w:szCs w:val="20"/>
          <w:rtl/>
        </w:rPr>
        <w:t>(אות ז)</w:t>
      </w:r>
      <w:r>
        <w:rPr>
          <w:rFonts w:hint="cs"/>
          <w:rtl/>
        </w:rPr>
        <w:t>: "אולי נשתרבב מנהג הזכרת ברגלים בא"י ע"י בני חו"ל שעלו לשם...". עכ"פ זה בטוח שזה מנהג נפוץ ומקובל, ואין להקשות על מנהגים איך ולמה.</w:t>
      </w:r>
    </w:p>
    <w:p w:rsidR="00642014" w:rsidRDefault="00642014" w:rsidP="004B0C42">
      <w:pPr>
        <w:pStyle w:val="a3"/>
        <w:rPr>
          <w:rtl/>
        </w:rPr>
      </w:pPr>
      <w:r>
        <w:rPr>
          <w:rFonts w:hint="cs"/>
          <w:rtl/>
        </w:rPr>
        <w:t xml:space="preserve">עוד כתב שם </w:t>
      </w:r>
      <w:r w:rsidRPr="00980945">
        <w:rPr>
          <w:rFonts w:hint="cs"/>
          <w:sz w:val="20"/>
          <w:szCs w:val="20"/>
          <w:rtl/>
        </w:rPr>
        <w:t>(סי' קכ אות ב)</w:t>
      </w:r>
      <w:r>
        <w:rPr>
          <w:rFonts w:hint="cs"/>
          <w:rtl/>
        </w:rPr>
        <w:t>: "...[ב]כל קהלות קדושות בחו"ל (ש)לא נמצא אפילו אחת מהן שתקדים ההזכרה מיום אחרון של יו"ט".</w:t>
      </w:r>
    </w:p>
    <w:p w:rsidR="00642014" w:rsidRPr="00801933" w:rsidRDefault="00642014" w:rsidP="004B0C42">
      <w:pPr>
        <w:pStyle w:val="11"/>
        <w:bidi/>
        <w:rPr>
          <w:rtl/>
        </w:rPr>
      </w:pPr>
      <w:r w:rsidRPr="00801933">
        <w:rPr>
          <w:rFonts w:hint="cs"/>
          <w:rtl/>
        </w:rPr>
        <w:t>האם אפשר להקדים או לאחר?</w:t>
      </w:r>
    </w:p>
    <w:p w:rsidR="00642014" w:rsidRDefault="00642014" w:rsidP="004B0C42">
      <w:pPr>
        <w:pStyle w:val="a3"/>
        <w:rPr>
          <w:rtl/>
        </w:rPr>
      </w:pPr>
      <w:r>
        <w:rPr>
          <w:rFonts w:hint="cs"/>
          <w:rtl/>
        </w:rPr>
        <w:t xml:space="preserve">ולכאורה נראה שכיון שהמנהג אינו אלא על יו"ט האחרון של חג, מעתה מישהו שמקדים או מאחר אין בזה ממש, כי לא קיים את המנהג. ובפרט לפי הסבירו של כ"ק אדמו"ר זי"ע </w:t>
      </w:r>
      <w:r w:rsidRPr="00980945">
        <w:rPr>
          <w:rFonts w:hint="cs"/>
          <w:sz w:val="20"/>
          <w:szCs w:val="20"/>
          <w:rtl/>
        </w:rPr>
        <w:t>(</w:t>
      </w:r>
      <w:r>
        <w:rPr>
          <w:rFonts w:hint="cs"/>
          <w:sz w:val="20"/>
          <w:szCs w:val="20"/>
          <w:rtl/>
        </w:rPr>
        <w:t>'</w:t>
      </w:r>
      <w:r w:rsidRPr="00980945">
        <w:rPr>
          <w:rFonts w:hint="cs"/>
          <w:sz w:val="20"/>
          <w:szCs w:val="20"/>
          <w:rtl/>
        </w:rPr>
        <w:t>תורת מנחם</w:t>
      </w:r>
      <w:r>
        <w:rPr>
          <w:rFonts w:hint="cs"/>
          <w:sz w:val="20"/>
          <w:szCs w:val="20"/>
          <w:rtl/>
        </w:rPr>
        <w:t>'</w:t>
      </w:r>
      <w:r w:rsidRPr="00980945">
        <w:rPr>
          <w:rFonts w:hint="cs"/>
          <w:sz w:val="20"/>
          <w:szCs w:val="20"/>
          <w:rtl/>
        </w:rPr>
        <w:t xml:space="preserve"> חלק נו עמ' 231) </w:t>
      </w:r>
      <w:r>
        <w:rPr>
          <w:rFonts w:hint="cs"/>
          <w:rtl/>
        </w:rPr>
        <w:t>שהטעם שקבעו את זה ליו"ט האחרון הוא "כיון שזהו ענין של צער דוחים זאת", אז אין להקדים את זה לאמצע החג (ומעניין שלא מצאתי את הטעם הזה מפורש בספרים אחרים).</w:t>
      </w:r>
    </w:p>
    <w:p w:rsidR="00642014" w:rsidRDefault="00642014" w:rsidP="004B0C42">
      <w:pPr>
        <w:pStyle w:val="a3"/>
        <w:rPr>
          <w:rtl/>
        </w:rPr>
      </w:pPr>
      <w:r>
        <w:rPr>
          <w:rFonts w:hint="cs"/>
          <w:rtl/>
        </w:rPr>
        <w:t>לאור הנ"ל פרסמתי לפני החג שיאמרו הזכרת נשמות בביתם ביחידות, שהרי אין זה דבר שבקדושה שצריך עשרה [</w:t>
      </w:r>
      <w:r w:rsidRPr="00980945">
        <w:rPr>
          <w:rFonts w:hint="cs"/>
          <w:rtl/>
        </w:rPr>
        <w:t>ראה שו"ת בצל החכמה שם סי' נג ועוד, ומעניין שב</w:t>
      </w:r>
      <w:r>
        <w:rPr>
          <w:rFonts w:hint="cs"/>
          <w:rtl/>
        </w:rPr>
        <w:t>'</w:t>
      </w:r>
      <w:r w:rsidRPr="00980945">
        <w:rPr>
          <w:rFonts w:hint="cs"/>
          <w:rtl/>
        </w:rPr>
        <w:t>גשר החיים</w:t>
      </w:r>
      <w:r>
        <w:rPr>
          <w:rFonts w:hint="cs"/>
          <w:rtl/>
        </w:rPr>
        <w:t>'</w:t>
      </w:r>
      <w:r w:rsidRPr="00980945">
        <w:rPr>
          <w:rFonts w:hint="cs"/>
          <w:rtl/>
        </w:rPr>
        <w:t xml:space="preserve"> ח"א פל"א אות ב סק"ו כתב "עיקר הזכרת נשמות וגם תפלת אמ"ר הוא בצבור, אבל גם היחיד כשמתפלל ביו"ט ביחידות מזכיר נשמות", מה הכוונה שעיקרו בצבור ומה מקורו. ואולי כוונתו כפשוטו שבדרך כלל מקיימים מנהג זה בציבור</w:t>
      </w:r>
      <w:r>
        <w:rPr>
          <w:rFonts w:hint="cs"/>
          <w:rtl/>
        </w:rPr>
        <w:t xml:space="preserve">]. אבל רוב האנשים הפשוטים דכאן היה חסר להם הזכרת נשמות הציבורי, ועל כן ארגנתי את זה למוצאי החג, שאולי י"ל גם בזה שבקדשים הלילה הולך אחרי היום. </w:t>
      </w:r>
      <w:r w:rsidRPr="00980945">
        <w:rPr>
          <w:rFonts w:hint="cs"/>
          <w:rtl/>
        </w:rPr>
        <w:t xml:space="preserve">[ולהעיר מגמ' </w:t>
      </w:r>
      <w:r w:rsidRPr="00980945">
        <w:rPr>
          <w:rtl/>
        </w:rPr>
        <w:t xml:space="preserve">מנחות </w:t>
      </w:r>
      <w:r w:rsidRPr="00980945">
        <w:rPr>
          <w:rFonts w:hint="cs"/>
          <w:rtl/>
        </w:rPr>
        <w:t>(</w:t>
      </w:r>
      <w:r w:rsidRPr="00980945">
        <w:rPr>
          <w:rtl/>
        </w:rPr>
        <w:t>קי</w:t>
      </w:r>
      <w:r w:rsidRPr="00980945">
        <w:rPr>
          <w:rFonts w:hint="cs"/>
          <w:rtl/>
        </w:rPr>
        <w:t>,</w:t>
      </w:r>
      <w:r w:rsidRPr="00980945">
        <w:rPr>
          <w:rtl/>
        </w:rPr>
        <w:t xml:space="preserve"> א</w:t>
      </w:r>
      <w:r w:rsidRPr="00980945">
        <w:rPr>
          <w:rFonts w:hint="cs"/>
          <w:rtl/>
        </w:rPr>
        <w:t xml:space="preserve">): </w:t>
      </w:r>
      <w:r w:rsidRPr="00980945">
        <w:rPr>
          <w:rtl/>
        </w:rPr>
        <w:t xml:space="preserve">א"ר גידל אמר רב: זה מזבח בנוי </w:t>
      </w:r>
      <w:r w:rsidRPr="00980945">
        <w:rPr>
          <w:rFonts w:hint="cs"/>
          <w:rtl/>
        </w:rPr>
        <w:t xml:space="preserve">(בשמים. רש"י) </w:t>
      </w:r>
      <w:r w:rsidRPr="00980945">
        <w:rPr>
          <w:rtl/>
        </w:rPr>
        <w:t>ומיכאל שר הגדול עומד ומקריב עליו קרבן</w:t>
      </w:r>
      <w:r w:rsidRPr="00980945">
        <w:rPr>
          <w:rFonts w:hint="cs"/>
          <w:rtl/>
        </w:rPr>
        <w:t>. ובתוד"ה ומיכאל כתבו: "</w:t>
      </w:r>
      <w:r w:rsidRPr="00980945">
        <w:rPr>
          <w:rtl/>
        </w:rPr>
        <w:t>יש מי שאומר נשמותיהן של צדיקים</w:t>
      </w:r>
      <w:r w:rsidRPr="00980945">
        <w:rPr>
          <w:rFonts w:hint="cs"/>
          <w:rtl/>
        </w:rPr>
        <w:t xml:space="preserve">", הרי לנו קשר בין נשמות לקרבן.] </w:t>
      </w:r>
      <w:r>
        <w:rPr>
          <w:rFonts w:hint="cs"/>
          <w:rtl/>
        </w:rPr>
        <w:t>אבל העיקר היה כדי לנצל את ההזדמנות לדבר בדרשה שלפני הזכרת הנשמות על שמירת התומ"צ, וזה ודאי דבר חשוב מאד.</w:t>
      </w:r>
    </w:p>
    <w:p w:rsidR="00642014" w:rsidRDefault="00642014" w:rsidP="004B0C42">
      <w:pPr>
        <w:pStyle w:val="a3"/>
        <w:rPr>
          <w:rtl/>
        </w:rPr>
      </w:pPr>
      <w:r>
        <w:rPr>
          <w:rFonts w:hint="cs"/>
          <w:rtl/>
        </w:rPr>
        <w:t xml:space="preserve">ויש להוסיף, שכיון שהזכרת נשמות זה מהדברים שעמך ישראל מאד מקפיד עליהם, והחסרון של זה מעיק על לבם, אז יש לצרף לזה גם דברי ה'חתם סופר' </w:t>
      </w:r>
      <w:r w:rsidRPr="00D60342">
        <w:rPr>
          <w:rFonts w:hint="cs"/>
          <w:sz w:val="20"/>
          <w:szCs w:val="20"/>
          <w:rtl/>
        </w:rPr>
        <w:t>(</w:t>
      </w:r>
      <w:r w:rsidRPr="00D60342">
        <w:rPr>
          <w:sz w:val="20"/>
          <w:szCs w:val="20"/>
          <w:rtl/>
        </w:rPr>
        <w:t>שו"ת או</w:t>
      </w:r>
      <w:r w:rsidRPr="00D60342">
        <w:rPr>
          <w:rFonts w:hint="cs"/>
          <w:sz w:val="20"/>
          <w:szCs w:val="20"/>
          <w:rtl/>
        </w:rPr>
        <w:t>"</w:t>
      </w:r>
      <w:r w:rsidRPr="00D60342">
        <w:rPr>
          <w:sz w:val="20"/>
          <w:szCs w:val="20"/>
          <w:rtl/>
        </w:rPr>
        <w:t>ח</w:t>
      </w:r>
      <w:r w:rsidRPr="00D60342">
        <w:rPr>
          <w:rFonts w:hint="cs"/>
          <w:sz w:val="20"/>
          <w:szCs w:val="20"/>
          <w:rtl/>
        </w:rPr>
        <w:t xml:space="preserve"> </w:t>
      </w:r>
      <w:r w:rsidRPr="00D60342">
        <w:rPr>
          <w:sz w:val="20"/>
          <w:szCs w:val="20"/>
          <w:rtl/>
        </w:rPr>
        <w:t>סי</w:t>
      </w:r>
      <w:r w:rsidRPr="00D60342">
        <w:rPr>
          <w:rFonts w:hint="cs"/>
          <w:sz w:val="20"/>
          <w:szCs w:val="20"/>
          <w:rtl/>
        </w:rPr>
        <w:t>'</w:t>
      </w:r>
      <w:r w:rsidRPr="00D60342">
        <w:rPr>
          <w:sz w:val="20"/>
          <w:szCs w:val="20"/>
          <w:rtl/>
        </w:rPr>
        <w:t xml:space="preserve"> קב</w:t>
      </w:r>
      <w:r w:rsidRPr="00D60342">
        <w:rPr>
          <w:rFonts w:hint="cs"/>
          <w:sz w:val="20"/>
          <w:szCs w:val="20"/>
          <w:rtl/>
        </w:rPr>
        <w:t xml:space="preserve">) </w:t>
      </w:r>
      <w:r>
        <w:rPr>
          <w:rFonts w:hint="cs"/>
          <w:rtl/>
        </w:rPr>
        <w:t>שמשתדל למצוא היתר לקדש את הלבנה בליל ט"ז, "</w:t>
      </w:r>
      <w:r w:rsidRPr="00BA395C">
        <w:rPr>
          <w:rtl/>
        </w:rPr>
        <w:t>יען כי נצטערו ההמון מאוד על סימנא מילתא, וידוע כי הרופאים מזהירים מאד בזמן המגפה בכלל ובפרט בחולי הנ"ל שלא יצטערו ולא יתנו על לב שום דאגה</w:t>
      </w:r>
      <w:r>
        <w:rPr>
          <w:rFonts w:hint="cs"/>
          <w:rtl/>
        </w:rPr>
        <w:t xml:space="preserve">... </w:t>
      </w:r>
      <w:r w:rsidRPr="00BA395C">
        <w:rPr>
          <w:rtl/>
        </w:rPr>
        <w:t xml:space="preserve">בזמן המגפה </w:t>
      </w:r>
      <w:r>
        <w:rPr>
          <w:rFonts w:hint="cs"/>
          <w:rtl/>
        </w:rPr>
        <w:t>(</w:t>
      </w:r>
      <w:r w:rsidRPr="00BA395C">
        <w:rPr>
          <w:rtl/>
        </w:rPr>
        <w:t>ש</w:t>
      </w:r>
      <w:r>
        <w:rPr>
          <w:rFonts w:hint="cs"/>
          <w:rtl/>
        </w:rPr>
        <w:t>)</w:t>
      </w:r>
      <w:r w:rsidRPr="00BA395C">
        <w:rPr>
          <w:rtl/>
        </w:rPr>
        <w:t>הצער מסוכן להם</w:t>
      </w:r>
      <w:r>
        <w:rPr>
          <w:rFonts w:hint="cs"/>
          <w:rtl/>
        </w:rPr>
        <w:t xml:space="preserve">...", ועד"ז השתדלתי גם אני למצוא דרך היתר. וראה 'מגן אברהם' </w:t>
      </w:r>
      <w:r w:rsidRPr="00D60342">
        <w:rPr>
          <w:rFonts w:hint="cs"/>
          <w:sz w:val="20"/>
          <w:szCs w:val="20"/>
          <w:rtl/>
        </w:rPr>
        <w:t xml:space="preserve">(סי' רסא סק"ו) </w:t>
      </w:r>
      <w:r>
        <w:rPr>
          <w:rFonts w:hint="cs"/>
          <w:rtl/>
        </w:rPr>
        <w:t xml:space="preserve">בשם המהרש"ל ש"מותר לומר לעכו"ם בין השמשות להדליק נר ביום שמת בו אביו, מאחר שהעולם נזהרין בו חשבינן ליה כלצורך גדול" עיי"ש וב'נטעי גבריאל' </w:t>
      </w:r>
      <w:r w:rsidRPr="00D60342">
        <w:rPr>
          <w:rFonts w:hint="cs"/>
          <w:sz w:val="20"/>
          <w:szCs w:val="20"/>
          <w:rtl/>
        </w:rPr>
        <w:t>(יו"ט ח"ב פפ"ח הערה טז)</w:t>
      </w:r>
      <w:r>
        <w:rPr>
          <w:rFonts w:hint="cs"/>
          <w:rtl/>
        </w:rPr>
        <w:t xml:space="preserve">. וודאי שזה לא נכלל במה שכתב בשו"ת 'דברי מלכיאל' </w:t>
      </w:r>
      <w:r w:rsidRPr="00D60342">
        <w:rPr>
          <w:rFonts w:hint="cs"/>
          <w:sz w:val="20"/>
          <w:szCs w:val="20"/>
          <w:rtl/>
        </w:rPr>
        <w:t xml:space="preserve">(ח"ב סי' צ) </w:t>
      </w:r>
      <w:r>
        <w:rPr>
          <w:rFonts w:hint="cs"/>
          <w:rtl/>
        </w:rPr>
        <w:t>שמתלונן בשעת המגיפה בשעתו על "...הרבה מורים... שכעת מחפשים קולות להראות כוחם להמון".</w:t>
      </w:r>
    </w:p>
    <w:p w:rsidR="00642014" w:rsidRPr="00221FDE" w:rsidRDefault="00642014" w:rsidP="004B0C42">
      <w:pPr>
        <w:pStyle w:val="11"/>
        <w:bidi/>
        <w:rPr>
          <w:rtl/>
        </w:rPr>
      </w:pPr>
      <w:r w:rsidRPr="00221FDE">
        <w:rPr>
          <w:rFonts w:hint="cs"/>
          <w:rtl/>
        </w:rPr>
        <w:t>אין מזכירין נשמות בכל חודש ניסן</w:t>
      </w:r>
    </w:p>
    <w:p w:rsidR="00642014" w:rsidRDefault="00642014" w:rsidP="004B0C42">
      <w:pPr>
        <w:pStyle w:val="a3"/>
        <w:rPr>
          <w:rtl/>
        </w:rPr>
      </w:pPr>
      <w:r>
        <w:rPr>
          <w:rFonts w:hint="cs"/>
          <w:rtl/>
        </w:rPr>
        <w:t xml:space="preserve">ושוב שאלני הרב אלי בלקמן ממה שכתב אדה"ז שם </w:t>
      </w:r>
      <w:r w:rsidRPr="002E6CE8">
        <w:rPr>
          <w:rFonts w:hint="cs"/>
          <w:sz w:val="20"/>
          <w:szCs w:val="20"/>
          <w:rtl/>
        </w:rPr>
        <w:t>(סי' תכט ס"ח)</w:t>
      </w:r>
      <w:r>
        <w:rPr>
          <w:rFonts w:hint="cs"/>
          <w:rtl/>
        </w:rPr>
        <w:t xml:space="preserve">: "נוהגין במדינות אלו שבכל חודש ניסן... אין מזכירין נשמות כלל... חוץ מביום האחרון של פסח", מעתה נשאלת </w:t>
      </w:r>
      <w:r>
        <w:rPr>
          <w:rFonts w:hint="cs"/>
          <w:rtl/>
        </w:rPr>
        <w:lastRenderedPageBreak/>
        <w:t>השאלה מי התיר לי להזכיר נשמות במוצאי החג. ולכתחילה חשבתי שלא יתכן שהימים של אחרי החג יהיו יותר חמורים מאשר בחג עצמו. אבל זה אינו כי בחג עצמו זה מנהג ישראל, משא"כ אחרי החג שאין בזה שום מנהג וכנ"ל. אבל התרתי לעצמי את זה מיוסד על הנ"ל שבקדשים הלילה הולך אחר היום. ומה שדחף אותי להיתר זה הוא כדי שאוכל לדבר אתם על שמירת המצות.</w:t>
      </w:r>
    </w:p>
    <w:p w:rsidR="00642014" w:rsidRDefault="00642014" w:rsidP="004B0C42">
      <w:pPr>
        <w:pStyle w:val="a3"/>
        <w:rPr>
          <w:rtl/>
        </w:rPr>
      </w:pPr>
      <w:r>
        <w:rPr>
          <w:rFonts w:hint="cs"/>
          <w:rtl/>
        </w:rPr>
        <w:t xml:space="preserve">וכדאי להעיר שבשו"ת 'בצל החכמה' שם </w:t>
      </w:r>
      <w:r w:rsidRPr="002E6CE8">
        <w:rPr>
          <w:rFonts w:hint="cs"/>
          <w:sz w:val="20"/>
          <w:szCs w:val="20"/>
          <w:rtl/>
        </w:rPr>
        <w:t xml:space="preserve">(סי' קיט אות יא) </w:t>
      </w:r>
      <w:r>
        <w:rPr>
          <w:rFonts w:hint="cs"/>
          <w:rtl/>
        </w:rPr>
        <w:t>התיר לבן א"י שכבר הזכיר נשמות ביום ז' דפסח לחזור על זה שוב למחרת באחרון של פסח באם מתפלל עם צבור של בני חו"ל, ולא הפריע לו שאין להזכיר נשמות ביום אסרו חג דידיה. ויש לחלק ולומר ששם הוא נמשך אחרי בני חו"ל.</w:t>
      </w:r>
    </w:p>
    <w:p w:rsidR="00642014" w:rsidRDefault="00642014" w:rsidP="004B0C42">
      <w:pPr>
        <w:pStyle w:val="a3"/>
        <w:rPr>
          <w:rtl/>
        </w:rPr>
      </w:pPr>
      <w:r>
        <w:rPr>
          <w:rFonts w:hint="cs"/>
          <w:rtl/>
        </w:rPr>
        <w:t>שוב העיר לי הרב שטרנברג: "</w:t>
      </w:r>
      <w:r w:rsidRPr="00801933">
        <w:rPr>
          <w:rtl/>
        </w:rPr>
        <w:t>יש עוד סברא למה לאחר ולא להקדים</w:t>
      </w:r>
      <w:r>
        <w:rPr>
          <w:rFonts w:hint="cs"/>
          <w:rtl/>
        </w:rPr>
        <w:t>,</w:t>
      </w:r>
      <w:r w:rsidRPr="00801933">
        <w:rPr>
          <w:rtl/>
        </w:rPr>
        <w:t xml:space="preserve"> שהרי האבלו</w:t>
      </w:r>
      <w:r>
        <w:rPr>
          <w:rFonts w:hint="cs"/>
          <w:rtl/>
        </w:rPr>
        <w:t>ת</w:t>
      </w:r>
      <w:r w:rsidRPr="00801933">
        <w:rPr>
          <w:rtl/>
        </w:rPr>
        <w:t xml:space="preserve"> בחוה"מ חמיר יותר מיו"</w:t>
      </w:r>
      <w:r>
        <w:rPr>
          <w:rFonts w:hint="cs"/>
          <w:rtl/>
        </w:rPr>
        <w:t>ט</w:t>
      </w:r>
      <w:r w:rsidRPr="00801933">
        <w:rPr>
          <w:rtl/>
        </w:rPr>
        <w:t xml:space="preserve"> האחר</w:t>
      </w:r>
      <w:r>
        <w:rPr>
          <w:rFonts w:hint="cs"/>
          <w:rtl/>
        </w:rPr>
        <w:t>ו</w:t>
      </w:r>
      <w:r w:rsidRPr="00801933">
        <w:rPr>
          <w:rtl/>
        </w:rPr>
        <w:t>ן, שזו דאורייתא משא"כ יו</w:t>
      </w:r>
      <w:r>
        <w:rPr>
          <w:rFonts w:hint="cs"/>
          <w:rtl/>
        </w:rPr>
        <w:t>"</w:t>
      </w:r>
      <w:r w:rsidRPr="00801933">
        <w:rPr>
          <w:rtl/>
        </w:rPr>
        <w:t>ט האחרון בחו"ל הוי רק מדרבנן</w:t>
      </w:r>
      <w:r>
        <w:rPr>
          <w:rFonts w:hint="cs"/>
          <w:rtl/>
        </w:rPr>
        <w:t>,</w:t>
      </w:r>
      <w:r w:rsidRPr="00801933">
        <w:rPr>
          <w:rtl/>
        </w:rPr>
        <w:t xml:space="preserve"> ולענין אבלות שבעה זה נחשב ליום</w:t>
      </w:r>
      <w:r>
        <w:rPr>
          <w:rFonts w:hint="cs"/>
          <w:rtl/>
        </w:rPr>
        <w:t xml:space="preserve"> </w:t>
      </w:r>
      <w:r w:rsidRPr="003350DE">
        <w:rPr>
          <w:rFonts w:hint="cs"/>
          <w:sz w:val="20"/>
          <w:szCs w:val="20"/>
          <w:rtl/>
        </w:rPr>
        <w:t xml:space="preserve">(שו"ע או"ח סי' תקמח ס"ב, יו"ד סי' שצט </w:t>
      </w:r>
      <w:r>
        <w:rPr>
          <w:rFonts w:hint="cs"/>
          <w:sz w:val="20"/>
          <w:szCs w:val="20"/>
          <w:rtl/>
        </w:rPr>
        <w:t xml:space="preserve">סוף </w:t>
      </w:r>
      <w:r w:rsidRPr="003350DE">
        <w:rPr>
          <w:rFonts w:hint="cs"/>
          <w:sz w:val="20"/>
          <w:szCs w:val="20"/>
          <w:rtl/>
        </w:rPr>
        <w:t>ס"ב)</w:t>
      </w:r>
      <w:r w:rsidRPr="00801933">
        <w:rPr>
          <w:rtl/>
        </w:rPr>
        <w:t>.</w:t>
      </w:r>
      <w:r>
        <w:rPr>
          <w:rFonts w:hint="cs"/>
          <w:rtl/>
        </w:rPr>
        <w:t xml:space="preserve"> [</w:t>
      </w:r>
      <w:r w:rsidRPr="00801933">
        <w:rPr>
          <w:rtl/>
        </w:rPr>
        <w:t>דא"ג יש שכתבו שעיקר התקנה היתה דוקא ביו</w:t>
      </w:r>
      <w:r>
        <w:rPr>
          <w:rFonts w:hint="cs"/>
          <w:rtl/>
        </w:rPr>
        <w:t>"</w:t>
      </w:r>
      <w:r w:rsidRPr="00801933">
        <w:rPr>
          <w:rtl/>
        </w:rPr>
        <w:t>ט שני שהוא מדרבנן</w:t>
      </w:r>
      <w:r>
        <w:rPr>
          <w:rFonts w:hint="cs"/>
          <w:rtl/>
        </w:rPr>
        <w:t xml:space="preserve"> </w:t>
      </w:r>
      <w:r w:rsidRPr="00C83332">
        <w:rPr>
          <w:rFonts w:hint="cs"/>
          <w:sz w:val="20"/>
          <w:szCs w:val="20"/>
          <w:rtl/>
        </w:rPr>
        <w:t>(כך היא משמעות ה'נטעי גבריאל' אבילות ח"ב פע"ח הערה יב)</w:t>
      </w:r>
      <w:r w:rsidRPr="00801933">
        <w:rPr>
          <w:rtl/>
        </w:rPr>
        <w:t>, היינו דנוסף על הטעם שאז קוראים כל הבכור, האבלות קי</w:t>
      </w:r>
      <w:r>
        <w:rPr>
          <w:rtl/>
        </w:rPr>
        <w:t>ל יותר מחמת שהוא מדרבנן, אף שצ"</w:t>
      </w:r>
      <w:r w:rsidRPr="00801933">
        <w:rPr>
          <w:rtl/>
        </w:rPr>
        <w:t>ע איך זה מתאים בשמיני העצרת</w:t>
      </w:r>
      <w:r>
        <w:rPr>
          <w:rFonts w:hint="cs"/>
          <w:rtl/>
        </w:rPr>
        <w:t>.]"</w:t>
      </w:r>
    </w:p>
    <w:p w:rsidR="00642014" w:rsidRPr="00221FDE" w:rsidRDefault="00642014" w:rsidP="004B0C42">
      <w:pPr>
        <w:pStyle w:val="11"/>
        <w:bidi/>
        <w:rPr>
          <w:rtl/>
        </w:rPr>
      </w:pPr>
      <w:r>
        <w:rPr>
          <w:rFonts w:hint="cs"/>
          <w:rtl/>
        </w:rPr>
        <w:t>האם מותר להוציא ס"ת מהארון כשאין קריאת התורה</w:t>
      </w:r>
    </w:p>
    <w:p w:rsidR="00642014" w:rsidRDefault="00642014" w:rsidP="004B0C42">
      <w:pPr>
        <w:pStyle w:val="a3"/>
        <w:rPr>
          <w:rtl/>
        </w:rPr>
      </w:pPr>
      <w:r>
        <w:rPr>
          <w:rFonts w:hint="cs"/>
          <w:rtl/>
        </w:rPr>
        <w:t>עוד נשאלתי מהרב יוסף צי"ג האם מותר להוציא ס"ת מהארון כשאין קריאת התורה.</w:t>
      </w:r>
    </w:p>
    <w:p w:rsidR="00642014" w:rsidRDefault="00642014" w:rsidP="004B0C42">
      <w:pPr>
        <w:pStyle w:val="a3"/>
        <w:rPr>
          <w:rtl/>
        </w:rPr>
      </w:pPr>
      <w:r>
        <w:rPr>
          <w:rFonts w:hint="cs"/>
          <w:rtl/>
        </w:rPr>
        <w:t xml:space="preserve">והנה יש דיון בפוסקים האם מותר ללמוד מתוך ס"ת </w:t>
      </w:r>
      <w:r w:rsidRPr="002E6CE8">
        <w:rPr>
          <w:rFonts w:hint="cs"/>
          <w:sz w:val="20"/>
          <w:szCs w:val="20"/>
          <w:rtl/>
        </w:rPr>
        <w:t>(ראה שו"ע יו"ד סי' ער ש"ך סק"ה, שו"ת 'מנחת יצחק' ח"ט סי' יט, 'ספר השיחות' תשמ"ח ח"א עמ' 186 ועוד)</w:t>
      </w:r>
      <w:r>
        <w:rPr>
          <w:rFonts w:hint="cs"/>
          <w:rtl/>
        </w:rPr>
        <w:t xml:space="preserve">, ולפי המתירים ודאי מותר להוציא את הס"ת בשביל הצורך, "דאך </w:t>
      </w:r>
      <w:r w:rsidRPr="00402088">
        <w:rPr>
          <w:rtl/>
        </w:rPr>
        <w:t>ב</w:t>
      </w:r>
      <w:r>
        <w:rPr>
          <w:rFonts w:hint="cs"/>
          <w:rtl/>
        </w:rPr>
        <w:t>ט</w:t>
      </w:r>
      <w:r w:rsidRPr="00402088">
        <w:rPr>
          <w:rtl/>
        </w:rPr>
        <w:t>ל</w:t>
      </w:r>
      <w:r>
        <w:rPr>
          <w:rFonts w:hint="cs"/>
          <w:rtl/>
        </w:rPr>
        <w:t>ט</w:t>
      </w:r>
      <w:r w:rsidRPr="00402088">
        <w:rPr>
          <w:rtl/>
        </w:rPr>
        <w:t>ול הס"</w:t>
      </w:r>
      <w:r>
        <w:rPr>
          <w:rFonts w:hint="cs"/>
          <w:rtl/>
        </w:rPr>
        <w:t>ת</w:t>
      </w:r>
      <w:r w:rsidRPr="00402088">
        <w:rPr>
          <w:rtl/>
        </w:rPr>
        <w:t xml:space="preserve"> מ</w:t>
      </w:r>
      <w:r>
        <w:rPr>
          <w:rFonts w:hint="cs"/>
          <w:rtl/>
        </w:rPr>
        <w:t>ב</w:t>
      </w:r>
      <w:r w:rsidRPr="00402088">
        <w:rPr>
          <w:rtl/>
        </w:rPr>
        <w:t>יהמ"</w:t>
      </w:r>
      <w:r>
        <w:rPr>
          <w:rFonts w:hint="cs"/>
          <w:rtl/>
        </w:rPr>
        <w:t>ד</w:t>
      </w:r>
      <w:r w:rsidRPr="00402088">
        <w:rPr>
          <w:rtl/>
        </w:rPr>
        <w:t xml:space="preserve"> לחוץ או אפילו מבי</w:t>
      </w:r>
      <w:r>
        <w:rPr>
          <w:rFonts w:hint="cs"/>
          <w:rtl/>
        </w:rPr>
        <w:t>ת</w:t>
      </w:r>
      <w:r w:rsidRPr="00402088">
        <w:rPr>
          <w:rtl/>
        </w:rPr>
        <w:t xml:space="preserve"> ל</w:t>
      </w:r>
      <w:r>
        <w:rPr>
          <w:rFonts w:hint="cs"/>
          <w:rtl/>
        </w:rPr>
        <w:t>ב</w:t>
      </w:r>
      <w:r w:rsidRPr="00402088">
        <w:rPr>
          <w:rtl/>
        </w:rPr>
        <w:t>ית איכא קפי</w:t>
      </w:r>
      <w:r>
        <w:rPr>
          <w:rFonts w:hint="cs"/>
          <w:rtl/>
        </w:rPr>
        <w:t>ד</w:t>
      </w:r>
      <w:r w:rsidRPr="00402088">
        <w:rPr>
          <w:rtl/>
        </w:rPr>
        <w:t>א</w:t>
      </w:r>
      <w:r>
        <w:rPr>
          <w:rFonts w:hint="cs"/>
          <w:rtl/>
        </w:rPr>
        <w:t>,</w:t>
      </w:r>
      <w:r w:rsidRPr="00402088">
        <w:rPr>
          <w:rtl/>
        </w:rPr>
        <w:t xml:space="preserve"> א</w:t>
      </w:r>
      <w:r>
        <w:rPr>
          <w:rFonts w:hint="cs"/>
          <w:rtl/>
        </w:rPr>
        <w:t>ב</w:t>
      </w:r>
      <w:r w:rsidRPr="00402088">
        <w:rPr>
          <w:rtl/>
        </w:rPr>
        <w:t xml:space="preserve">ל </w:t>
      </w:r>
      <w:r>
        <w:rPr>
          <w:rFonts w:hint="cs"/>
          <w:rtl/>
        </w:rPr>
        <w:t>ב</w:t>
      </w:r>
      <w:r w:rsidRPr="00402088">
        <w:rPr>
          <w:rtl/>
        </w:rPr>
        <w:t>או</w:t>
      </w:r>
      <w:r>
        <w:rPr>
          <w:rFonts w:hint="cs"/>
          <w:rtl/>
        </w:rPr>
        <w:t>ת</w:t>
      </w:r>
      <w:r w:rsidRPr="00402088">
        <w:rPr>
          <w:rtl/>
        </w:rPr>
        <w:t xml:space="preserve">ו </w:t>
      </w:r>
      <w:r>
        <w:rPr>
          <w:rFonts w:hint="cs"/>
          <w:rtl/>
        </w:rPr>
        <w:t>ב</w:t>
      </w:r>
      <w:r w:rsidRPr="00402088">
        <w:rPr>
          <w:rtl/>
        </w:rPr>
        <w:t>יהמ"</w:t>
      </w:r>
      <w:r>
        <w:rPr>
          <w:rFonts w:hint="cs"/>
          <w:rtl/>
        </w:rPr>
        <w:t>ד</w:t>
      </w:r>
      <w:r w:rsidRPr="00402088">
        <w:rPr>
          <w:rtl/>
        </w:rPr>
        <w:t xml:space="preserve"> שמונח שם </w:t>
      </w:r>
      <w:r>
        <w:rPr>
          <w:rFonts w:hint="cs"/>
          <w:rtl/>
        </w:rPr>
        <w:t>ב</w:t>
      </w:r>
      <w:r w:rsidRPr="00402088">
        <w:rPr>
          <w:rtl/>
        </w:rPr>
        <w:t>ארון א</w:t>
      </w:r>
      <w:r>
        <w:rPr>
          <w:rFonts w:hint="cs"/>
          <w:rtl/>
        </w:rPr>
        <w:t>ין</w:t>
      </w:r>
      <w:r w:rsidRPr="00402088">
        <w:rPr>
          <w:rtl/>
        </w:rPr>
        <w:t xml:space="preserve"> קפי</w:t>
      </w:r>
      <w:r>
        <w:rPr>
          <w:rFonts w:hint="cs"/>
          <w:rtl/>
        </w:rPr>
        <w:t>ד</w:t>
      </w:r>
      <w:r w:rsidRPr="00402088">
        <w:rPr>
          <w:rtl/>
        </w:rPr>
        <w:t>א</w:t>
      </w:r>
      <w:r>
        <w:rPr>
          <w:rFonts w:hint="cs"/>
          <w:rtl/>
        </w:rPr>
        <w:t>,</w:t>
      </w:r>
      <w:r w:rsidRPr="00402088">
        <w:rPr>
          <w:rtl/>
        </w:rPr>
        <w:t xml:space="preserve"> שהרי בשביל כ</w:t>
      </w:r>
      <w:r>
        <w:rPr>
          <w:rFonts w:hint="cs"/>
          <w:rtl/>
        </w:rPr>
        <w:t>ך</w:t>
      </w:r>
      <w:r w:rsidRPr="00402088">
        <w:rPr>
          <w:rtl/>
        </w:rPr>
        <w:t xml:space="preserve"> הונח שם </w:t>
      </w:r>
      <w:r>
        <w:rPr>
          <w:rFonts w:hint="cs"/>
          <w:rtl/>
        </w:rPr>
        <w:t>ב</w:t>
      </w:r>
      <w:r w:rsidRPr="00402088">
        <w:rPr>
          <w:rtl/>
        </w:rPr>
        <w:t>א</w:t>
      </w:r>
      <w:r>
        <w:rPr>
          <w:rFonts w:hint="cs"/>
          <w:rtl/>
        </w:rPr>
        <w:t>רו</w:t>
      </w:r>
      <w:r w:rsidRPr="00402088">
        <w:rPr>
          <w:rtl/>
        </w:rPr>
        <w:t>ן ללמו</w:t>
      </w:r>
      <w:r>
        <w:rPr>
          <w:rFonts w:hint="cs"/>
          <w:rtl/>
        </w:rPr>
        <w:t>ד</w:t>
      </w:r>
      <w:r w:rsidRPr="00402088">
        <w:rPr>
          <w:rtl/>
        </w:rPr>
        <w:t xml:space="preserve"> ולקרו</w:t>
      </w:r>
      <w:r>
        <w:rPr>
          <w:rFonts w:hint="cs"/>
          <w:rtl/>
        </w:rPr>
        <w:t>ת</w:t>
      </w:r>
      <w:r w:rsidRPr="00402088">
        <w:rPr>
          <w:rtl/>
        </w:rPr>
        <w:t xml:space="preserve"> ממנו</w:t>
      </w:r>
      <w:r>
        <w:rPr>
          <w:rFonts w:hint="cs"/>
          <w:rtl/>
        </w:rPr>
        <w:t>,</w:t>
      </w:r>
      <w:r w:rsidRPr="00402088">
        <w:rPr>
          <w:rtl/>
        </w:rPr>
        <w:t xml:space="preserve"> לא שיהיה מונח </w:t>
      </w:r>
      <w:r>
        <w:rPr>
          <w:rFonts w:hint="cs"/>
          <w:rtl/>
        </w:rPr>
        <w:t>ב</w:t>
      </w:r>
      <w:r w:rsidRPr="00402088">
        <w:rPr>
          <w:rtl/>
        </w:rPr>
        <w:t>ארון</w:t>
      </w:r>
      <w:r>
        <w:rPr>
          <w:rFonts w:hint="cs"/>
          <w:rtl/>
        </w:rPr>
        <w:t xml:space="preserve">..." </w:t>
      </w:r>
      <w:r w:rsidRPr="002E6CE8">
        <w:rPr>
          <w:rFonts w:hint="cs"/>
          <w:sz w:val="20"/>
          <w:szCs w:val="20"/>
          <w:rtl/>
        </w:rPr>
        <w:t>(שו"ת 'דברי יואל' ח"א סי' ט סוף אות א, וראה שו"ת 'ויען יוסף' ח"א סי' נד)</w:t>
      </w:r>
      <w:r>
        <w:rPr>
          <w:rFonts w:hint="cs"/>
          <w:rtl/>
        </w:rPr>
        <w:t xml:space="preserve">. והאוסרים סוברים "למה לנו לזלזל בכבוד ס"ת בחנם ללמוד מתוכו שלא לצורך". לא ברור בדיוק מה הזלזול כשלומדים ממנו. ואולי הכוונה שדבר יקר ומכובד מאד לא משתמשים בו רק כשנצרך מאד, ועל דרך ההלכה דמוקצה מחמת חסרון כיס. ואולי זה נכלל בהלכה בשו"ע שם </w:t>
      </w:r>
      <w:r w:rsidRPr="002E6CE8">
        <w:rPr>
          <w:rFonts w:hint="cs"/>
          <w:sz w:val="20"/>
          <w:szCs w:val="20"/>
          <w:rtl/>
        </w:rPr>
        <w:t xml:space="preserve">(סי' רפב ס"א) </w:t>
      </w:r>
      <w:r>
        <w:rPr>
          <w:rFonts w:hint="cs"/>
          <w:rtl/>
        </w:rPr>
        <w:t xml:space="preserve">ד"מצות לייחד לו מקום" לס"ת. ואולי י"ל שבאם התירו בשביל כבוד המלך </w:t>
      </w:r>
      <w:r w:rsidRPr="002E6CE8">
        <w:rPr>
          <w:rFonts w:hint="cs"/>
          <w:sz w:val="20"/>
          <w:szCs w:val="20"/>
          <w:rtl/>
        </w:rPr>
        <w:t>(ראה שם 'בית לחם יהודה' סק"ו, 'פתחי תשובה' סק"א וגליון מהרש"א שם)</w:t>
      </w:r>
      <w:r>
        <w:rPr>
          <w:rFonts w:hint="cs"/>
          <w:rtl/>
        </w:rPr>
        <w:t>, התירו גם בשביל הזכרת נשמות לקהל יהודי שזה מקשר אותו לשמירת המצות.</w:t>
      </w:r>
    </w:p>
    <w:p w:rsidR="00642014" w:rsidRDefault="00642014" w:rsidP="004B0C42">
      <w:pPr>
        <w:pStyle w:val="a3"/>
        <w:rPr>
          <w:rtl/>
        </w:rPr>
      </w:pPr>
      <w:r>
        <w:rPr>
          <w:rFonts w:hint="cs"/>
          <w:rtl/>
        </w:rPr>
        <w:t>זה מה שהצלחתי לרשום בחפזי, ואשמח להערותיך על הנ"ל. ויהי רצון שלא ניכשל בדבר הלכה.</w:t>
      </w:r>
    </w:p>
    <w:p w:rsidR="00760DB7" w:rsidRPr="00760DB7" w:rsidRDefault="00760DB7" w:rsidP="00760DB7">
      <w:pPr>
        <w:tabs>
          <w:tab w:val="left" w:pos="2171"/>
          <w:tab w:val="center" w:pos="3096"/>
        </w:tabs>
        <w:bidi/>
        <w:spacing w:after="100" w:line="360" w:lineRule="auto"/>
        <w:ind w:firstLine="288"/>
        <w:jc w:val="center"/>
        <w:rPr>
          <w:rFonts w:ascii="Nymphette" w:eastAsia="Times New Roman" w:hAnsi="Nymphette" w:cs="Nymphette"/>
          <w:sz w:val="44"/>
          <w:szCs w:val="44"/>
          <w:rtl/>
        </w:rPr>
      </w:pPr>
      <w:bookmarkStart w:id="153" w:name="_Toc26492321"/>
      <w:r w:rsidRPr="00760DB7">
        <w:rPr>
          <w:rFonts w:ascii="Nymphette" w:eastAsia="Times New Roman" w:hAnsi="Nymphette" w:cs="Nymphette"/>
          <w:sz w:val="44"/>
          <w:szCs w:val="44"/>
        </w:rPr>
        <w:t>g</w:t>
      </w:r>
    </w:p>
    <w:p w:rsidR="004C1858" w:rsidRDefault="004C1858" w:rsidP="004C1858">
      <w:pPr>
        <w:pStyle w:val="a0"/>
        <w:bidi w:val="0"/>
        <w:rPr>
          <w:rtl/>
        </w:rPr>
      </w:pPr>
      <w:bookmarkStart w:id="154" w:name="_Toc39817452"/>
      <w:r w:rsidRPr="00871612">
        <w:rPr>
          <w:rFonts w:hint="eastAsia"/>
          <w:rtl/>
        </w:rPr>
        <w:lastRenderedPageBreak/>
        <w:t>בענין</w:t>
      </w:r>
      <w:r w:rsidRPr="00871612">
        <w:rPr>
          <w:rtl/>
        </w:rPr>
        <w:t xml:space="preserve"> </w:t>
      </w:r>
      <w:r w:rsidRPr="00871612">
        <w:rPr>
          <w:rFonts w:hint="eastAsia"/>
          <w:rtl/>
        </w:rPr>
        <w:t>ברכת</w:t>
      </w:r>
      <w:r w:rsidRPr="00871612">
        <w:rPr>
          <w:rtl/>
        </w:rPr>
        <w:t xml:space="preserve"> </w:t>
      </w:r>
      <w:r w:rsidRPr="00871612">
        <w:rPr>
          <w:rFonts w:hint="eastAsia"/>
          <w:rtl/>
        </w:rPr>
        <w:t>האילנות</w:t>
      </w:r>
      <w:r w:rsidRPr="00871612">
        <w:rPr>
          <w:rtl/>
        </w:rPr>
        <w:t xml:space="preserve"> </w:t>
      </w:r>
      <w:r w:rsidRPr="00871612">
        <w:rPr>
          <w:rFonts w:hint="eastAsia"/>
          <w:rtl/>
        </w:rPr>
        <w:t>על</w:t>
      </w:r>
      <w:r w:rsidRPr="00871612">
        <w:rPr>
          <w:rtl/>
        </w:rPr>
        <w:t xml:space="preserve"> </w:t>
      </w:r>
      <w:r w:rsidRPr="00871612">
        <w:rPr>
          <w:rFonts w:hint="eastAsia"/>
          <w:rtl/>
        </w:rPr>
        <w:t>אילני</w:t>
      </w:r>
      <w:r w:rsidRPr="00871612">
        <w:rPr>
          <w:rtl/>
        </w:rPr>
        <w:t xml:space="preserve"> </w:t>
      </w:r>
      <w:r w:rsidRPr="00871612">
        <w:rPr>
          <w:rFonts w:hint="eastAsia"/>
          <w:rtl/>
        </w:rPr>
        <w:t>פירות</w:t>
      </w:r>
      <w:r w:rsidRPr="00871612">
        <w:rPr>
          <w:rtl/>
        </w:rPr>
        <w:t xml:space="preserve"> </w:t>
      </w:r>
      <w:r w:rsidRPr="00871612">
        <w:rPr>
          <w:rFonts w:hint="eastAsia"/>
          <w:rtl/>
        </w:rPr>
        <w:t>בעציץ</w:t>
      </w:r>
      <w:r w:rsidRPr="00871612">
        <w:rPr>
          <w:rtl/>
        </w:rPr>
        <w:t xml:space="preserve"> </w:t>
      </w:r>
      <w:r w:rsidRPr="00871612">
        <w:rPr>
          <w:rFonts w:hint="eastAsia"/>
          <w:rtl/>
        </w:rPr>
        <w:t>נקוב</w:t>
      </w:r>
      <w:r w:rsidRPr="00871612">
        <w:rPr>
          <w:rFonts w:hint="cs"/>
          <w:rtl/>
        </w:rPr>
        <w:t xml:space="preserve"> ברחוב העיר</w:t>
      </w:r>
      <w:bookmarkEnd w:id="154"/>
    </w:p>
    <w:p w:rsidR="004C1858" w:rsidRPr="00AE1D49" w:rsidRDefault="004C1858" w:rsidP="00C93F24">
      <w:pPr>
        <w:pStyle w:val="a"/>
        <w:rPr>
          <w:rtl/>
        </w:rPr>
      </w:pPr>
      <w:bookmarkStart w:id="155" w:name="_Toc39817453"/>
      <w:r w:rsidRPr="00AE1D49">
        <w:rPr>
          <w:rFonts w:hint="cs"/>
          <w:rtl/>
        </w:rPr>
        <w:t>הרב גדלי' אבערלאנדער</w:t>
      </w:r>
      <w:bookmarkEnd w:id="155"/>
    </w:p>
    <w:p w:rsidR="004C1858" w:rsidRDefault="004C1858" w:rsidP="004C1858">
      <w:pPr>
        <w:pStyle w:val="a1"/>
        <w:rPr>
          <w:rtl/>
        </w:rPr>
      </w:pPr>
      <w:r>
        <w:rPr>
          <w:rFonts w:hint="cs"/>
          <w:rtl/>
        </w:rPr>
        <w:t xml:space="preserve">רב דקהל היכל מנחם </w:t>
      </w:r>
      <w:r>
        <w:rPr>
          <w:rtl/>
        </w:rPr>
        <w:t>–</w:t>
      </w:r>
      <w:r>
        <w:rPr>
          <w:rFonts w:hint="cs"/>
          <w:rtl/>
        </w:rPr>
        <w:t xml:space="preserve"> מאנסי</w:t>
      </w:r>
    </w:p>
    <w:p w:rsidR="004C1858" w:rsidRPr="00632102" w:rsidRDefault="004C1858" w:rsidP="004B0C42">
      <w:pPr>
        <w:pStyle w:val="a3"/>
        <w:rPr>
          <w:rtl/>
        </w:rPr>
      </w:pPr>
      <w:r w:rsidRPr="00632102">
        <w:rPr>
          <w:rFonts w:hint="cs"/>
          <w:rtl/>
        </w:rPr>
        <w:t>כבוד מחותני הגאון הגדול חו"ב טובא סיני ועוקר הרים</w:t>
      </w:r>
      <w:r>
        <w:rPr>
          <w:rFonts w:hint="cs"/>
          <w:rtl/>
        </w:rPr>
        <w:t xml:space="preserve"> </w:t>
      </w:r>
      <w:r w:rsidRPr="00632102">
        <w:rPr>
          <w:rFonts w:hint="cs"/>
          <w:rtl/>
        </w:rPr>
        <w:t>רבי בנציון יעקב הלוי וואזנער שליט"א</w:t>
      </w:r>
      <w:r>
        <w:rPr>
          <w:rFonts w:hint="cs"/>
          <w:rtl/>
        </w:rPr>
        <w:t xml:space="preserve"> </w:t>
      </w:r>
      <w:r w:rsidRPr="00632102">
        <w:rPr>
          <w:rFonts w:hint="cs"/>
          <w:rtl/>
        </w:rPr>
        <w:t>אב"ד דבד"ץ ובית הוראה שבט הלוי</w:t>
      </w:r>
      <w:r>
        <w:rPr>
          <w:rFonts w:hint="cs"/>
          <w:rtl/>
        </w:rPr>
        <w:t xml:space="preserve">, </w:t>
      </w:r>
      <w:r w:rsidRPr="00632102">
        <w:rPr>
          <w:rFonts w:hint="cs"/>
          <w:rtl/>
        </w:rPr>
        <w:t>מאנסי – בית שמש</w:t>
      </w:r>
    </w:p>
    <w:p w:rsidR="004C1858" w:rsidRPr="00632102" w:rsidRDefault="004C1858" w:rsidP="004B0C42">
      <w:pPr>
        <w:pStyle w:val="a3"/>
        <w:rPr>
          <w:rtl/>
        </w:rPr>
      </w:pPr>
      <w:r w:rsidRPr="00632102">
        <w:rPr>
          <w:rFonts w:hint="cs"/>
          <w:rtl/>
        </w:rPr>
        <w:t>אקווה שהברכה למעלת כבודו ולכל משפחתו שלום</w:t>
      </w:r>
    </w:p>
    <w:p w:rsidR="004C1858" w:rsidRPr="00632102" w:rsidRDefault="004C1858" w:rsidP="004B0C42">
      <w:pPr>
        <w:pStyle w:val="a3"/>
        <w:rPr>
          <w:rtl/>
        </w:rPr>
      </w:pPr>
      <w:r w:rsidRPr="00632102">
        <w:rPr>
          <w:rFonts w:hint="cs"/>
          <w:rtl/>
        </w:rPr>
        <w:t>עברתי על הבירור ששלח לי ביום חמישי העבר, ובו תוכחת מגולה לאלו שהורו בשנה זו, לברך בשם ומלכות על אילנות</w:t>
      </w:r>
      <w:r w:rsidRPr="00632102">
        <w:rPr>
          <w:rFonts w:ascii="Cambria" w:hAnsi="Cambria" w:cs="Cambria" w:hint="cs"/>
          <w:rtl/>
        </w:rPr>
        <w:t> </w:t>
      </w:r>
      <w:r w:rsidRPr="00632102">
        <w:rPr>
          <w:rFonts w:hint="cs"/>
          <w:rtl/>
        </w:rPr>
        <w:t xml:space="preserve"> שהעמידו על גבי רכבים שונים, ולדעתו זה סותר סתימת הש"ס והרמב"ם והסמ"ק וש"פ, כ"ש להסכמת המקובלים לברך דוקא בשדות שמחוץ לעיר, ובפרט להכניס את הציבור מספק בדבר שיש לו מתירין, כאשר הכל ראו שהמגיפה מתמעטת, וכך הוה שבעז"ה תוך כמה ימים בטלה המגיפה, ואנן קיי"ל כדעת הטור והב"י ורוב בנין ומנין הפוסקים, שאפשר אף לכתחילה לברך באייר או באדר ושאר חודשים כל עוד שלא יצאו הפירות. ו</w:t>
      </w:r>
      <w:r>
        <w:rPr>
          <w:rFonts w:hint="cs"/>
          <w:rtl/>
        </w:rPr>
        <w:t xml:space="preserve">לדעתו </w:t>
      </w:r>
      <w:r w:rsidRPr="00632102">
        <w:rPr>
          <w:rFonts w:hint="cs"/>
          <w:rtl/>
        </w:rPr>
        <w:t>חייבים שוב לצאת ולברך אף בשם ומלכות כדת ההלכה הפשוטה והפסוקה, עכת"ד. ומכיון שלי הקטן ד</w:t>
      </w:r>
      <w:r>
        <w:rPr>
          <w:rFonts w:hint="cs"/>
          <w:rtl/>
        </w:rPr>
        <w:t>י</w:t>
      </w:r>
      <w:r w:rsidRPr="00632102">
        <w:rPr>
          <w:rFonts w:hint="cs"/>
          <w:rtl/>
        </w:rPr>
        <w:t>עה אחרת בזה, ובפרט שיש כאן ענין של הוצאת שם שמים לבטלה, ברצוני להעיר בזה על כמה ענינים כדרכו של תורה.</w:t>
      </w:r>
    </w:p>
    <w:p w:rsidR="004C1858" w:rsidRPr="00632102" w:rsidRDefault="004C1858" w:rsidP="004B0C42">
      <w:pPr>
        <w:pStyle w:val="11"/>
        <w:bidi/>
        <w:rPr>
          <w:rtl/>
        </w:rPr>
      </w:pPr>
      <w:r w:rsidRPr="00632102">
        <w:rPr>
          <w:rFonts w:hint="cs"/>
          <w:rtl/>
        </w:rPr>
        <w:t>אם מברכים בחודש ניסן דוקא</w:t>
      </w:r>
    </w:p>
    <w:p w:rsidR="004C1858" w:rsidRPr="00632102" w:rsidRDefault="004C1858" w:rsidP="004B0C42">
      <w:pPr>
        <w:pStyle w:val="a3"/>
        <w:rPr>
          <w:rtl/>
        </w:rPr>
      </w:pPr>
      <w:r w:rsidRPr="00632102">
        <w:rPr>
          <w:rFonts w:hint="cs"/>
          <w:rtl/>
        </w:rPr>
        <w:t>בגמ' ברכות (מג, ב) "</w:t>
      </w:r>
      <w:r w:rsidRPr="00632102">
        <w:rPr>
          <w:rFonts w:hint="eastAsia"/>
          <w:rtl/>
        </w:rPr>
        <w:t>אמר</w:t>
      </w:r>
      <w:r w:rsidRPr="00632102">
        <w:rPr>
          <w:rtl/>
        </w:rPr>
        <w:t xml:space="preserve"> </w:t>
      </w:r>
      <w:r w:rsidRPr="00632102">
        <w:rPr>
          <w:rFonts w:hint="eastAsia"/>
          <w:rtl/>
        </w:rPr>
        <w:t>רב</w:t>
      </w:r>
      <w:r w:rsidRPr="00632102">
        <w:rPr>
          <w:rtl/>
        </w:rPr>
        <w:t xml:space="preserve"> </w:t>
      </w:r>
      <w:r w:rsidRPr="00632102">
        <w:rPr>
          <w:rFonts w:hint="eastAsia"/>
          <w:rtl/>
        </w:rPr>
        <w:t>יהודה</w:t>
      </w:r>
      <w:r w:rsidRPr="00632102">
        <w:rPr>
          <w:rtl/>
        </w:rPr>
        <w:t xml:space="preserve"> </w:t>
      </w:r>
      <w:r w:rsidRPr="00632102">
        <w:rPr>
          <w:rFonts w:hint="eastAsia"/>
          <w:rtl/>
        </w:rPr>
        <w:t>האי</w:t>
      </w:r>
      <w:r w:rsidRPr="00632102">
        <w:rPr>
          <w:rtl/>
        </w:rPr>
        <w:t xml:space="preserve"> </w:t>
      </w:r>
      <w:r w:rsidRPr="00632102">
        <w:rPr>
          <w:rFonts w:hint="eastAsia"/>
          <w:rtl/>
        </w:rPr>
        <w:t>מאן</w:t>
      </w:r>
      <w:r w:rsidRPr="00632102">
        <w:rPr>
          <w:rtl/>
        </w:rPr>
        <w:t xml:space="preserve"> </w:t>
      </w:r>
      <w:r w:rsidRPr="00632102">
        <w:rPr>
          <w:rFonts w:hint="eastAsia"/>
          <w:rtl/>
        </w:rPr>
        <w:t>דנפיק</w:t>
      </w:r>
      <w:r w:rsidRPr="00632102">
        <w:rPr>
          <w:rtl/>
        </w:rPr>
        <w:t xml:space="preserve"> </w:t>
      </w:r>
      <w:r w:rsidRPr="00632102">
        <w:rPr>
          <w:rFonts w:hint="eastAsia"/>
          <w:rtl/>
        </w:rPr>
        <w:t>ביומי</w:t>
      </w:r>
      <w:r w:rsidRPr="00632102">
        <w:rPr>
          <w:rtl/>
        </w:rPr>
        <w:t xml:space="preserve"> </w:t>
      </w:r>
      <w:r w:rsidRPr="00632102">
        <w:rPr>
          <w:rFonts w:hint="eastAsia"/>
          <w:rtl/>
        </w:rPr>
        <w:t>ניסן</w:t>
      </w:r>
      <w:r w:rsidRPr="00632102">
        <w:rPr>
          <w:rtl/>
        </w:rPr>
        <w:t xml:space="preserve"> </w:t>
      </w:r>
      <w:r w:rsidRPr="00632102">
        <w:rPr>
          <w:rFonts w:hint="eastAsia"/>
          <w:rtl/>
        </w:rPr>
        <w:t>וחזי</w:t>
      </w:r>
      <w:r w:rsidRPr="00632102">
        <w:rPr>
          <w:rtl/>
        </w:rPr>
        <w:t xml:space="preserve"> </w:t>
      </w:r>
      <w:r w:rsidRPr="00632102">
        <w:rPr>
          <w:rFonts w:hint="eastAsia"/>
          <w:rtl/>
        </w:rPr>
        <w:t>אילני</w:t>
      </w:r>
      <w:r w:rsidRPr="00632102">
        <w:rPr>
          <w:rtl/>
        </w:rPr>
        <w:t xml:space="preserve"> </w:t>
      </w:r>
      <w:r w:rsidRPr="00632102">
        <w:rPr>
          <w:rFonts w:hint="eastAsia"/>
          <w:rtl/>
        </w:rPr>
        <w:t>דקא</w:t>
      </w:r>
      <w:r w:rsidRPr="00632102">
        <w:rPr>
          <w:rtl/>
        </w:rPr>
        <w:t xml:space="preserve"> </w:t>
      </w:r>
      <w:r w:rsidRPr="00632102">
        <w:rPr>
          <w:rFonts w:hint="eastAsia"/>
          <w:rtl/>
        </w:rPr>
        <w:t>מלבלבי</w:t>
      </w:r>
      <w:r w:rsidRPr="00632102">
        <w:rPr>
          <w:rtl/>
        </w:rPr>
        <w:t xml:space="preserve"> </w:t>
      </w:r>
      <w:r w:rsidRPr="00632102">
        <w:rPr>
          <w:rFonts w:hint="eastAsia"/>
          <w:rtl/>
        </w:rPr>
        <w:t>אומר</w:t>
      </w:r>
      <w:r w:rsidRPr="00632102">
        <w:rPr>
          <w:rtl/>
        </w:rPr>
        <w:t xml:space="preserve"> </w:t>
      </w:r>
      <w:r w:rsidRPr="00632102">
        <w:rPr>
          <w:rFonts w:hint="eastAsia"/>
          <w:rtl/>
        </w:rPr>
        <w:t>ברוך</w:t>
      </w:r>
      <w:r w:rsidRPr="00632102">
        <w:rPr>
          <w:rtl/>
        </w:rPr>
        <w:t xml:space="preserve"> </w:t>
      </w:r>
      <w:r w:rsidRPr="00632102">
        <w:rPr>
          <w:rFonts w:hint="eastAsia"/>
          <w:rtl/>
        </w:rPr>
        <w:t>שלא</w:t>
      </w:r>
      <w:r w:rsidRPr="00632102">
        <w:rPr>
          <w:rtl/>
        </w:rPr>
        <w:t xml:space="preserve"> </w:t>
      </w:r>
      <w:r w:rsidRPr="00632102">
        <w:rPr>
          <w:rFonts w:hint="eastAsia"/>
          <w:rtl/>
        </w:rPr>
        <w:t>חיסר</w:t>
      </w:r>
      <w:r w:rsidRPr="00632102">
        <w:rPr>
          <w:rtl/>
        </w:rPr>
        <w:t xml:space="preserve"> </w:t>
      </w:r>
      <w:r w:rsidRPr="00632102">
        <w:rPr>
          <w:rFonts w:hint="eastAsia"/>
          <w:rtl/>
        </w:rPr>
        <w:t>בעולמו</w:t>
      </w:r>
      <w:r w:rsidRPr="00632102">
        <w:rPr>
          <w:rtl/>
        </w:rPr>
        <w:t xml:space="preserve"> </w:t>
      </w:r>
      <w:r w:rsidRPr="00632102">
        <w:rPr>
          <w:rFonts w:hint="eastAsia"/>
          <w:rtl/>
        </w:rPr>
        <w:t>כלום</w:t>
      </w:r>
      <w:r w:rsidRPr="00632102">
        <w:rPr>
          <w:rtl/>
        </w:rPr>
        <w:t xml:space="preserve"> </w:t>
      </w:r>
      <w:r w:rsidRPr="00632102">
        <w:rPr>
          <w:rFonts w:hint="eastAsia"/>
          <w:rtl/>
        </w:rPr>
        <w:t>וברא</w:t>
      </w:r>
      <w:r w:rsidRPr="00632102">
        <w:rPr>
          <w:rtl/>
        </w:rPr>
        <w:t xml:space="preserve"> </w:t>
      </w:r>
      <w:r w:rsidRPr="00632102">
        <w:rPr>
          <w:rFonts w:hint="eastAsia"/>
          <w:rtl/>
        </w:rPr>
        <w:t>בו</w:t>
      </w:r>
      <w:r w:rsidRPr="00632102">
        <w:rPr>
          <w:rtl/>
        </w:rPr>
        <w:t xml:space="preserve"> </w:t>
      </w:r>
      <w:r w:rsidRPr="00632102">
        <w:rPr>
          <w:rFonts w:hint="eastAsia"/>
          <w:rtl/>
        </w:rPr>
        <w:t>בריות</w:t>
      </w:r>
      <w:r w:rsidRPr="00632102">
        <w:rPr>
          <w:rtl/>
        </w:rPr>
        <w:t xml:space="preserve"> </w:t>
      </w:r>
      <w:r w:rsidRPr="00632102">
        <w:rPr>
          <w:rFonts w:hint="eastAsia"/>
          <w:rtl/>
        </w:rPr>
        <w:t>טובות</w:t>
      </w:r>
      <w:r w:rsidRPr="00632102">
        <w:rPr>
          <w:rtl/>
        </w:rPr>
        <w:t xml:space="preserve"> </w:t>
      </w:r>
      <w:r w:rsidRPr="00632102">
        <w:rPr>
          <w:rFonts w:hint="eastAsia"/>
          <w:rtl/>
        </w:rPr>
        <w:t>ואילנות</w:t>
      </w:r>
      <w:r w:rsidRPr="00632102">
        <w:rPr>
          <w:rtl/>
        </w:rPr>
        <w:t xml:space="preserve"> </w:t>
      </w:r>
      <w:r w:rsidRPr="00632102">
        <w:rPr>
          <w:rFonts w:hint="eastAsia"/>
          <w:rtl/>
        </w:rPr>
        <w:t>טובות</w:t>
      </w:r>
      <w:r w:rsidRPr="00632102">
        <w:rPr>
          <w:rtl/>
        </w:rPr>
        <w:t xml:space="preserve"> </w:t>
      </w:r>
      <w:r w:rsidRPr="00632102">
        <w:rPr>
          <w:rFonts w:hint="eastAsia"/>
          <w:rtl/>
        </w:rPr>
        <w:t>להתנאות</w:t>
      </w:r>
      <w:r w:rsidRPr="00632102">
        <w:rPr>
          <w:rtl/>
        </w:rPr>
        <w:t xml:space="preserve"> </w:t>
      </w:r>
      <w:r w:rsidRPr="00632102">
        <w:rPr>
          <w:rFonts w:hint="eastAsia"/>
          <w:rtl/>
        </w:rPr>
        <w:t>בהן</w:t>
      </w:r>
      <w:r w:rsidRPr="00632102">
        <w:rPr>
          <w:rtl/>
        </w:rPr>
        <w:t xml:space="preserve"> </w:t>
      </w:r>
      <w:r w:rsidRPr="00632102">
        <w:rPr>
          <w:rFonts w:hint="eastAsia"/>
          <w:rtl/>
        </w:rPr>
        <w:t>בני</w:t>
      </w:r>
      <w:r w:rsidRPr="00632102">
        <w:rPr>
          <w:rtl/>
        </w:rPr>
        <w:t xml:space="preserve"> </w:t>
      </w:r>
      <w:r w:rsidRPr="00632102">
        <w:rPr>
          <w:rFonts w:hint="eastAsia"/>
          <w:rtl/>
        </w:rPr>
        <w:t>אדם</w:t>
      </w:r>
      <w:r w:rsidRPr="00632102">
        <w:rPr>
          <w:rFonts w:hint="cs"/>
          <w:rtl/>
        </w:rPr>
        <w:t xml:space="preserve">". </w:t>
      </w:r>
    </w:p>
    <w:p w:rsidR="004C1858" w:rsidRPr="00632102" w:rsidRDefault="004C1858" w:rsidP="004B0C42">
      <w:pPr>
        <w:pStyle w:val="a3"/>
        <w:rPr>
          <w:rtl/>
        </w:rPr>
      </w:pPr>
      <w:r w:rsidRPr="00632102">
        <w:rPr>
          <w:rFonts w:hint="cs"/>
          <w:rtl/>
        </w:rPr>
        <w:t>וכך נפסק בשו"ע (סי' רכו) "</w:t>
      </w:r>
      <w:r w:rsidRPr="00632102">
        <w:rPr>
          <w:rFonts w:hint="eastAsia"/>
          <w:rtl/>
        </w:rPr>
        <w:t>היוצא</w:t>
      </w:r>
      <w:r w:rsidRPr="00632102">
        <w:rPr>
          <w:rtl/>
        </w:rPr>
        <w:t xml:space="preserve"> </w:t>
      </w:r>
      <w:r w:rsidRPr="00632102">
        <w:rPr>
          <w:rFonts w:hint="eastAsia"/>
          <w:rtl/>
        </w:rPr>
        <w:t>בימי</w:t>
      </w:r>
      <w:r w:rsidRPr="00632102">
        <w:rPr>
          <w:rtl/>
        </w:rPr>
        <w:t xml:space="preserve"> </w:t>
      </w:r>
      <w:r w:rsidRPr="00632102">
        <w:rPr>
          <w:rFonts w:hint="eastAsia"/>
          <w:rtl/>
        </w:rPr>
        <w:t>ניסן</w:t>
      </w:r>
      <w:r w:rsidRPr="00632102">
        <w:rPr>
          <w:rtl/>
        </w:rPr>
        <w:t xml:space="preserve"> </w:t>
      </w:r>
      <w:r w:rsidRPr="00632102">
        <w:rPr>
          <w:rFonts w:hint="eastAsia"/>
          <w:rtl/>
        </w:rPr>
        <w:t>וראה</w:t>
      </w:r>
      <w:r w:rsidRPr="00632102">
        <w:rPr>
          <w:rtl/>
        </w:rPr>
        <w:t xml:space="preserve"> </w:t>
      </w:r>
      <w:r w:rsidRPr="00632102">
        <w:rPr>
          <w:rFonts w:hint="eastAsia"/>
          <w:rtl/>
        </w:rPr>
        <w:t>אילנות</w:t>
      </w:r>
      <w:r w:rsidRPr="00632102">
        <w:rPr>
          <w:rtl/>
        </w:rPr>
        <w:t xml:space="preserve"> </w:t>
      </w:r>
      <w:r w:rsidRPr="00632102">
        <w:rPr>
          <w:rFonts w:hint="eastAsia"/>
          <w:rtl/>
        </w:rPr>
        <w:t>שמוציאין</w:t>
      </w:r>
      <w:r w:rsidRPr="00632102">
        <w:rPr>
          <w:rtl/>
        </w:rPr>
        <w:t xml:space="preserve"> </w:t>
      </w:r>
      <w:r w:rsidRPr="00632102">
        <w:rPr>
          <w:rFonts w:hint="eastAsia"/>
          <w:rtl/>
        </w:rPr>
        <w:t>פרח</w:t>
      </w:r>
      <w:r w:rsidRPr="00632102">
        <w:rPr>
          <w:rtl/>
        </w:rPr>
        <w:t xml:space="preserve">, </w:t>
      </w:r>
      <w:r w:rsidRPr="00632102">
        <w:rPr>
          <w:rFonts w:hint="eastAsia"/>
          <w:rtl/>
        </w:rPr>
        <w:t>אומר</w:t>
      </w:r>
      <w:r w:rsidRPr="00632102">
        <w:rPr>
          <w:rtl/>
        </w:rPr>
        <w:t xml:space="preserve">: </w:t>
      </w:r>
      <w:r w:rsidRPr="00632102">
        <w:rPr>
          <w:rFonts w:hint="eastAsia"/>
          <w:rtl/>
        </w:rPr>
        <w:t>בא</w:t>
      </w:r>
      <w:r w:rsidRPr="00632102">
        <w:rPr>
          <w:rtl/>
        </w:rPr>
        <w:t>"</w:t>
      </w:r>
      <w:r w:rsidRPr="00632102">
        <w:rPr>
          <w:rFonts w:hint="eastAsia"/>
          <w:rtl/>
        </w:rPr>
        <w:t>י</w:t>
      </w:r>
      <w:r w:rsidRPr="00632102">
        <w:rPr>
          <w:rtl/>
        </w:rPr>
        <w:t xml:space="preserve"> </w:t>
      </w:r>
      <w:r w:rsidRPr="00632102">
        <w:rPr>
          <w:rFonts w:hint="eastAsia"/>
          <w:rtl/>
        </w:rPr>
        <w:t>אמ</w:t>
      </w:r>
      <w:r w:rsidRPr="00632102">
        <w:rPr>
          <w:rtl/>
        </w:rPr>
        <w:t>"</w:t>
      </w:r>
      <w:r w:rsidRPr="00632102">
        <w:rPr>
          <w:rFonts w:hint="eastAsia"/>
          <w:rtl/>
        </w:rPr>
        <w:t>ה</w:t>
      </w:r>
      <w:r w:rsidRPr="00632102">
        <w:rPr>
          <w:rtl/>
        </w:rPr>
        <w:t xml:space="preserve"> </w:t>
      </w:r>
      <w:r w:rsidRPr="00632102">
        <w:rPr>
          <w:rFonts w:hint="eastAsia"/>
          <w:rtl/>
        </w:rPr>
        <w:t>שלא</w:t>
      </w:r>
      <w:r w:rsidRPr="00632102">
        <w:rPr>
          <w:rtl/>
        </w:rPr>
        <w:t xml:space="preserve"> </w:t>
      </w:r>
      <w:r w:rsidRPr="00632102">
        <w:rPr>
          <w:rFonts w:hint="eastAsia"/>
          <w:rtl/>
        </w:rPr>
        <w:t>חיסר</w:t>
      </w:r>
      <w:r w:rsidRPr="00632102">
        <w:rPr>
          <w:rtl/>
        </w:rPr>
        <w:t xml:space="preserve"> </w:t>
      </w:r>
      <w:r w:rsidRPr="00632102">
        <w:rPr>
          <w:rFonts w:hint="eastAsia"/>
          <w:rtl/>
        </w:rPr>
        <w:t>בעולמו</w:t>
      </w:r>
      <w:r w:rsidRPr="00632102">
        <w:rPr>
          <w:rtl/>
        </w:rPr>
        <w:t xml:space="preserve"> </w:t>
      </w:r>
      <w:r w:rsidRPr="00632102">
        <w:rPr>
          <w:rFonts w:hint="eastAsia"/>
          <w:rtl/>
        </w:rPr>
        <w:t>כלום</w:t>
      </w:r>
      <w:r w:rsidRPr="00632102">
        <w:rPr>
          <w:rtl/>
        </w:rPr>
        <w:t xml:space="preserve"> </w:t>
      </w:r>
      <w:r w:rsidRPr="00632102">
        <w:rPr>
          <w:rFonts w:hint="eastAsia"/>
          <w:rtl/>
        </w:rPr>
        <w:t>וברא</w:t>
      </w:r>
      <w:r w:rsidRPr="00632102">
        <w:rPr>
          <w:rtl/>
        </w:rPr>
        <w:t xml:space="preserve"> </w:t>
      </w:r>
      <w:r w:rsidRPr="00632102">
        <w:rPr>
          <w:rFonts w:hint="eastAsia"/>
          <w:rtl/>
        </w:rPr>
        <w:t>בו</w:t>
      </w:r>
      <w:r w:rsidRPr="00632102">
        <w:rPr>
          <w:rtl/>
        </w:rPr>
        <w:t xml:space="preserve"> </w:t>
      </w:r>
      <w:r w:rsidRPr="00632102">
        <w:rPr>
          <w:rFonts w:hint="eastAsia"/>
          <w:rtl/>
        </w:rPr>
        <w:t>בריות</w:t>
      </w:r>
      <w:r w:rsidRPr="00632102">
        <w:rPr>
          <w:rtl/>
        </w:rPr>
        <w:t xml:space="preserve"> </w:t>
      </w:r>
      <w:r w:rsidRPr="00632102">
        <w:rPr>
          <w:rFonts w:hint="eastAsia"/>
          <w:rtl/>
        </w:rPr>
        <w:t>טובות</w:t>
      </w:r>
      <w:r w:rsidRPr="00632102">
        <w:rPr>
          <w:rtl/>
        </w:rPr>
        <w:t xml:space="preserve"> </w:t>
      </w:r>
      <w:r w:rsidRPr="00632102">
        <w:rPr>
          <w:rFonts w:hint="eastAsia"/>
          <w:rtl/>
        </w:rPr>
        <w:t>ואילנות</w:t>
      </w:r>
      <w:r w:rsidRPr="00632102">
        <w:rPr>
          <w:rtl/>
        </w:rPr>
        <w:t xml:space="preserve"> </w:t>
      </w:r>
      <w:r w:rsidRPr="00632102">
        <w:rPr>
          <w:rFonts w:hint="eastAsia"/>
          <w:rtl/>
        </w:rPr>
        <w:t>טובות</w:t>
      </w:r>
      <w:r w:rsidRPr="00632102">
        <w:rPr>
          <w:rtl/>
        </w:rPr>
        <w:t xml:space="preserve"> </w:t>
      </w:r>
      <w:r w:rsidRPr="00632102">
        <w:rPr>
          <w:rFonts w:hint="eastAsia"/>
          <w:rtl/>
        </w:rPr>
        <w:t>ליהנות</w:t>
      </w:r>
      <w:r w:rsidRPr="00632102">
        <w:rPr>
          <w:rtl/>
        </w:rPr>
        <w:t xml:space="preserve"> </w:t>
      </w:r>
      <w:r w:rsidRPr="00632102">
        <w:rPr>
          <w:rFonts w:hint="eastAsia"/>
          <w:rtl/>
        </w:rPr>
        <w:t>בהם</w:t>
      </w:r>
      <w:r w:rsidRPr="00632102">
        <w:rPr>
          <w:rtl/>
        </w:rPr>
        <w:t xml:space="preserve"> </w:t>
      </w:r>
      <w:r w:rsidRPr="00632102">
        <w:rPr>
          <w:rFonts w:hint="eastAsia"/>
          <w:rtl/>
        </w:rPr>
        <w:t>בני</w:t>
      </w:r>
      <w:r w:rsidRPr="00632102">
        <w:rPr>
          <w:rtl/>
        </w:rPr>
        <w:t xml:space="preserve"> </w:t>
      </w:r>
      <w:r w:rsidRPr="00632102">
        <w:rPr>
          <w:rFonts w:hint="eastAsia"/>
          <w:rtl/>
        </w:rPr>
        <w:t>אדם</w:t>
      </w:r>
      <w:r w:rsidRPr="00632102">
        <w:rPr>
          <w:rFonts w:hint="cs"/>
          <w:rtl/>
        </w:rPr>
        <w:t>.</w:t>
      </w:r>
      <w:r w:rsidRPr="00632102">
        <w:rPr>
          <w:rtl/>
        </w:rPr>
        <w:t xml:space="preserve"> </w:t>
      </w:r>
      <w:r w:rsidRPr="00632102">
        <w:rPr>
          <w:rFonts w:hint="eastAsia"/>
          <w:rtl/>
        </w:rPr>
        <w:t>ואינו</w:t>
      </w:r>
      <w:r w:rsidRPr="00632102">
        <w:rPr>
          <w:rtl/>
        </w:rPr>
        <w:t xml:space="preserve"> </w:t>
      </w:r>
      <w:r w:rsidRPr="00632102">
        <w:rPr>
          <w:rFonts w:hint="eastAsia"/>
          <w:rtl/>
        </w:rPr>
        <w:t>מברך</w:t>
      </w:r>
      <w:r w:rsidRPr="00632102">
        <w:rPr>
          <w:rtl/>
        </w:rPr>
        <w:t xml:space="preserve"> </w:t>
      </w:r>
      <w:r w:rsidRPr="00632102">
        <w:rPr>
          <w:rFonts w:hint="eastAsia"/>
          <w:rtl/>
        </w:rPr>
        <w:t>אלא</w:t>
      </w:r>
      <w:r w:rsidRPr="00632102">
        <w:rPr>
          <w:rtl/>
        </w:rPr>
        <w:t xml:space="preserve"> </w:t>
      </w:r>
      <w:r w:rsidRPr="00632102">
        <w:rPr>
          <w:rFonts w:hint="eastAsia"/>
          <w:rtl/>
        </w:rPr>
        <w:t>פעם</w:t>
      </w:r>
      <w:r w:rsidRPr="00632102">
        <w:rPr>
          <w:rtl/>
        </w:rPr>
        <w:t xml:space="preserve"> </w:t>
      </w:r>
      <w:r w:rsidRPr="00632102">
        <w:rPr>
          <w:rFonts w:hint="eastAsia"/>
          <w:rtl/>
        </w:rPr>
        <w:t>אחת</w:t>
      </w:r>
      <w:r w:rsidRPr="00632102">
        <w:rPr>
          <w:rtl/>
        </w:rPr>
        <w:t xml:space="preserve"> </w:t>
      </w:r>
      <w:r w:rsidRPr="00632102">
        <w:rPr>
          <w:rFonts w:hint="eastAsia"/>
          <w:rtl/>
        </w:rPr>
        <w:t>בכל</w:t>
      </w:r>
      <w:r w:rsidRPr="00632102">
        <w:rPr>
          <w:rtl/>
        </w:rPr>
        <w:t xml:space="preserve"> </w:t>
      </w:r>
      <w:r w:rsidRPr="00632102">
        <w:rPr>
          <w:rFonts w:hint="eastAsia"/>
          <w:rtl/>
        </w:rPr>
        <w:t>שנה</w:t>
      </w:r>
      <w:r w:rsidRPr="00632102">
        <w:rPr>
          <w:rtl/>
        </w:rPr>
        <w:t xml:space="preserve"> </w:t>
      </w:r>
      <w:r w:rsidRPr="00632102">
        <w:rPr>
          <w:rFonts w:hint="eastAsia"/>
          <w:rtl/>
        </w:rPr>
        <w:t>ושנה</w:t>
      </w:r>
      <w:r w:rsidRPr="00632102">
        <w:rPr>
          <w:rFonts w:hint="cs"/>
          <w:rtl/>
        </w:rPr>
        <w:t>.</w:t>
      </w:r>
      <w:r w:rsidRPr="00632102">
        <w:rPr>
          <w:rtl/>
        </w:rPr>
        <w:t xml:space="preserve"> </w:t>
      </w:r>
      <w:r w:rsidRPr="00632102">
        <w:rPr>
          <w:rFonts w:hint="eastAsia"/>
          <w:rtl/>
        </w:rPr>
        <w:t>ואם</w:t>
      </w:r>
      <w:r w:rsidRPr="00632102">
        <w:rPr>
          <w:rtl/>
        </w:rPr>
        <w:t xml:space="preserve"> </w:t>
      </w:r>
      <w:r w:rsidRPr="00632102">
        <w:rPr>
          <w:rFonts w:hint="eastAsia"/>
          <w:rtl/>
        </w:rPr>
        <w:t>איחר</w:t>
      </w:r>
      <w:r w:rsidRPr="00632102">
        <w:rPr>
          <w:rtl/>
        </w:rPr>
        <w:t xml:space="preserve"> </w:t>
      </w:r>
      <w:r w:rsidRPr="00632102">
        <w:rPr>
          <w:rFonts w:hint="eastAsia"/>
          <w:rtl/>
        </w:rPr>
        <w:t>לברך</w:t>
      </w:r>
      <w:r w:rsidRPr="00632102">
        <w:rPr>
          <w:rtl/>
        </w:rPr>
        <w:t xml:space="preserve"> </w:t>
      </w:r>
      <w:r w:rsidRPr="00632102">
        <w:rPr>
          <w:rFonts w:hint="eastAsia"/>
          <w:rtl/>
        </w:rPr>
        <w:t>עד</w:t>
      </w:r>
      <w:r w:rsidRPr="00632102">
        <w:rPr>
          <w:rtl/>
        </w:rPr>
        <w:t xml:space="preserve"> </w:t>
      </w:r>
      <w:r w:rsidRPr="00632102">
        <w:rPr>
          <w:rFonts w:hint="eastAsia"/>
          <w:rtl/>
        </w:rPr>
        <w:t>אחר</w:t>
      </w:r>
      <w:r w:rsidRPr="00632102">
        <w:rPr>
          <w:rtl/>
        </w:rPr>
        <w:t xml:space="preserve"> </w:t>
      </w:r>
      <w:r w:rsidRPr="00632102">
        <w:rPr>
          <w:rFonts w:hint="eastAsia"/>
          <w:rtl/>
        </w:rPr>
        <w:t>שגדלו</w:t>
      </w:r>
      <w:r w:rsidRPr="00632102">
        <w:rPr>
          <w:rtl/>
        </w:rPr>
        <w:t xml:space="preserve"> </w:t>
      </w:r>
      <w:r w:rsidRPr="00632102">
        <w:rPr>
          <w:rFonts w:hint="eastAsia"/>
          <w:rtl/>
        </w:rPr>
        <w:t>הפירות</w:t>
      </w:r>
      <w:r w:rsidRPr="00632102">
        <w:rPr>
          <w:rtl/>
        </w:rPr>
        <w:t xml:space="preserve">, </w:t>
      </w:r>
      <w:r w:rsidRPr="00632102">
        <w:rPr>
          <w:rFonts w:hint="eastAsia"/>
          <w:rtl/>
        </w:rPr>
        <w:t>לא</w:t>
      </w:r>
      <w:r w:rsidRPr="00632102">
        <w:rPr>
          <w:rtl/>
        </w:rPr>
        <w:t xml:space="preserve"> </w:t>
      </w:r>
      <w:r w:rsidRPr="00632102">
        <w:rPr>
          <w:rFonts w:hint="eastAsia"/>
          <w:rtl/>
        </w:rPr>
        <w:t>יברך</w:t>
      </w:r>
      <w:r w:rsidRPr="00632102">
        <w:rPr>
          <w:rtl/>
        </w:rPr>
        <w:t xml:space="preserve"> </w:t>
      </w:r>
      <w:r w:rsidRPr="00632102">
        <w:rPr>
          <w:rFonts w:hint="eastAsia"/>
          <w:rtl/>
        </w:rPr>
        <w:t>עוד</w:t>
      </w:r>
      <w:r w:rsidRPr="00632102">
        <w:rPr>
          <w:rFonts w:hint="cs"/>
          <w:rtl/>
        </w:rPr>
        <w:t>".</w:t>
      </w:r>
    </w:p>
    <w:p w:rsidR="004C1858" w:rsidRPr="00632102" w:rsidRDefault="004C1858" w:rsidP="004B0C42">
      <w:pPr>
        <w:pStyle w:val="a3"/>
        <w:rPr>
          <w:rtl/>
        </w:rPr>
      </w:pPr>
      <w:r w:rsidRPr="00632102">
        <w:rPr>
          <w:rFonts w:hint="cs"/>
          <w:rtl/>
        </w:rPr>
        <w:t>והנה פשטות לשון הגמ' "</w:t>
      </w:r>
      <w:r w:rsidRPr="00632102">
        <w:rPr>
          <w:rFonts w:hint="eastAsia"/>
          <w:rtl/>
        </w:rPr>
        <w:t>ביומי</w:t>
      </w:r>
      <w:r w:rsidRPr="00632102">
        <w:rPr>
          <w:rtl/>
        </w:rPr>
        <w:t xml:space="preserve"> </w:t>
      </w:r>
      <w:r w:rsidRPr="00632102">
        <w:rPr>
          <w:rFonts w:hint="eastAsia"/>
          <w:rtl/>
        </w:rPr>
        <w:t>ניסן</w:t>
      </w:r>
      <w:r w:rsidRPr="00632102">
        <w:rPr>
          <w:rFonts w:hint="cs"/>
          <w:rtl/>
        </w:rPr>
        <w:t>" היינו חודש ניסן דוקא. וכמו שמצינו בגמ' ב"ק (קיג, ב) "</w:t>
      </w:r>
      <w:r w:rsidRPr="00632102">
        <w:rPr>
          <w:rFonts w:hint="eastAsia"/>
          <w:rtl/>
        </w:rPr>
        <w:t>אמר</w:t>
      </w:r>
      <w:r w:rsidRPr="00632102">
        <w:rPr>
          <w:rtl/>
        </w:rPr>
        <w:t xml:space="preserve"> </w:t>
      </w:r>
      <w:r w:rsidRPr="00632102">
        <w:rPr>
          <w:rFonts w:hint="eastAsia"/>
          <w:rtl/>
        </w:rPr>
        <w:t>רב</w:t>
      </w:r>
      <w:r w:rsidRPr="00632102">
        <w:rPr>
          <w:rtl/>
        </w:rPr>
        <w:t xml:space="preserve"> </w:t>
      </w:r>
      <w:r w:rsidRPr="00632102">
        <w:rPr>
          <w:rFonts w:hint="eastAsia"/>
          <w:rtl/>
        </w:rPr>
        <w:t>יהודה</w:t>
      </w:r>
      <w:r w:rsidRPr="00632102">
        <w:rPr>
          <w:rtl/>
        </w:rPr>
        <w:t xml:space="preserve"> </w:t>
      </w:r>
      <w:r w:rsidRPr="00632102">
        <w:rPr>
          <w:rFonts w:hint="eastAsia"/>
          <w:rtl/>
        </w:rPr>
        <w:t>לא</w:t>
      </w:r>
      <w:r w:rsidRPr="00632102">
        <w:rPr>
          <w:rtl/>
        </w:rPr>
        <w:t xml:space="preserve"> </w:t>
      </w:r>
      <w:r w:rsidRPr="00632102">
        <w:rPr>
          <w:rFonts w:hint="eastAsia"/>
          <w:rtl/>
        </w:rPr>
        <w:t>יהבינא</w:t>
      </w:r>
      <w:r w:rsidRPr="00632102">
        <w:rPr>
          <w:rtl/>
        </w:rPr>
        <w:t xml:space="preserve"> </w:t>
      </w:r>
      <w:r w:rsidRPr="00632102">
        <w:rPr>
          <w:rFonts w:hint="eastAsia"/>
          <w:rtl/>
        </w:rPr>
        <w:t>זמנא</w:t>
      </w:r>
      <w:r w:rsidRPr="00632102">
        <w:rPr>
          <w:rtl/>
        </w:rPr>
        <w:t xml:space="preserve"> </w:t>
      </w:r>
      <w:r w:rsidRPr="00632102">
        <w:rPr>
          <w:rFonts w:hint="eastAsia"/>
          <w:rtl/>
        </w:rPr>
        <w:t>לא</w:t>
      </w:r>
      <w:r w:rsidRPr="00632102">
        <w:rPr>
          <w:rtl/>
        </w:rPr>
        <w:t xml:space="preserve"> </w:t>
      </w:r>
      <w:r w:rsidRPr="00632102">
        <w:rPr>
          <w:rFonts w:hint="eastAsia"/>
          <w:rtl/>
        </w:rPr>
        <w:t>ביומי</w:t>
      </w:r>
      <w:r w:rsidRPr="00632102">
        <w:rPr>
          <w:rtl/>
        </w:rPr>
        <w:t xml:space="preserve"> </w:t>
      </w:r>
      <w:r w:rsidRPr="00632102">
        <w:rPr>
          <w:rFonts w:hint="eastAsia"/>
          <w:rtl/>
        </w:rPr>
        <w:t>ניסן</w:t>
      </w:r>
      <w:r w:rsidRPr="00632102">
        <w:rPr>
          <w:rtl/>
        </w:rPr>
        <w:t xml:space="preserve"> </w:t>
      </w:r>
      <w:r w:rsidRPr="00632102">
        <w:rPr>
          <w:rFonts w:hint="eastAsia"/>
          <w:rtl/>
        </w:rPr>
        <w:t>ולא</w:t>
      </w:r>
      <w:r w:rsidRPr="00632102">
        <w:rPr>
          <w:rtl/>
        </w:rPr>
        <w:t xml:space="preserve"> </w:t>
      </w:r>
      <w:r w:rsidRPr="00632102">
        <w:rPr>
          <w:rFonts w:hint="eastAsia"/>
          <w:rtl/>
        </w:rPr>
        <w:t>ביומי</w:t>
      </w:r>
      <w:r w:rsidRPr="00632102">
        <w:rPr>
          <w:rtl/>
        </w:rPr>
        <w:t xml:space="preserve"> </w:t>
      </w:r>
      <w:r w:rsidRPr="00632102">
        <w:rPr>
          <w:rFonts w:hint="eastAsia"/>
          <w:rtl/>
        </w:rPr>
        <w:t>תשרי</w:t>
      </w:r>
      <w:r w:rsidRPr="00632102">
        <w:rPr>
          <w:rFonts w:hint="cs"/>
          <w:rtl/>
        </w:rPr>
        <w:t xml:space="preserve"> . .</w:t>
      </w:r>
      <w:r w:rsidRPr="00632102">
        <w:rPr>
          <w:rtl/>
        </w:rPr>
        <w:t xml:space="preserve"> </w:t>
      </w:r>
      <w:r w:rsidRPr="00632102">
        <w:rPr>
          <w:rFonts w:hint="eastAsia"/>
          <w:rtl/>
        </w:rPr>
        <w:t>אבל</w:t>
      </w:r>
      <w:r w:rsidRPr="00632102">
        <w:rPr>
          <w:rtl/>
        </w:rPr>
        <w:t xml:space="preserve"> </w:t>
      </w:r>
      <w:r w:rsidRPr="00632102">
        <w:rPr>
          <w:rFonts w:hint="eastAsia"/>
          <w:rtl/>
        </w:rPr>
        <w:t>מניסן</w:t>
      </w:r>
      <w:r w:rsidRPr="00632102">
        <w:rPr>
          <w:rtl/>
        </w:rPr>
        <w:t xml:space="preserve"> </w:t>
      </w:r>
      <w:r w:rsidRPr="00632102">
        <w:rPr>
          <w:rFonts w:hint="eastAsia"/>
          <w:rtl/>
        </w:rPr>
        <w:t>לבתר</w:t>
      </w:r>
      <w:r w:rsidRPr="00632102">
        <w:rPr>
          <w:rtl/>
        </w:rPr>
        <w:t xml:space="preserve"> </w:t>
      </w:r>
      <w:r w:rsidRPr="00632102">
        <w:rPr>
          <w:rFonts w:hint="eastAsia"/>
          <w:rtl/>
        </w:rPr>
        <w:t>יומי</w:t>
      </w:r>
      <w:r w:rsidRPr="00632102">
        <w:rPr>
          <w:rtl/>
        </w:rPr>
        <w:t xml:space="preserve"> </w:t>
      </w:r>
      <w:r w:rsidRPr="00632102">
        <w:rPr>
          <w:rFonts w:hint="eastAsia"/>
          <w:rtl/>
        </w:rPr>
        <w:t>ניסן</w:t>
      </w:r>
      <w:r w:rsidRPr="00632102">
        <w:rPr>
          <w:rtl/>
        </w:rPr>
        <w:t xml:space="preserve"> </w:t>
      </w:r>
      <w:r w:rsidRPr="00632102">
        <w:rPr>
          <w:rFonts w:hint="eastAsia"/>
          <w:rtl/>
        </w:rPr>
        <w:t>וביומי</w:t>
      </w:r>
      <w:r w:rsidRPr="00632102">
        <w:rPr>
          <w:rtl/>
        </w:rPr>
        <w:t xml:space="preserve"> </w:t>
      </w:r>
      <w:r w:rsidRPr="00632102">
        <w:rPr>
          <w:rFonts w:hint="eastAsia"/>
          <w:rtl/>
        </w:rPr>
        <w:t>תשרי</w:t>
      </w:r>
      <w:r w:rsidRPr="00632102">
        <w:rPr>
          <w:rtl/>
        </w:rPr>
        <w:t xml:space="preserve"> </w:t>
      </w:r>
      <w:r w:rsidRPr="00632102">
        <w:rPr>
          <w:rFonts w:hint="eastAsia"/>
          <w:rtl/>
        </w:rPr>
        <w:t>לבתר</w:t>
      </w:r>
      <w:r w:rsidRPr="00632102">
        <w:rPr>
          <w:rtl/>
        </w:rPr>
        <w:t xml:space="preserve"> </w:t>
      </w:r>
      <w:r w:rsidRPr="00632102">
        <w:rPr>
          <w:rFonts w:hint="eastAsia"/>
          <w:rtl/>
        </w:rPr>
        <w:t>תשרי</w:t>
      </w:r>
      <w:r w:rsidRPr="00632102">
        <w:rPr>
          <w:rtl/>
        </w:rPr>
        <w:t xml:space="preserve"> </w:t>
      </w:r>
      <w:r w:rsidRPr="00632102">
        <w:rPr>
          <w:rFonts w:hint="eastAsia"/>
          <w:rtl/>
        </w:rPr>
        <w:t>קבעינן</w:t>
      </w:r>
      <w:r w:rsidRPr="00632102">
        <w:rPr>
          <w:rFonts w:hint="cs"/>
          <w:rtl/>
        </w:rPr>
        <w:t>", ושם ניסן הוא בדוקא כמו שנפסק בשו"ע (חו"מ סי' ה ס"א) "</w:t>
      </w:r>
      <w:r w:rsidRPr="00632102">
        <w:rPr>
          <w:rFonts w:hint="eastAsia"/>
          <w:rtl/>
        </w:rPr>
        <w:t>אין</w:t>
      </w:r>
      <w:r w:rsidRPr="00632102">
        <w:rPr>
          <w:rtl/>
        </w:rPr>
        <w:t xml:space="preserve"> </w:t>
      </w:r>
      <w:r w:rsidRPr="00632102">
        <w:rPr>
          <w:rFonts w:hint="eastAsia"/>
          <w:rtl/>
        </w:rPr>
        <w:t>קובעין</w:t>
      </w:r>
      <w:r w:rsidRPr="00632102">
        <w:rPr>
          <w:rtl/>
        </w:rPr>
        <w:t xml:space="preserve"> </w:t>
      </w:r>
      <w:r w:rsidRPr="00632102">
        <w:rPr>
          <w:rFonts w:hint="eastAsia"/>
          <w:rtl/>
        </w:rPr>
        <w:t>זמן</w:t>
      </w:r>
      <w:r w:rsidRPr="00632102">
        <w:rPr>
          <w:rtl/>
        </w:rPr>
        <w:t xml:space="preserve"> </w:t>
      </w:r>
      <w:r w:rsidRPr="00632102">
        <w:rPr>
          <w:rFonts w:hint="eastAsia"/>
          <w:rtl/>
        </w:rPr>
        <w:t>בניסן</w:t>
      </w:r>
      <w:r w:rsidRPr="00632102">
        <w:rPr>
          <w:rtl/>
        </w:rPr>
        <w:t xml:space="preserve"> </w:t>
      </w:r>
      <w:r w:rsidRPr="00632102">
        <w:rPr>
          <w:rFonts w:hint="eastAsia"/>
          <w:rtl/>
        </w:rPr>
        <w:t>ותשרי</w:t>
      </w:r>
      <w:r w:rsidRPr="00632102">
        <w:rPr>
          <w:rFonts w:hint="cs"/>
          <w:rtl/>
        </w:rPr>
        <w:t>" (וראה ב</w:t>
      </w:r>
      <w:r w:rsidRPr="00632102">
        <w:rPr>
          <w:rFonts w:hint="eastAsia"/>
          <w:rtl/>
        </w:rPr>
        <w:t>שו</w:t>
      </w:r>
      <w:r w:rsidRPr="00632102">
        <w:rPr>
          <w:rtl/>
        </w:rPr>
        <w:t>"</w:t>
      </w:r>
      <w:r w:rsidRPr="00632102">
        <w:rPr>
          <w:rFonts w:hint="eastAsia"/>
          <w:rtl/>
        </w:rPr>
        <w:t>ת</w:t>
      </w:r>
      <w:r w:rsidRPr="00632102">
        <w:rPr>
          <w:rtl/>
        </w:rPr>
        <w:t xml:space="preserve"> </w:t>
      </w:r>
      <w:r w:rsidRPr="00632102">
        <w:rPr>
          <w:rFonts w:hint="eastAsia"/>
          <w:rtl/>
        </w:rPr>
        <w:t>שבות</w:t>
      </w:r>
      <w:r w:rsidRPr="00632102">
        <w:rPr>
          <w:rtl/>
        </w:rPr>
        <w:t xml:space="preserve"> </w:t>
      </w:r>
      <w:r w:rsidRPr="00632102">
        <w:rPr>
          <w:rFonts w:hint="eastAsia"/>
          <w:rtl/>
        </w:rPr>
        <w:t>יעקב</w:t>
      </w:r>
      <w:r w:rsidRPr="00632102">
        <w:rPr>
          <w:rtl/>
        </w:rPr>
        <w:t xml:space="preserve"> </w:t>
      </w:r>
      <w:r w:rsidRPr="00632102">
        <w:rPr>
          <w:rFonts w:hint="eastAsia"/>
          <w:rtl/>
        </w:rPr>
        <w:t>ח</w:t>
      </w:r>
      <w:r w:rsidRPr="00632102">
        <w:rPr>
          <w:rFonts w:hint="cs"/>
          <w:rtl/>
        </w:rPr>
        <w:t>"</w:t>
      </w:r>
      <w:r w:rsidRPr="00632102">
        <w:rPr>
          <w:rFonts w:hint="eastAsia"/>
          <w:rtl/>
        </w:rPr>
        <w:t>א</w:t>
      </w:r>
      <w:r w:rsidRPr="00632102">
        <w:rPr>
          <w:rtl/>
        </w:rPr>
        <w:t xml:space="preserve"> </w:t>
      </w:r>
      <w:r w:rsidRPr="00632102">
        <w:rPr>
          <w:rFonts w:hint="eastAsia"/>
          <w:rtl/>
        </w:rPr>
        <w:t>סי</w:t>
      </w:r>
      <w:r w:rsidRPr="00632102">
        <w:rPr>
          <w:rFonts w:hint="cs"/>
          <w:rtl/>
        </w:rPr>
        <w:t>'</w:t>
      </w:r>
      <w:r w:rsidRPr="00632102">
        <w:rPr>
          <w:rtl/>
        </w:rPr>
        <w:t xml:space="preserve"> </w:t>
      </w:r>
      <w:r w:rsidRPr="00632102">
        <w:rPr>
          <w:rFonts w:hint="eastAsia"/>
          <w:rtl/>
        </w:rPr>
        <w:t>קלט</w:t>
      </w:r>
      <w:r w:rsidRPr="00632102">
        <w:rPr>
          <w:rFonts w:hint="cs"/>
          <w:rtl/>
        </w:rPr>
        <w:t>, שמדייק כן מפשטות לשון הגמ'),</w:t>
      </w:r>
      <w:r w:rsidRPr="00632102">
        <w:rPr>
          <w:rtl/>
        </w:rPr>
        <w:t xml:space="preserve"> </w:t>
      </w:r>
      <w:r w:rsidRPr="00632102">
        <w:rPr>
          <w:rFonts w:hint="cs"/>
          <w:rtl/>
        </w:rPr>
        <w:t>הרי דלשון יומי ניסן היינו ניסן דוקא. וכן הוא פשטות לשון הטור והשו"ע שכתבו "בימי ניסן", ולא פירשו שזהו לאו דוקא ואפשר לברך גם בחודש אייר, מבואר דהם סברו שחודש ניסן</w:t>
      </w:r>
      <w:r>
        <w:rPr>
          <w:rFonts w:hint="cs"/>
          <w:rtl/>
        </w:rPr>
        <w:t xml:space="preserve"> דוקא</w:t>
      </w:r>
      <w:r w:rsidRPr="00632102">
        <w:rPr>
          <w:rFonts w:hint="cs"/>
          <w:rtl/>
        </w:rPr>
        <w:t xml:space="preserve">. </w:t>
      </w:r>
    </w:p>
    <w:p w:rsidR="004C1858" w:rsidRPr="00632102" w:rsidRDefault="004C1858" w:rsidP="004B0C42">
      <w:pPr>
        <w:pStyle w:val="a3"/>
        <w:rPr>
          <w:rtl/>
        </w:rPr>
      </w:pPr>
      <w:r w:rsidRPr="00632102">
        <w:rPr>
          <w:rFonts w:hint="cs"/>
          <w:rtl/>
        </w:rPr>
        <w:t>וכן נקטו כמה פוסקים להדיא, ב</w:t>
      </w:r>
      <w:r w:rsidRPr="00632102">
        <w:rPr>
          <w:rFonts w:hint="eastAsia"/>
          <w:rtl/>
        </w:rPr>
        <w:t>שו</w:t>
      </w:r>
      <w:r w:rsidRPr="00632102">
        <w:rPr>
          <w:rtl/>
        </w:rPr>
        <w:t>"</w:t>
      </w:r>
      <w:r w:rsidRPr="00632102">
        <w:rPr>
          <w:rFonts w:hint="eastAsia"/>
          <w:rtl/>
        </w:rPr>
        <w:t>ת</w:t>
      </w:r>
      <w:r w:rsidRPr="00632102">
        <w:rPr>
          <w:rtl/>
        </w:rPr>
        <w:t xml:space="preserve"> </w:t>
      </w:r>
      <w:r w:rsidRPr="00632102">
        <w:rPr>
          <w:rFonts w:hint="eastAsia"/>
          <w:rtl/>
        </w:rPr>
        <w:t>הלכות</w:t>
      </w:r>
      <w:r w:rsidRPr="00632102">
        <w:rPr>
          <w:rtl/>
        </w:rPr>
        <w:t xml:space="preserve"> </w:t>
      </w:r>
      <w:r w:rsidRPr="00632102">
        <w:rPr>
          <w:rFonts w:hint="eastAsia"/>
          <w:rtl/>
        </w:rPr>
        <w:t>קטנות</w:t>
      </w:r>
      <w:r w:rsidRPr="00632102">
        <w:rPr>
          <w:rtl/>
        </w:rPr>
        <w:t xml:space="preserve"> </w:t>
      </w:r>
      <w:r w:rsidRPr="00632102">
        <w:rPr>
          <w:rFonts w:hint="cs"/>
          <w:rtl/>
        </w:rPr>
        <w:t>(</w:t>
      </w:r>
      <w:r w:rsidRPr="00632102">
        <w:rPr>
          <w:rFonts w:hint="eastAsia"/>
          <w:rtl/>
        </w:rPr>
        <w:t>ח</w:t>
      </w:r>
      <w:r w:rsidRPr="00632102">
        <w:rPr>
          <w:rFonts w:hint="cs"/>
          <w:rtl/>
        </w:rPr>
        <w:t>"</w:t>
      </w:r>
      <w:r w:rsidRPr="00632102">
        <w:rPr>
          <w:rFonts w:hint="eastAsia"/>
          <w:rtl/>
        </w:rPr>
        <w:t>ב</w:t>
      </w:r>
      <w:r w:rsidRPr="00632102">
        <w:rPr>
          <w:rtl/>
        </w:rPr>
        <w:t xml:space="preserve"> </w:t>
      </w:r>
      <w:r w:rsidRPr="00632102">
        <w:rPr>
          <w:rFonts w:hint="eastAsia"/>
          <w:rtl/>
        </w:rPr>
        <w:t>סי</w:t>
      </w:r>
      <w:r w:rsidRPr="00632102">
        <w:rPr>
          <w:rFonts w:hint="cs"/>
          <w:rtl/>
        </w:rPr>
        <w:t>'</w:t>
      </w:r>
      <w:r w:rsidRPr="00632102">
        <w:rPr>
          <w:rtl/>
        </w:rPr>
        <w:t xml:space="preserve"> </w:t>
      </w:r>
      <w:r w:rsidRPr="00632102">
        <w:rPr>
          <w:rFonts w:hint="eastAsia"/>
          <w:rtl/>
        </w:rPr>
        <w:t>כח</w:t>
      </w:r>
      <w:r w:rsidRPr="00632102">
        <w:rPr>
          <w:rFonts w:hint="cs"/>
          <w:rtl/>
        </w:rPr>
        <w:t>) מדייק כן מלשון הגמ' "</w:t>
      </w:r>
      <w:r w:rsidRPr="00632102">
        <w:rPr>
          <w:rFonts w:hint="eastAsia"/>
          <w:rtl/>
        </w:rPr>
        <w:t>ומאמרו</w:t>
      </w:r>
      <w:r w:rsidRPr="00632102">
        <w:rPr>
          <w:rtl/>
        </w:rPr>
        <w:t xml:space="preserve"> </w:t>
      </w:r>
      <w:r w:rsidRPr="00632102">
        <w:rPr>
          <w:rFonts w:hint="eastAsia"/>
          <w:rtl/>
        </w:rPr>
        <w:t>יוצא</w:t>
      </w:r>
      <w:r w:rsidRPr="00632102">
        <w:rPr>
          <w:rtl/>
        </w:rPr>
        <w:t xml:space="preserve"> </w:t>
      </w:r>
      <w:r w:rsidRPr="00632102">
        <w:rPr>
          <w:rFonts w:hint="eastAsia"/>
          <w:rtl/>
        </w:rPr>
        <w:t>בימי</w:t>
      </w:r>
      <w:r w:rsidRPr="00632102">
        <w:rPr>
          <w:rtl/>
        </w:rPr>
        <w:t xml:space="preserve"> </w:t>
      </w:r>
      <w:r w:rsidRPr="00632102">
        <w:rPr>
          <w:rFonts w:hint="eastAsia"/>
          <w:rtl/>
        </w:rPr>
        <w:t>ניסן</w:t>
      </w:r>
      <w:r w:rsidRPr="00632102">
        <w:rPr>
          <w:rtl/>
        </w:rPr>
        <w:t xml:space="preserve"> </w:t>
      </w:r>
      <w:r w:rsidRPr="00632102">
        <w:rPr>
          <w:rFonts w:hint="eastAsia"/>
          <w:rtl/>
        </w:rPr>
        <w:t>משמע</w:t>
      </w:r>
      <w:r w:rsidRPr="00632102">
        <w:rPr>
          <w:rtl/>
        </w:rPr>
        <w:t xml:space="preserve"> </w:t>
      </w:r>
      <w:r w:rsidRPr="00632102">
        <w:rPr>
          <w:rFonts w:hint="eastAsia"/>
          <w:rtl/>
        </w:rPr>
        <w:t>דעל</w:t>
      </w:r>
      <w:r w:rsidRPr="00632102">
        <w:rPr>
          <w:rtl/>
        </w:rPr>
        <w:t xml:space="preserve"> </w:t>
      </w:r>
      <w:r w:rsidRPr="00632102">
        <w:rPr>
          <w:rFonts w:hint="eastAsia"/>
          <w:rtl/>
        </w:rPr>
        <w:t>פרחי</w:t>
      </w:r>
      <w:r w:rsidRPr="00632102">
        <w:rPr>
          <w:rtl/>
        </w:rPr>
        <w:t xml:space="preserve"> </w:t>
      </w:r>
      <w:r w:rsidRPr="00632102">
        <w:rPr>
          <w:rFonts w:hint="eastAsia"/>
          <w:rtl/>
        </w:rPr>
        <w:t>השקדים</w:t>
      </w:r>
      <w:r w:rsidRPr="00632102">
        <w:rPr>
          <w:rtl/>
        </w:rPr>
        <w:t xml:space="preserve"> </w:t>
      </w:r>
      <w:r w:rsidRPr="00632102">
        <w:rPr>
          <w:rFonts w:hint="eastAsia"/>
          <w:rtl/>
        </w:rPr>
        <w:t>שממהרים</w:t>
      </w:r>
      <w:r w:rsidRPr="00632102">
        <w:rPr>
          <w:rtl/>
        </w:rPr>
        <w:t xml:space="preserve"> </w:t>
      </w:r>
      <w:r w:rsidRPr="00632102">
        <w:rPr>
          <w:rFonts w:hint="eastAsia"/>
          <w:rtl/>
        </w:rPr>
        <w:t>הרבה</w:t>
      </w:r>
      <w:r w:rsidRPr="00632102">
        <w:rPr>
          <w:rtl/>
        </w:rPr>
        <w:t xml:space="preserve"> </w:t>
      </w:r>
      <w:r w:rsidRPr="00632102">
        <w:rPr>
          <w:rFonts w:hint="eastAsia"/>
          <w:rtl/>
        </w:rPr>
        <w:t>קודם</w:t>
      </w:r>
      <w:r w:rsidRPr="00632102">
        <w:rPr>
          <w:rtl/>
        </w:rPr>
        <w:t xml:space="preserve"> </w:t>
      </w:r>
      <w:r w:rsidRPr="00632102">
        <w:rPr>
          <w:rFonts w:hint="eastAsia"/>
          <w:rtl/>
        </w:rPr>
        <w:t>ניסן</w:t>
      </w:r>
      <w:r w:rsidRPr="00632102">
        <w:rPr>
          <w:rtl/>
        </w:rPr>
        <w:t xml:space="preserve"> </w:t>
      </w:r>
      <w:r w:rsidRPr="00632102">
        <w:rPr>
          <w:rFonts w:hint="eastAsia"/>
          <w:rtl/>
        </w:rPr>
        <w:t>אין</w:t>
      </w:r>
      <w:r w:rsidRPr="00632102">
        <w:rPr>
          <w:rtl/>
        </w:rPr>
        <w:t xml:space="preserve"> </w:t>
      </w:r>
      <w:r w:rsidRPr="00632102">
        <w:rPr>
          <w:rFonts w:hint="eastAsia"/>
          <w:rtl/>
        </w:rPr>
        <w:t>לברך</w:t>
      </w:r>
      <w:r w:rsidRPr="00632102">
        <w:rPr>
          <w:rFonts w:hint="cs"/>
          <w:rtl/>
        </w:rPr>
        <w:t>". והחיד"א בברכי יוסף (סי' רכו ס"ב) כתב "</w:t>
      </w:r>
      <w:r w:rsidRPr="00632102">
        <w:rPr>
          <w:rFonts w:hint="eastAsia"/>
          <w:rtl/>
        </w:rPr>
        <w:t>ואני</w:t>
      </w:r>
      <w:r w:rsidRPr="00632102">
        <w:rPr>
          <w:rtl/>
        </w:rPr>
        <w:t xml:space="preserve"> </w:t>
      </w:r>
      <w:r w:rsidRPr="00632102">
        <w:rPr>
          <w:rFonts w:hint="eastAsia"/>
          <w:rtl/>
        </w:rPr>
        <w:t>שמעתי</w:t>
      </w:r>
      <w:r w:rsidRPr="00632102">
        <w:rPr>
          <w:rtl/>
        </w:rPr>
        <w:t xml:space="preserve"> </w:t>
      </w:r>
      <w:r w:rsidRPr="00632102">
        <w:rPr>
          <w:rFonts w:hint="eastAsia"/>
          <w:rtl/>
        </w:rPr>
        <w:t>דברכה</w:t>
      </w:r>
      <w:r w:rsidRPr="00632102">
        <w:rPr>
          <w:rtl/>
        </w:rPr>
        <w:t xml:space="preserve"> </w:t>
      </w:r>
      <w:r w:rsidRPr="00632102">
        <w:rPr>
          <w:rFonts w:hint="eastAsia"/>
          <w:rtl/>
        </w:rPr>
        <w:t>זו</w:t>
      </w:r>
      <w:r w:rsidRPr="00632102">
        <w:rPr>
          <w:rtl/>
        </w:rPr>
        <w:t xml:space="preserve"> </w:t>
      </w:r>
      <w:r w:rsidRPr="00632102">
        <w:rPr>
          <w:rFonts w:hint="eastAsia"/>
          <w:rtl/>
        </w:rPr>
        <w:t>על</w:t>
      </w:r>
      <w:r w:rsidRPr="00632102">
        <w:rPr>
          <w:rtl/>
        </w:rPr>
        <w:t xml:space="preserve"> </w:t>
      </w:r>
      <w:r w:rsidRPr="00632102">
        <w:rPr>
          <w:rFonts w:hint="eastAsia"/>
          <w:rtl/>
        </w:rPr>
        <w:t>דרך</w:t>
      </w:r>
      <w:r w:rsidRPr="00632102">
        <w:rPr>
          <w:rtl/>
        </w:rPr>
        <w:t xml:space="preserve"> </w:t>
      </w:r>
      <w:r w:rsidRPr="00632102">
        <w:rPr>
          <w:rFonts w:hint="eastAsia"/>
          <w:rtl/>
        </w:rPr>
        <w:t>האמת</w:t>
      </w:r>
      <w:r w:rsidRPr="00632102">
        <w:rPr>
          <w:rtl/>
        </w:rPr>
        <w:t xml:space="preserve"> </w:t>
      </w:r>
      <w:r w:rsidRPr="00632102">
        <w:rPr>
          <w:rFonts w:hint="eastAsia"/>
          <w:rtl/>
        </w:rPr>
        <w:t>שייכא</w:t>
      </w:r>
      <w:r w:rsidRPr="00632102">
        <w:rPr>
          <w:rtl/>
        </w:rPr>
        <w:t xml:space="preserve"> </w:t>
      </w:r>
      <w:r w:rsidRPr="00632102">
        <w:rPr>
          <w:rFonts w:hint="eastAsia"/>
          <w:rtl/>
        </w:rPr>
        <w:t>דוקא</w:t>
      </w:r>
      <w:r w:rsidRPr="00632102">
        <w:rPr>
          <w:rtl/>
        </w:rPr>
        <w:t xml:space="preserve"> </w:t>
      </w:r>
      <w:r w:rsidRPr="00632102">
        <w:rPr>
          <w:rFonts w:hint="eastAsia"/>
          <w:rtl/>
        </w:rPr>
        <w:lastRenderedPageBreak/>
        <w:t>לימי</w:t>
      </w:r>
      <w:r w:rsidRPr="00632102">
        <w:rPr>
          <w:rtl/>
        </w:rPr>
        <w:t xml:space="preserve"> </w:t>
      </w:r>
      <w:r w:rsidRPr="00632102">
        <w:rPr>
          <w:rFonts w:hint="eastAsia"/>
          <w:rtl/>
        </w:rPr>
        <w:t>ניסן</w:t>
      </w:r>
      <w:r w:rsidRPr="00632102">
        <w:rPr>
          <w:rtl/>
        </w:rPr>
        <w:t xml:space="preserve">. </w:t>
      </w:r>
      <w:r w:rsidRPr="00632102">
        <w:rPr>
          <w:rFonts w:hint="eastAsia"/>
          <w:rtl/>
        </w:rPr>
        <w:t>ו</w:t>
      </w:r>
      <w:r w:rsidRPr="00632102">
        <w:rPr>
          <w:rFonts w:hint="cs"/>
          <w:rtl/>
        </w:rPr>
        <w:t>ל</w:t>
      </w:r>
      <w:r w:rsidRPr="00632102">
        <w:rPr>
          <w:rFonts w:hint="eastAsia"/>
          <w:rtl/>
        </w:rPr>
        <w:t>פ</w:t>
      </w:r>
      <w:r w:rsidRPr="00632102">
        <w:rPr>
          <w:rtl/>
        </w:rPr>
        <w:t>"</w:t>
      </w:r>
      <w:r w:rsidRPr="00632102">
        <w:rPr>
          <w:rFonts w:hint="eastAsia"/>
          <w:rtl/>
        </w:rPr>
        <w:t>ז</w:t>
      </w:r>
      <w:r w:rsidRPr="00632102">
        <w:rPr>
          <w:rtl/>
        </w:rPr>
        <w:t xml:space="preserve"> </w:t>
      </w:r>
      <w:r w:rsidRPr="00632102">
        <w:rPr>
          <w:rFonts w:hint="eastAsia"/>
          <w:rtl/>
        </w:rPr>
        <w:t>נ</w:t>
      </w:r>
      <w:r w:rsidRPr="00632102">
        <w:rPr>
          <w:rtl/>
        </w:rPr>
        <w:t>"</w:t>
      </w:r>
      <w:r w:rsidRPr="00632102">
        <w:rPr>
          <w:rFonts w:hint="eastAsia"/>
          <w:rtl/>
        </w:rPr>
        <w:t>ל</w:t>
      </w:r>
      <w:r w:rsidRPr="00632102">
        <w:rPr>
          <w:rtl/>
        </w:rPr>
        <w:t xml:space="preserve"> </w:t>
      </w:r>
      <w:r w:rsidRPr="00632102">
        <w:rPr>
          <w:rFonts w:hint="eastAsia"/>
          <w:rtl/>
        </w:rPr>
        <w:t>דגם</w:t>
      </w:r>
      <w:r w:rsidRPr="00632102">
        <w:rPr>
          <w:rtl/>
        </w:rPr>
        <w:t xml:space="preserve"> </w:t>
      </w:r>
      <w:r w:rsidRPr="00632102">
        <w:rPr>
          <w:rFonts w:hint="eastAsia"/>
          <w:rtl/>
        </w:rPr>
        <w:t>על</w:t>
      </w:r>
      <w:r w:rsidRPr="00632102">
        <w:rPr>
          <w:rtl/>
        </w:rPr>
        <w:t xml:space="preserve"> </w:t>
      </w:r>
      <w:r w:rsidRPr="00632102">
        <w:rPr>
          <w:rFonts w:hint="eastAsia"/>
          <w:rtl/>
        </w:rPr>
        <w:t>פרחי</w:t>
      </w:r>
      <w:r w:rsidRPr="00632102">
        <w:rPr>
          <w:rtl/>
        </w:rPr>
        <w:t xml:space="preserve"> </w:t>
      </w:r>
      <w:r w:rsidRPr="00632102">
        <w:rPr>
          <w:rFonts w:hint="eastAsia"/>
          <w:rtl/>
        </w:rPr>
        <w:t>שקדים</w:t>
      </w:r>
      <w:r w:rsidRPr="00632102">
        <w:rPr>
          <w:rtl/>
        </w:rPr>
        <w:t xml:space="preserve"> </w:t>
      </w:r>
      <w:r w:rsidRPr="00632102">
        <w:rPr>
          <w:rFonts w:hint="eastAsia"/>
          <w:rtl/>
        </w:rPr>
        <w:t>יכול</w:t>
      </w:r>
      <w:r w:rsidRPr="00632102">
        <w:rPr>
          <w:rtl/>
        </w:rPr>
        <w:t xml:space="preserve"> </w:t>
      </w:r>
      <w:r w:rsidRPr="00632102">
        <w:rPr>
          <w:rFonts w:hint="eastAsia"/>
          <w:rtl/>
        </w:rPr>
        <w:t>לברך</w:t>
      </w:r>
      <w:r w:rsidRPr="00632102">
        <w:rPr>
          <w:rtl/>
        </w:rPr>
        <w:t xml:space="preserve"> </w:t>
      </w:r>
      <w:r w:rsidRPr="00632102">
        <w:rPr>
          <w:rFonts w:hint="eastAsia"/>
          <w:rtl/>
        </w:rPr>
        <w:t>בימי</w:t>
      </w:r>
      <w:r w:rsidRPr="00632102">
        <w:rPr>
          <w:rtl/>
        </w:rPr>
        <w:t xml:space="preserve"> </w:t>
      </w:r>
      <w:r w:rsidRPr="00632102">
        <w:rPr>
          <w:rFonts w:hint="eastAsia"/>
          <w:rtl/>
        </w:rPr>
        <w:t>ניסן</w:t>
      </w:r>
      <w:r w:rsidRPr="00632102">
        <w:rPr>
          <w:rtl/>
        </w:rPr>
        <w:t xml:space="preserve">, </w:t>
      </w:r>
      <w:r w:rsidRPr="00632102">
        <w:rPr>
          <w:rFonts w:hint="eastAsia"/>
          <w:rtl/>
        </w:rPr>
        <w:t>והכי</w:t>
      </w:r>
      <w:r w:rsidRPr="00632102">
        <w:rPr>
          <w:rtl/>
        </w:rPr>
        <w:t xml:space="preserve"> </w:t>
      </w:r>
      <w:r w:rsidRPr="00632102">
        <w:rPr>
          <w:rFonts w:hint="eastAsia"/>
          <w:rtl/>
        </w:rPr>
        <w:t>חזינן</w:t>
      </w:r>
      <w:r w:rsidRPr="00632102">
        <w:rPr>
          <w:rtl/>
        </w:rPr>
        <w:t xml:space="preserve"> </w:t>
      </w:r>
      <w:r w:rsidRPr="00632102">
        <w:rPr>
          <w:rFonts w:hint="eastAsia"/>
          <w:rtl/>
        </w:rPr>
        <w:t>לרבנן</w:t>
      </w:r>
      <w:r w:rsidRPr="00632102">
        <w:rPr>
          <w:rtl/>
        </w:rPr>
        <w:t xml:space="preserve"> </w:t>
      </w:r>
      <w:r w:rsidRPr="00632102">
        <w:rPr>
          <w:rFonts w:hint="eastAsia"/>
          <w:rtl/>
        </w:rPr>
        <w:t>קשישאי</w:t>
      </w:r>
      <w:r w:rsidRPr="00632102">
        <w:rPr>
          <w:rtl/>
        </w:rPr>
        <w:t xml:space="preserve"> </w:t>
      </w:r>
      <w:r w:rsidRPr="00632102">
        <w:rPr>
          <w:rFonts w:hint="eastAsia"/>
          <w:rtl/>
        </w:rPr>
        <w:t>ברוכי</w:t>
      </w:r>
      <w:r w:rsidRPr="00632102">
        <w:rPr>
          <w:rtl/>
        </w:rPr>
        <w:t xml:space="preserve"> </w:t>
      </w:r>
      <w:r w:rsidRPr="00632102">
        <w:rPr>
          <w:rFonts w:hint="eastAsia"/>
          <w:rtl/>
        </w:rPr>
        <w:t>מברכי</w:t>
      </w:r>
      <w:r w:rsidRPr="00632102">
        <w:rPr>
          <w:rtl/>
        </w:rPr>
        <w:t xml:space="preserve"> </w:t>
      </w:r>
      <w:r w:rsidRPr="00632102">
        <w:rPr>
          <w:rFonts w:hint="eastAsia"/>
          <w:rtl/>
        </w:rPr>
        <w:t>על</w:t>
      </w:r>
      <w:r w:rsidRPr="00632102">
        <w:rPr>
          <w:rtl/>
        </w:rPr>
        <w:t xml:space="preserve"> </w:t>
      </w:r>
      <w:r w:rsidRPr="00632102">
        <w:rPr>
          <w:rFonts w:hint="eastAsia"/>
          <w:rtl/>
        </w:rPr>
        <w:t>פרחי</w:t>
      </w:r>
      <w:r w:rsidRPr="00632102">
        <w:rPr>
          <w:rtl/>
        </w:rPr>
        <w:t xml:space="preserve"> </w:t>
      </w:r>
      <w:r w:rsidRPr="00632102">
        <w:rPr>
          <w:rFonts w:hint="eastAsia"/>
          <w:rtl/>
        </w:rPr>
        <w:t>שקדים</w:t>
      </w:r>
      <w:r w:rsidRPr="00632102">
        <w:rPr>
          <w:rtl/>
        </w:rPr>
        <w:t xml:space="preserve"> </w:t>
      </w:r>
      <w:r w:rsidRPr="00632102">
        <w:rPr>
          <w:rFonts w:hint="eastAsia"/>
          <w:rtl/>
        </w:rPr>
        <w:t>בימי</w:t>
      </w:r>
      <w:r w:rsidRPr="00632102">
        <w:rPr>
          <w:rtl/>
        </w:rPr>
        <w:t xml:space="preserve"> </w:t>
      </w:r>
      <w:r w:rsidRPr="00632102">
        <w:rPr>
          <w:rFonts w:hint="eastAsia"/>
          <w:rtl/>
        </w:rPr>
        <w:t>ניסן</w:t>
      </w:r>
      <w:r w:rsidRPr="00632102">
        <w:rPr>
          <w:rtl/>
        </w:rPr>
        <w:t xml:space="preserve">. </w:t>
      </w:r>
      <w:r w:rsidRPr="00632102">
        <w:rPr>
          <w:rFonts w:hint="eastAsia"/>
          <w:rtl/>
        </w:rPr>
        <w:t>וכן</w:t>
      </w:r>
      <w:r w:rsidRPr="00632102">
        <w:rPr>
          <w:rtl/>
        </w:rPr>
        <w:t xml:space="preserve"> </w:t>
      </w:r>
      <w:r w:rsidRPr="00632102">
        <w:rPr>
          <w:rFonts w:hint="eastAsia"/>
          <w:rtl/>
        </w:rPr>
        <w:t>עיקר</w:t>
      </w:r>
      <w:r w:rsidRPr="00632102">
        <w:rPr>
          <w:rFonts w:hint="cs"/>
          <w:rtl/>
        </w:rPr>
        <w:t xml:space="preserve">". וכ"ה </w:t>
      </w:r>
      <w:r w:rsidRPr="00632102">
        <w:rPr>
          <w:rtl/>
        </w:rPr>
        <w:t>ב</w:t>
      </w:r>
      <w:r w:rsidRPr="00632102">
        <w:rPr>
          <w:rFonts w:hint="cs"/>
          <w:rtl/>
        </w:rPr>
        <w:t xml:space="preserve">ספרו </w:t>
      </w:r>
      <w:r w:rsidRPr="00632102">
        <w:rPr>
          <w:rtl/>
        </w:rPr>
        <w:t xml:space="preserve">מורה באצבע </w:t>
      </w:r>
      <w:r w:rsidRPr="00632102">
        <w:rPr>
          <w:rFonts w:hint="cs"/>
          <w:rtl/>
        </w:rPr>
        <w:t xml:space="preserve">(סי' ז </w:t>
      </w:r>
      <w:r w:rsidRPr="00632102">
        <w:rPr>
          <w:rtl/>
        </w:rPr>
        <w:t>אות קצח</w:t>
      </w:r>
      <w:r w:rsidRPr="00632102">
        <w:rPr>
          <w:rFonts w:hint="cs"/>
          <w:rtl/>
        </w:rPr>
        <w:t>)</w:t>
      </w:r>
      <w:r w:rsidRPr="00632102">
        <w:rPr>
          <w:rtl/>
        </w:rPr>
        <w:t xml:space="preserve"> "ישתדל לברך ברכת אילנות בימי ניסן</w:t>
      </w:r>
      <w:r w:rsidRPr="00632102">
        <w:rPr>
          <w:rFonts w:hint="cs"/>
          <w:rtl/>
        </w:rPr>
        <w:t>,</w:t>
      </w:r>
      <w:r w:rsidRPr="00632102">
        <w:rPr>
          <w:rtl/>
        </w:rPr>
        <w:t xml:space="preserve"> והמדקדקים מקפידים שיהי' בניסן דוקא".</w:t>
      </w:r>
      <w:r w:rsidRPr="00632102">
        <w:rPr>
          <w:rFonts w:hint="cs"/>
          <w:rtl/>
        </w:rPr>
        <w:t xml:space="preserve"> ושם (אות קצט) כתב גם טעם הדבר "</w:t>
      </w:r>
      <w:r w:rsidRPr="00632102">
        <w:rPr>
          <w:rFonts w:hint="eastAsia"/>
          <w:rtl/>
        </w:rPr>
        <w:t>מאד</w:t>
      </w:r>
      <w:r w:rsidRPr="00632102">
        <w:rPr>
          <w:rtl/>
        </w:rPr>
        <w:t xml:space="preserve"> </w:t>
      </w:r>
      <w:r w:rsidRPr="00632102">
        <w:rPr>
          <w:rFonts w:hint="eastAsia"/>
          <w:rtl/>
        </w:rPr>
        <w:t>יתעצם</w:t>
      </w:r>
      <w:r w:rsidRPr="00632102">
        <w:rPr>
          <w:rtl/>
        </w:rPr>
        <w:t xml:space="preserve"> </w:t>
      </w:r>
      <w:r w:rsidRPr="00632102">
        <w:rPr>
          <w:rFonts w:hint="eastAsia"/>
          <w:rtl/>
        </w:rPr>
        <w:t>בכונתו</w:t>
      </w:r>
      <w:r w:rsidRPr="00632102">
        <w:rPr>
          <w:rtl/>
        </w:rPr>
        <w:t xml:space="preserve"> </w:t>
      </w:r>
      <w:r w:rsidRPr="00632102">
        <w:rPr>
          <w:rFonts w:hint="eastAsia"/>
          <w:rtl/>
        </w:rPr>
        <w:t>בברכה</w:t>
      </w:r>
      <w:r w:rsidRPr="00632102">
        <w:rPr>
          <w:rtl/>
        </w:rPr>
        <w:t xml:space="preserve"> </w:t>
      </w:r>
      <w:r w:rsidRPr="00632102">
        <w:rPr>
          <w:rFonts w:hint="eastAsia"/>
          <w:rtl/>
        </w:rPr>
        <w:t>זו</w:t>
      </w:r>
      <w:r w:rsidRPr="00632102">
        <w:rPr>
          <w:rtl/>
        </w:rPr>
        <w:t xml:space="preserve"> </w:t>
      </w:r>
      <w:r w:rsidRPr="00632102">
        <w:rPr>
          <w:rFonts w:hint="eastAsia"/>
          <w:rtl/>
        </w:rPr>
        <w:t>שהיא</w:t>
      </w:r>
      <w:r w:rsidRPr="00632102">
        <w:rPr>
          <w:rtl/>
        </w:rPr>
        <w:t xml:space="preserve"> </w:t>
      </w:r>
      <w:r w:rsidRPr="00632102">
        <w:rPr>
          <w:rFonts w:hint="eastAsia"/>
          <w:rtl/>
        </w:rPr>
        <w:t>לתיקון</w:t>
      </w:r>
      <w:r w:rsidRPr="00632102">
        <w:rPr>
          <w:rtl/>
        </w:rPr>
        <w:t xml:space="preserve"> </w:t>
      </w:r>
      <w:r w:rsidRPr="00632102">
        <w:rPr>
          <w:rFonts w:hint="eastAsia"/>
          <w:rtl/>
        </w:rPr>
        <w:t>הנשמות</w:t>
      </w:r>
      <w:r w:rsidRPr="00632102">
        <w:rPr>
          <w:rtl/>
        </w:rPr>
        <w:t xml:space="preserve"> </w:t>
      </w:r>
      <w:r w:rsidRPr="00632102">
        <w:rPr>
          <w:rFonts w:hint="eastAsia"/>
          <w:rtl/>
        </w:rPr>
        <w:t>שהם</w:t>
      </w:r>
      <w:r w:rsidRPr="00632102">
        <w:rPr>
          <w:rtl/>
        </w:rPr>
        <w:t xml:space="preserve"> </w:t>
      </w:r>
      <w:r w:rsidRPr="00632102">
        <w:rPr>
          <w:rFonts w:hint="eastAsia"/>
          <w:rtl/>
        </w:rPr>
        <w:t>מגולגלות</w:t>
      </w:r>
      <w:r w:rsidRPr="00632102">
        <w:rPr>
          <w:rtl/>
        </w:rPr>
        <w:t xml:space="preserve"> </w:t>
      </w:r>
      <w:r w:rsidRPr="00632102">
        <w:rPr>
          <w:rFonts w:hint="eastAsia"/>
          <w:rtl/>
        </w:rPr>
        <w:t>בעצי</w:t>
      </w:r>
      <w:r w:rsidRPr="00632102">
        <w:rPr>
          <w:rtl/>
        </w:rPr>
        <w:t xml:space="preserve"> </w:t>
      </w:r>
      <w:r w:rsidRPr="00632102">
        <w:rPr>
          <w:rFonts w:hint="eastAsia"/>
          <w:rtl/>
        </w:rPr>
        <w:t>בשמים</w:t>
      </w:r>
      <w:r w:rsidRPr="00632102">
        <w:rPr>
          <w:rtl/>
        </w:rPr>
        <w:t xml:space="preserve"> </w:t>
      </w:r>
      <w:r w:rsidRPr="00632102">
        <w:rPr>
          <w:rFonts w:hint="eastAsia"/>
          <w:rtl/>
        </w:rPr>
        <w:t>והעשבים</w:t>
      </w:r>
      <w:r w:rsidRPr="00632102">
        <w:rPr>
          <w:rtl/>
        </w:rPr>
        <w:t xml:space="preserve"> </w:t>
      </w:r>
      <w:r w:rsidRPr="00632102">
        <w:rPr>
          <w:rFonts w:hint="eastAsia"/>
          <w:rtl/>
        </w:rPr>
        <w:t>בזמן</w:t>
      </w:r>
      <w:r w:rsidRPr="00632102">
        <w:rPr>
          <w:rtl/>
        </w:rPr>
        <w:t xml:space="preserve"> </w:t>
      </w:r>
      <w:r w:rsidRPr="00632102">
        <w:rPr>
          <w:rFonts w:hint="eastAsia"/>
          <w:rtl/>
        </w:rPr>
        <w:t>הזה</w:t>
      </w:r>
      <w:r w:rsidRPr="00632102">
        <w:rPr>
          <w:rtl/>
        </w:rPr>
        <w:t xml:space="preserve"> </w:t>
      </w:r>
      <w:r w:rsidRPr="00632102">
        <w:rPr>
          <w:rFonts w:hint="eastAsia"/>
          <w:rtl/>
        </w:rPr>
        <w:t>ויבקש</w:t>
      </w:r>
      <w:r w:rsidRPr="00632102">
        <w:rPr>
          <w:rtl/>
        </w:rPr>
        <w:t xml:space="preserve"> </w:t>
      </w:r>
      <w:r w:rsidRPr="00632102">
        <w:rPr>
          <w:rFonts w:hint="eastAsia"/>
          <w:rtl/>
        </w:rPr>
        <w:t>עליהם</w:t>
      </w:r>
      <w:r w:rsidRPr="00632102">
        <w:rPr>
          <w:rtl/>
        </w:rPr>
        <w:t xml:space="preserve"> </w:t>
      </w:r>
      <w:r w:rsidRPr="00632102">
        <w:rPr>
          <w:rFonts w:hint="eastAsia"/>
          <w:rtl/>
        </w:rPr>
        <w:t>רחמים</w:t>
      </w:r>
      <w:r w:rsidRPr="00632102">
        <w:rPr>
          <w:rFonts w:hint="cs"/>
          <w:rtl/>
        </w:rPr>
        <w:t>".</w:t>
      </w:r>
    </w:p>
    <w:p w:rsidR="004C1858" w:rsidRPr="00632102" w:rsidRDefault="004C1858" w:rsidP="004B0C42">
      <w:pPr>
        <w:pStyle w:val="a3"/>
        <w:rPr>
          <w:rtl/>
        </w:rPr>
      </w:pPr>
      <w:r w:rsidRPr="00632102">
        <w:rPr>
          <w:rtl/>
        </w:rPr>
        <w:t xml:space="preserve">והנה החיד"א אינו מציין מי הם המקובלים שכתבו כך, </w:t>
      </w:r>
      <w:r w:rsidRPr="00632102">
        <w:rPr>
          <w:rFonts w:hint="cs"/>
          <w:rtl/>
        </w:rPr>
        <w:t>ובפתח הדביר (</w:t>
      </w:r>
      <w:r w:rsidRPr="00632102">
        <w:rPr>
          <w:rFonts w:hint="eastAsia"/>
          <w:rtl/>
        </w:rPr>
        <w:t>סי</w:t>
      </w:r>
      <w:r w:rsidRPr="00632102">
        <w:rPr>
          <w:rtl/>
        </w:rPr>
        <w:t xml:space="preserve">' </w:t>
      </w:r>
      <w:r w:rsidRPr="00632102">
        <w:rPr>
          <w:rFonts w:hint="eastAsia"/>
          <w:rtl/>
        </w:rPr>
        <w:t>רכו</w:t>
      </w:r>
      <w:r w:rsidRPr="00632102">
        <w:rPr>
          <w:rtl/>
        </w:rPr>
        <w:t xml:space="preserve"> </w:t>
      </w:r>
      <w:r w:rsidRPr="00632102">
        <w:rPr>
          <w:rFonts w:hint="eastAsia"/>
          <w:rtl/>
        </w:rPr>
        <w:t>אות</w:t>
      </w:r>
      <w:r w:rsidRPr="00632102">
        <w:rPr>
          <w:rtl/>
        </w:rPr>
        <w:t xml:space="preserve"> </w:t>
      </w:r>
      <w:r w:rsidRPr="00632102">
        <w:rPr>
          <w:rFonts w:hint="eastAsia"/>
          <w:rtl/>
        </w:rPr>
        <w:t>ב</w:t>
      </w:r>
      <w:r w:rsidRPr="00632102">
        <w:rPr>
          <w:rFonts w:hint="cs"/>
          <w:rtl/>
        </w:rPr>
        <w:t>)</w:t>
      </w:r>
      <w:r w:rsidRPr="00632102">
        <w:rPr>
          <w:rtl/>
        </w:rPr>
        <w:t xml:space="preserve"> </w:t>
      </w:r>
      <w:r w:rsidRPr="00632102">
        <w:rPr>
          <w:rFonts w:hint="cs"/>
          <w:rtl/>
        </w:rPr>
        <w:t>מביא מקור לדברי החיד"א</w:t>
      </w:r>
      <w:r w:rsidRPr="00632102">
        <w:rPr>
          <w:rtl/>
        </w:rPr>
        <w:t xml:space="preserve"> </w:t>
      </w:r>
      <w:r w:rsidRPr="00632102">
        <w:rPr>
          <w:rFonts w:hint="cs"/>
          <w:rtl/>
        </w:rPr>
        <w:t>מ</w:t>
      </w:r>
      <w:r w:rsidRPr="00632102">
        <w:rPr>
          <w:rFonts w:hint="eastAsia"/>
          <w:rtl/>
        </w:rPr>
        <w:t>דברי</w:t>
      </w:r>
      <w:r w:rsidRPr="00632102">
        <w:rPr>
          <w:rtl/>
        </w:rPr>
        <w:t xml:space="preserve"> </w:t>
      </w:r>
      <w:r w:rsidRPr="00632102">
        <w:rPr>
          <w:rFonts w:hint="eastAsia"/>
          <w:rtl/>
        </w:rPr>
        <w:t>הזוהר</w:t>
      </w:r>
      <w:r w:rsidRPr="00632102">
        <w:rPr>
          <w:rtl/>
        </w:rPr>
        <w:t xml:space="preserve"> </w:t>
      </w:r>
      <w:r w:rsidRPr="00632102">
        <w:rPr>
          <w:rFonts w:hint="cs"/>
          <w:rtl/>
        </w:rPr>
        <w:t>(ח"ג</w:t>
      </w:r>
      <w:r w:rsidRPr="00632102">
        <w:rPr>
          <w:rtl/>
        </w:rPr>
        <w:t xml:space="preserve"> </w:t>
      </w:r>
      <w:r w:rsidRPr="00632102">
        <w:rPr>
          <w:rFonts w:hint="eastAsia"/>
          <w:rtl/>
        </w:rPr>
        <w:t>בלק</w:t>
      </w:r>
      <w:r w:rsidRPr="00632102">
        <w:rPr>
          <w:rtl/>
        </w:rPr>
        <w:t xml:space="preserve"> </w:t>
      </w:r>
      <w:r w:rsidRPr="00632102">
        <w:rPr>
          <w:rFonts w:hint="eastAsia"/>
          <w:rtl/>
        </w:rPr>
        <w:t>דף</w:t>
      </w:r>
      <w:r w:rsidRPr="00632102">
        <w:rPr>
          <w:rtl/>
        </w:rPr>
        <w:t xml:space="preserve"> </w:t>
      </w:r>
      <w:r w:rsidRPr="00632102">
        <w:rPr>
          <w:rFonts w:hint="eastAsia"/>
          <w:rtl/>
        </w:rPr>
        <w:t>קצו</w:t>
      </w:r>
      <w:r w:rsidRPr="00632102">
        <w:rPr>
          <w:rFonts w:hint="cs"/>
          <w:rtl/>
        </w:rPr>
        <w:t>,</w:t>
      </w:r>
      <w:r w:rsidRPr="00632102">
        <w:rPr>
          <w:rtl/>
        </w:rPr>
        <w:t xml:space="preserve"> </w:t>
      </w:r>
      <w:r w:rsidRPr="00632102">
        <w:rPr>
          <w:rFonts w:hint="eastAsia"/>
          <w:rtl/>
        </w:rPr>
        <w:t>ב</w:t>
      </w:r>
      <w:r w:rsidRPr="00632102">
        <w:rPr>
          <w:rFonts w:hint="cs"/>
          <w:rtl/>
        </w:rPr>
        <w:t>) "</w:t>
      </w:r>
      <w:r w:rsidRPr="00632102">
        <w:rPr>
          <w:rFonts w:hint="eastAsia"/>
          <w:rtl/>
        </w:rPr>
        <w:t>רבי</w:t>
      </w:r>
      <w:r w:rsidRPr="00632102">
        <w:rPr>
          <w:rtl/>
        </w:rPr>
        <w:t xml:space="preserve"> </w:t>
      </w:r>
      <w:r w:rsidRPr="00632102">
        <w:rPr>
          <w:rFonts w:hint="eastAsia"/>
          <w:rtl/>
        </w:rPr>
        <w:t>אלעזר</w:t>
      </w:r>
      <w:r w:rsidRPr="00632102">
        <w:rPr>
          <w:rtl/>
        </w:rPr>
        <w:t xml:space="preserve"> </w:t>
      </w:r>
      <w:r w:rsidRPr="00632102">
        <w:rPr>
          <w:rFonts w:hint="eastAsia"/>
          <w:rtl/>
        </w:rPr>
        <w:t>אמר</w:t>
      </w:r>
      <w:r w:rsidRPr="00632102">
        <w:rPr>
          <w:rtl/>
        </w:rPr>
        <w:t xml:space="preserve"> </w:t>
      </w:r>
      <w:r w:rsidRPr="00632102">
        <w:rPr>
          <w:rFonts w:hint="cs"/>
          <w:rtl/>
        </w:rPr>
        <w:t>.</w:t>
      </w:r>
      <w:r w:rsidRPr="00632102">
        <w:rPr>
          <w:rtl/>
        </w:rPr>
        <w:t xml:space="preserve"> </w:t>
      </w:r>
      <w:r w:rsidRPr="00632102">
        <w:rPr>
          <w:rFonts w:hint="cs"/>
          <w:rtl/>
        </w:rPr>
        <w:t xml:space="preserve">. </w:t>
      </w:r>
      <w:r w:rsidRPr="00632102">
        <w:rPr>
          <w:rFonts w:hint="eastAsia"/>
          <w:rtl/>
        </w:rPr>
        <w:t>ויומין</w:t>
      </w:r>
      <w:r w:rsidRPr="00632102">
        <w:rPr>
          <w:rtl/>
        </w:rPr>
        <w:t xml:space="preserve"> </w:t>
      </w:r>
      <w:r w:rsidRPr="00632102">
        <w:rPr>
          <w:rFonts w:hint="eastAsia"/>
          <w:rtl/>
        </w:rPr>
        <w:t>רשימין</w:t>
      </w:r>
      <w:r w:rsidRPr="00632102">
        <w:rPr>
          <w:rtl/>
        </w:rPr>
        <w:t xml:space="preserve"> </w:t>
      </w:r>
      <w:r w:rsidRPr="00632102">
        <w:rPr>
          <w:rFonts w:hint="eastAsia"/>
          <w:rtl/>
        </w:rPr>
        <w:t>אית</w:t>
      </w:r>
      <w:r w:rsidRPr="00632102">
        <w:rPr>
          <w:rtl/>
        </w:rPr>
        <w:t xml:space="preserve"> </w:t>
      </w:r>
      <w:r w:rsidRPr="00632102">
        <w:rPr>
          <w:rFonts w:hint="eastAsia"/>
          <w:rtl/>
        </w:rPr>
        <w:t>בשתא</w:t>
      </w:r>
      <w:r w:rsidRPr="00632102">
        <w:rPr>
          <w:rtl/>
        </w:rPr>
        <w:t xml:space="preserve"> </w:t>
      </w:r>
      <w:r w:rsidRPr="00632102">
        <w:rPr>
          <w:rFonts w:hint="eastAsia"/>
          <w:rtl/>
        </w:rPr>
        <w:t>ואינון</w:t>
      </w:r>
      <w:r w:rsidRPr="00632102">
        <w:rPr>
          <w:rtl/>
        </w:rPr>
        <w:t xml:space="preserve"> </w:t>
      </w:r>
      <w:r w:rsidRPr="00632102">
        <w:rPr>
          <w:rFonts w:hint="eastAsia"/>
          <w:rtl/>
        </w:rPr>
        <w:t>יומי</w:t>
      </w:r>
      <w:r w:rsidRPr="00632102">
        <w:rPr>
          <w:rtl/>
        </w:rPr>
        <w:t xml:space="preserve"> </w:t>
      </w:r>
      <w:r w:rsidRPr="00632102">
        <w:rPr>
          <w:rFonts w:hint="eastAsia"/>
          <w:rtl/>
        </w:rPr>
        <w:t>ניסן</w:t>
      </w:r>
      <w:r w:rsidRPr="00632102">
        <w:rPr>
          <w:rtl/>
        </w:rPr>
        <w:t xml:space="preserve"> </w:t>
      </w:r>
      <w:r w:rsidRPr="00632102">
        <w:rPr>
          <w:rFonts w:hint="eastAsia"/>
          <w:rtl/>
        </w:rPr>
        <w:t>ויומי</w:t>
      </w:r>
      <w:r w:rsidRPr="00632102">
        <w:rPr>
          <w:rtl/>
        </w:rPr>
        <w:t xml:space="preserve"> </w:t>
      </w:r>
      <w:r w:rsidRPr="00632102">
        <w:rPr>
          <w:rFonts w:hint="eastAsia"/>
          <w:rtl/>
        </w:rPr>
        <w:t>תשרי</w:t>
      </w:r>
      <w:r w:rsidRPr="00632102">
        <w:rPr>
          <w:rtl/>
        </w:rPr>
        <w:t xml:space="preserve"> </w:t>
      </w:r>
      <w:r w:rsidRPr="00632102">
        <w:rPr>
          <w:rFonts w:hint="eastAsia"/>
          <w:rtl/>
        </w:rPr>
        <w:t>דאינון</w:t>
      </w:r>
      <w:r w:rsidRPr="00632102">
        <w:rPr>
          <w:rtl/>
        </w:rPr>
        <w:t xml:space="preserve"> </w:t>
      </w:r>
      <w:r w:rsidRPr="00632102">
        <w:rPr>
          <w:rFonts w:hint="eastAsia"/>
          <w:rtl/>
        </w:rPr>
        <w:t>רוחין</w:t>
      </w:r>
      <w:r w:rsidRPr="00632102">
        <w:rPr>
          <w:rtl/>
        </w:rPr>
        <w:t xml:space="preserve"> </w:t>
      </w:r>
      <w:r w:rsidRPr="00632102">
        <w:rPr>
          <w:rFonts w:hint="eastAsia"/>
          <w:rtl/>
        </w:rPr>
        <w:t>משטטן</w:t>
      </w:r>
      <w:r w:rsidRPr="00632102">
        <w:rPr>
          <w:rtl/>
        </w:rPr>
        <w:t xml:space="preserve"> </w:t>
      </w:r>
      <w:r w:rsidRPr="00632102">
        <w:rPr>
          <w:rFonts w:hint="eastAsia"/>
          <w:rtl/>
        </w:rPr>
        <w:t>ופקדן</w:t>
      </w:r>
      <w:r w:rsidRPr="00632102">
        <w:rPr>
          <w:rtl/>
        </w:rPr>
        <w:t xml:space="preserve"> </w:t>
      </w:r>
      <w:r w:rsidRPr="00632102">
        <w:rPr>
          <w:rFonts w:hint="eastAsia"/>
          <w:rtl/>
        </w:rPr>
        <w:t>לאתר</w:t>
      </w:r>
      <w:r w:rsidRPr="00632102">
        <w:rPr>
          <w:rtl/>
        </w:rPr>
        <w:t xml:space="preserve"> </w:t>
      </w:r>
      <w:r w:rsidRPr="00632102">
        <w:rPr>
          <w:rFonts w:hint="eastAsia"/>
          <w:rtl/>
        </w:rPr>
        <w:t>דאצטריך</w:t>
      </w:r>
      <w:r w:rsidRPr="00632102">
        <w:rPr>
          <w:rFonts w:hint="cs"/>
          <w:rtl/>
        </w:rPr>
        <w:t xml:space="preserve"> . . </w:t>
      </w:r>
      <w:r w:rsidRPr="00632102">
        <w:rPr>
          <w:rFonts w:hint="eastAsia"/>
          <w:rtl/>
        </w:rPr>
        <w:t>ואתחזון</w:t>
      </w:r>
      <w:r w:rsidRPr="00632102">
        <w:rPr>
          <w:rtl/>
        </w:rPr>
        <w:t xml:space="preserve"> </w:t>
      </w:r>
      <w:r w:rsidRPr="00632102">
        <w:rPr>
          <w:rFonts w:hint="eastAsia"/>
          <w:rtl/>
        </w:rPr>
        <w:t>על</w:t>
      </w:r>
      <w:r w:rsidRPr="00632102">
        <w:rPr>
          <w:rtl/>
        </w:rPr>
        <w:t xml:space="preserve"> </w:t>
      </w:r>
      <w:r w:rsidRPr="00632102">
        <w:rPr>
          <w:rFonts w:hint="eastAsia"/>
          <w:rtl/>
        </w:rPr>
        <w:t>גבי</w:t>
      </w:r>
      <w:r w:rsidRPr="00632102">
        <w:rPr>
          <w:rtl/>
        </w:rPr>
        <w:t xml:space="preserve"> </w:t>
      </w:r>
      <w:r w:rsidRPr="00632102">
        <w:rPr>
          <w:rFonts w:hint="eastAsia"/>
          <w:rtl/>
        </w:rPr>
        <w:t>שורין</w:t>
      </w:r>
      <w:r w:rsidRPr="00632102">
        <w:rPr>
          <w:rtl/>
        </w:rPr>
        <w:t xml:space="preserve"> </w:t>
      </w:r>
      <w:r w:rsidRPr="00632102">
        <w:rPr>
          <w:rFonts w:hint="eastAsia"/>
          <w:rtl/>
        </w:rPr>
        <w:t>דגנתא</w:t>
      </w:r>
      <w:r w:rsidRPr="00632102">
        <w:rPr>
          <w:rtl/>
        </w:rPr>
        <w:t xml:space="preserve"> </w:t>
      </w:r>
      <w:r w:rsidRPr="00632102">
        <w:rPr>
          <w:rFonts w:hint="eastAsia"/>
          <w:rtl/>
        </w:rPr>
        <w:t>כל</w:t>
      </w:r>
      <w:r w:rsidRPr="00632102">
        <w:rPr>
          <w:rtl/>
        </w:rPr>
        <w:t xml:space="preserve"> </w:t>
      </w:r>
      <w:r w:rsidRPr="00632102">
        <w:rPr>
          <w:rFonts w:hint="eastAsia"/>
          <w:rtl/>
        </w:rPr>
        <w:t>חד</w:t>
      </w:r>
      <w:r w:rsidRPr="00632102">
        <w:rPr>
          <w:rtl/>
        </w:rPr>
        <w:t xml:space="preserve"> </w:t>
      </w:r>
      <w:r w:rsidRPr="00632102">
        <w:rPr>
          <w:rFonts w:hint="eastAsia"/>
          <w:rtl/>
        </w:rPr>
        <w:t>וחד</w:t>
      </w:r>
      <w:r w:rsidRPr="00632102">
        <w:rPr>
          <w:rtl/>
        </w:rPr>
        <w:t xml:space="preserve"> </w:t>
      </w:r>
      <w:r w:rsidRPr="00632102">
        <w:rPr>
          <w:rFonts w:hint="eastAsia"/>
          <w:rtl/>
        </w:rPr>
        <w:t>כחיזו</w:t>
      </w:r>
      <w:r w:rsidRPr="00632102">
        <w:rPr>
          <w:rtl/>
        </w:rPr>
        <w:t xml:space="preserve"> </w:t>
      </w:r>
      <w:r w:rsidRPr="00632102">
        <w:rPr>
          <w:rFonts w:hint="eastAsia"/>
          <w:rtl/>
        </w:rPr>
        <w:t>דצפרין</w:t>
      </w:r>
      <w:r w:rsidRPr="00632102">
        <w:rPr>
          <w:rtl/>
        </w:rPr>
        <w:t xml:space="preserve"> </w:t>
      </w:r>
      <w:r w:rsidRPr="00632102">
        <w:rPr>
          <w:rFonts w:hint="eastAsia"/>
          <w:rtl/>
        </w:rPr>
        <w:t>מצפצפן</w:t>
      </w:r>
      <w:r w:rsidRPr="00632102">
        <w:rPr>
          <w:rtl/>
        </w:rPr>
        <w:t xml:space="preserve"> </w:t>
      </w:r>
      <w:r w:rsidRPr="00632102">
        <w:rPr>
          <w:rFonts w:hint="eastAsia"/>
          <w:rtl/>
        </w:rPr>
        <w:t>בכל</w:t>
      </w:r>
      <w:r w:rsidRPr="00632102">
        <w:rPr>
          <w:rtl/>
        </w:rPr>
        <w:t xml:space="preserve"> </w:t>
      </w:r>
      <w:r w:rsidRPr="00632102">
        <w:rPr>
          <w:rFonts w:hint="eastAsia"/>
          <w:rtl/>
        </w:rPr>
        <w:t>צפרא</w:t>
      </w:r>
      <w:r w:rsidRPr="00632102">
        <w:rPr>
          <w:rtl/>
        </w:rPr>
        <w:t xml:space="preserve"> </w:t>
      </w:r>
      <w:r w:rsidRPr="00632102">
        <w:rPr>
          <w:rFonts w:hint="eastAsia"/>
          <w:rtl/>
        </w:rPr>
        <w:t>וצפרא</w:t>
      </w:r>
      <w:r w:rsidRPr="00632102">
        <w:rPr>
          <w:rFonts w:hint="cs"/>
          <w:rtl/>
        </w:rPr>
        <w:t xml:space="preserve"> . . </w:t>
      </w:r>
      <w:r w:rsidRPr="00632102">
        <w:rPr>
          <w:rFonts w:hint="eastAsia"/>
          <w:rtl/>
        </w:rPr>
        <w:t>וכדין</w:t>
      </w:r>
      <w:r w:rsidRPr="00632102">
        <w:rPr>
          <w:rtl/>
        </w:rPr>
        <w:t xml:space="preserve"> </w:t>
      </w:r>
      <w:r w:rsidRPr="00632102">
        <w:rPr>
          <w:rFonts w:hint="eastAsia"/>
          <w:rtl/>
        </w:rPr>
        <w:t>בחדו</w:t>
      </w:r>
      <w:r w:rsidRPr="00632102">
        <w:rPr>
          <w:rtl/>
        </w:rPr>
        <w:t xml:space="preserve"> </w:t>
      </w:r>
      <w:r w:rsidRPr="00632102">
        <w:rPr>
          <w:rFonts w:hint="eastAsia"/>
          <w:rtl/>
        </w:rPr>
        <w:t>אתחזן</w:t>
      </w:r>
      <w:r w:rsidRPr="00632102">
        <w:rPr>
          <w:rtl/>
        </w:rPr>
        <w:t xml:space="preserve"> </w:t>
      </w:r>
      <w:r w:rsidRPr="00632102">
        <w:rPr>
          <w:rFonts w:hint="eastAsia"/>
          <w:rtl/>
        </w:rPr>
        <w:t>צפרין</w:t>
      </w:r>
      <w:r w:rsidRPr="00632102">
        <w:rPr>
          <w:rtl/>
        </w:rPr>
        <w:t xml:space="preserve"> </w:t>
      </w:r>
      <w:r w:rsidRPr="00632102">
        <w:rPr>
          <w:rFonts w:hint="eastAsia"/>
          <w:rtl/>
        </w:rPr>
        <w:t>מצפצפן</w:t>
      </w:r>
      <w:r w:rsidRPr="00632102">
        <w:rPr>
          <w:rtl/>
        </w:rPr>
        <w:t xml:space="preserve"> </w:t>
      </w:r>
      <w:r w:rsidRPr="00632102">
        <w:rPr>
          <w:rFonts w:hint="eastAsia"/>
          <w:rtl/>
        </w:rPr>
        <w:t>וע</w:t>
      </w:r>
      <w:r w:rsidRPr="00632102">
        <w:rPr>
          <w:rtl/>
        </w:rPr>
        <w:t>"</w:t>
      </w:r>
      <w:r w:rsidRPr="00632102">
        <w:rPr>
          <w:rFonts w:hint="eastAsia"/>
          <w:rtl/>
        </w:rPr>
        <w:t>ג</w:t>
      </w:r>
      <w:r w:rsidRPr="00632102">
        <w:rPr>
          <w:rtl/>
        </w:rPr>
        <w:t xml:space="preserve"> </w:t>
      </w:r>
      <w:r w:rsidRPr="00632102">
        <w:rPr>
          <w:rFonts w:hint="eastAsia"/>
          <w:rtl/>
        </w:rPr>
        <w:t>שורין</w:t>
      </w:r>
      <w:r w:rsidRPr="00632102">
        <w:rPr>
          <w:rtl/>
        </w:rPr>
        <w:t xml:space="preserve"> </w:t>
      </w:r>
      <w:r w:rsidRPr="00632102">
        <w:rPr>
          <w:rFonts w:hint="eastAsia"/>
          <w:rtl/>
        </w:rPr>
        <w:t>דג</w:t>
      </w:r>
      <w:r w:rsidRPr="00632102">
        <w:rPr>
          <w:rtl/>
        </w:rPr>
        <w:t>"</w:t>
      </w:r>
      <w:r w:rsidRPr="00632102">
        <w:rPr>
          <w:rFonts w:hint="eastAsia"/>
          <w:rtl/>
        </w:rPr>
        <w:t>ע</w:t>
      </w:r>
      <w:r w:rsidRPr="00632102">
        <w:rPr>
          <w:rtl/>
        </w:rPr>
        <w:t xml:space="preserve"> </w:t>
      </w:r>
      <w:r w:rsidRPr="00632102">
        <w:rPr>
          <w:rFonts w:hint="eastAsia"/>
          <w:rtl/>
        </w:rPr>
        <w:t>מצפצפן</w:t>
      </w:r>
      <w:r w:rsidRPr="00632102">
        <w:rPr>
          <w:rtl/>
        </w:rPr>
        <w:t xml:space="preserve"> </w:t>
      </w:r>
      <w:r w:rsidRPr="00632102">
        <w:rPr>
          <w:rFonts w:hint="eastAsia"/>
          <w:rtl/>
        </w:rPr>
        <w:t>משבחן</w:t>
      </w:r>
      <w:r w:rsidRPr="00632102">
        <w:rPr>
          <w:rtl/>
        </w:rPr>
        <w:t xml:space="preserve"> </w:t>
      </w:r>
      <w:r w:rsidRPr="00632102">
        <w:rPr>
          <w:rFonts w:hint="eastAsia"/>
          <w:rtl/>
        </w:rPr>
        <w:t>ואודן</w:t>
      </w:r>
      <w:r w:rsidRPr="00632102">
        <w:rPr>
          <w:rtl/>
        </w:rPr>
        <w:t xml:space="preserve"> </w:t>
      </w:r>
      <w:r w:rsidRPr="00632102">
        <w:rPr>
          <w:rFonts w:hint="eastAsia"/>
          <w:rtl/>
        </w:rPr>
        <w:t>ומצלן</w:t>
      </w:r>
      <w:r w:rsidRPr="00632102">
        <w:rPr>
          <w:rtl/>
        </w:rPr>
        <w:t xml:space="preserve"> </w:t>
      </w:r>
      <w:r w:rsidRPr="00632102">
        <w:rPr>
          <w:rFonts w:hint="eastAsia"/>
          <w:rtl/>
        </w:rPr>
        <w:t>על</w:t>
      </w:r>
      <w:r w:rsidRPr="00632102">
        <w:rPr>
          <w:rtl/>
        </w:rPr>
        <w:t xml:space="preserve"> </w:t>
      </w:r>
      <w:r w:rsidRPr="00632102">
        <w:rPr>
          <w:rFonts w:hint="eastAsia"/>
          <w:rtl/>
        </w:rPr>
        <w:t>חיי</w:t>
      </w:r>
      <w:r w:rsidRPr="00632102">
        <w:rPr>
          <w:rtl/>
        </w:rPr>
        <w:t xml:space="preserve"> </w:t>
      </w:r>
      <w:r w:rsidRPr="00632102">
        <w:rPr>
          <w:rFonts w:hint="eastAsia"/>
          <w:rtl/>
        </w:rPr>
        <w:t>דהאי</w:t>
      </w:r>
      <w:r w:rsidRPr="00632102">
        <w:rPr>
          <w:rtl/>
        </w:rPr>
        <w:t xml:space="preserve"> </w:t>
      </w:r>
      <w:r w:rsidRPr="00632102">
        <w:rPr>
          <w:rFonts w:hint="eastAsia"/>
          <w:rtl/>
        </w:rPr>
        <w:t>עלמא</w:t>
      </w:r>
      <w:r>
        <w:rPr>
          <w:rFonts w:hint="cs"/>
          <w:rtl/>
        </w:rPr>
        <w:t>..</w:t>
      </w:r>
      <w:r w:rsidRPr="00632102">
        <w:rPr>
          <w:rFonts w:hint="cs"/>
          <w:rtl/>
        </w:rPr>
        <w:t xml:space="preserve">.". </w:t>
      </w:r>
      <w:r w:rsidRPr="00632102">
        <w:rPr>
          <w:rFonts w:hint="eastAsia"/>
          <w:rtl/>
        </w:rPr>
        <w:t>וביאר</w:t>
      </w:r>
      <w:r w:rsidRPr="00632102">
        <w:rPr>
          <w:rtl/>
        </w:rPr>
        <w:t xml:space="preserve"> </w:t>
      </w:r>
      <w:r w:rsidRPr="00632102">
        <w:rPr>
          <w:rFonts w:hint="cs"/>
          <w:rtl/>
        </w:rPr>
        <w:t xml:space="preserve">שם </w:t>
      </w:r>
      <w:r w:rsidRPr="00632102">
        <w:rPr>
          <w:rFonts w:hint="eastAsia"/>
          <w:rtl/>
        </w:rPr>
        <w:t>שכוונת</w:t>
      </w:r>
      <w:r w:rsidRPr="00632102">
        <w:rPr>
          <w:rtl/>
        </w:rPr>
        <w:t xml:space="preserve"> </w:t>
      </w:r>
      <w:r w:rsidRPr="00632102">
        <w:rPr>
          <w:rFonts w:hint="eastAsia"/>
          <w:rtl/>
        </w:rPr>
        <w:t>הברכה</w:t>
      </w:r>
      <w:r w:rsidRPr="00632102">
        <w:rPr>
          <w:rtl/>
        </w:rPr>
        <w:t xml:space="preserve"> </w:t>
      </w:r>
      <w:r w:rsidRPr="00632102">
        <w:rPr>
          <w:rFonts w:hint="eastAsia"/>
          <w:rtl/>
        </w:rPr>
        <w:t>היא</w:t>
      </w:r>
      <w:r w:rsidRPr="00632102">
        <w:rPr>
          <w:rtl/>
        </w:rPr>
        <w:t xml:space="preserve"> </w:t>
      </w:r>
      <w:r w:rsidRPr="00632102">
        <w:rPr>
          <w:rFonts w:hint="eastAsia"/>
          <w:rtl/>
        </w:rPr>
        <w:t>לתיקון</w:t>
      </w:r>
      <w:r w:rsidRPr="00632102">
        <w:rPr>
          <w:rtl/>
        </w:rPr>
        <w:t xml:space="preserve"> </w:t>
      </w:r>
      <w:r w:rsidRPr="00632102">
        <w:rPr>
          <w:rFonts w:hint="eastAsia"/>
          <w:rtl/>
        </w:rPr>
        <w:t>הנשמות</w:t>
      </w:r>
      <w:r w:rsidRPr="00632102">
        <w:rPr>
          <w:rtl/>
        </w:rPr>
        <w:t xml:space="preserve"> </w:t>
      </w:r>
      <w:r w:rsidRPr="00632102">
        <w:rPr>
          <w:rFonts w:hint="eastAsia"/>
          <w:rtl/>
        </w:rPr>
        <w:t>הנדחות</w:t>
      </w:r>
      <w:r w:rsidRPr="00632102">
        <w:rPr>
          <w:rtl/>
        </w:rPr>
        <w:t xml:space="preserve"> </w:t>
      </w:r>
      <w:r w:rsidRPr="00632102">
        <w:rPr>
          <w:rFonts w:hint="eastAsia"/>
          <w:rtl/>
        </w:rPr>
        <w:t>שדרות</w:t>
      </w:r>
      <w:r w:rsidRPr="00632102">
        <w:rPr>
          <w:rtl/>
        </w:rPr>
        <w:t xml:space="preserve"> </w:t>
      </w:r>
      <w:r w:rsidRPr="00632102">
        <w:rPr>
          <w:rFonts w:hint="eastAsia"/>
          <w:rtl/>
        </w:rPr>
        <w:t>באילנות</w:t>
      </w:r>
      <w:r w:rsidRPr="00632102">
        <w:rPr>
          <w:rtl/>
        </w:rPr>
        <w:t xml:space="preserve"> </w:t>
      </w:r>
      <w:r w:rsidRPr="00632102">
        <w:rPr>
          <w:rFonts w:hint="eastAsia"/>
          <w:rtl/>
        </w:rPr>
        <w:t>שתיקונם</w:t>
      </w:r>
      <w:r w:rsidRPr="00632102">
        <w:rPr>
          <w:rtl/>
        </w:rPr>
        <w:t xml:space="preserve"> </w:t>
      </w:r>
      <w:r w:rsidRPr="00632102">
        <w:rPr>
          <w:rFonts w:hint="eastAsia"/>
          <w:rtl/>
        </w:rPr>
        <w:t>ע</w:t>
      </w:r>
      <w:r w:rsidRPr="00632102">
        <w:rPr>
          <w:rtl/>
        </w:rPr>
        <w:t>"</w:t>
      </w:r>
      <w:r w:rsidRPr="00632102">
        <w:rPr>
          <w:rFonts w:hint="eastAsia"/>
          <w:rtl/>
        </w:rPr>
        <w:t>י</w:t>
      </w:r>
      <w:r w:rsidRPr="00632102">
        <w:rPr>
          <w:rtl/>
        </w:rPr>
        <w:t xml:space="preserve"> </w:t>
      </w:r>
      <w:r w:rsidRPr="00632102">
        <w:rPr>
          <w:rFonts w:hint="eastAsia"/>
          <w:rtl/>
        </w:rPr>
        <w:t>ברכת</w:t>
      </w:r>
      <w:r w:rsidRPr="00632102">
        <w:rPr>
          <w:rtl/>
        </w:rPr>
        <w:t xml:space="preserve"> </w:t>
      </w:r>
      <w:r w:rsidRPr="00632102">
        <w:rPr>
          <w:rFonts w:hint="eastAsia"/>
          <w:rtl/>
        </w:rPr>
        <w:t>האילנות</w:t>
      </w:r>
      <w:r w:rsidRPr="00632102">
        <w:rPr>
          <w:rtl/>
        </w:rPr>
        <w:t xml:space="preserve"> </w:t>
      </w:r>
      <w:r w:rsidRPr="00632102">
        <w:rPr>
          <w:rFonts w:hint="eastAsia"/>
          <w:rtl/>
        </w:rPr>
        <w:t>דמלבלבי</w:t>
      </w:r>
      <w:r w:rsidRPr="00632102">
        <w:rPr>
          <w:rtl/>
        </w:rPr>
        <w:t xml:space="preserve"> </w:t>
      </w:r>
      <w:r w:rsidRPr="00632102">
        <w:rPr>
          <w:rFonts w:hint="eastAsia"/>
          <w:rtl/>
        </w:rPr>
        <w:t>והיינו</w:t>
      </w:r>
      <w:r w:rsidRPr="00632102">
        <w:rPr>
          <w:rtl/>
        </w:rPr>
        <w:t xml:space="preserve"> </w:t>
      </w:r>
      <w:r w:rsidRPr="00632102">
        <w:rPr>
          <w:rFonts w:hint="eastAsia"/>
          <w:rtl/>
        </w:rPr>
        <w:t>בניסן</w:t>
      </w:r>
      <w:r w:rsidRPr="00632102">
        <w:rPr>
          <w:rtl/>
        </w:rPr>
        <w:t xml:space="preserve"> </w:t>
      </w:r>
      <w:r w:rsidRPr="00632102">
        <w:rPr>
          <w:rFonts w:hint="eastAsia"/>
          <w:rtl/>
        </w:rPr>
        <w:t>דוקא</w:t>
      </w:r>
      <w:r w:rsidRPr="00632102">
        <w:rPr>
          <w:rtl/>
        </w:rPr>
        <w:t xml:space="preserve"> </w:t>
      </w:r>
      <w:r w:rsidRPr="00632102">
        <w:rPr>
          <w:rFonts w:hint="eastAsia"/>
          <w:rtl/>
        </w:rPr>
        <w:t>דאיכא</w:t>
      </w:r>
      <w:r w:rsidRPr="00632102">
        <w:rPr>
          <w:rtl/>
        </w:rPr>
        <w:t xml:space="preserve"> </w:t>
      </w:r>
      <w:r w:rsidRPr="00632102">
        <w:rPr>
          <w:rFonts w:hint="eastAsia"/>
          <w:rtl/>
        </w:rPr>
        <w:t>לבלוב</w:t>
      </w:r>
      <w:r w:rsidRPr="00632102">
        <w:rPr>
          <w:rFonts w:hint="cs"/>
          <w:rtl/>
        </w:rPr>
        <w:t>.</w:t>
      </w:r>
    </w:p>
    <w:p w:rsidR="004C1858" w:rsidRPr="00632102" w:rsidRDefault="004C1858" w:rsidP="004B0C42">
      <w:pPr>
        <w:pStyle w:val="a3"/>
        <w:rPr>
          <w:rtl/>
        </w:rPr>
      </w:pPr>
      <w:r w:rsidRPr="00632102">
        <w:rPr>
          <w:rFonts w:hint="cs"/>
          <w:rtl/>
        </w:rPr>
        <w:t xml:space="preserve">ומביא דכך כתב בש"ך על התורה (מגורי האריז"ל, פר' בא עה"פ </w:t>
      </w:r>
      <w:r w:rsidRPr="00632102">
        <w:rPr>
          <w:rFonts w:hint="eastAsia"/>
          <w:rtl/>
        </w:rPr>
        <w:t>ואכלו</w:t>
      </w:r>
      <w:r w:rsidRPr="00632102">
        <w:rPr>
          <w:rtl/>
        </w:rPr>
        <w:t xml:space="preserve"> </w:t>
      </w:r>
      <w:r w:rsidRPr="00632102">
        <w:rPr>
          <w:rFonts w:hint="eastAsia"/>
          <w:rtl/>
        </w:rPr>
        <w:t>את</w:t>
      </w:r>
      <w:r w:rsidRPr="00632102">
        <w:rPr>
          <w:rtl/>
        </w:rPr>
        <w:t xml:space="preserve"> </w:t>
      </w:r>
      <w:r w:rsidRPr="00632102">
        <w:rPr>
          <w:rFonts w:hint="eastAsia"/>
          <w:rtl/>
        </w:rPr>
        <w:t>הבשר</w:t>
      </w:r>
      <w:r w:rsidRPr="00632102">
        <w:rPr>
          <w:rFonts w:hint="cs"/>
          <w:rtl/>
        </w:rPr>
        <w:t>) "</w:t>
      </w:r>
      <w:r w:rsidRPr="00632102">
        <w:rPr>
          <w:rFonts w:hint="eastAsia"/>
          <w:rtl/>
        </w:rPr>
        <w:t>ובזה</w:t>
      </w:r>
      <w:r w:rsidRPr="00632102">
        <w:rPr>
          <w:rtl/>
        </w:rPr>
        <w:t xml:space="preserve"> </w:t>
      </w:r>
      <w:r w:rsidRPr="00632102">
        <w:rPr>
          <w:rFonts w:hint="eastAsia"/>
          <w:rtl/>
        </w:rPr>
        <w:t>החודש</w:t>
      </w:r>
      <w:r w:rsidRPr="00632102">
        <w:rPr>
          <w:rtl/>
        </w:rPr>
        <w:t xml:space="preserve"> </w:t>
      </w:r>
      <w:r w:rsidRPr="00632102">
        <w:rPr>
          <w:rFonts w:hint="eastAsia"/>
          <w:rtl/>
        </w:rPr>
        <w:t>הוא</w:t>
      </w:r>
      <w:r w:rsidRPr="00632102">
        <w:rPr>
          <w:rtl/>
        </w:rPr>
        <w:t xml:space="preserve"> </w:t>
      </w:r>
      <w:r w:rsidRPr="00632102">
        <w:rPr>
          <w:rFonts w:hint="eastAsia"/>
          <w:rtl/>
        </w:rPr>
        <w:t>שולט</w:t>
      </w:r>
      <w:r w:rsidRPr="00632102">
        <w:rPr>
          <w:rtl/>
        </w:rPr>
        <w:t xml:space="preserve"> </w:t>
      </w:r>
      <w:r w:rsidRPr="00632102">
        <w:rPr>
          <w:rFonts w:hint="eastAsia"/>
          <w:rtl/>
        </w:rPr>
        <w:t>והאילנות</w:t>
      </w:r>
      <w:r w:rsidRPr="00632102">
        <w:rPr>
          <w:rtl/>
        </w:rPr>
        <w:t xml:space="preserve"> </w:t>
      </w:r>
      <w:r w:rsidRPr="00632102">
        <w:rPr>
          <w:rFonts w:hint="eastAsia"/>
          <w:rtl/>
        </w:rPr>
        <w:t>מוציאים</w:t>
      </w:r>
      <w:r w:rsidRPr="00632102">
        <w:rPr>
          <w:rtl/>
        </w:rPr>
        <w:t xml:space="preserve"> </w:t>
      </w:r>
      <w:r w:rsidRPr="00632102">
        <w:rPr>
          <w:rFonts w:hint="eastAsia"/>
          <w:rtl/>
        </w:rPr>
        <w:t>פירות</w:t>
      </w:r>
      <w:r w:rsidRPr="00632102">
        <w:rPr>
          <w:rtl/>
        </w:rPr>
        <w:t xml:space="preserve"> </w:t>
      </w:r>
      <w:r w:rsidRPr="00632102">
        <w:rPr>
          <w:rFonts w:hint="eastAsia"/>
          <w:rtl/>
        </w:rPr>
        <w:t>והתבואה</w:t>
      </w:r>
      <w:r w:rsidRPr="00632102">
        <w:rPr>
          <w:rtl/>
        </w:rPr>
        <w:t xml:space="preserve"> </w:t>
      </w:r>
      <w:r w:rsidRPr="00632102">
        <w:rPr>
          <w:rFonts w:hint="eastAsia"/>
          <w:rtl/>
        </w:rPr>
        <w:t>גם</w:t>
      </w:r>
      <w:r w:rsidRPr="00632102">
        <w:rPr>
          <w:rtl/>
        </w:rPr>
        <w:t xml:space="preserve"> </w:t>
      </w:r>
      <w:r w:rsidRPr="00632102">
        <w:rPr>
          <w:rFonts w:hint="eastAsia"/>
          <w:rtl/>
        </w:rPr>
        <w:t>כן</w:t>
      </w:r>
      <w:r w:rsidRPr="00632102">
        <w:rPr>
          <w:rtl/>
        </w:rPr>
        <w:t xml:space="preserve"> </w:t>
      </w:r>
      <w:r w:rsidRPr="00632102">
        <w:rPr>
          <w:rFonts w:hint="eastAsia"/>
          <w:rtl/>
        </w:rPr>
        <w:t>עיקר</w:t>
      </w:r>
      <w:r w:rsidRPr="00632102">
        <w:rPr>
          <w:rtl/>
        </w:rPr>
        <w:t xml:space="preserve"> </w:t>
      </w:r>
      <w:r w:rsidRPr="00632102">
        <w:rPr>
          <w:rFonts w:hint="eastAsia"/>
          <w:rtl/>
        </w:rPr>
        <w:t>גידולה</w:t>
      </w:r>
      <w:r w:rsidRPr="00632102">
        <w:rPr>
          <w:rtl/>
        </w:rPr>
        <w:t xml:space="preserve"> </w:t>
      </w:r>
      <w:r w:rsidRPr="00632102">
        <w:rPr>
          <w:rFonts w:hint="eastAsia"/>
          <w:rtl/>
        </w:rPr>
        <w:t>הוא</w:t>
      </w:r>
      <w:r w:rsidRPr="00632102">
        <w:rPr>
          <w:rtl/>
        </w:rPr>
        <w:t xml:space="preserve"> </w:t>
      </w:r>
      <w:r w:rsidRPr="00632102">
        <w:rPr>
          <w:rFonts w:hint="eastAsia"/>
          <w:rtl/>
        </w:rPr>
        <w:t>בחודש</w:t>
      </w:r>
      <w:r w:rsidRPr="00632102">
        <w:rPr>
          <w:rtl/>
        </w:rPr>
        <w:t xml:space="preserve"> </w:t>
      </w:r>
      <w:r w:rsidRPr="00632102">
        <w:rPr>
          <w:rFonts w:hint="eastAsia"/>
          <w:rtl/>
        </w:rPr>
        <w:t>זה</w:t>
      </w:r>
      <w:r w:rsidRPr="00632102">
        <w:rPr>
          <w:rtl/>
        </w:rPr>
        <w:t xml:space="preserve">, </w:t>
      </w:r>
      <w:r w:rsidRPr="00632102">
        <w:rPr>
          <w:rFonts w:hint="eastAsia"/>
          <w:rtl/>
        </w:rPr>
        <w:t>לזה</w:t>
      </w:r>
      <w:r w:rsidRPr="00632102">
        <w:rPr>
          <w:rtl/>
        </w:rPr>
        <w:t xml:space="preserve"> </w:t>
      </w:r>
      <w:r w:rsidRPr="00632102">
        <w:rPr>
          <w:rFonts w:hint="eastAsia"/>
          <w:rtl/>
        </w:rPr>
        <w:t>אמרה</w:t>
      </w:r>
      <w:r w:rsidRPr="00632102">
        <w:rPr>
          <w:rtl/>
        </w:rPr>
        <w:t xml:space="preserve"> </w:t>
      </w:r>
      <w:r w:rsidRPr="00632102">
        <w:rPr>
          <w:rFonts w:hint="eastAsia"/>
          <w:rtl/>
        </w:rPr>
        <w:t>תורה</w:t>
      </w:r>
      <w:r w:rsidRPr="00632102">
        <w:rPr>
          <w:rtl/>
        </w:rPr>
        <w:t xml:space="preserve"> </w:t>
      </w:r>
      <w:r w:rsidRPr="00632102">
        <w:rPr>
          <w:rFonts w:hint="eastAsia"/>
          <w:rtl/>
        </w:rPr>
        <w:t>שבעת</w:t>
      </w:r>
      <w:r w:rsidRPr="00632102">
        <w:rPr>
          <w:rtl/>
        </w:rPr>
        <w:t xml:space="preserve"> </w:t>
      </w:r>
      <w:r w:rsidRPr="00632102">
        <w:rPr>
          <w:rFonts w:hint="eastAsia"/>
          <w:rtl/>
        </w:rPr>
        <w:t>ימים</w:t>
      </w:r>
      <w:r w:rsidRPr="00632102">
        <w:rPr>
          <w:rtl/>
        </w:rPr>
        <w:t xml:space="preserve"> </w:t>
      </w:r>
      <w:r w:rsidRPr="00632102">
        <w:rPr>
          <w:rFonts w:hint="eastAsia"/>
          <w:rtl/>
        </w:rPr>
        <w:t>מצות</w:t>
      </w:r>
      <w:r w:rsidRPr="00632102">
        <w:rPr>
          <w:rtl/>
        </w:rPr>
        <w:t xml:space="preserve"> </w:t>
      </w:r>
      <w:r w:rsidRPr="00632102">
        <w:rPr>
          <w:rFonts w:hint="eastAsia"/>
          <w:rtl/>
        </w:rPr>
        <w:t>תאכלו</w:t>
      </w:r>
      <w:r w:rsidRPr="00632102">
        <w:rPr>
          <w:rtl/>
        </w:rPr>
        <w:t xml:space="preserve">, </w:t>
      </w:r>
      <w:r w:rsidRPr="00632102">
        <w:rPr>
          <w:rFonts w:hint="eastAsia"/>
          <w:rtl/>
        </w:rPr>
        <w:t>מצות</w:t>
      </w:r>
      <w:r w:rsidRPr="00632102">
        <w:rPr>
          <w:rtl/>
        </w:rPr>
        <w:t xml:space="preserve"> </w:t>
      </w:r>
      <w:r w:rsidRPr="00632102">
        <w:rPr>
          <w:rFonts w:hint="eastAsia"/>
          <w:rtl/>
        </w:rPr>
        <w:t>מלשון</w:t>
      </w:r>
      <w:r w:rsidRPr="00632102">
        <w:rPr>
          <w:rtl/>
        </w:rPr>
        <w:t xml:space="preserve"> </w:t>
      </w:r>
      <w:r w:rsidRPr="00632102">
        <w:rPr>
          <w:rFonts w:hint="eastAsia"/>
          <w:rtl/>
        </w:rPr>
        <w:t>מריבה</w:t>
      </w:r>
      <w:r w:rsidRPr="00632102">
        <w:rPr>
          <w:rtl/>
        </w:rPr>
        <w:t xml:space="preserve"> </w:t>
      </w:r>
      <w:r w:rsidRPr="00632102">
        <w:rPr>
          <w:rFonts w:hint="eastAsia"/>
          <w:rtl/>
        </w:rPr>
        <w:t>שיריבו</w:t>
      </w:r>
      <w:r w:rsidRPr="00632102">
        <w:rPr>
          <w:rtl/>
        </w:rPr>
        <w:t xml:space="preserve"> </w:t>
      </w:r>
      <w:r w:rsidRPr="00632102">
        <w:rPr>
          <w:rFonts w:hint="eastAsia"/>
          <w:rtl/>
        </w:rPr>
        <w:t>עמו</w:t>
      </w:r>
      <w:r w:rsidRPr="00632102">
        <w:rPr>
          <w:rtl/>
        </w:rPr>
        <w:t xml:space="preserve"> </w:t>
      </w:r>
      <w:r w:rsidRPr="00632102">
        <w:rPr>
          <w:rFonts w:hint="eastAsia"/>
          <w:rtl/>
        </w:rPr>
        <w:t>ויחלישו</w:t>
      </w:r>
      <w:r w:rsidRPr="00632102">
        <w:rPr>
          <w:rtl/>
        </w:rPr>
        <w:t xml:space="preserve"> </w:t>
      </w:r>
      <w:r w:rsidRPr="00632102">
        <w:rPr>
          <w:rFonts w:hint="eastAsia"/>
          <w:rtl/>
        </w:rPr>
        <w:t>כוחו</w:t>
      </w:r>
      <w:r w:rsidRPr="00632102">
        <w:rPr>
          <w:rtl/>
        </w:rPr>
        <w:t xml:space="preserve"> </w:t>
      </w:r>
      <w:r w:rsidRPr="00632102">
        <w:rPr>
          <w:rFonts w:hint="eastAsia"/>
          <w:rtl/>
        </w:rPr>
        <w:t>שלא</w:t>
      </w:r>
      <w:r w:rsidRPr="00632102">
        <w:rPr>
          <w:rtl/>
        </w:rPr>
        <w:t xml:space="preserve"> </w:t>
      </w:r>
      <w:r w:rsidRPr="00632102">
        <w:rPr>
          <w:rFonts w:hint="eastAsia"/>
          <w:rtl/>
        </w:rPr>
        <w:t>יתגבר</w:t>
      </w:r>
      <w:r w:rsidRPr="00632102">
        <w:rPr>
          <w:rtl/>
        </w:rPr>
        <w:t xml:space="preserve">, </w:t>
      </w:r>
      <w:r w:rsidRPr="00632102">
        <w:rPr>
          <w:rFonts w:hint="eastAsia"/>
          <w:rtl/>
        </w:rPr>
        <w:t>כי</w:t>
      </w:r>
      <w:r w:rsidRPr="00632102">
        <w:rPr>
          <w:rtl/>
        </w:rPr>
        <w:t xml:space="preserve"> </w:t>
      </w:r>
      <w:r w:rsidRPr="00632102">
        <w:rPr>
          <w:rFonts w:hint="eastAsia"/>
          <w:rtl/>
        </w:rPr>
        <w:t>הוא</w:t>
      </w:r>
      <w:r w:rsidRPr="00632102">
        <w:rPr>
          <w:rtl/>
        </w:rPr>
        <w:t xml:space="preserve"> </w:t>
      </w:r>
      <w:r w:rsidRPr="00632102">
        <w:rPr>
          <w:rFonts w:hint="eastAsia"/>
          <w:rtl/>
        </w:rPr>
        <w:t>נקרא</w:t>
      </w:r>
      <w:r w:rsidRPr="00632102">
        <w:rPr>
          <w:rtl/>
        </w:rPr>
        <w:t xml:space="preserve"> </w:t>
      </w:r>
      <w:r w:rsidRPr="00632102">
        <w:rPr>
          <w:rFonts w:hint="eastAsia"/>
          <w:rtl/>
        </w:rPr>
        <w:t>חודש</w:t>
      </w:r>
      <w:r w:rsidRPr="00632102">
        <w:rPr>
          <w:rtl/>
        </w:rPr>
        <w:t xml:space="preserve"> </w:t>
      </w:r>
      <w:r w:rsidRPr="00632102">
        <w:rPr>
          <w:rFonts w:hint="eastAsia"/>
          <w:rtl/>
        </w:rPr>
        <w:t>האביב</w:t>
      </w:r>
      <w:r w:rsidRPr="00632102">
        <w:rPr>
          <w:rtl/>
        </w:rPr>
        <w:t xml:space="preserve">, </w:t>
      </w:r>
      <w:r w:rsidRPr="00632102">
        <w:rPr>
          <w:rFonts w:hint="eastAsia"/>
          <w:rtl/>
        </w:rPr>
        <w:t>אב</w:t>
      </w:r>
      <w:r w:rsidRPr="00632102">
        <w:rPr>
          <w:rtl/>
        </w:rPr>
        <w:t xml:space="preserve"> </w:t>
      </w:r>
      <w:r w:rsidRPr="00632102">
        <w:rPr>
          <w:rFonts w:hint="eastAsia"/>
          <w:rtl/>
        </w:rPr>
        <w:t>לי</w:t>
      </w:r>
      <w:r w:rsidRPr="00632102">
        <w:rPr>
          <w:rtl/>
        </w:rPr>
        <w:t>"</w:t>
      </w:r>
      <w:r w:rsidRPr="00632102">
        <w:rPr>
          <w:rFonts w:hint="eastAsia"/>
          <w:rtl/>
        </w:rPr>
        <w:t>ב</w:t>
      </w:r>
      <w:r w:rsidRPr="00632102">
        <w:rPr>
          <w:rtl/>
        </w:rPr>
        <w:t xml:space="preserve"> </w:t>
      </w:r>
      <w:r w:rsidRPr="00632102">
        <w:rPr>
          <w:rFonts w:hint="eastAsia"/>
          <w:rtl/>
        </w:rPr>
        <w:t>חודשים</w:t>
      </w:r>
      <w:r w:rsidRPr="00632102">
        <w:rPr>
          <w:rtl/>
        </w:rPr>
        <w:t xml:space="preserve">, </w:t>
      </w:r>
      <w:r w:rsidRPr="00632102">
        <w:rPr>
          <w:rFonts w:hint="eastAsia"/>
          <w:rtl/>
        </w:rPr>
        <w:t>ולזה</w:t>
      </w:r>
      <w:r w:rsidRPr="00632102">
        <w:rPr>
          <w:rtl/>
        </w:rPr>
        <w:t xml:space="preserve"> </w:t>
      </w:r>
      <w:r w:rsidRPr="00632102">
        <w:rPr>
          <w:rFonts w:hint="eastAsia"/>
          <w:rtl/>
        </w:rPr>
        <w:t>מברכין</w:t>
      </w:r>
      <w:r w:rsidRPr="00632102">
        <w:rPr>
          <w:rtl/>
        </w:rPr>
        <w:t xml:space="preserve"> </w:t>
      </w:r>
      <w:r w:rsidRPr="00632102">
        <w:rPr>
          <w:rFonts w:hint="eastAsia"/>
          <w:rtl/>
        </w:rPr>
        <w:t>על</w:t>
      </w:r>
      <w:r w:rsidRPr="00632102">
        <w:rPr>
          <w:rtl/>
        </w:rPr>
        <w:t xml:space="preserve"> </w:t>
      </w:r>
      <w:r w:rsidRPr="00632102">
        <w:rPr>
          <w:rFonts w:hint="eastAsia"/>
          <w:rtl/>
        </w:rPr>
        <w:t>האילנות</w:t>
      </w:r>
      <w:r w:rsidRPr="00632102">
        <w:rPr>
          <w:rtl/>
        </w:rPr>
        <w:t xml:space="preserve"> </w:t>
      </w:r>
      <w:r w:rsidRPr="00632102">
        <w:rPr>
          <w:rFonts w:hint="eastAsia"/>
          <w:rtl/>
        </w:rPr>
        <w:t>כשמוציאים</w:t>
      </w:r>
      <w:r w:rsidRPr="00632102">
        <w:rPr>
          <w:rtl/>
        </w:rPr>
        <w:t xml:space="preserve"> </w:t>
      </w:r>
      <w:r w:rsidRPr="00632102">
        <w:rPr>
          <w:rFonts w:hint="eastAsia"/>
          <w:rtl/>
        </w:rPr>
        <w:t>פרח</w:t>
      </w:r>
      <w:r w:rsidRPr="00632102">
        <w:rPr>
          <w:rtl/>
        </w:rPr>
        <w:t xml:space="preserve"> </w:t>
      </w:r>
      <w:r w:rsidRPr="00632102">
        <w:rPr>
          <w:rFonts w:hint="eastAsia"/>
          <w:rtl/>
        </w:rPr>
        <w:t>בחודש</w:t>
      </w:r>
      <w:r w:rsidRPr="00632102">
        <w:rPr>
          <w:rtl/>
        </w:rPr>
        <w:t xml:space="preserve"> </w:t>
      </w:r>
      <w:r w:rsidRPr="00632102">
        <w:rPr>
          <w:rFonts w:hint="eastAsia"/>
          <w:rtl/>
        </w:rPr>
        <w:t>זה</w:t>
      </w:r>
      <w:r w:rsidRPr="00632102">
        <w:rPr>
          <w:rtl/>
        </w:rPr>
        <w:t xml:space="preserve"> </w:t>
      </w:r>
      <w:r w:rsidRPr="00632102">
        <w:rPr>
          <w:rFonts w:hint="eastAsia"/>
          <w:rtl/>
        </w:rPr>
        <w:t>ברוך</w:t>
      </w:r>
      <w:r w:rsidRPr="00632102">
        <w:rPr>
          <w:rtl/>
        </w:rPr>
        <w:t xml:space="preserve"> </w:t>
      </w:r>
      <w:r w:rsidRPr="00632102">
        <w:rPr>
          <w:rFonts w:hint="eastAsia"/>
          <w:rtl/>
        </w:rPr>
        <w:t>שלא</w:t>
      </w:r>
      <w:r w:rsidRPr="00632102">
        <w:rPr>
          <w:rtl/>
        </w:rPr>
        <w:t xml:space="preserve"> </w:t>
      </w:r>
      <w:r w:rsidRPr="00632102">
        <w:rPr>
          <w:rFonts w:hint="eastAsia"/>
          <w:rtl/>
        </w:rPr>
        <w:t>חסר</w:t>
      </w:r>
      <w:r w:rsidRPr="00632102">
        <w:rPr>
          <w:rtl/>
        </w:rPr>
        <w:t xml:space="preserve"> </w:t>
      </w:r>
      <w:r w:rsidRPr="00632102">
        <w:rPr>
          <w:rFonts w:hint="eastAsia"/>
          <w:rtl/>
        </w:rPr>
        <w:t>בעולמו</w:t>
      </w:r>
      <w:r w:rsidRPr="00632102">
        <w:rPr>
          <w:rtl/>
        </w:rPr>
        <w:t xml:space="preserve"> </w:t>
      </w:r>
      <w:r w:rsidRPr="00632102">
        <w:rPr>
          <w:rFonts w:hint="eastAsia"/>
          <w:rtl/>
        </w:rPr>
        <w:t>כלום</w:t>
      </w:r>
      <w:r w:rsidRPr="00632102">
        <w:rPr>
          <w:rtl/>
        </w:rPr>
        <w:t xml:space="preserve"> </w:t>
      </w:r>
      <w:r w:rsidRPr="00632102">
        <w:rPr>
          <w:rFonts w:hint="eastAsia"/>
          <w:rtl/>
        </w:rPr>
        <w:t>וברא</w:t>
      </w:r>
      <w:r w:rsidRPr="00632102">
        <w:rPr>
          <w:rtl/>
        </w:rPr>
        <w:t xml:space="preserve"> </w:t>
      </w:r>
      <w:r w:rsidRPr="00632102">
        <w:rPr>
          <w:rFonts w:hint="eastAsia"/>
          <w:rtl/>
        </w:rPr>
        <w:t>בו</w:t>
      </w:r>
      <w:r w:rsidRPr="00632102">
        <w:rPr>
          <w:rtl/>
        </w:rPr>
        <w:t xml:space="preserve"> </w:t>
      </w:r>
      <w:r w:rsidRPr="00632102">
        <w:rPr>
          <w:rFonts w:hint="eastAsia"/>
          <w:rtl/>
        </w:rPr>
        <w:t>בריות</w:t>
      </w:r>
      <w:r w:rsidRPr="00632102">
        <w:rPr>
          <w:rtl/>
        </w:rPr>
        <w:t xml:space="preserve"> </w:t>
      </w:r>
      <w:r w:rsidRPr="00632102">
        <w:rPr>
          <w:rFonts w:hint="eastAsia"/>
          <w:rtl/>
        </w:rPr>
        <w:t>טובות</w:t>
      </w:r>
      <w:r w:rsidRPr="00632102">
        <w:rPr>
          <w:rtl/>
        </w:rPr>
        <w:t xml:space="preserve"> </w:t>
      </w:r>
      <w:r w:rsidRPr="00632102">
        <w:rPr>
          <w:rFonts w:hint="eastAsia"/>
          <w:rtl/>
        </w:rPr>
        <w:t>ואילנות</w:t>
      </w:r>
      <w:r w:rsidRPr="00632102">
        <w:rPr>
          <w:rtl/>
        </w:rPr>
        <w:t xml:space="preserve"> </w:t>
      </w:r>
      <w:r w:rsidRPr="00632102">
        <w:rPr>
          <w:rFonts w:hint="eastAsia"/>
          <w:rtl/>
        </w:rPr>
        <w:t>טובות</w:t>
      </w:r>
      <w:r w:rsidRPr="00632102">
        <w:rPr>
          <w:rtl/>
        </w:rPr>
        <w:t xml:space="preserve"> </w:t>
      </w:r>
      <w:r w:rsidRPr="00632102">
        <w:rPr>
          <w:rFonts w:hint="eastAsia"/>
          <w:rtl/>
        </w:rPr>
        <w:t>ליהנות</w:t>
      </w:r>
      <w:r w:rsidRPr="00632102">
        <w:rPr>
          <w:rtl/>
        </w:rPr>
        <w:t xml:space="preserve"> </w:t>
      </w:r>
      <w:r w:rsidRPr="00632102">
        <w:rPr>
          <w:rFonts w:hint="eastAsia"/>
          <w:rtl/>
        </w:rPr>
        <w:t>וגו</w:t>
      </w:r>
      <w:r w:rsidRPr="00632102">
        <w:rPr>
          <w:rtl/>
        </w:rPr>
        <w:t xml:space="preserve">', </w:t>
      </w:r>
      <w:r w:rsidRPr="00632102">
        <w:rPr>
          <w:rFonts w:hint="eastAsia"/>
          <w:rtl/>
        </w:rPr>
        <w:t>ואין</w:t>
      </w:r>
      <w:r w:rsidRPr="00632102">
        <w:rPr>
          <w:rtl/>
        </w:rPr>
        <w:t xml:space="preserve"> </w:t>
      </w:r>
      <w:r w:rsidRPr="00632102">
        <w:rPr>
          <w:rFonts w:hint="eastAsia"/>
          <w:rtl/>
        </w:rPr>
        <w:t>מברכים</w:t>
      </w:r>
      <w:r w:rsidRPr="00632102">
        <w:rPr>
          <w:rtl/>
        </w:rPr>
        <w:t xml:space="preserve"> </w:t>
      </w:r>
      <w:r w:rsidRPr="00632102">
        <w:rPr>
          <w:rFonts w:hint="eastAsia"/>
          <w:rtl/>
        </w:rPr>
        <w:t>בשעת</w:t>
      </w:r>
      <w:r w:rsidRPr="00632102">
        <w:rPr>
          <w:rtl/>
        </w:rPr>
        <w:t xml:space="preserve"> </w:t>
      </w:r>
      <w:r w:rsidRPr="00632102">
        <w:rPr>
          <w:rFonts w:hint="eastAsia"/>
          <w:rtl/>
        </w:rPr>
        <w:t>בישול</w:t>
      </w:r>
      <w:r w:rsidRPr="00632102">
        <w:rPr>
          <w:rtl/>
        </w:rPr>
        <w:t xml:space="preserve"> </w:t>
      </w:r>
      <w:r w:rsidRPr="00632102">
        <w:rPr>
          <w:rFonts w:hint="eastAsia"/>
          <w:rtl/>
        </w:rPr>
        <w:t>הפירות</w:t>
      </w:r>
      <w:r w:rsidRPr="00632102">
        <w:rPr>
          <w:rtl/>
        </w:rPr>
        <w:t xml:space="preserve"> </w:t>
      </w:r>
      <w:r w:rsidRPr="00632102">
        <w:rPr>
          <w:rFonts w:hint="eastAsia"/>
          <w:rtl/>
        </w:rPr>
        <w:t>אלא</w:t>
      </w:r>
      <w:r w:rsidRPr="00632102">
        <w:rPr>
          <w:rtl/>
        </w:rPr>
        <w:t xml:space="preserve"> </w:t>
      </w:r>
      <w:r w:rsidRPr="00632102">
        <w:rPr>
          <w:rFonts w:hint="eastAsia"/>
          <w:rtl/>
        </w:rPr>
        <w:t>בזמן</w:t>
      </w:r>
      <w:r w:rsidRPr="00632102">
        <w:rPr>
          <w:rtl/>
        </w:rPr>
        <w:t xml:space="preserve"> </w:t>
      </w:r>
      <w:r w:rsidRPr="00632102">
        <w:rPr>
          <w:rFonts w:hint="eastAsia"/>
          <w:rtl/>
        </w:rPr>
        <w:t>הפרח</w:t>
      </w:r>
      <w:r w:rsidRPr="00632102">
        <w:rPr>
          <w:rtl/>
        </w:rPr>
        <w:t xml:space="preserve"> </w:t>
      </w:r>
      <w:r w:rsidRPr="00632102">
        <w:rPr>
          <w:rFonts w:hint="eastAsia"/>
          <w:rtl/>
        </w:rPr>
        <w:t>שהוא</w:t>
      </w:r>
      <w:r w:rsidRPr="00632102">
        <w:rPr>
          <w:rtl/>
        </w:rPr>
        <w:t xml:space="preserve"> </w:t>
      </w:r>
      <w:r w:rsidRPr="00632102">
        <w:rPr>
          <w:rFonts w:hint="eastAsia"/>
          <w:rtl/>
        </w:rPr>
        <w:t>עיקר</w:t>
      </w:r>
      <w:r w:rsidRPr="00632102">
        <w:rPr>
          <w:rtl/>
        </w:rPr>
        <w:t xml:space="preserve"> </w:t>
      </w:r>
      <w:r w:rsidRPr="00632102">
        <w:rPr>
          <w:rFonts w:hint="eastAsia"/>
          <w:rtl/>
        </w:rPr>
        <w:t>הפרי</w:t>
      </w:r>
      <w:r w:rsidRPr="00632102">
        <w:rPr>
          <w:rtl/>
        </w:rPr>
        <w:t xml:space="preserve">, </w:t>
      </w:r>
      <w:r w:rsidRPr="00632102">
        <w:rPr>
          <w:rFonts w:hint="eastAsia"/>
          <w:rtl/>
        </w:rPr>
        <w:t>ולוקחין</w:t>
      </w:r>
      <w:r w:rsidRPr="00632102">
        <w:rPr>
          <w:rtl/>
        </w:rPr>
        <w:t xml:space="preserve"> </w:t>
      </w:r>
      <w:r w:rsidRPr="00632102">
        <w:rPr>
          <w:rFonts w:hint="eastAsia"/>
          <w:rtl/>
        </w:rPr>
        <w:t>מכל</w:t>
      </w:r>
      <w:r w:rsidRPr="00632102">
        <w:rPr>
          <w:rtl/>
        </w:rPr>
        <w:t xml:space="preserve"> </w:t>
      </w:r>
      <w:r w:rsidRPr="00632102">
        <w:rPr>
          <w:rFonts w:hint="eastAsia"/>
          <w:rtl/>
        </w:rPr>
        <w:t>הפירות</w:t>
      </w:r>
      <w:r w:rsidRPr="00632102">
        <w:rPr>
          <w:rtl/>
        </w:rPr>
        <w:t xml:space="preserve"> </w:t>
      </w:r>
      <w:r w:rsidRPr="00632102">
        <w:rPr>
          <w:rFonts w:hint="eastAsia"/>
          <w:rtl/>
        </w:rPr>
        <w:t>שנזכרו</w:t>
      </w:r>
      <w:r w:rsidRPr="00632102">
        <w:rPr>
          <w:rtl/>
        </w:rPr>
        <w:t xml:space="preserve"> </w:t>
      </w:r>
      <w:r w:rsidRPr="00632102">
        <w:rPr>
          <w:rFonts w:hint="eastAsia"/>
          <w:rtl/>
        </w:rPr>
        <w:t>בשיר</w:t>
      </w:r>
      <w:r w:rsidRPr="00632102">
        <w:rPr>
          <w:rtl/>
        </w:rPr>
        <w:t xml:space="preserve"> </w:t>
      </w:r>
      <w:r w:rsidRPr="00632102">
        <w:rPr>
          <w:rFonts w:hint="eastAsia"/>
          <w:rtl/>
        </w:rPr>
        <w:t>השירים</w:t>
      </w:r>
      <w:r w:rsidRPr="00632102">
        <w:rPr>
          <w:rtl/>
        </w:rPr>
        <w:t xml:space="preserve"> </w:t>
      </w:r>
      <w:r w:rsidRPr="00632102">
        <w:rPr>
          <w:rFonts w:hint="eastAsia"/>
          <w:rtl/>
        </w:rPr>
        <w:t>ודורסין</w:t>
      </w:r>
      <w:r w:rsidRPr="00632102">
        <w:rPr>
          <w:rtl/>
        </w:rPr>
        <w:t xml:space="preserve"> </w:t>
      </w:r>
      <w:r w:rsidRPr="00632102">
        <w:rPr>
          <w:rFonts w:hint="eastAsia"/>
          <w:rtl/>
        </w:rPr>
        <w:t>אותם</w:t>
      </w:r>
      <w:r w:rsidRPr="00632102">
        <w:rPr>
          <w:rtl/>
        </w:rPr>
        <w:t xml:space="preserve"> </w:t>
      </w:r>
      <w:r w:rsidRPr="00632102">
        <w:rPr>
          <w:rFonts w:hint="eastAsia"/>
          <w:rtl/>
        </w:rPr>
        <w:t>ועושים</w:t>
      </w:r>
      <w:r w:rsidRPr="00632102">
        <w:rPr>
          <w:rtl/>
        </w:rPr>
        <w:t xml:space="preserve"> </w:t>
      </w:r>
      <w:r w:rsidRPr="00632102">
        <w:rPr>
          <w:rFonts w:hint="eastAsia"/>
          <w:rtl/>
        </w:rPr>
        <w:t>מהם</w:t>
      </w:r>
      <w:r w:rsidRPr="00632102">
        <w:rPr>
          <w:rtl/>
        </w:rPr>
        <w:t xml:space="preserve"> </w:t>
      </w:r>
      <w:r w:rsidRPr="00632102">
        <w:rPr>
          <w:rFonts w:hint="eastAsia"/>
          <w:rtl/>
        </w:rPr>
        <w:t>חרוסת</w:t>
      </w:r>
      <w:r w:rsidRPr="00632102">
        <w:rPr>
          <w:rtl/>
        </w:rPr>
        <w:t xml:space="preserve">, </w:t>
      </w:r>
      <w:r w:rsidRPr="00632102">
        <w:rPr>
          <w:rFonts w:hint="eastAsia"/>
          <w:rtl/>
        </w:rPr>
        <w:t>ולפי</w:t>
      </w:r>
      <w:r w:rsidRPr="00632102">
        <w:rPr>
          <w:rtl/>
        </w:rPr>
        <w:t xml:space="preserve"> </w:t>
      </w:r>
      <w:r w:rsidRPr="00632102">
        <w:rPr>
          <w:rFonts w:hint="eastAsia"/>
          <w:rtl/>
        </w:rPr>
        <w:t>שהיה</w:t>
      </w:r>
      <w:r w:rsidRPr="00632102">
        <w:rPr>
          <w:rtl/>
        </w:rPr>
        <w:t xml:space="preserve"> </w:t>
      </w:r>
      <w:r w:rsidRPr="00632102">
        <w:rPr>
          <w:rFonts w:hint="eastAsia"/>
          <w:rtl/>
        </w:rPr>
        <w:t>מתגאה</w:t>
      </w:r>
      <w:r w:rsidRPr="00632102">
        <w:rPr>
          <w:rtl/>
        </w:rPr>
        <w:t xml:space="preserve"> </w:t>
      </w:r>
      <w:r w:rsidRPr="00632102">
        <w:rPr>
          <w:rFonts w:hint="eastAsia"/>
          <w:rtl/>
        </w:rPr>
        <w:t>בהם</w:t>
      </w:r>
      <w:r w:rsidRPr="00632102">
        <w:rPr>
          <w:rtl/>
        </w:rPr>
        <w:t xml:space="preserve"> </w:t>
      </w:r>
      <w:r w:rsidRPr="00632102">
        <w:rPr>
          <w:rFonts w:hint="eastAsia"/>
          <w:rtl/>
        </w:rPr>
        <w:t>שבאים</w:t>
      </w:r>
      <w:r w:rsidRPr="00632102">
        <w:rPr>
          <w:rtl/>
        </w:rPr>
        <w:t xml:space="preserve"> </w:t>
      </w:r>
      <w:r w:rsidRPr="00632102">
        <w:rPr>
          <w:rFonts w:hint="eastAsia"/>
          <w:rtl/>
        </w:rPr>
        <w:t>כולם</w:t>
      </w:r>
      <w:r w:rsidRPr="00632102">
        <w:rPr>
          <w:rtl/>
        </w:rPr>
        <w:t xml:space="preserve"> </w:t>
      </w:r>
      <w:r w:rsidRPr="00632102">
        <w:rPr>
          <w:rFonts w:hint="eastAsia"/>
          <w:rtl/>
        </w:rPr>
        <w:t>על</w:t>
      </w:r>
      <w:r w:rsidRPr="00632102">
        <w:rPr>
          <w:rtl/>
        </w:rPr>
        <w:t xml:space="preserve"> </w:t>
      </w:r>
      <w:r w:rsidRPr="00632102">
        <w:rPr>
          <w:rFonts w:hint="eastAsia"/>
          <w:rtl/>
        </w:rPr>
        <w:t>ידו</w:t>
      </w:r>
      <w:r w:rsidRPr="00632102">
        <w:rPr>
          <w:rtl/>
        </w:rPr>
        <w:t xml:space="preserve"> </w:t>
      </w:r>
      <w:r w:rsidRPr="00632102">
        <w:rPr>
          <w:rFonts w:hint="eastAsia"/>
          <w:rtl/>
        </w:rPr>
        <w:t>שכולם</w:t>
      </w:r>
      <w:r w:rsidRPr="00632102">
        <w:rPr>
          <w:rtl/>
        </w:rPr>
        <w:t xml:space="preserve"> </w:t>
      </w:r>
      <w:r w:rsidRPr="00632102">
        <w:rPr>
          <w:rFonts w:hint="eastAsia"/>
          <w:rtl/>
        </w:rPr>
        <w:t>מוציאים</w:t>
      </w:r>
      <w:r w:rsidRPr="00632102">
        <w:rPr>
          <w:rtl/>
        </w:rPr>
        <w:t xml:space="preserve"> </w:t>
      </w:r>
      <w:r w:rsidRPr="00632102">
        <w:rPr>
          <w:rFonts w:hint="eastAsia"/>
          <w:rtl/>
        </w:rPr>
        <w:t>פרח</w:t>
      </w:r>
      <w:r w:rsidRPr="00632102">
        <w:rPr>
          <w:rtl/>
        </w:rPr>
        <w:t xml:space="preserve"> </w:t>
      </w:r>
      <w:r w:rsidRPr="00632102">
        <w:rPr>
          <w:rFonts w:hint="eastAsia"/>
          <w:rtl/>
        </w:rPr>
        <w:t>ומלבלבין</w:t>
      </w:r>
      <w:r w:rsidRPr="00632102">
        <w:rPr>
          <w:rtl/>
        </w:rPr>
        <w:t xml:space="preserve"> </w:t>
      </w:r>
      <w:r w:rsidRPr="00632102">
        <w:rPr>
          <w:rFonts w:hint="eastAsia"/>
          <w:rtl/>
        </w:rPr>
        <w:t>בחודש</w:t>
      </w:r>
      <w:r w:rsidRPr="00632102">
        <w:rPr>
          <w:rtl/>
        </w:rPr>
        <w:t xml:space="preserve"> </w:t>
      </w:r>
      <w:r w:rsidRPr="00632102">
        <w:rPr>
          <w:rFonts w:hint="eastAsia"/>
          <w:rtl/>
        </w:rPr>
        <w:t>זה</w:t>
      </w:r>
      <w:r w:rsidRPr="00632102">
        <w:rPr>
          <w:rtl/>
        </w:rPr>
        <w:t xml:space="preserve">, </w:t>
      </w:r>
      <w:r w:rsidRPr="00632102">
        <w:rPr>
          <w:rFonts w:hint="eastAsia"/>
          <w:rtl/>
        </w:rPr>
        <w:t>לזה</w:t>
      </w:r>
      <w:r w:rsidRPr="00632102">
        <w:rPr>
          <w:rtl/>
        </w:rPr>
        <w:t xml:space="preserve"> </w:t>
      </w:r>
      <w:r w:rsidRPr="00632102">
        <w:rPr>
          <w:rFonts w:hint="eastAsia"/>
          <w:rtl/>
        </w:rPr>
        <w:t>אנו</w:t>
      </w:r>
      <w:r w:rsidRPr="00632102">
        <w:rPr>
          <w:rtl/>
        </w:rPr>
        <w:t xml:space="preserve"> </w:t>
      </w:r>
      <w:r w:rsidRPr="00632102">
        <w:rPr>
          <w:rFonts w:hint="eastAsia"/>
          <w:rtl/>
        </w:rPr>
        <w:t>קורין</w:t>
      </w:r>
      <w:r w:rsidRPr="00632102">
        <w:rPr>
          <w:rtl/>
        </w:rPr>
        <w:t xml:space="preserve"> </w:t>
      </w:r>
      <w:r w:rsidRPr="00632102">
        <w:rPr>
          <w:rFonts w:hint="eastAsia"/>
          <w:rtl/>
        </w:rPr>
        <w:t>שיר</w:t>
      </w:r>
      <w:r w:rsidRPr="00632102">
        <w:rPr>
          <w:rtl/>
        </w:rPr>
        <w:t xml:space="preserve"> </w:t>
      </w:r>
      <w:r w:rsidRPr="00632102">
        <w:rPr>
          <w:rFonts w:hint="eastAsia"/>
          <w:rtl/>
        </w:rPr>
        <w:t>השירים</w:t>
      </w:r>
      <w:r w:rsidRPr="00632102">
        <w:rPr>
          <w:rtl/>
        </w:rPr>
        <w:t xml:space="preserve"> </w:t>
      </w:r>
      <w:r w:rsidRPr="00632102">
        <w:rPr>
          <w:rFonts w:hint="eastAsia"/>
          <w:rtl/>
        </w:rPr>
        <w:t>לומר</w:t>
      </w:r>
      <w:r w:rsidRPr="00632102">
        <w:rPr>
          <w:rtl/>
        </w:rPr>
        <w:t xml:space="preserve"> </w:t>
      </w:r>
      <w:r w:rsidRPr="00632102">
        <w:rPr>
          <w:rFonts w:hint="eastAsia"/>
          <w:rtl/>
        </w:rPr>
        <w:t>שכל</w:t>
      </w:r>
      <w:r w:rsidRPr="00632102">
        <w:rPr>
          <w:rtl/>
        </w:rPr>
        <w:t xml:space="preserve"> </w:t>
      </w:r>
      <w:r w:rsidRPr="00632102">
        <w:rPr>
          <w:rFonts w:hint="eastAsia"/>
          <w:rtl/>
        </w:rPr>
        <w:t>הפירות</w:t>
      </w:r>
      <w:r w:rsidRPr="00632102">
        <w:rPr>
          <w:rtl/>
        </w:rPr>
        <w:t xml:space="preserve"> </w:t>
      </w:r>
      <w:r w:rsidRPr="00632102">
        <w:rPr>
          <w:rFonts w:hint="eastAsia"/>
          <w:rtl/>
        </w:rPr>
        <w:t>הם</w:t>
      </w:r>
      <w:r w:rsidRPr="00632102">
        <w:rPr>
          <w:rtl/>
        </w:rPr>
        <w:t xml:space="preserve"> </w:t>
      </w:r>
      <w:r w:rsidRPr="00632102">
        <w:rPr>
          <w:rFonts w:hint="eastAsia"/>
          <w:rtl/>
        </w:rPr>
        <w:t>מאתו</w:t>
      </w:r>
      <w:r w:rsidRPr="00632102">
        <w:rPr>
          <w:rtl/>
        </w:rPr>
        <w:t xml:space="preserve"> </w:t>
      </w:r>
      <w:r w:rsidRPr="00632102">
        <w:rPr>
          <w:rFonts w:hint="eastAsia"/>
          <w:rtl/>
        </w:rPr>
        <w:t>יתברך</w:t>
      </w:r>
      <w:r w:rsidRPr="00632102">
        <w:rPr>
          <w:rtl/>
        </w:rPr>
        <w:t xml:space="preserve"> </w:t>
      </w:r>
      <w:r w:rsidRPr="00632102">
        <w:rPr>
          <w:rFonts w:hint="eastAsia"/>
          <w:rtl/>
        </w:rPr>
        <w:t>ולא</w:t>
      </w:r>
      <w:r w:rsidRPr="00632102">
        <w:rPr>
          <w:rtl/>
        </w:rPr>
        <w:t xml:space="preserve"> </w:t>
      </w:r>
      <w:r w:rsidRPr="00632102">
        <w:rPr>
          <w:rFonts w:hint="eastAsia"/>
          <w:rtl/>
        </w:rPr>
        <w:t>החודש</w:t>
      </w:r>
      <w:r w:rsidRPr="00632102">
        <w:rPr>
          <w:rtl/>
        </w:rPr>
        <w:t xml:space="preserve"> </w:t>
      </w:r>
      <w:r w:rsidRPr="00632102">
        <w:rPr>
          <w:rFonts w:hint="eastAsia"/>
          <w:rtl/>
        </w:rPr>
        <w:t>גורם</w:t>
      </w:r>
      <w:r>
        <w:rPr>
          <w:rFonts w:hint="cs"/>
          <w:rtl/>
        </w:rPr>
        <w:t>"</w:t>
      </w:r>
      <w:r w:rsidRPr="00632102">
        <w:rPr>
          <w:rFonts w:hint="cs"/>
          <w:rtl/>
        </w:rPr>
        <w:t>.</w:t>
      </w:r>
    </w:p>
    <w:p w:rsidR="004C1858" w:rsidRPr="00632102" w:rsidRDefault="004C1858" w:rsidP="004B0C42">
      <w:pPr>
        <w:pStyle w:val="a3"/>
        <w:rPr>
          <w:rtl/>
        </w:rPr>
      </w:pPr>
      <w:r w:rsidRPr="00632102">
        <w:rPr>
          <w:rFonts w:hint="eastAsia"/>
          <w:rtl/>
        </w:rPr>
        <w:t>וכן</w:t>
      </w:r>
      <w:r w:rsidRPr="00632102">
        <w:rPr>
          <w:rtl/>
        </w:rPr>
        <w:t xml:space="preserve"> </w:t>
      </w:r>
      <w:r w:rsidRPr="00632102">
        <w:rPr>
          <w:rFonts w:hint="eastAsia"/>
          <w:rtl/>
        </w:rPr>
        <w:t>כתב</w:t>
      </w:r>
      <w:r w:rsidRPr="00632102">
        <w:rPr>
          <w:rtl/>
        </w:rPr>
        <w:t xml:space="preserve"> </w:t>
      </w:r>
      <w:r w:rsidRPr="00632102">
        <w:rPr>
          <w:rFonts w:hint="eastAsia"/>
          <w:rtl/>
        </w:rPr>
        <w:t>בספר</w:t>
      </w:r>
      <w:r w:rsidRPr="00632102">
        <w:rPr>
          <w:rtl/>
        </w:rPr>
        <w:t xml:space="preserve"> </w:t>
      </w:r>
      <w:r w:rsidRPr="00632102">
        <w:rPr>
          <w:rFonts w:hint="eastAsia"/>
          <w:rtl/>
        </w:rPr>
        <w:t>מועד</w:t>
      </w:r>
      <w:r w:rsidRPr="00632102">
        <w:rPr>
          <w:rtl/>
        </w:rPr>
        <w:t xml:space="preserve"> </w:t>
      </w:r>
      <w:r w:rsidRPr="00632102">
        <w:rPr>
          <w:rFonts w:hint="eastAsia"/>
          <w:rtl/>
        </w:rPr>
        <w:t>לכל</w:t>
      </w:r>
      <w:r w:rsidRPr="00632102">
        <w:rPr>
          <w:rtl/>
        </w:rPr>
        <w:t xml:space="preserve"> </w:t>
      </w:r>
      <w:r w:rsidRPr="00632102">
        <w:rPr>
          <w:rFonts w:hint="eastAsia"/>
          <w:rtl/>
        </w:rPr>
        <w:t>חי</w:t>
      </w:r>
      <w:r w:rsidRPr="00632102">
        <w:rPr>
          <w:rtl/>
        </w:rPr>
        <w:t xml:space="preserve"> </w:t>
      </w:r>
      <w:r w:rsidRPr="00632102">
        <w:rPr>
          <w:rFonts w:hint="cs"/>
          <w:rtl/>
        </w:rPr>
        <w:t>(</w:t>
      </w:r>
      <w:r w:rsidRPr="00632102">
        <w:rPr>
          <w:rFonts w:hint="eastAsia"/>
          <w:rtl/>
        </w:rPr>
        <w:t>סי</w:t>
      </w:r>
      <w:r w:rsidRPr="00632102">
        <w:rPr>
          <w:rFonts w:hint="cs"/>
          <w:rtl/>
        </w:rPr>
        <w:t>'</w:t>
      </w:r>
      <w:r w:rsidRPr="00632102">
        <w:rPr>
          <w:rtl/>
        </w:rPr>
        <w:t xml:space="preserve"> </w:t>
      </w:r>
      <w:r w:rsidRPr="00632102">
        <w:rPr>
          <w:rFonts w:hint="eastAsia"/>
          <w:rtl/>
        </w:rPr>
        <w:t>א</w:t>
      </w:r>
      <w:r w:rsidRPr="00632102">
        <w:rPr>
          <w:rtl/>
        </w:rPr>
        <w:t xml:space="preserve"> </w:t>
      </w:r>
      <w:r w:rsidRPr="00632102">
        <w:rPr>
          <w:rFonts w:hint="eastAsia"/>
          <w:rtl/>
        </w:rPr>
        <w:t>אות</w:t>
      </w:r>
      <w:r w:rsidRPr="00632102">
        <w:rPr>
          <w:rtl/>
        </w:rPr>
        <w:t xml:space="preserve"> </w:t>
      </w:r>
      <w:r w:rsidRPr="00632102">
        <w:rPr>
          <w:rFonts w:hint="eastAsia"/>
          <w:rtl/>
        </w:rPr>
        <w:t>ט</w:t>
      </w:r>
      <w:r w:rsidRPr="00632102">
        <w:rPr>
          <w:rFonts w:hint="cs"/>
          <w:rtl/>
        </w:rPr>
        <w:t>)</w:t>
      </w:r>
      <w:r w:rsidRPr="00632102">
        <w:rPr>
          <w:rtl/>
        </w:rPr>
        <w:t xml:space="preserve"> </w:t>
      </w:r>
      <w:r w:rsidRPr="00632102">
        <w:rPr>
          <w:rFonts w:hint="cs"/>
          <w:rtl/>
        </w:rPr>
        <w:t>"</w:t>
      </w:r>
      <w:r w:rsidRPr="00632102">
        <w:rPr>
          <w:rFonts w:hint="eastAsia"/>
          <w:rtl/>
        </w:rPr>
        <w:t>על</w:t>
      </w:r>
      <w:r w:rsidRPr="00632102">
        <w:rPr>
          <w:rtl/>
        </w:rPr>
        <w:t xml:space="preserve"> </w:t>
      </w:r>
      <w:r w:rsidRPr="00632102">
        <w:rPr>
          <w:rFonts w:hint="eastAsia"/>
          <w:rtl/>
        </w:rPr>
        <w:t>דרך</w:t>
      </w:r>
      <w:r w:rsidRPr="00632102">
        <w:rPr>
          <w:rtl/>
        </w:rPr>
        <w:t xml:space="preserve"> </w:t>
      </w:r>
      <w:r w:rsidRPr="00632102">
        <w:rPr>
          <w:rFonts w:hint="eastAsia"/>
          <w:rtl/>
        </w:rPr>
        <w:t>הסוד</w:t>
      </w:r>
      <w:r w:rsidRPr="00632102">
        <w:rPr>
          <w:rtl/>
        </w:rPr>
        <w:t xml:space="preserve"> </w:t>
      </w:r>
      <w:r w:rsidRPr="00632102">
        <w:rPr>
          <w:rFonts w:hint="eastAsia"/>
          <w:rtl/>
        </w:rPr>
        <w:t>צריך</w:t>
      </w:r>
      <w:r w:rsidRPr="00632102">
        <w:rPr>
          <w:rtl/>
        </w:rPr>
        <w:t xml:space="preserve"> </w:t>
      </w:r>
      <w:r w:rsidRPr="00632102">
        <w:rPr>
          <w:rFonts w:hint="eastAsia"/>
          <w:rtl/>
        </w:rPr>
        <w:t>ברכה</w:t>
      </w:r>
      <w:r w:rsidRPr="00632102">
        <w:rPr>
          <w:rtl/>
        </w:rPr>
        <w:t xml:space="preserve"> </w:t>
      </w:r>
      <w:r w:rsidRPr="00632102">
        <w:rPr>
          <w:rFonts w:hint="eastAsia"/>
          <w:rtl/>
        </w:rPr>
        <w:t>זו</w:t>
      </w:r>
      <w:r w:rsidRPr="00632102">
        <w:rPr>
          <w:rtl/>
        </w:rPr>
        <w:t xml:space="preserve"> </w:t>
      </w:r>
      <w:r w:rsidRPr="00632102">
        <w:rPr>
          <w:rFonts w:hint="eastAsia"/>
          <w:rtl/>
        </w:rPr>
        <w:t>בניסן</w:t>
      </w:r>
      <w:r w:rsidRPr="00632102">
        <w:rPr>
          <w:rtl/>
        </w:rPr>
        <w:t xml:space="preserve"> </w:t>
      </w:r>
      <w:r w:rsidRPr="00632102">
        <w:rPr>
          <w:rFonts w:hint="eastAsia"/>
          <w:rtl/>
        </w:rPr>
        <w:t>דוקא</w:t>
      </w:r>
      <w:r w:rsidRPr="00632102">
        <w:rPr>
          <w:rtl/>
        </w:rPr>
        <w:t xml:space="preserve">, </w:t>
      </w:r>
      <w:r w:rsidRPr="00632102">
        <w:rPr>
          <w:rFonts w:hint="eastAsia"/>
          <w:rtl/>
        </w:rPr>
        <w:t>ויהיו</w:t>
      </w:r>
      <w:r w:rsidRPr="00632102">
        <w:rPr>
          <w:rtl/>
        </w:rPr>
        <w:t xml:space="preserve"> </w:t>
      </w:r>
      <w:r w:rsidRPr="00632102">
        <w:rPr>
          <w:rFonts w:hint="eastAsia"/>
          <w:rtl/>
        </w:rPr>
        <w:t>שתי</w:t>
      </w:r>
      <w:r w:rsidRPr="00632102">
        <w:rPr>
          <w:rtl/>
        </w:rPr>
        <w:t xml:space="preserve"> </w:t>
      </w:r>
      <w:r w:rsidRPr="00632102">
        <w:rPr>
          <w:rFonts w:hint="eastAsia"/>
          <w:rtl/>
        </w:rPr>
        <w:t>אילנות</w:t>
      </w:r>
      <w:r w:rsidRPr="00632102">
        <w:rPr>
          <w:rtl/>
        </w:rPr>
        <w:t xml:space="preserve"> </w:t>
      </w:r>
      <w:r w:rsidRPr="00632102">
        <w:rPr>
          <w:rFonts w:hint="eastAsia"/>
          <w:rtl/>
        </w:rPr>
        <w:t>שיש</w:t>
      </w:r>
      <w:r w:rsidRPr="00632102">
        <w:rPr>
          <w:rtl/>
        </w:rPr>
        <w:t xml:space="preserve"> </w:t>
      </w:r>
      <w:r w:rsidRPr="00632102">
        <w:rPr>
          <w:rFonts w:hint="eastAsia"/>
          <w:rtl/>
        </w:rPr>
        <w:t>בהם</w:t>
      </w:r>
      <w:r w:rsidRPr="00632102">
        <w:rPr>
          <w:rtl/>
        </w:rPr>
        <w:t xml:space="preserve"> </w:t>
      </w:r>
      <w:r w:rsidRPr="00632102">
        <w:rPr>
          <w:rFonts w:hint="eastAsia"/>
          <w:rtl/>
        </w:rPr>
        <w:t>פרחים</w:t>
      </w:r>
      <w:r w:rsidRPr="00632102">
        <w:rPr>
          <w:rtl/>
        </w:rPr>
        <w:t xml:space="preserve"> </w:t>
      </w:r>
      <w:r w:rsidRPr="00632102">
        <w:rPr>
          <w:rFonts w:hint="eastAsia"/>
          <w:rtl/>
        </w:rPr>
        <w:t>וגם</w:t>
      </w:r>
      <w:r w:rsidRPr="00632102">
        <w:rPr>
          <w:rtl/>
        </w:rPr>
        <w:t xml:space="preserve"> </w:t>
      </w:r>
      <w:r w:rsidRPr="00632102">
        <w:rPr>
          <w:rFonts w:hint="eastAsia"/>
          <w:rtl/>
        </w:rPr>
        <w:t>שיהיו</w:t>
      </w:r>
      <w:r w:rsidRPr="00632102">
        <w:rPr>
          <w:rtl/>
        </w:rPr>
        <w:t xml:space="preserve"> </w:t>
      </w:r>
      <w:r w:rsidRPr="00632102">
        <w:rPr>
          <w:rFonts w:hint="eastAsia"/>
          <w:rtl/>
        </w:rPr>
        <w:t>אילני</w:t>
      </w:r>
      <w:r w:rsidRPr="00632102">
        <w:rPr>
          <w:rtl/>
        </w:rPr>
        <w:t xml:space="preserve"> </w:t>
      </w:r>
      <w:r w:rsidRPr="00632102">
        <w:rPr>
          <w:rFonts w:hint="eastAsia"/>
          <w:rtl/>
        </w:rPr>
        <w:t>מאכל</w:t>
      </w:r>
      <w:r w:rsidRPr="00632102">
        <w:rPr>
          <w:rFonts w:hint="cs"/>
          <w:rtl/>
        </w:rPr>
        <w:t>". והבן איש חי בהגדה של פסח אורח חיים (דרוש לברכת האילנות) כתב: "</w:t>
      </w:r>
      <w:r w:rsidRPr="00632102">
        <w:rPr>
          <w:rFonts w:hint="eastAsia"/>
          <w:rtl/>
        </w:rPr>
        <w:t>הרי</w:t>
      </w:r>
      <w:r w:rsidRPr="00632102">
        <w:rPr>
          <w:rtl/>
        </w:rPr>
        <w:t xml:space="preserve"> </w:t>
      </w:r>
      <w:r w:rsidRPr="00632102">
        <w:rPr>
          <w:rFonts w:hint="eastAsia"/>
          <w:rtl/>
        </w:rPr>
        <w:t>ניסן</w:t>
      </w:r>
      <w:r w:rsidRPr="00632102">
        <w:rPr>
          <w:rtl/>
        </w:rPr>
        <w:t xml:space="preserve"> </w:t>
      </w:r>
      <w:r w:rsidRPr="00632102">
        <w:rPr>
          <w:rFonts w:hint="eastAsia"/>
          <w:rtl/>
        </w:rPr>
        <w:t>הוא</w:t>
      </w:r>
      <w:r w:rsidRPr="00632102">
        <w:rPr>
          <w:rtl/>
        </w:rPr>
        <w:t xml:space="preserve"> </w:t>
      </w:r>
      <w:r w:rsidRPr="00632102">
        <w:rPr>
          <w:rFonts w:hint="eastAsia"/>
          <w:rtl/>
        </w:rPr>
        <w:t>ראש</w:t>
      </w:r>
      <w:r w:rsidRPr="00632102">
        <w:rPr>
          <w:rtl/>
        </w:rPr>
        <w:t xml:space="preserve"> </w:t>
      </w:r>
      <w:r w:rsidRPr="00632102">
        <w:rPr>
          <w:rFonts w:hint="eastAsia"/>
          <w:rtl/>
        </w:rPr>
        <w:t>לעליית</w:t>
      </w:r>
      <w:r w:rsidRPr="00632102">
        <w:rPr>
          <w:rtl/>
        </w:rPr>
        <w:t xml:space="preserve"> </w:t>
      </w:r>
      <w:r w:rsidRPr="00632102">
        <w:rPr>
          <w:rFonts w:hint="eastAsia"/>
          <w:rtl/>
        </w:rPr>
        <w:t>הצומח</w:t>
      </w:r>
      <w:r w:rsidRPr="00632102">
        <w:rPr>
          <w:rtl/>
        </w:rPr>
        <w:t xml:space="preserve"> </w:t>
      </w:r>
      <w:r w:rsidRPr="00632102">
        <w:rPr>
          <w:rFonts w:hint="eastAsia"/>
          <w:rtl/>
        </w:rPr>
        <w:t>והוא</w:t>
      </w:r>
      <w:r w:rsidRPr="00632102">
        <w:rPr>
          <w:rtl/>
        </w:rPr>
        <w:t xml:space="preserve"> </w:t>
      </w:r>
      <w:r w:rsidRPr="00632102">
        <w:rPr>
          <w:rFonts w:hint="eastAsia"/>
          <w:rtl/>
        </w:rPr>
        <w:t>אחד</w:t>
      </w:r>
      <w:r w:rsidRPr="00632102">
        <w:rPr>
          <w:rtl/>
        </w:rPr>
        <w:t xml:space="preserve"> </w:t>
      </w:r>
      <w:r w:rsidRPr="00632102">
        <w:rPr>
          <w:rFonts w:hint="eastAsia"/>
          <w:rtl/>
        </w:rPr>
        <w:t>מן</w:t>
      </w:r>
      <w:r w:rsidRPr="00632102">
        <w:rPr>
          <w:rtl/>
        </w:rPr>
        <w:t xml:space="preserve"> </w:t>
      </w:r>
      <w:r w:rsidRPr="00632102">
        <w:rPr>
          <w:rFonts w:hint="eastAsia"/>
          <w:rtl/>
        </w:rPr>
        <w:t>שלשה</w:t>
      </w:r>
      <w:r w:rsidRPr="00632102">
        <w:rPr>
          <w:rtl/>
        </w:rPr>
        <w:t xml:space="preserve"> </w:t>
      </w:r>
      <w:r w:rsidRPr="00632102">
        <w:rPr>
          <w:rFonts w:hint="eastAsia"/>
          <w:rtl/>
        </w:rPr>
        <w:t>הראשים</w:t>
      </w:r>
      <w:r w:rsidRPr="00632102">
        <w:rPr>
          <w:rtl/>
        </w:rPr>
        <w:t xml:space="preserve">. </w:t>
      </w:r>
      <w:r w:rsidRPr="00632102">
        <w:rPr>
          <w:rFonts w:hint="eastAsia"/>
          <w:rtl/>
        </w:rPr>
        <w:t>ולז</w:t>
      </w:r>
      <w:r w:rsidRPr="00632102">
        <w:rPr>
          <w:rtl/>
        </w:rPr>
        <w:t>"</w:t>
      </w:r>
      <w:r w:rsidRPr="00632102">
        <w:rPr>
          <w:rFonts w:hint="eastAsia"/>
          <w:rtl/>
        </w:rPr>
        <w:t>א</w:t>
      </w:r>
      <w:r w:rsidRPr="00632102">
        <w:rPr>
          <w:rtl/>
        </w:rPr>
        <w:t xml:space="preserve"> "</w:t>
      </w:r>
      <w:r w:rsidRPr="00632102">
        <w:rPr>
          <w:rFonts w:hint="eastAsia"/>
          <w:rtl/>
        </w:rPr>
        <w:t>החודש</w:t>
      </w:r>
      <w:r w:rsidRPr="00632102">
        <w:rPr>
          <w:rtl/>
        </w:rPr>
        <w:t xml:space="preserve"> </w:t>
      </w:r>
      <w:r w:rsidRPr="00632102">
        <w:rPr>
          <w:rFonts w:hint="eastAsia"/>
          <w:rtl/>
        </w:rPr>
        <w:t>הזה</w:t>
      </w:r>
      <w:r w:rsidRPr="00632102">
        <w:rPr>
          <w:rtl/>
        </w:rPr>
        <w:t xml:space="preserve"> </w:t>
      </w:r>
      <w:r w:rsidRPr="00632102">
        <w:rPr>
          <w:rFonts w:hint="eastAsia"/>
          <w:rtl/>
        </w:rPr>
        <w:t>לכם</w:t>
      </w:r>
      <w:r w:rsidRPr="00632102">
        <w:rPr>
          <w:rtl/>
        </w:rPr>
        <w:t xml:space="preserve"> </w:t>
      </w:r>
      <w:r w:rsidRPr="00632102">
        <w:rPr>
          <w:rFonts w:hint="eastAsia"/>
          <w:rtl/>
        </w:rPr>
        <w:t>ראש</w:t>
      </w:r>
      <w:r w:rsidRPr="00632102">
        <w:rPr>
          <w:rtl/>
        </w:rPr>
        <w:t xml:space="preserve">", </w:t>
      </w:r>
      <w:r w:rsidRPr="00632102">
        <w:rPr>
          <w:rFonts w:hint="eastAsia"/>
          <w:rtl/>
        </w:rPr>
        <w:t>כי</w:t>
      </w:r>
      <w:r w:rsidRPr="00632102">
        <w:rPr>
          <w:rtl/>
        </w:rPr>
        <w:t xml:space="preserve"> </w:t>
      </w:r>
      <w:r w:rsidRPr="00632102">
        <w:rPr>
          <w:rFonts w:hint="eastAsia"/>
          <w:rtl/>
        </w:rPr>
        <w:t>הוא</w:t>
      </w:r>
      <w:r w:rsidRPr="00632102">
        <w:rPr>
          <w:rtl/>
        </w:rPr>
        <w:t xml:space="preserve"> </w:t>
      </w:r>
      <w:r w:rsidRPr="00632102">
        <w:rPr>
          <w:rFonts w:hint="eastAsia"/>
          <w:rtl/>
        </w:rPr>
        <w:t>ראש</w:t>
      </w:r>
      <w:r w:rsidRPr="00632102">
        <w:rPr>
          <w:rtl/>
        </w:rPr>
        <w:t xml:space="preserve"> </w:t>
      </w:r>
      <w:r w:rsidRPr="00632102">
        <w:rPr>
          <w:rFonts w:hint="eastAsia"/>
          <w:rtl/>
        </w:rPr>
        <w:t>אחד</w:t>
      </w:r>
      <w:r w:rsidRPr="00632102">
        <w:rPr>
          <w:rtl/>
        </w:rPr>
        <w:t xml:space="preserve"> </w:t>
      </w:r>
      <w:r w:rsidRPr="00632102">
        <w:rPr>
          <w:rFonts w:hint="eastAsia"/>
          <w:rtl/>
        </w:rPr>
        <w:t>מן</w:t>
      </w:r>
      <w:r w:rsidRPr="00632102">
        <w:rPr>
          <w:rtl/>
        </w:rPr>
        <w:t xml:space="preserve"> </w:t>
      </w:r>
      <w:r w:rsidRPr="00632102">
        <w:rPr>
          <w:rFonts w:hint="eastAsia"/>
          <w:rtl/>
        </w:rPr>
        <w:t>השלשה</w:t>
      </w:r>
      <w:r w:rsidRPr="00632102">
        <w:rPr>
          <w:rtl/>
        </w:rPr>
        <w:t xml:space="preserve"> </w:t>
      </w:r>
      <w:r w:rsidRPr="00632102">
        <w:rPr>
          <w:rFonts w:hint="cs"/>
          <w:rtl/>
        </w:rPr>
        <w:t>ר</w:t>
      </w:r>
      <w:r w:rsidRPr="00632102">
        <w:rPr>
          <w:rFonts w:hint="eastAsia"/>
          <w:rtl/>
        </w:rPr>
        <w:t>אשים</w:t>
      </w:r>
      <w:r w:rsidRPr="00632102">
        <w:rPr>
          <w:rtl/>
        </w:rPr>
        <w:t xml:space="preserve"> </w:t>
      </w:r>
      <w:r w:rsidRPr="00632102">
        <w:rPr>
          <w:rFonts w:hint="eastAsia"/>
          <w:rtl/>
        </w:rPr>
        <w:t>שיש</w:t>
      </w:r>
      <w:r w:rsidRPr="00632102">
        <w:rPr>
          <w:rtl/>
        </w:rPr>
        <w:t xml:space="preserve"> </w:t>
      </w:r>
      <w:r w:rsidRPr="00632102">
        <w:rPr>
          <w:rFonts w:hint="eastAsia"/>
          <w:rtl/>
        </w:rPr>
        <w:t>בחודשים</w:t>
      </w:r>
      <w:r w:rsidRPr="00632102">
        <w:rPr>
          <w:rtl/>
        </w:rPr>
        <w:t xml:space="preserve">. </w:t>
      </w:r>
      <w:r w:rsidRPr="00632102">
        <w:rPr>
          <w:rFonts w:hint="eastAsia"/>
          <w:rtl/>
        </w:rPr>
        <w:t>ול</w:t>
      </w:r>
      <w:r w:rsidRPr="00632102">
        <w:rPr>
          <w:rFonts w:hint="cs"/>
          <w:rtl/>
        </w:rPr>
        <w:t>כ</w:t>
      </w:r>
      <w:r w:rsidRPr="00632102">
        <w:rPr>
          <w:rFonts w:hint="eastAsia"/>
          <w:rtl/>
        </w:rPr>
        <w:t>ן</w:t>
      </w:r>
      <w:r w:rsidRPr="00632102">
        <w:rPr>
          <w:rtl/>
        </w:rPr>
        <w:t xml:space="preserve"> </w:t>
      </w:r>
      <w:r w:rsidRPr="00632102">
        <w:rPr>
          <w:rFonts w:hint="eastAsia"/>
          <w:rtl/>
        </w:rPr>
        <w:t>ברכת</w:t>
      </w:r>
      <w:r w:rsidRPr="00632102">
        <w:rPr>
          <w:rtl/>
        </w:rPr>
        <w:t xml:space="preserve"> </w:t>
      </w:r>
      <w:r w:rsidRPr="00632102">
        <w:rPr>
          <w:rFonts w:hint="eastAsia"/>
          <w:rtl/>
        </w:rPr>
        <w:t>האילנות</w:t>
      </w:r>
      <w:r w:rsidRPr="00632102">
        <w:rPr>
          <w:rtl/>
        </w:rPr>
        <w:t xml:space="preserve"> </w:t>
      </w:r>
      <w:r w:rsidRPr="00632102">
        <w:rPr>
          <w:rFonts w:hint="eastAsia"/>
          <w:rtl/>
        </w:rPr>
        <w:t>היא</w:t>
      </w:r>
      <w:r w:rsidRPr="00632102">
        <w:rPr>
          <w:rtl/>
        </w:rPr>
        <w:t xml:space="preserve"> </w:t>
      </w:r>
      <w:r w:rsidRPr="00632102">
        <w:rPr>
          <w:rFonts w:hint="eastAsia"/>
          <w:rtl/>
        </w:rPr>
        <w:t>בחודש</w:t>
      </w:r>
      <w:r w:rsidRPr="00632102">
        <w:rPr>
          <w:rtl/>
        </w:rPr>
        <w:t xml:space="preserve"> </w:t>
      </w:r>
      <w:r w:rsidRPr="00632102">
        <w:rPr>
          <w:rFonts w:hint="eastAsia"/>
          <w:rtl/>
        </w:rPr>
        <w:t>ניסן</w:t>
      </w:r>
      <w:r w:rsidRPr="00632102">
        <w:rPr>
          <w:rtl/>
        </w:rPr>
        <w:t xml:space="preserve"> </w:t>
      </w:r>
      <w:r w:rsidRPr="00632102">
        <w:rPr>
          <w:rFonts w:hint="eastAsia"/>
          <w:rtl/>
        </w:rPr>
        <w:t>דוקא</w:t>
      </w:r>
      <w:r w:rsidRPr="00632102">
        <w:rPr>
          <w:rtl/>
        </w:rPr>
        <w:t xml:space="preserve">, </w:t>
      </w:r>
      <w:r w:rsidRPr="00632102">
        <w:rPr>
          <w:rFonts w:hint="eastAsia"/>
          <w:rtl/>
        </w:rPr>
        <w:t>כדי</w:t>
      </w:r>
      <w:r w:rsidRPr="00632102">
        <w:rPr>
          <w:rtl/>
        </w:rPr>
        <w:t xml:space="preserve"> </w:t>
      </w:r>
      <w:r w:rsidRPr="00632102">
        <w:rPr>
          <w:rFonts w:hint="eastAsia"/>
          <w:rtl/>
        </w:rPr>
        <w:t>לסייע</w:t>
      </w:r>
      <w:r w:rsidRPr="00632102">
        <w:rPr>
          <w:rtl/>
        </w:rPr>
        <w:t xml:space="preserve"> </w:t>
      </w:r>
      <w:r w:rsidRPr="00632102">
        <w:rPr>
          <w:rFonts w:hint="eastAsia"/>
          <w:rtl/>
        </w:rPr>
        <w:t>הבירור</w:t>
      </w:r>
      <w:r w:rsidRPr="00632102">
        <w:rPr>
          <w:rtl/>
        </w:rPr>
        <w:t xml:space="preserve"> </w:t>
      </w:r>
      <w:r w:rsidRPr="00632102">
        <w:rPr>
          <w:rFonts w:hint="eastAsia"/>
          <w:rtl/>
        </w:rPr>
        <w:t>של</w:t>
      </w:r>
      <w:r w:rsidRPr="00632102">
        <w:rPr>
          <w:rtl/>
        </w:rPr>
        <w:t xml:space="preserve"> </w:t>
      </w:r>
      <w:r w:rsidRPr="00632102">
        <w:rPr>
          <w:rFonts w:hint="eastAsia"/>
          <w:rtl/>
        </w:rPr>
        <w:t>הצ</w:t>
      </w:r>
      <w:r w:rsidRPr="00632102">
        <w:rPr>
          <w:rFonts w:hint="cs"/>
          <w:rtl/>
        </w:rPr>
        <w:t>ו</w:t>
      </w:r>
      <w:r w:rsidRPr="00632102">
        <w:rPr>
          <w:rFonts w:hint="eastAsia"/>
          <w:rtl/>
        </w:rPr>
        <w:t>מח</w:t>
      </w:r>
      <w:r w:rsidRPr="00632102">
        <w:rPr>
          <w:rtl/>
        </w:rPr>
        <w:t xml:space="preserve"> </w:t>
      </w:r>
      <w:r w:rsidRPr="00632102">
        <w:rPr>
          <w:rFonts w:hint="eastAsia"/>
          <w:rtl/>
        </w:rPr>
        <w:t>המתחיל</w:t>
      </w:r>
      <w:r w:rsidRPr="00632102">
        <w:rPr>
          <w:rtl/>
        </w:rPr>
        <w:t xml:space="preserve"> </w:t>
      </w:r>
      <w:r w:rsidRPr="00632102">
        <w:rPr>
          <w:rFonts w:hint="eastAsia"/>
          <w:rtl/>
        </w:rPr>
        <w:t>בזה</w:t>
      </w:r>
      <w:r w:rsidRPr="00632102">
        <w:rPr>
          <w:rtl/>
        </w:rPr>
        <w:t xml:space="preserve"> </w:t>
      </w:r>
      <w:r w:rsidRPr="00632102">
        <w:rPr>
          <w:rFonts w:hint="eastAsia"/>
          <w:rtl/>
        </w:rPr>
        <w:t>החודש</w:t>
      </w:r>
      <w:r w:rsidRPr="00632102">
        <w:rPr>
          <w:rtl/>
        </w:rPr>
        <w:t xml:space="preserve">, </w:t>
      </w:r>
      <w:r w:rsidRPr="00632102">
        <w:rPr>
          <w:rFonts w:hint="eastAsia"/>
          <w:rtl/>
        </w:rPr>
        <w:t>שאז</w:t>
      </w:r>
      <w:r w:rsidRPr="00632102">
        <w:rPr>
          <w:rtl/>
        </w:rPr>
        <w:t xml:space="preserve"> </w:t>
      </w:r>
      <w:r w:rsidRPr="00632102">
        <w:rPr>
          <w:rFonts w:hint="eastAsia"/>
          <w:rtl/>
        </w:rPr>
        <w:t>על</w:t>
      </w:r>
      <w:r w:rsidRPr="00632102">
        <w:rPr>
          <w:rtl/>
        </w:rPr>
        <w:t xml:space="preserve"> </w:t>
      </w:r>
      <w:r w:rsidRPr="00632102">
        <w:rPr>
          <w:rFonts w:hint="eastAsia"/>
          <w:rtl/>
        </w:rPr>
        <w:t>ידי</w:t>
      </w:r>
      <w:r w:rsidRPr="00632102">
        <w:rPr>
          <w:rtl/>
        </w:rPr>
        <w:t xml:space="preserve"> </w:t>
      </w:r>
      <w:r w:rsidRPr="00632102">
        <w:rPr>
          <w:rFonts w:hint="eastAsia"/>
          <w:rtl/>
        </w:rPr>
        <w:t>הברכה</w:t>
      </w:r>
      <w:r w:rsidRPr="00632102">
        <w:rPr>
          <w:rtl/>
        </w:rPr>
        <w:t xml:space="preserve"> </w:t>
      </w:r>
      <w:r w:rsidRPr="00632102">
        <w:rPr>
          <w:rFonts w:hint="eastAsia"/>
          <w:rtl/>
        </w:rPr>
        <w:t>הזאת</w:t>
      </w:r>
      <w:r w:rsidRPr="00632102">
        <w:rPr>
          <w:rtl/>
        </w:rPr>
        <w:t xml:space="preserve"> </w:t>
      </w:r>
      <w:r w:rsidRPr="00632102">
        <w:rPr>
          <w:rFonts w:hint="eastAsia"/>
          <w:rtl/>
        </w:rPr>
        <w:t>וסודה</w:t>
      </w:r>
      <w:r w:rsidRPr="00632102">
        <w:rPr>
          <w:rtl/>
        </w:rPr>
        <w:t xml:space="preserve"> </w:t>
      </w:r>
      <w:r w:rsidRPr="00632102">
        <w:rPr>
          <w:rFonts w:hint="eastAsia"/>
          <w:rtl/>
        </w:rPr>
        <w:t>יצליחו</w:t>
      </w:r>
      <w:r w:rsidRPr="00632102">
        <w:rPr>
          <w:rtl/>
        </w:rPr>
        <w:t xml:space="preserve"> </w:t>
      </w:r>
      <w:r w:rsidRPr="00632102">
        <w:rPr>
          <w:rFonts w:hint="eastAsia"/>
          <w:rtl/>
        </w:rPr>
        <w:t>המברכים</w:t>
      </w:r>
      <w:r w:rsidRPr="00632102">
        <w:rPr>
          <w:rtl/>
        </w:rPr>
        <w:t xml:space="preserve"> </w:t>
      </w:r>
      <w:r w:rsidRPr="00632102">
        <w:rPr>
          <w:rFonts w:hint="eastAsia"/>
          <w:rtl/>
        </w:rPr>
        <w:t>להעלות</w:t>
      </w:r>
      <w:r w:rsidRPr="00632102">
        <w:rPr>
          <w:rtl/>
        </w:rPr>
        <w:t xml:space="preserve"> </w:t>
      </w:r>
      <w:r w:rsidRPr="00632102">
        <w:rPr>
          <w:rFonts w:hint="eastAsia"/>
          <w:rtl/>
        </w:rPr>
        <w:t>את</w:t>
      </w:r>
      <w:r w:rsidRPr="00632102">
        <w:rPr>
          <w:rtl/>
        </w:rPr>
        <w:t xml:space="preserve"> </w:t>
      </w:r>
      <w:r w:rsidRPr="00632102">
        <w:rPr>
          <w:rFonts w:hint="eastAsia"/>
          <w:rtl/>
        </w:rPr>
        <w:t>הנשמות</w:t>
      </w:r>
      <w:r w:rsidRPr="00632102">
        <w:rPr>
          <w:rtl/>
        </w:rPr>
        <w:t xml:space="preserve"> </w:t>
      </w:r>
      <w:r w:rsidRPr="00632102">
        <w:rPr>
          <w:rFonts w:hint="eastAsia"/>
          <w:rtl/>
        </w:rPr>
        <w:t>המגולגלים</w:t>
      </w:r>
      <w:r w:rsidRPr="00632102">
        <w:rPr>
          <w:rtl/>
        </w:rPr>
        <w:t xml:space="preserve"> </w:t>
      </w:r>
      <w:r w:rsidRPr="00632102">
        <w:rPr>
          <w:rFonts w:hint="eastAsia"/>
          <w:rtl/>
        </w:rPr>
        <w:t>בצומח</w:t>
      </w:r>
      <w:r w:rsidRPr="00632102">
        <w:rPr>
          <w:rtl/>
        </w:rPr>
        <w:t xml:space="preserve"> </w:t>
      </w:r>
      <w:r w:rsidRPr="00632102">
        <w:rPr>
          <w:rFonts w:hint="eastAsia"/>
          <w:rtl/>
        </w:rPr>
        <w:t>שתי</w:t>
      </w:r>
      <w:r w:rsidRPr="00632102">
        <w:rPr>
          <w:rtl/>
        </w:rPr>
        <w:t xml:space="preserve"> </w:t>
      </w:r>
      <w:r w:rsidRPr="00632102">
        <w:rPr>
          <w:rFonts w:hint="eastAsia"/>
          <w:rtl/>
        </w:rPr>
        <w:t>מדרגות</w:t>
      </w:r>
      <w:r w:rsidRPr="00632102">
        <w:rPr>
          <w:rtl/>
        </w:rPr>
        <w:t xml:space="preserve"> </w:t>
      </w:r>
      <w:r w:rsidRPr="00632102">
        <w:rPr>
          <w:rFonts w:hint="eastAsia"/>
          <w:rtl/>
        </w:rPr>
        <w:t>בפעם</w:t>
      </w:r>
      <w:r w:rsidRPr="00632102">
        <w:rPr>
          <w:rtl/>
        </w:rPr>
        <w:t xml:space="preserve"> </w:t>
      </w:r>
      <w:r w:rsidRPr="00632102">
        <w:rPr>
          <w:rFonts w:hint="eastAsia"/>
          <w:rtl/>
        </w:rPr>
        <w:t>אחת</w:t>
      </w:r>
      <w:r w:rsidRPr="00632102">
        <w:rPr>
          <w:rtl/>
        </w:rPr>
        <w:t xml:space="preserve">. </w:t>
      </w:r>
      <w:r w:rsidRPr="00632102">
        <w:rPr>
          <w:rFonts w:hint="eastAsia"/>
          <w:rtl/>
        </w:rPr>
        <w:t>דהיינו</w:t>
      </w:r>
      <w:r w:rsidRPr="00632102">
        <w:rPr>
          <w:rtl/>
        </w:rPr>
        <w:t xml:space="preserve"> </w:t>
      </w:r>
      <w:r w:rsidRPr="00632102">
        <w:rPr>
          <w:rFonts w:hint="eastAsia"/>
          <w:rtl/>
        </w:rPr>
        <w:t>שיעלו</w:t>
      </w:r>
      <w:r w:rsidRPr="00632102">
        <w:rPr>
          <w:rtl/>
        </w:rPr>
        <w:t xml:space="preserve"> </w:t>
      </w:r>
      <w:r w:rsidRPr="00632102">
        <w:rPr>
          <w:rFonts w:hint="eastAsia"/>
          <w:rtl/>
        </w:rPr>
        <w:t>מן</w:t>
      </w:r>
      <w:r w:rsidRPr="00632102">
        <w:rPr>
          <w:rtl/>
        </w:rPr>
        <w:t xml:space="preserve"> </w:t>
      </w:r>
      <w:r w:rsidRPr="00632102">
        <w:rPr>
          <w:rFonts w:hint="eastAsia"/>
          <w:rtl/>
        </w:rPr>
        <w:t>הצומח</w:t>
      </w:r>
      <w:r w:rsidRPr="00632102">
        <w:rPr>
          <w:rtl/>
        </w:rPr>
        <w:t xml:space="preserve"> </w:t>
      </w:r>
      <w:r w:rsidRPr="00632102">
        <w:rPr>
          <w:rFonts w:hint="eastAsia"/>
          <w:rtl/>
        </w:rPr>
        <w:t>אל</w:t>
      </w:r>
      <w:r w:rsidRPr="00632102">
        <w:rPr>
          <w:rtl/>
        </w:rPr>
        <w:t xml:space="preserve"> </w:t>
      </w:r>
      <w:r w:rsidRPr="00632102">
        <w:rPr>
          <w:rFonts w:hint="eastAsia"/>
          <w:rtl/>
        </w:rPr>
        <w:t>אדם</w:t>
      </w:r>
      <w:r w:rsidRPr="00632102">
        <w:rPr>
          <w:rtl/>
        </w:rPr>
        <w:t xml:space="preserve">, </w:t>
      </w:r>
      <w:r w:rsidRPr="00632102">
        <w:rPr>
          <w:rFonts w:hint="eastAsia"/>
          <w:rtl/>
        </w:rPr>
        <w:t>בל</w:t>
      </w:r>
      <w:r w:rsidRPr="00632102">
        <w:rPr>
          <w:rFonts w:hint="cs"/>
          <w:rtl/>
        </w:rPr>
        <w:t>ת</w:t>
      </w:r>
      <w:r w:rsidRPr="00632102">
        <w:rPr>
          <w:rFonts w:hint="eastAsia"/>
          <w:rtl/>
        </w:rPr>
        <w:t>י</w:t>
      </w:r>
      <w:r w:rsidRPr="00632102">
        <w:rPr>
          <w:rtl/>
        </w:rPr>
        <w:t xml:space="preserve"> </w:t>
      </w:r>
      <w:r w:rsidRPr="00632102">
        <w:rPr>
          <w:rFonts w:hint="eastAsia"/>
          <w:rtl/>
        </w:rPr>
        <w:t>שיצטרכו</w:t>
      </w:r>
      <w:r w:rsidRPr="00632102">
        <w:rPr>
          <w:rtl/>
        </w:rPr>
        <w:t xml:space="preserve"> </w:t>
      </w:r>
      <w:r w:rsidRPr="00632102">
        <w:rPr>
          <w:rFonts w:hint="eastAsia"/>
          <w:rtl/>
        </w:rPr>
        <w:t>להתגלגל</w:t>
      </w:r>
      <w:r w:rsidRPr="00632102">
        <w:rPr>
          <w:rtl/>
        </w:rPr>
        <w:t xml:space="preserve"> </w:t>
      </w:r>
      <w:r w:rsidRPr="00632102">
        <w:rPr>
          <w:rFonts w:hint="cs"/>
          <w:rtl/>
        </w:rPr>
        <w:t>ב</w:t>
      </w:r>
      <w:r w:rsidRPr="00632102">
        <w:rPr>
          <w:rFonts w:hint="eastAsia"/>
          <w:rtl/>
        </w:rPr>
        <w:t>בעל</w:t>
      </w:r>
      <w:r w:rsidRPr="00632102">
        <w:rPr>
          <w:rtl/>
        </w:rPr>
        <w:t xml:space="preserve"> </w:t>
      </w:r>
      <w:r w:rsidRPr="00632102">
        <w:rPr>
          <w:rFonts w:hint="eastAsia"/>
          <w:rtl/>
        </w:rPr>
        <w:t>חי</w:t>
      </w:r>
      <w:r w:rsidRPr="00632102">
        <w:rPr>
          <w:rtl/>
        </w:rPr>
        <w:t xml:space="preserve">. </w:t>
      </w:r>
      <w:r w:rsidRPr="00632102">
        <w:rPr>
          <w:rFonts w:hint="eastAsia"/>
          <w:rtl/>
        </w:rPr>
        <w:t>וע</w:t>
      </w:r>
      <w:r w:rsidRPr="00632102">
        <w:rPr>
          <w:rtl/>
        </w:rPr>
        <w:t>"</w:t>
      </w:r>
      <w:r w:rsidRPr="00632102">
        <w:rPr>
          <w:rFonts w:hint="eastAsia"/>
          <w:rtl/>
        </w:rPr>
        <w:t>י</w:t>
      </w:r>
      <w:r w:rsidRPr="00632102">
        <w:rPr>
          <w:rtl/>
        </w:rPr>
        <w:t xml:space="preserve"> </w:t>
      </w:r>
      <w:r w:rsidRPr="00632102">
        <w:rPr>
          <w:rFonts w:hint="eastAsia"/>
          <w:rtl/>
        </w:rPr>
        <w:t>התורה</w:t>
      </w:r>
      <w:r w:rsidRPr="00632102">
        <w:rPr>
          <w:rtl/>
        </w:rPr>
        <w:t xml:space="preserve"> </w:t>
      </w:r>
      <w:r w:rsidRPr="00632102">
        <w:rPr>
          <w:rFonts w:hint="eastAsia"/>
          <w:rtl/>
        </w:rPr>
        <w:t>אשר</w:t>
      </w:r>
      <w:r w:rsidRPr="00632102">
        <w:rPr>
          <w:rtl/>
        </w:rPr>
        <w:t xml:space="preserve"> </w:t>
      </w:r>
      <w:r w:rsidRPr="00632102">
        <w:rPr>
          <w:rFonts w:hint="eastAsia"/>
          <w:rtl/>
        </w:rPr>
        <w:t>ילמדו</w:t>
      </w:r>
      <w:r w:rsidRPr="00632102">
        <w:rPr>
          <w:rtl/>
        </w:rPr>
        <w:t xml:space="preserve"> </w:t>
      </w:r>
      <w:r w:rsidRPr="00632102">
        <w:rPr>
          <w:rFonts w:hint="eastAsia"/>
          <w:rtl/>
        </w:rPr>
        <w:t>בעת</w:t>
      </w:r>
      <w:r w:rsidRPr="00632102">
        <w:rPr>
          <w:rtl/>
        </w:rPr>
        <w:t xml:space="preserve"> </w:t>
      </w:r>
      <w:r w:rsidRPr="00632102">
        <w:rPr>
          <w:rFonts w:hint="eastAsia"/>
          <w:rtl/>
        </w:rPr>
        <w:t>הברכה</w:t>
      </w:r>
      <w:r w:rsidRPr="00632102">
        <w:rPr>
          <w:rtl/>
        </w:rPr>
        <w:t xml:space="preserve">, </w:t>
      </w:r>
      <w:r w:rsidRPr="00632102">
        <w:rPr>
          <w:rFonts w:hint="eastAsia"/>
          <w:rtl/>
        </w:rPr>
        <w:t>יזכו</w:t>
      </w:r>
      <w:r w:rsidRPr="00632102">
        <w:rPr>
          <w:rtl/>
        </w:rPr>
        <w:t xml:space="preserve"> </w:t>
      </w:r>
      <w:r w:rsidRPr="00632102">
        <w:rPr>
          <w:rFonts w:hint="eastAsia"/>
          <w:rtl/>
        </w:rPr>
        <w:t>להעלותם</w:t>
      </w:r>
      <w:r w:rsidRPr="00632102">
        <w:rPr>
          <w:rtl/>
        </w:rPr>
        <w:t xml:space="preserve"> </w:t>
      </w:r>
      <w:r w:rsidRPr="00632102">
        <w:rPr>
          <w:rFonts w:hint="eastAsia"/>
          <w:rtl/>
        </w:rPr>
        <w:t>עד</w:t>
      </w:r>
      <w:r w:rsidRPr="00632102">
        <w:rPr>
          <w:rtl/>
        </w:rPr>
        <w:t xml:space="preserve"> </w:t>
      </w:r>
      <w:r w:rsidRPr="00632102">
        <w:rPr>
          <w:rFonts w:hint="eastAsia"/>
          <w:rtl/>
        </w:rPr>
        <w:t>למעלה</w:t>
      </w:r>
      <w:r w:rsidRPr="00632102">
        <w:rPr>
          <w:rtl/>
        </w:rPr>
        <w:t xml:space="preserve"> </w:t>
      </w:r>
      <w:r w:rsidRPr="00632102">
        <w:rPr>
          <w:rFonts w:hint="eastAsia"/>
          <w:rtl/>
        </w:rPr>
        <w:t>להתקן</w:t>
      </w:r>
      <w:r w:rsidRPr="00632102">
        <w:rPr>
          <w:rtl/>
        </w:rPr>
        <w:t xml:space="preserve">. </w:t>
      </w:r>
      <w:r w:rsidRPr="00632102">
        <w:rPr>
          <w:rFonts w:hint="eastAsia"/>
          <w:rtl/>
        </w:rPr>
        <w:t>ולכן</w:t>
      </w:r>
      <w:r w:rsidRPr="00632102">
        <w:rPr>
          <w:rtl/>
        </w:rPr>
        <w:t xml:space="preserve"> </w:t>
      </w:r>
      <w:r w:rsidRPr="00632102">
        <w:rPr>
          <w:rFonts w:hint="eastAsia"/>
          <w:rtl/>
        </w:rPr>
        <w:t>חסידים</w:t>
      </w:r>
      <w:r w:rsidRPr="00632102">
        <w:rPr>
          <w:rtl/>
        </w:rPr>
        <w:t xml:space="preserve"> </w:t>
      </w:r>
      <w:r w:rsidRPr="00632102">
        <w:rPr>
          <w:rFonts w:hint="eastAsia"/>
          <w:rtl/>
        </w:rPr>
        <w:t>ואנשי</w:t>
      </w:r>
      <w:r w:rsidRPr="00632102">
        <w:rPr>
          <w:rtl/>
        </w:rPr>
        <w:t xml:space="preserve"> </w:t>
      </w:r>
      <w:r w:rsidRPr="00632102">
        <w:rPr>
          <w:rFonts w:hint="eastAsia"/>
          <w:rtl/>
        </w:rPr>
        <w:t>מעשה</w:t>
      </w:r>
      <w:r w:rsidRPr="00632102">
        <w:rPr>
          <w:rtl/>
        </w:rPr>
        <w:t xml:space="preserve"> </w:t>
      </w:r>
      <w:r w:rsidRPr="00632102">
        <w:rPr>
          <w:rFonts w:hint="eastAsia"/>
          <w:rtl/>
        </w:rPr>
        <w:t>משתדלים</w:t>
      </w:r>
      <w:r w:rsidRPr="00632102">
        <w:rPr>
          <w:rtl/>
        </w:rPr>
        <w:t xml:space="preserve"> </w:t>
      </w:r>
      <w:r w:rsidRPr="00632102">
        <w:rPr>
          <w:rFonts w:hint="eastAsia"/>
          <w:rtl/>
        </w:rPr>
        <w:t>לברך</w:t>
      </w:r>
      <w:r w:rsidRPr="00632102">
        <w:rPr>
          <w:rtl/>
        </w:rPr>
        <w:t xml:space="preserve"> </w:t>
      </w:r>
      <w:r w:rsidRPr="00632102">
        <w:rPr>
          <w:rFonts w:hint="eastAsia"/>
          <w:rtl/>
        </w:rPr>
        <w:t>ברכה</w:t>
      </w:r>
      <w:r w:rsidRPr="00632102">
        <w:rPr>
          <w:rtl/>
        </w:rPr>
        <w:t xml:space="preserve"> </w:t>
      </w:r>
      <w:r w:rsidRPr="00632102">
        <w:rPr>
          <w:rFonts w:hint="eastAsia"/>
          <w:rtl/>
        </w:rPr>
        <w:t>זו</w:t>
      </w:r>
      <w:r w:rsidRPr="00632102">
        <w:rPr>
          <w:rtl/>
        </w:rPr>
        <w:t xml:space="preserve"> </w:t>
      </w:r>
      <w:r w:rsidRPr="00632102">
        <w:rPr>
          <w:rFonts w:hint="eastAsia"/>
          <w:rtl/>
        </w:rPr>
        <w:t>בצירוף</w:t>
      </w:r>
      <w:r w:rsidRPr="00632102">
        <w:rPr>
          <w:rtl/>
        </w:rPr>
        <w:t xml:space="preserve"> </w:t>
      </w:r>
      <w:r w:rsidRPr="00632102">
        <w:rPr>
          <w:rFonts w:hint="eastAsia"/>
          <w:rtl/>
        </w:rPr>
        <w:t>עשרה</w:t>
      </w:r>
      <w:r w:rsidRPr="00632102">
        <w:rPr>
          <w:rtl/>
        </w:rPr>
        <w:t xml:space="preserve">, </w:t>
      </w:r>
      <w:r w:rsidRPr="00632102">
        <w:rPr>
          <w:rFonts w:hint="eastAsia"/>
          <w:rtl/>
        </w:rPr>
        <w:t>כדי</w:t>
      </w:r>
      <w:r w:rsidRPr="00632102">
        <w:rPr>
          <w:rtl/>
        </w:rPr>
        <w:t xml:space="preserve"> </w:t>
      </w:r>
      <w:r w:rsidRPr="00632102">
        <w:rPr>
          <w:rFonts w:hint="eastAsia"/>
          <w:rtl/>
        </w:rPr>
        <w:t>שאחר</w:t>
      </w:r>
      <w:r w:rsidRPr="00632102">
        <w:rPr>
          <w:rtl/>
        </w:rPr>
        <w:t xml:space="preserve"> </w:t>
      </w:r>
      <w:r w:rsidRPr="00632102">
        <w:rPr>
          <w:rFonts w:hint="eastAsia"/>
          <w:rtl/>
        </w:rPr>
        <w:t>הברכה</w:t>
      </w:r>
      <w:r w:rsidRPr="00632102">
        <w:rPr>
          <w:rtl/>
        </w:rPr>
        <w:t xml:space="preserve"> </w:t>
      </w:r>
      <w:r w:rsidRPr="00632102">
        <w:rPr>
          <w:rFonts w:hint="eastAsia"/>
          <w:rtl/>
        </w:rPr>
        <w:t>יאמרו</w:t>
      </w:r>
      <w:r w:rsidRPr="00632102">
        <w:rPr>
          <w:rtl/>
        </w:rPr>
        <w:t xml:space="preserve"> </w:t>
      </w:r>
      <w:r w:rsidRPr="00632102">
        <w:rPr>
          <w:rFonts w:hint="eastAsia"/>
          <w:rtl/>
        </w:rPr>
        <w:t>פסוקי</w:t>
      </w:r>
      <w:r w:rsidRPr="00632102">
        <w:rPr>
          <w:rtl/>
        </w:rPr>
        <w:t xml:space="preserve"> </w:t>
      </w:r>
      <w:r w:rsidRPr="00632102">
        <w:rPr>
          <w:rFonts w:hint="eastAsia"/>
          <w:rtl/>
        </w:rPr>
        <w:t>תורה</w:t>
      </w:r>
      <w:r w:rsidRPr="00632102">
        <w:rPr>
          <w:rtl/>
        </w:rPr>
        <w:t xml:space="preserve"> </w:t>
      </w:r>
      <w:r w:rsidRPr="00632102">
        <w:rPr>
          <w:rFonts w:hint="eastAsia"/>
          <w:rtl/>
        </w:rPr>
        <w:t>ויאמרו</w:t>
      </w:r>
      <w:r w:rsidRPr="00632102">
        <w:rPr>
          <w:rtl/>
        </w:rPr>
        <w:t xml:space="preserve"> </w:t>
      </w:r>
      <w:r w:rsidRPr="00632102">
        <w:rPr>
          <w:rFonts w:hint="eastAsia"/>
          <w:rtl/>
        </w:rPr>
        <w:t>קדיש</w:t>
      </w:r>
      <w:r w:rsidRPr="00632102">
        <w:rPr>
          <w:rtl/>
        </w:rPr>
        <w:t xml:space="preserve">, </w:t>
      </w:r>
      <w:r w:rsidRPr="00632102">
        <w:rPr>
          <w:rFonts w:hint="eastAsia"/>
          <w:rtl/>
        </w:rPr>
        <w:t>והכל</w:t>
      </w:r>
      <w:r w:rsidRPr="00632102">
        <w:rPr>
          <w:rtl/>
        </w:rPr>
        <w:t xml:space="preserve"> </w:t>
      </w:r>
      <w:r w:rsidRPr="00632102">
        <w:rPr>
          <w:rFonts w:hint="eastAsia"/>
          <w:rtl/>
        </w:rPr>
        <w:t>כדי</w:t>
      </w:r>
      <w:r w:rsidRPr="00632102">
        <w:rPr>
          <w:rtl/>
        </w:rPr>
        <w:t xml:space="preserve"> </w:t>
      </w:r>
      <w:r w:rsidRPr="00632102">
        <w:rPr>
          <w:rFonts w:hint="eastAsia"/>
          <w:rtl/>
        </w:rPr>
        <w:t>להיות</w:t>
      </w:r>
      <w:r w:rsidRPr="00632102">
        <w:rPr>
          <w:rtl/>
        </w:rPr>
        <w:t xml:space="preserve"> </w:t>
      </w:r>
      <w:r w:rsidRPr="00632102">
        <w:rPr>
          <w:rFonts w:hint="eastAsia"/>
          <w:rtl/>
        </w:rPr>
        <w:t>להם</w:t>
      </w:r>
      <w:r w:rsidRPr="00632102">
        <w:rPr>
          <w:rtl/>
        </w:rPr>
        <w:t xml:space="preserve"> </w:t>
      </w:r>
      <w:r w:rsidRPr="00632102">
        <w:rPr>
          <w:rFonts w:hint="eastAsia"/>
          <w:rtl/>
        </w:rPr>
        <w:t>לימוד</w:t>
      </w:r>
      <w:r w:rsidRPr="00632102">
        <w:rPr>
          <w:rtl/>
        </w:rPr>
        <w:t xml:space="preserve"> </w:t>
      </w:r>
      <w:r w:rsidRPr="00632102">
        <w:rPr>
          <w:rFonts w:hint="eastAsia"/>
          <w:rtl/>
        </w:rPr>
        <w:t>התורה</w:t>
      </w:r>
      <w:r w:rsidRPr="00632102">
        <w:rPr>
          <w:rtl/>
        </w:rPr>
        <w:t xml:space="preserve"> </w:t>
      </w:r>
      <w:r w:rsidRPr="00632102">
        <w:rPr>
          <w:rFonts w:hint="eastAsia"/>
          <w:rtl/>
        </w:rPr>
        <w:t>והקדיש</w:t>
      </w:r>
      <w:r w:rsidRPr="00632102">
        <w:rPr>
          <w:rtl/>
        </w:rPr>
        <w:t xml:space="preserve"> </w:t>
      </w:r>
      <w:r w:rsidRPr="00632102">
        <w:rPr>
          <w:rFonts w:hint="eastAsia"/>
          <w:rtl/>
        </w:rPr>
        <w:t>עזר</w:t>
      </w:r>
      <w:r w:rsidRPr="00632102">
        <w:rPr>
          <w:rtl/>
        </w:rPr>
        <w:t xml:space="preserve"> </w:t>
      </w:r>
      <w:r w:rsidRPr="00632102">
        <w:rPr>
          <w:rFonts w:hint="eastAsia"/>
          <w:rtl/>
        </w:rPr>
        <w:t>אל</w:t>
      </w:r>
      <w:r w:rsidRPr="00632102">
        <w:rPr>
          <w:rtl/>
        </w:rPr>
        <w:t xml:space="preserve"> </w:t>
      </w:r>
      <w:r w:rsidRPr="00632102">
        <w:rPr>
          <w:rFonts w:hint="eastAsia"/>
          <w:rtl/>
        </w:rPr>
        <w:t>בירור</w:t>
      </w:r>
      <w:r w:rsidRPr="00632102">
        <w:rPr>
          <w:rtl/>
        </w:rPr>
        <w:t xml:space="preserve"> </w:t>
      </w:r>
      <w:r w:rsidRPr="00632102">
        <w:rPr>
          <w:rFonts w:hint="eastAsia"/>
          <w:rtl/>
        </w:rPr>
        <w:t>ועליית</w:t>
      </w:r>
      <w:r w:rsidRPr="00632102">
        <w:rPr>
          <w:rtl/>
        </w:rPr>
        <w:t xml:space="preserve"> </w:t>
      </w:r>
      <w:r w:rsidRPr="00632102">
        <w:rPr>
          <w:rFonts w:hint="eastAsia"/>
          <w:rtl/>
        </w:rPr>
        <w:t>הנשמות</w:t>
      </w:r>
      <w:r w:rsidRPr="00632102">
        <w:rPr>
          <w:rtl/>
        </w:rPr>
        <w:t xml:space="preserve"> </w:t>
      </w:r>
      <w:r w:rsidRPr="00632102">
        <w:rPr>
          <w:rFonts w:hint="eastAsia"/>
          <w:rtl/>
        </w:rPr>
        <w:t>אשר</w:t>
      </w:r>
      <w:r w:rsidRPr="00632102">
        <w:rPr>
          <w:rtl/>
        </w:rPr>
        <w:t xml:space="preserve"> </w:t>
      </w:r>
      <w:r w:rsidRPr="00632102">
        <w:rPr>
          <w:rFonts w:hint="eastAsia"/>
          <w:rtl/>
        </w:rPr>
        <w:t>בצומח</w:t>
      </w:r>
      <w:r w:rsidRPr="00632102">
        <w:rPr>
          <w:rFonts w:hint="cs"/>
          <w:rtl/>
        </w:rPr>
        <w:t>"</w:t>
      </w:r>
      <w:r w:rsidRPr="00632102">
        <w:rPr>
          <w:rtl/>
        </w:rPr>
        <w:t>.</w:t>
      </w:r>
    </w:p>
    <w:p w:rsidR="004C1858" w:rsidRPr="00632102" w:rsidRDefault="004C1858" w:rsidP="004B0C42">
      <w:pPr>
        <w:pStyle w:val="a3"/>
        <w:rPr>
          <w:rtl/>
        </w:rPr>
      </w:pPr>
      <w:r w:rsidRPr="00632102">
        <w:rPr>
          <w:rFonts w:hint="cs"/>
          <w:rtl/>
        </w:rPr>
        <w:t>ובשלחן מנחם (או"ח ח"א סי' קל) מדייק ג"כ מדברי הרב בעל התניא בסדר ברכת הנהנין (פרק יג סי"ד) שדעתו שחודש ניסן דוקא: "</w:t>
      </w:r>
      <w:r w:rsidRPr="00632102">
        <w:rPr>
          <w:rFonts w:hint="eastAsia"/>
          <w:rtl/>
        </w:rPr>
        <w:t>והנה</w:t>
      </w:r>
      <w:r w:rsidRPr="00632102">
        <w:rPr>
          <w:rtl/>
        </w:rPr>
        <w:t xml:space="preserve"> </w:t>
      </w:r>
      <w:r w:rsidRPr="00632102">
        <w:rPr>
          <w:rFonts w:hint="eastAsia"/>
          <w:rtl/>
        </w:rPr>
        <w:t>אדמו</w:t>
      </w:r>
      <w:r w:rsidRPr="00632102">
        <w:rPr>
          <w:rtl/>
        </w:rPr>
        <w:t>"</w:t>
      </w:r>
      <w:r w:rsidRPr="00632102">
        <w:rPr>
          <w:rFonts w:hint="eastAsia"/>
          <w:rtl/>
        </w:rPr>
        <w:t>ר</w:t>
      </w:r>
      <w:r w:rsidRPr="00632102">
        <w:rPr>
          <w:rtl/>
        </w:rPr>
        <w:t xml:space="preserve"> </w:t>
      </w:r>
      <w:r w:rsidRPr="00632102">
        <w:rPr>
          <w:rFonts w:hint="eastAsia"/>
          <w:rtl/>
        </w:rPr>
        <w:t>הזקן</w:t>
      </w:r>
      <w:r w:rsidRPr="00632102">
        <w:rPr>
          <w:rtl/>
        </w:rPr>
        <w:t xml:space="preserve"> </w:t>
      </w:r>
      <w:r w:rsidRPr="00632102">
        <w:rPr>
          <w:rFonts w:hint="eastAsia"/>
          <w:rtl/>
        </w:rPr>
        <w:t>בלוח</w:t>
      </w:r>
      <w:r w:rsidRPr="00632102">
        <w:rPr>
          <w:rtl/>
        </w:rPr>
        <w:t xml:space="preserve"> </w:t>
      </w:r>
      <w:r w:rsidRPr="00632102">
        <w:rPr>
          <w:rFonts w:hint="eastAsia"/>
          <w:rtl/>
        </w:rPr>
        <w:t>ברכות</w:t>
      </w:r>
      <w:r w:rsidRPr="00632102">
        <w:rPr>
          <w:rtl/>
        </w:rPr>
        <w:t xml:space="preserve"> </w:t>
      </w:r>
      <w:r w:rsidRPr="00632102">
        <w:rPr>
          <w:rFonts w:hint="eastAsia"/>
          <w:rtl/>
        </w:rPr>
        <w:t>הנהנין</w:t>
      </w:r>
      <w:r w:rsidRPr="00632102">
        <w:rPr>
          <w:rtl/>
        </w:rPr>
        <w:t xml:space="preserve"> </w:t>
      </w:r>
      <w:r w:rsidRPr="00632102">
        <w:rPr>
          <w:rFonts w:hint="eastAsia"/>
          <w:rtl/>
        </w:rPr>
        <w:t>הראשון</w:t>
      </w:r>
      <w:r w:rsidRPr="00632102">
        <w:rPr>
          <w:rtl/>
        </w:rPr>
        <w:t xml:space="preserve"> </w:t>
      </w:r>
      <w:r w:rsidRPr="00632102">
        <w:rPr>
          <w:rFonts w:hint="eastAsia"/>
          <w:rtl/>
        </w:rPr>
        <w:t>כ</w:t>
      </w:r>
      <w:r w:rsidRPr="00632102">
        <w:rPr>
          <w:rtl/>
        </w:rPr>
        <w:t xml:space="preserve">' </w:t>
      </w:r>
      <w:r w:rsidRPr="00632102">
        <w:rPr>
          <w:rFonts w:hint="eastAsia"/>
          <w:rtl/>
        </w:rPr>
        <w:t>דאחר</w:t>
      </w:r>
      <w:r w:rsidRPr="00632102">
        <w:rPr>
          <w:rtl/>
        </w:rPr>
        <w:t xml:space="preserve"> </w:t>
      </w:r>
      <w:r w:rsidRPr="00632102">
        <w:rPr>
          <w:rFonts w:hint="eastAsia"/>
          <w:rtl/>
        </w:rPr>
        <w:t>ל</w:t>
      </w:r>
      <w:r w:rsidRPr="00632102">
        <w:rPr>
          <w:rtl/>
        </w:rPr>
        <w:t xml:space="preserve">' </w:t>
      </w:r>
      <w:r w:rsidRPr="00632102">
        <w:rPr>
          <w:rFonts w:hint="eastAsia"/>
          <w:rtl/>
        </w:rPr>
        <w:t>יברך</w:t>
      </w:r>
      <w:r w:rsidRPr="00632102">
        <w:rPr>
          <w:rtl/>
        </w:rPr>
        <w:t xml:space="preserve"> </w:t>
      </w:r>
      <w:r w:rsidRPr="00632102">
        <w:rPr>
          <w:rFonts w:hint="eastAsia"/>
          <w:rtl/>
        </w:rPr>
        <w:t>בלא</w:t>
      </w:r>
      <w:r w:rsidRPr="00632102">
        <w:rPr>
          <w:rtl/>
        </w:rPr>
        <w:t xml:space="preserve"> </w:t>
      </w:r>
      <w:r w:rsidRPr="00632102">
        <w:rPr>
          <w:rFonts w:hint="eastAsia"/>
          <w:rtl/>
        </w:rPr>
        <w:t>שם</w:t>
      </w:r>
      <w:r w:rsidRPr="00632102">
        <w:rPr>
          <w:rtl/>
        </w:rPr>
        <w:t xml:space="preserve"> </w:t>
      </w:r>
      <w:r w:rsidRPr="00632102">
        <w:rPr>
          <w:rFonts w:hint="eastAsia"/>
          <w:rtl/>
        </w:rPr>
        <w:t>ומלכות</w:t>
      </w:r>
      <w:r w:rsidRPr="00632102">
        <w:rPr>
          <w:rFonts w:hint="cs"/>
          <w:rtl/>
        </w:rPr>
        <w:t>,</w:t>
      </w:r>
      <w:r w:rsidRPr="00632102">
        <w:rPr>
          <w:rtl/>
        </w:rPr>
        <w:t xml:space="preserve"> </w:t>
      </w:r>
      <w:r w:rsidRPr="00632102">
        <w:rPr>
          <w:rFonts w:hint="eastAsia"/>
          <w:rtl/>
        </w:rPr>
        <w:t>מוכח</w:t>
      </w:r>
      <w:r w:rsidRPr="00632102">
        <w:rPr>
          <w:rtl/>
        </w:rPr>
        <w:t xml:space="preserve"> </w:t>
      </w:r>
      <w:r w:rsidRPr="00632102">
        <w:rPr>
          <w:rFonts w:hint="eastAsia"/>
          <w:rtl/>
        </w:rPr>
        <w:t>דניסן</w:t>
      </w:r>
      <w:r w:rsidRPr="00632102">
        <w:rPr>
          <w:rtl/>
        </w:rPr>
        <w:t xml:space="preserve"> </w:t>
      </w:r>
      <w:r w:rsidRPr="00632102">
        <w:rPr>
          <w:rFonts w:hint="eastAsia"/>
          <w:rtl/>
        </w:rPr>
        <w:t>לאו</w:t>
      </w:r>
      <w:r w:rsidRPr="00632102">
        <w:rPr>
          <w:rtl/>
        </w:rPr>
        <w:t xml:space="preserve"> </w:t>
      </w:r>
      <w:r w:rsidRPr="00632102">
        <w:rPr>
          <w:rFonts w:hint="eastAsia"/>
          <w:rtl/>
        </w:rPr>
        <w:t>דוקא</w:t>
      </w:r>
      <w:r w:rsidRPr="00632102">
        <w:rPr>
          <w:rFonts w:hint="cs"/>
          <w:rtl/>
        </w:rPr>
        <w:t>.</w:t>
      </w:r>
      <w:r w:rsidRPr="00632102">
        <w:rPr>
          <w:rtl/>
        </w:rPr>
        <w:t xml:space="preserve"> </w:t>
      </w:r>
      <w:r w:rsidRPr="00632102">
        <w:rPr>
          <w:rFonts w:hint="eastAsia"/>
          <w:rtl/>
        </w:rPr>
        <w:t>אבל</w:t>
      </w:r>
      <w:r w:rsidRPr="00632102">
        <w:rPr>
          <w:rtl/>
        </w:rPr>
        <w:t xml:space="preserve"> </w:t>
      </w:r>
      <w:r w:rsidRPr="00632102">
        <w:rPr>
          <w:rFonts w:hint="eastAsia"/>
          <w:rtl/>
        </w:rPr>
        <w:t>בסדר</w:t>
      </w:r>
      <w:r w:rsidRPr="00632102">
        <w:rPr>
          <w:rtl/>
        </w:rPr>
        <w:t xml:space="preserve"> </w:t>
      </w:r>
      <w:r w:rsidRPr="00632102">
        <w:rPr>
          <w:rFonts w:hint="eastAsia"/>
          <w:rtl/>
        </w:rPr>
        <w:t>ברה</w:t>
      </w:r>
      <w:r w:rsidRPr="00632102">
        <w:rPr>
          <w:rtl/>
        </w:rPr>
        <w:t>"</w:t>
      </w:r>
      <w:r w:rsidRPr="00632102">
        <w:rPr>
          <w:rFonts w:hint="eastAsia"/>
          <w:rtl/>
        </w:rPr>
        <w:t>נ</w:t>
      </w:r>
      <w:r w:rsidRPr="00632102">
        <w:rPr>
          <w:rtl/>
        </w:rPr>
        <w:t xml:space="preserve"> </w:t>
      </w:r>
      <w:r w:rsidRPr="00632102">
        <w:rPr>
          <w:rFonts w:hint="eastAsia"/>
          <w:rtl/>
        </w:rPr>
        <w:t>שבסידורו</w:t>
      </w:r>
      <w:r w:rsidRPr="00632102">
        <w:rPr>
          <w:rtl/>
        </w:rPr>
        <w:t xml:space="preserve"> </w:t>
      </w:r>
      <w:r w:rsidRPr="00632102">
        <w:rPr>
          <w:rFonts w:hint="eastAsia"/>
          <w:rtl/>
        </w:rPr>
        <w:t>פי</w:t>
      </w:r>
      <w:r w:rsidRPr="00632102">
        <w:rPr>
          <w:rtl/>
        </w:rPr>
        <w:t>"</w:t>
      </w:r>
      <w:r w:rsidRPr="00632102">
        <w:rPr>
          <w:rFonts w:hint="eastAsia"/>
          <w:rtl/>
        </w:rPr>
        <w:t>ג</w:t>
      </w:r>
      <w:r w:rsidRPr="00632102">
        <w:rPr>
          <w:rtl/>
        </w:rPr>
        <w:t xml:space="preserve"> </w:t>
      </w:r>
      <w:r w:rsidRPr="00632102">
        <w:rPr>
          <w:rFonts w:hint="eastAsia"/>
          <w:rtl/>
        </w:rPr>
        <w:t>סי</w:t>
      </w:r>
      <w:r w:rsidRPr="00632102">
        <w:rPr>
          <w:rtl/>
        </w:rPr>
        <w:t>"</w:t>
      </w:r>
      <w:r w:rsidRPr="00632102">
        <w:rPr>
          <w:rFonts w:hint="eastAsia"/>
          <w:rtl/>
        </w:rPr>
        <w:t>ד</w:t>
      </w:r>
      <w:r w:rsidRPr="00632102">
        <w:rPr>
          <w:rtl/>
        </w:rPr>
        <w:t xml:space="preserve"> </w:t>
      </w:r>
      <w:r w:rsidRPr="00632102">
        <w:rPr>
          <w:rFonts w:hint="eastAsia"/>
          <w:rtl/>
        </w:rPr>
        <w:t>השמיט</w:t>
      </w:r>
      <w:r w:rsidRPr="00632102">
        <w:rPr>
          <w:rtl/>
        </w:rPr>
        <w:t xml:space="preserve"> </w:t>
      </w:r>
      <w:r w:rsidRPr="00632102">
        <w:rPr>
          <w:rFonts w:hint="eastAsia"/>
          <w:rtl/>
        </w:rPr>
        <w:t>זה</w:t>
      </w:r>
      <w:r w:rsidRPr="00632102">
        <w:rPr>
          <w:rFonts w:hint="cs"/>
          <w:rtl/>
        </w:rPr>
        <w:t>.</w:t>
      </w:r>
      <w:r w:rsidRPr="00632102">
        <w:rPr>
          <w:rtl/>
        </w:rPr>
        <w:t xml:space="preserve"> </w:t>
      </w:r>
      <w:r w:rsidRPr="00632102">
        <w:rPr>
          <w:rFonts w:hint="eastAsia"/>
          <w:rtl/>
        </w:rPr>
        <w:t>ואף</w:t>
      </w:r>
      <w:r w:rsidRPr="00632102">
        <w:rPr>
          <w:rtl/>
        </w:rPr>
        <w:t xml:space="preserve"> </w:t>
      </w:r>
      <w:r w:rsidRPr="00632102">
        <w:rPr>
          <w:rFonts w:hint="eastAsia"/>
          <w:rtl/>
        </w:rPr>
        <w:t>שי</w:t>
      </w:r>
      <w:r w:rsidRPr="00632102">
        <w:rPr>
          <w:rtl/>
        </w:rPr>
        <w:t>"</w:t>
      </w:r>
      <w:r w:rsidRPr="00632102">
        <w:rPr>
          <w:rFonts w:hint="eastAsia"/>
          <w:rtl/>
        </w:rPr>
        <w:t>ל</w:t>
      </w:r>
      <w:r w:rsidRPr="00632102">
        <w:rPr>
          <w:rtl/>
        </w:rPr>
        <w:t xml:space="preserve"> </w:t>
      </w:r>
      <w:r w:rsidRPr="00632102">
        <w:rPr>
          <w:rFonts w:hint="eastAsia"/>
          <w:rtl/>
        </w:rPr>
        <w:t>בדוחק</w:t>
      </w:r>
      <w:r w:rsidRPr="00632102">
        <w:rPr>
          <w:rtl/>
        </w:rPr>
        <w:t xml:space="preserve"> </w:t>
      </w:r>
      <w:r w:rsidRPr="00632102">
        <w:rPr>
          <w:rFonts w:hint="eastAsia"/>
          <w:rtl/>
        </w:rPr>
        <w:t>דטעמו</w:t>
      </w:r>
      <w:r w:rsidRPr="00632102">
        <w:rPr>
          <w:rtl/>
        </w:rPr>
        <w:t xml:space="preserve"> </w:t>
      </w:r>
      <w:r w:rsidRPr="00632102">
        <w:rPr>
          <w:rFonts w:hint="eastAsia"/>
          <w:rtl/>
        </w:rPr>
        <w:t>מפני</w:t>
      </w:r>
      <w:r w:rsidRPr="00632102">
        <w:rPr>
          <w:rtl/>
        </w:rPr>
        <w:t xml:space="preserve"> </w:t>
      </w:r>
      <w:r w:rsidRPr="00632102">
        <w:rPr>
          <w:rFonts w:hint="cs"/>
          <w:rtl/>
        </w:rPr>
        <w:t>ד</w:t>
      </w:r>
      <w:r w:rsidRPr="00632102">
        <w:rPr>
          <w:rFonts w:hint="eastAsia"/>
          <w:rtl/>
        </w:rPr>
        <w:t>ס</w:t>
      </w:r>
      <w:r w:rsidRPr="00632102">
        <w:rPr>
          <w:rtl/>
        </w:rPr>
        <w:t>"</w:t>
      </w:r>
      <w:r w:rsidRPr="00632102">
        <w:rPr>
          <w:rFonts w:hint="eastAsia"/>
          <w:rtl/>
        </w:rPr>
        <w:t>ל</w:t>
      </w:r>
      <w:r w:rsidRPr="00632102">
        <w:rPr>
          <w:rtl/>
        </w:rPr>
        <w:t xml:space="preserve"> </w:t>
      </w:r>
      <w:r w:rsidRPr="00632102">
        <w:rPr>
          <w:rFonts w:hint="eastAsia"/>
          <w:rtl/>
        </w:rPr>
        <w:t>דאין</w:t>
      </w:r>
      <w:r w:rsidRPr="00632102">
        <w:rPr>
          <w:rtl/>
        </w:rPr>
        <w:t xml:space="preserve"> </w:t>
      </w:r>
      <w:r w:rsidRPr="00632102">
        <w:rPr>
          <w:rFonts w:hint="eastAsia"/>
          <w:rtl/>
        </w:rPr>
        <w:t>לברך</w:t>
      </w:r>
      <w:r w:rsidRPr="00632102">
        <w:rPr>
          <w:rtl/>
        </w:rPr>
        <w:t xml:space="preserve"> </w:t>
      </w:r>
      <w:r w:rsidRPr="00632102">
        <w:rPr>
          <w:rFonts w:hint="eastAsia"/>
          <w:rtl/>
        </w:rPr>
        <w:t>כלל</w:t>
      </w:r>
      <w:r w:rsidRPr="00632102">
        <w:rPr>
          <w:rtl/>
        </w:rPr>
        <w:t xml:space="preserve"> </w:t>
      </w:r>
      <w:r w:rsidRPr="00632102">
        <w:rPr>
          <w:rFonts w:hint="eastAsia"/>
          <w:rtl/>
        </w:rPr>
        <w:t>אלא</w:t>
      </w:r>
      <w:r w:rsidRPr="00632102">
        <w:rPr>
          <w:rtl/>
        </w:rPr>
        <w:t xml:space="preserve"> </w:t>
      </w:r>
      <w:r w:rsidRPr="00632102">
        <w:rPr>
          <w:rFonts w:hint="eastAsia"/>
          <w:rtl/>
        </w:rPr>
        <w:t>פעם</w:t>
      </w:r>
      <w:r w:rsidRPr="00632102">
        <w:rPr>
          <w:rtl/>
        </w:rPr>
        <w:t xml:space="preserve"> </w:t>
      </w:r>
      <w:r w:rsidRPr="00632102">
        <w:rPr>
          <w:rFonts w:hint="eastAsia"/>
          <w:rtl/>
        </w:rPr>
        <w:t>אחת</w:t>
      </w:r>
      <w:r w:rsidRPr="00632102">
        <w:rPr>
          <w:rtl/>
        </w:rPr>
        <w:t xml:space="preserve"> </w:t>
      </w:r>
      <w:r w:rsidRPr="00632102">
        <w:rPr>
          <w:rFonts w:hint="cs"/>
          <w:rtl/>
        </w:rPr>
        <w:t>(</w:t>
      </w:r>
      <w:r w:rsidRPr="00632102">
        <w:rPr>
          <w:rFonts w:hint="eastAsia"/>
          <w:rtl/>
        </w:rPr>
        <w:t>ועדיין</w:t>
      </w:r>
      <w:r w:rsidRPr="00632102">
        <w:rPr>
          <w:rtl/>
        </w:rPr>
        <w:t xml:space="preserve"> </w:t>
      </w:r>
      <w:r w:rsidRPr="00632102">
        <w:rPr>
          <w:rFonts w:hint="eastAsia"/>
          <w:rtl/>
        </w:rPr>
        <w:t>יקשה</w:t>
      </w:r>
      <w:r w:rsidRPr="00632102">
        <w:rPr>
          <w:rtl/>
        </w:rPr>
        <w:t xml:space="preserve"> </w:t>
      </w:r>
      <w:r w:rsidRPr="00632102">
        <w:rPr>
          <w:rFonts w:hint="eastAsia"/>
          <w:rtl/>
        </w:rPr>
        <w:t>למה</w:t>
      </w:r>
      <w:r w:rsidRPr="00632102">
        <w:rPr>
          <w:rtl/>
        </w:rPr>
        <w:t xml:space="preserve"> </w:t>
      </w:r>
      <w:r w:rsidRPr="00632102">
        <w:rPr>
          <w:rFonts w:hint="eastAsia"/>
          <w:rtl/>
        </w:rPr>
        <w:t>לא</w:t>
      </w:r>
      <w:r w:rsidRPr="00632102">
        <w:rPr>
          <w:rtl/>
        </w:rPr>
        <w:t xml:space="preserve"> </w:t>
      </w:r>
      <w:r w:rsidRPr="00632102">
        <w:rPr>
          <w:rFonts w:hint="eastAsia"/>
          <w:rtl/>
        </w:rPr>
        <w:t>ביאר</w:t>
      </w:r>
      <w:r w:rsidRPr="00632102">
        <w:rPr>
          <w:rtl/>
        </w:rPr>
        <w:t xml:space="preserve"> </w:t>
      </w:r>
      <w:r w:rsidRPr="00632102">
        <w:rPr>
          <w:rFonts w:hint="eastAsia"/>
          <w:rtl/>
        </w:rPr>
        <w:t>דברי</w:t>
      </w:r>
      <w:r w:rsidRPr="00632102">
        <w:rPr>
          <w:rtl/>
        </w:rPr>
        <w:t xml:space="preserve"> </w:t>
      </w:r>
      <w:r w:rsidRPr="00632102">
        <w:rPr>
          <w:rFonts w:hint="eastAsia"/>
          <w:rtl/>
        </w:rPr>
        <w:t>השו</w:t>
      </w:r>
      <w:r w:rsidRPr="00632102">
        <w:rPr>
          <w:rtl/>
        </w:rPr>
        <w:t>"</w:t>
      </w:r>
      <w:r w:rsidRPr="00632102">
        <w:rPr>
          <w:rFonts w:hint="eastAsia"/>
          <w:rtl/>
        </w:rPr>
        <w:t>ע</w:t>
      </w:r>
      <w:r w:rsidRPr="00632102">
        <w:rPr>
          <w:rtl/>
        </w:rPr>
        <w:t xml:space="preserve"> </w:t>
      </w:r>
      <w:r w:rsidRPr="00632102">
        <w:rPr>
          <w:rFonts w:hint="eastAsia"/>
          <w:rtl/>
        </w:rPr>
        <w:t>בימי</w:t>
      </w:r>
      <w:r w:rsidRPr="00632102">
        <w:rPr>
          <w:rtl/>
        </w:rPr>
        <w:t xml:space="preserve"> </w:t>
      </w:r>
      <w:r w:rsidRPr="00632102">
        <w:rPr>
          <w:rFonts w:hint="eastAsia"/>
          <w:rtl/>
        </w:rPr>
        <w:t>ניסן</w:t>
      </w:r>
      <w:r w:rsidRPr="00632102">
        <w:rPr>
          <w:rtl/>
        </w:rPr>
        <w:t xml:space="preserve"> </w:t>
      </w:r>
      <w:r w:rsidRPr="00632102">
        <w:rPr>
          <w:rFonts w:hint="eastAsia"/>
          <w:rtl/>
        </w:rPr>
        <w:t>דהיינו</w:t>
      </w:r>
      <w:r w:rsidRPr="00632102">
        <w:rPr>
          <w:rtl/>
        </w:rPr>
        <w:t xml:space="preserve"> </w:t>
      </w:r>
      <w:r w:rsidRPr="00632102">
        <w:rPr>
          <w:rFonts w:hint="eastAsia"/>
          <w:rtl/>
        </w:rPr>
        <w:t>לאו</w:t>
      </w:r>
      <w:r w:rsidRPr="00632102">
        <w:rPr>
          <w:rtl/>
        </w:rPr>
        <w:t xml:space="preserve"> </w:t>
      </w:r>
      <w:r w:rsidRPr="00632102">
        <w:rPr>
          <w:rFonts w:hint="eastAsia"/>
          <w:rtl/>
        </w:rPr>
        <w:t>דוקא</w:t>
      </w:r>
      <w:r w:rsidRPr="00632102">
        <w:rPr>
          <w:rtl/>
        </w:rPr>
        <w:t xml:space="preserve"> –</w:t>
      </w:r>
      <w:r w:rsidRPr="00632102">
        <w:rPr>
          <w:rFonts w:hint="cs"/>
          <w:rtl/>
        </w:rPr>
        <w:t xml:space="preserve"> </w:t>
      </w:r>
      <w:r w:rsidRPr="00632102">
        <w:rPr>
          <w:rFonts w:hint="eastAsia"/>
          <w:rtl/>
        </w:rPr>
        <w:t>כמו</w:t>
      </w:r>
      <w:r w:rsidRPr="00632102">
        <w:rPr>
          <w:rtl/>
        </w:rPr>
        <w:t xml:space="preserve"> </w:t>
      </w:r>
      <w:r w:rsidRPr="00632102">
        <w:rPr>
          <w:rFonts w:hint="eastAsia"/>
          <w:rtl/>
        </w:rPr>
        <w:t>שהוסיף</w:t>
      </w:r>
      <w:r w:rsidRPr="00632102">
        <w:rPr>
          <w:rtl/>
        </w:rPr>
        <w:t xml:space="preserve"> </w:t>
      </w:r>
      <w:r w:rsidRPr="00632102">
        <w:rPr>
          <w:rFonts w:hint="eastAsia"/>
          <w:rtl/>
        </w:rPr>
        <w:t>ביאור</w:t>
      </w:r>
      <w:r w:rsidRPr="00632102">
        <w:rPr>
          <w:rtl/>
        </w:rPr>
        <w:t xml:space="preserve"> </w:t>
      </w:r>
      <w:r w:rsidRPr="00632102">
        <w:rPr>
          <w:rFonts w:hint="eastAsia"/>
          <w:rtl/>
        </w:rPr>
        <w:t>בכמה</w:t>
      </w:r>
      <w:r w:rsidRPr="00632102">
        <w:rPr>
          <w:rtl/>
        </w:rPr>
        <w:t xml:space="preserve"> </w:t>
      </w:r>
      <w:r w:rsidRPr="00632102">
        <w:rPr>
          <w:rFonts w:hint="eastAsia"/>
          <w:rtl/>
        </w:rPr>
        <w:t>דינים</w:t>
      </w:r>
      <w:r w:rsidRPr="00632102">
        <w:rPr>
          <w:rtl/>
        </w:rPr>
        <w:t xml:space="preserve"> </w:t>
      </w:r>
      <w:r w:rsidRPr="00632102">
        <w:rPr>
          <w:rFonts w:hint="eastAsia"/>
          <w:rtl/>
        </w:rPr>
        <w:lastRenderedPageBreak/>
        <w:t>שבברה</w:t>
      </w:r>
      <w:r w:rsidRPr="00632102">
        <w:rPr>
          <w:rtl/>
        </w:rPr>
        <w:t>"</w:t>
      </w:r>
      <w:r w:rsidRPr="00632102">
        <w:rPr>
          <w:rFonts w:hint="eastAsia"/>
          <w:rtl/>
        </w:rPr>
        <w:t>נ</w:t>
      </w:r>
      <w:r w:rsidRPr="00632102">
        <w:rPr>
          <w:rFonts w:hint="cs"/>
          <w:rtl/>
        </w:rPr>
        <w:t>),</w:t>
      </w:r>
      <w:r w:rsidRPr="00632102">
        <w:rPr>
          <w:rtl/>
        </w:rPr>
        <w:t xml:space="preserve"> </w:t>
      </w:r>
      <w:r w:rsidRPr="00632102">
        <w:rPr>
          <w:rFonts w:hint="eastAsia"/>
          <w:rtl/>
        </w:rPr>
        <w:t>י</w:t>
      </w:r>
      <w:r w:rsidRPr="00632102">
        <w:rPr>
          <w:rtl/>
        </w:rPr>
        <w:t>"</w:t>
      </w:r>
      <w:r w:rsidRPr="00632102">
        <w:rPr>
          <w:rFonts w:hint="eastAsia"/>
          <w:rtl/>
        </w:rPr>
        <w:t>ל</w:t>
      </w:r>
      <w:r w:rsidRPr="00632102">
        <w:rPr>
          <w:rtl/>
        </w:rPr>
        <w:t xml:space="preserve"> </w:t>
      </w:r>
      <w:r w:rsidRPr="00632102">
        <w:rPr>
          <w:rFonts w:hint="eastAsia"/>
          <w:rtl/>
        </w:rPr>
        <w:t>דהשמיט</w:t>
      </w:r>
      <w:r w:rsidRPr="00632102">
        <w:rPr>
          <w:rtl/>
        </w:rPr>
        <w:t xml:space="preserve"> </w:t>
      </w:r>
      <w:r w:rsidRPr="00632102">
        <w:rPr>
          <w:rFonts w:hint="eastAsia"/>
          <w:rtl/>
        </w:rPr>
        <w:t>מפני</w:t>
      </w:r>
      <w:r w:rsidRPr="00632102">
        <w:rPr>
          <w:rtl/>
        </w:rPr>
        <w:t xml:space="preserve"> </w:t>
      </w:r>
      <w:r w:rsidRPr="00632102">
        <w:rPr>
          <w:rFonts w:hint="eastAsia"/>
          <w:rtl/>
        </w:rPr>
        <w:t>דבמשנה</w:t>
      </w:r>
      <w:r w:rsidRPr="00632102">
        <w:rPr>
          <w:rtl/>
        </w:rPr>
        <w:t xml:space="preserve"> </w:t>
      </w:r>
      <w:r w:rsidRPr="00632102">
        <w:rPr>
          <w:rFonts w:hint="eastAsia"/>
          <w:rtl/>
        </w:rPr>
        <w:t>האחרונה</w:t>
      </w:r>
      <w:r w:rsidRPr="00632102">
        <w:rPr>
          <w:rtl/>
        </w:rPr>
        <w:t xml:space="preserve"> </w:t>
      </w:r>
      <w:r w:rsidRPr="00632102">
        <w:rPr>
          <w:rFonts w:hint="eastAsia"/>
          <w:rtl/>
        </w:rPr>
        <w:t>ס</w:t>
      </w:r>
      <w:r w:rsidRPr="00632102">
        <w:rPr>
          <w:rtl/>
        </w:rPr>
        <w:t>"</w:t>
      </w:r>
      <w:r w:rsidRPr="00632102">
        <w:rPr>
          <w:rFonts w:hint="eastAsia"/>
          <w:rtl/>
        </w:rPr>
        <w:t>ל</w:t>
      </w:r>
      <w:r w:rsidRPr="00632102">
        <w:rPr>
          <w:rtl/>
        </w:rPr>
        <w:t xml:space="preserve"> </w:t>
      </w:r>
      <w:r w:rsidRPr="00632102">
        <w:rPr>
          <w:rFonts w:hint="eastAsia"/>
          <w:rtl/>
        </w:rPr>
        <w:t>ד</w:t>
      </w:r>
      <w:r w:rsidRPr="00632102">
        <w:rPr>
          <w:rFonts w:hint="cs"/>
          <w:rtl/>
        </w:rPr>
        <w:t>"</w:t>
      </w:r>
      <w:r w:rsidRPr="00632102">
        <w:rPr>
          <w:rFonts w:hint="eastAsia"/>
          <w:rtl/>
        </w:rPr>
        <w:t>בימי</w:t>
      </w:r>
      <w:r w:rsidRPr="00632102">
        <w:rPr>
          <w:rtl/>
        </w:rPr>
        <w:t xml:space="preserve"> </w:t>
      </w:r>
      <w:r w:rsidRPr="00632102">
        <w:rPr>
          <w:rFonts w:hint="eastAsia"/>
          <w:rtl/>
        </w:rPr>
        <w:t>ניסן</w:t>
      </w:r>
      <w:r w:rsidRPr="00632102">
        <w:rPr>
          <w:rFonts w:hint="cs"/>
          <w:rtl/>
        </w:rPr>
        <w:t>,</w:t>
      </w:r>
      <w:r w:rsidRPr="00632102">
        <w:rPr>
          <w:rtl/>
        </w:rPr>
        <w:t xml:space="preserve"> </w:t>
      </w:r>
      <w:r w:rsidRPr="00632102">
        <w:rPr>
          <w:rFonts w:hint="eastAsia"/>
          <w:rtl/>
        </w:rPr>
        <w:t>כפשוטו</w:t>
      </w:r>
      <w:r w:rsidRPr="00632102">
        <w:rPr>
          <w:rtl/>
        </w:rPr>
        <w:t xml:space="preserve"> </w:t>
      </w:r>
      <w:r w:rsidRPr="00632102">
        <w:rPr>
          <w:rFonts w:hint="eastAsia"/>
          <w:rtl/>
        </w:rPr>
        <w:t>בדוקא</w:t>
      </w:r>
      <w:r w:rsidRPr="00632102">
        <w:rPr>
          <w:rFonts w:hint="cs"/>
          <w:rtl/>
        </w:rPr>
        <w:t>,</w:t>
      </w:r>
      <w:r w:rsidRPr="00632102">
        <w:rPr>
          <w:rtl/>
        </w:rPr>
        <w:t xml:space="preserve"> </w:t>
      </w:r>
      <w:r w:rsidRPr="00632102">
        <w:rPr>
          <w:rFonts w:hint="eastAsia"/>
          <w:rtl/>
        </w:rPr>
        <w:t>וא</w:t>
      </w:r>
      <w:r w:rsidRPr="00632102">
        <w:rPr>
          <w:rtl/>
        </w:rPr>
        <w:t>"</w:t>
      </w:r>
      <w:r w:rsidRPr="00632102">
        <w:rPr>
          <w:rFonts w:hint="eastAsia"/>
          <w:rtl/>
        </w:rPr>
        <w:t>כ</w:t>
      </w:r>
      <w:r w:rsidRPr="00632102">
        <w:rPr>
          <w:rtl/>
        </w:rPr>
        <w:t xml:space="preserve"> </w:t>
      </w:r>
      <w:r w:rsidRPr="00632102">
        <w:rPr>
          <w:rFonts w:hint="eastAsia"/>
          <w:rtl/>
        </w:rPr>
        <w:t>א</w:t>
      </w:r>
      <w:r w:rsidRPr="00632102">
        <w:rPr>
          <w:rtl/>
        </w:rPr>
        <w:t>"</w:t>
      </w:r>
      <w:r w:rsidRPr="00632102">
        <w:rPr>
          <w:rFonts w:hint="eastAsia"/>
          <w:rtl/>
        </w:rPr>
        <w:t>א</w:t>
      </w:r>
      <w:r w:rsidRPr="00632102">
        <w:rPr>
          <w:rtl/>
        </w:rPr>
        <w:t xml:space="preserve"> </w:t>
      </w:r>
      <w:r w:rsidRPr="00632102">
        <w:rPr>
          <w:rFonts w:hint="cs"/>
          <w:rtl/>
        </w:rPr>
        <w:t>"</w:t>
      </w:r>
      <w:r w:rsidRPr="00632102">
        <w:rPr>
          <w:rFonts w:hint="eastAsia"/>
          <w:rtl/>
        </w:rPr>
        <w:t>לאחר</w:t>
      </w:r>
      <w:r w:rsidRPr="00632102">
        <w:rPr>
          <w:rtl/>
        </w:rPr>
        <w:t xml:space="preserve"> </w:t>
      </w:r>
      <w:r w:rsidRPr="00632102">
        <w:rPr>
          <w:rFonts w:hint="eastAsia"/>
          <w:rtl/>
        </w:rPr>
        <w:t>ל</w:t>
      </w:r>
      <w:r w:rsidRPr="00632102">
        <w:rPr>
          <w:rFonts w:hint="cs"/>
          <w:rtl/>
        </w:rPr>
        <w:t>'</w:t>
      </w:r>
      <w:r w:rsidRPr="00632102">
        <w:rPr>
          <w:rtl/>
        </w:rPr>
        <w:t>"</w:t>
      </w:r>
      <w:r w:rsidRPr="00632102">
        <w:rPr>
          <w:rFonts w:hint="cs"/>
          <w:rtl/>
        </w:rPr>
        <w:t>.</w:t>
      </w:r>
    </w:p>
    <w:p w:rsidR="004C1858" w:rsidRPr="00632102" w:rsidRDefault="004C1858" w:rsidP="004B0C42">
      <w:pPr>
        <w:pStyle w:val="a3"/>
        <w:rPr>
          <w:rtl/>
        </w:rPr>
      </w:pPr>
      <w:r w:rsidRPr="00632102">
        <w:rPr>
          <w:rFonts w:hint="cs"/>
          <w:rtl/>
        </w:rPr>
        <w:t>וידעתי גם ידעתי שבריטב"א (ר"ה יא, א) מבואר להדיא שזהו לאו דוקא "ויומי ניסן לאו דוקא, אלא כל מקום ומקום לפי מה דמלבלבי". וכך נקטו שהרבה מגדולי הפוסקים שניסן לאו דוקא, כמו הלבוש, המקור חיים להחו"י, הא"ר בשם צידה לדרך והמשנ"ב (סק"א)</w:t>
      </w:r>
      <w:r w:rsidRPr="00632102">
        <w:rPr>
          <w:sz w:val="20"/>
          <w:szCs w:val="20"/>
          <w:vertAlign w:val="superscript"/>
          <w:rtl/>
        </w:rPr>
        <w:footnoteReference w:id="74"/>
      </w:r>
      <w:r w:rsidRPr="00632102">
        <w:rPr>
          <w:rFonts w:hint="cs"/>
          <w:rtl/>
        </w:rPr>
        <w:t xml:space="preserve">. מ"מ נתקבל המנהג להחמיר כפשטות הגמ' והשו"ע וכהפוסקים והמקובלים שכתבו להדיא שניסן דוקא משום חומר דברכה לבטלה, כמ"ש הכף החיים (סי' רכו אות </w:t>
      </w:r>
      <w:r w:rsidRPr="00632102">
        <w:rPr>
          <w:rFonts w:hint="eastAsia"/>
          <w:rtl/>
        </w:rPr>
        <w:t>א</w:t>
      </w:r>
      <w:r w:rsidRPr="00632102">
        <w:rPr>
          <w:rFonts w:hint="cs"/>
          <w:rtl/>
        </w:rPr>
        <w:t>)</w:t>
      </w:r>
      <w:r w:rsidRPr="00632102">
        <w:rPr>
          <w:rtl/>
        </w:rPr>
        <w:t xml:space="preserve"> </w:t>
      </w:r>
      <w:r w:rsidRPr="00632102">
        <w:rPr>
          <w:rFonts w:hint="cs"/>
          <w:rtl/>
        </w:rPr>
        <w:t>לאחר שמביא שתי הדיעות הוא מסיים "</w:t>
      </w:r>
      <w:r w:rsidRPr="00632102">
        <w:rPr>
          <w:rFonts w:hint="eastAsia"/>
          <w:rtl/>
        </w:rPr>
        <w:t>ועל</w:t>
      </w:r>
      <w:r w:rsidRPr="00632102">
        <w:rPr>
          <w:rtl/>
        </w:rPr>
        <w:t xml:space="preserve"> </w:t>
      </w:r>
      <w:r w:rsidRPr="00632102">
        <w:rPr>
          <w:rFonts w:hint="eastAsia"/>
          <w:rtl/>
        </w:rPr>
        <w:t>כן</w:t>
      </w:r>
      <w:r w:rsidRPr="00632102">
        <w:rPr>
          <w:rtl/>
        </w:rPr>
        <w:t xml:space="preserve"> </w:t>
      </w:r>
      <w:r w:rsidRPr="00632102">
        <w:rPr>
          <w:rFonts w:hint="eastAsia"/>
          <w:rtl/>
        </w:rPr>
        <w:t>כיון</w:t>
      </w:r>
      <w:r w:rsidRPr="00632102">
        <w:rPr>
          <w:rtl/>
        </w:rPr>
        <w:t xml:space="preserve"> </w:t>
      </w:r>
      <w:r w:rsidRPr="00632102">
        <w:rPr>
          <w:rFonts w:hint="eastAsia"/>
          <w:rtl/>
        </w:rPr>
        <w:t>דאיכא</w:t>
      </w:r>
      <w:r w:rsidRPr="00632102">
        <w:rPr>
          <w:rtl/>
        </w:rPr>
        <w:t xml:space="preserve"> </w:t>
      </w:r>
      <w:r w:rsidRPr="00632102">
        <w:rPr>
          <w:rFonts w:hint="eastAsia"/>
          <w:rtl/>
        </w:rPr>
        <w:t>פלוגתא</w:t>
      </w:r>
      <w:r w:rsidRPr="00632102">
        <w:rPr>
          <w:rtl/>
        </w:rPr>
        <w:t xml:space="preserve"> </w:t>
      </w:r>
      <w:r w:rsidRPr="00632102">
        <w:rPr>
          <w:rFonts w:hint="eastAsia"/>
          <w:rtl/>
        </w:rPr>
        <w:t>בזה</w:t>
      </w:r>
      <w:r w:rsidRPr="00632102">
        <w:rPr>
          <w:rFonts w:hint="cs"/>
          <w:rtl/>
        </w:rPr>
        <w:t>,</w:t>
      </w:r>
      <w:r w:rsidRPr="00632102">
        <w:rPr>
          <w:rtl/>
        </w:rPr>
        <w:t xml:space="preserve"> </w:t>
      </w:r>
      <w:r w:rsidRPr="00632102">
        <w:rPr>
          <w:rFonts w:hint="eastAsia"/>
          <w:rtl/>
        </w:rPr>
        <w:t>וכן</w:t>
      </w:r>
      <w:r w:rsidRPr="00632102">
        <w:rPr>
          <w:rtl/>
        </w:rPr>
        <w:t xml:space="preserve"> </w:t>
      </w:r>
      <w:r w:rsidRPr="00632102">
        <w:rPr>
          <w:rFonts w:hint="eastAsia"/>
          <w:rtl/>
        </w:rPr>
        <w:t>משמע</w:t>
      </w:r>
      <w:r w:rsidRPr="00632102">
        <w:rPr>
          <w:rtl/>
        </w:rPr>
        <w:t xml:space="preserve"> </w:t>
      </w:r>
      <w:r w:rsidRPr="00632102">
        <w:rPr>
          <w:rFonts w:hint="eastAsia"/>
          <w:rtl/>
        </w:rPr>
        <w:t>מלשון</w:t>
      </w:r>
      <w:r w:rsidRPr="00632102">
        <w:rPr>
          <w:rtl/>
        </w:rPr>
        <w:t xml:space="preserve"> </w:t>
      </w:r>
      <w:r w:rsidRPr="00632102">
        <w:rPr>
          <w:rFonts w:hint="eastAsia"/>
          <w:rtl/>
        </w:rPr>
        <w:t>הגמרא</w:t>
      </w:r>
      <w:r w:rsidRPr="00632102">
        <w:rPr>
          <w:rtl/>
        </w:rPr>
        <w:t xml:space="preserve"> </w:t>
      </w:r>
      <w:r w:rsidRPr="00632102">
        <w:rPr>
          <w:rFonts w:hint="eastAsia"/>
          <w:rtl/>
        </w:rPr>
        <w:t>דדוקא</w:t>
      </w:r>
      <w:r w:rsidRPr="00632102">
        <w:rPr>
          <w:rtl/>
        </w:rPr>
        <w:t xml:space="preserve"> </w:t>
      </w:r>
      <w:r w:rsidRPr="00632102">
        <w:rPr>
          <w:rFonts w:hint="eastAsia"/>
          <w:rtl/>
        </w:rPr>
        <w:t>בניסן</w:t>
      </w:r>
      <w:r w:rsidRPr="00632102">
        <w:rPr>
          <w:rFonts w:hint="cs"/>
          <w:rtl/>
        </w:rPr>
        <w:t>,</w:t>
      </w:r>
      <w:r w:rsidRPr="00632102">
        <w:rPr>
          <w:rtl/>
        </w:rPr>
        <w:t xml:space="preserve"> </w:t>
      </w:r>
      <w:r w:rsidRPr="00632102">
        <w:rPr>
          <w:rFonts w:hint="eastAsia"/>
          <w:rtl/>
        </w:rPr>
        <w:t>וגם</w:t>
      </w:r>
      <w:r w:rsidRPr="00632102">
        <w:rPr>
          <w:rtl/>
        </w:rPr>
        <w:t xml:space="preserve"> </w:t>
      </w:r>
      <w:r w:rsidRPr="00632102">
        <w:rPr>
          <w:rFonts w:hint="eastAsia"/>
          <w:rtl/>
        </w:rPr>
        <w:t>קיימא</w:t>
      </w:r>
      <w:r w:rsidRPr="00632102">
        <w:rPr>
          <w:rtl/>
        </w:rPr>
        <w:t xml:space="preserve"> </w:t>
      </w:r>
      <w:r w:rsidRPr="00632102">
        <w:rPr>
          <w:rFonts w:hint="eastAsia"/>
          <w:rtl/>
        </w:rPr>
        <w:t>לן</w:t>
      </w:r>
      <w:r w:rsidRPr="00632102">
        <w:rPr>
          <w:rtl/>
        </w:rPr>
        <w:t xml:space="preserve"> </w:t>
      </w:r>
      <w:r w:rsidRPr="00632102">
        <w:rPr>
          <w:rFonts w:hint="eastAsia"/>
          <w:rtl/>
        </w:rPr>
        <w:t>ספק</w:t>
      </w:r>
      <w:r w:rsidRPr="00632102">
        <w:rPr>
          <w:rtl/>
        </w:rPr>
        <w:t xml:space="preserve"> </w:t>
      </w:r>
      <w:r w:rsidRPr="00632102">
        <w:rPr>
          <w:rFonts w:hint="eastAsia"/>
          <w:rtl/>
        </w:rPr>
        <w:t>ברכות</w:t>
      </w:r>
      <w:r w:rsidRPr="00632102">
        <w:rPr>
          <w:rtl/>
        </w:rPr>
        <w:t xml:space="preserve"> </w:t>
      </w:r>
      <w:r w:rsidRPr="00632102">
        <w:rPr>
          <w:rFonts w:hint="eastAsia"/>
          <w:rtl/>
        </w:rPr>
        <w:t>להקל</w:t>
      </w:r>
      <w:r w:rsidRPr="00632102">
        <w:rPr>
          <w:rtl/>
        </w:rPr>
        <w:t xml:space="preserve"> –</w:t>
      </w:r>
      <w:r w:rsidRPr="00632102">
        <w:rPr>
          <w:rFonts w:hint="cs"/>
          <w:rtl/>
        </w:rPr>
        <w:t xml:space="preserve"> </w:t>
      </w:r>
      <w:r w:rsidRPr="00632102">
        <w:rPr>
          <w:rFonts w:hint="eastAsia"/>
          <w:rtl/>
        </w:rPr>
        <w:t>אין</w:t>
      </w:r>
      <w:r w:rsidRPr="00632102">
        <w:rPr>
          <w:rtl/>
        </w:rPr>
        <w:t xml:space="preserve"> </w:t>
      </w:r>
      <w:r w:rsidRPr="00632102">
        <w:rPr>
          <w:rFonts w:hint="eastAsia"/>
          <w:rtl/>
        </w:rPr>
        <w:t>לברך</w:t>
      </w:r>
      <w:r w:rsidRPr="00632102">
        <w:rPr>
          <w:rtl/>
        </w:rPr>
        <w:t xml:space="preserve"> </w:t>
      </w:r>
      <w:r w:rsidRPr="00632102">
        <w:rPr>
          <w:rFonts w:hint="eastAsia"/>
          <w:rtl/>
        </w:rPr>
        <w:t>אלא</w:t>
      </w:r>
      <w:r w:rsidRPr="00632102">
        <w:rPr>
          <w:rtl/>
        </w:rPr>
        <w:t xml:space="preserve"> </w:t>
      </w:r>
      <w:r w:rsidRPr="00632102">
        <w:rPr>
          <w:rFonts w:hint="eastAsia"/>
          <w:rtl/>
        </w:rPr>
        <w:t>דוקא</w:t>
      </w:r>
      <w:r w:rsidRPr="00632102">
        <w:rPr>
          <w:rtl/>
        </w:rPr>
        <w:t xml:space="preserve"> </w:t>
      </w:r>
      <w:r w:rsidRPr="00632102">
        <w:rPr>
          <w:rFonts w:hint="eastAsia"/>
          <w:rtl/>
        </w:rPr>
        <w:t>בניסן</w:t>
      </w:r>
      <w:r w:rsidRPr="00632102">
        <w:rPr>
          <w:rtl/>
        </w:rPr>
        <w:t xml:space="preserve">, </w:t>
      </w:r>
      <w:r w:rsidRPr="00975885">
        <w:rPr>
          <w:rFonts w:hint="eastAsia"/>
          <w:b/>
          <w:bCs/>
          <w:rtl/>
        </w:rPr>
        <w:t>וכן</w:t>
      </w:r>
      <w:r w:rsidRPr="00975885">
        <w:rPr>
          <w:b/>
          <w:bCs/>
          <w:rtl/>
        </w:rPr>
        <w:t xml:space="preserve"> </w:t>
      </w:r>
      <w:r w:rsidRPr="00975885">
        <w:rPr>
          <w:rFonts w:hint="eastAsia"/>
          <w:b/>
          <w:bCs/>
          <w:rtl/>
        </w:rPr>
        <w:t>עמא</w:t>
      </w:r>
      <w:r w:rsidRPr="00975885">
        <w:rPr>
          <w:b/>
          <w:bCs/>
          <w:rtl/>
        </w:rPr>
        <w:t xml:space="preserve"> </w:t>
      </w:r>
      <w:r w:rsidRPr="00975885">
        <w:rPr>
          <w:rFonts w:hint="eastAsia"/>
          <w:b/>
          <w:bCs/>
          <w:rtl/>
        </w:rPr>
        <w:t>דבר</w:t>
      </w:r>
      <w:r w:rsidRPr="00632102">
        <w:rPr>
          <w:rtl/>
        </w:rPr>
        <w:t xml:space="preserve">. </w:t>
      </w:r>
      <w:r w:rsidRPr="00632102">
        <w:rPr>
          <w:rFonts w:hint="eastAsia"/>
          <w:rtl/>
        </w:rPr>
        <w:t>מיהו</w:t>
      </w:r>
      <w:r w:rsidRPr="00632102">
        <w:rPr>
          <w:rtl/>
        </w:rPr>
        <w:t xml:space="preserve"> </w:t>
      </w:r>
      <w:r w:rsidRPr="00632102">
        <w:rPr>
          <w:rFonts w:hint="eastAsia"/>
          <w:rtl/>
        </w:rPr>
        <w:t>מי</w:t>
      </w:r>
      <w:r w:rsidRPr="00632102">
        <w:rPr>
          <w:rtl/>
        </w:rPr>
        <w:t xml:space="preserve"> </w:t>
      </w:r>
      <w:r w:rsidRPr="00632102">
        <w:rPr>
          <w:rFonts w:hint="eastAsia"/>
          <w:rtl/>
        </w:rPr>
        <w:t>שאיחר</w:t>
      </w:r>
      <w:r w:rsidRPr="00632102">
        <w:rPr>
          <w:rtl/>
        </w:rPr>
        <w:t xml:space="preserve"> </w:t>
      </w:r>
      <w:r w:rsidRPr="00632102">
        <w:rPr>
          <w:rFonts w:hint="eastAsia"/>
          <w:rtl/>
        </w:rPr>
        <w:t>ולא</w:t>
      </w:r>
      <w:r w:rsidRPr="00632102">
        <w:rPr>
          <w:rtl/>
        </w:rPr>
        <w:t xml:space="preserve"> </w:t>
      </w:r>
      <w:r w:rsidRPr="00632102">
        <w:rPr>
          <w:rFonts w:hint="eastAsia"/>
          <w:rtl/>
        </w:rPr>
        <w:t>בירך</w:t>
      </w:r>
      <w:r w:rsidRPr="00632102">
        <w:rPr>
          <w:rtl/>
        </w:rPr>
        <w:t xml:space="preserve"> </w:t>
      </w:r>
      <w:r w:rsidRPr="00632102">
        <w:rPr>
          <w:rFonts w:hint="eastAsia"/>
          <w:rtl/>
        </w:rPr>
        <w:t>בניסן</w:t>
      </w:r>
      <w:r w:rsidRPr="00632102">
        <w:rPr>
          <w:rtl/>
        </w:rPr>
        <w:t xml:space="preserve"> </w:t>
      </w:r>
      <w:r w:rsidRPr="00632102">
        <w:rPr>
          <w:rFonts w:hint="eastAsia"/>
          <w:rtl/>
        </w:rPr>
        <w:t>נראה</w:t>
      </w:r>
      <w:r w:rsidRPr="00632102">
        <w:rPr>
          <w:rtl/>
        </w:rPr>
        <w:t xml:space="preserve"> </w:t>
      </w:r>
      <w:r w:rsidRPr="00632102">
        <w:rPr>
          <w:rFonts w:hint="eastAsia"/>
          <w:rtl/>
        </w:rPr>
        <w:t>דיכול</w:t>
      </w:r>
      <w:r w:rsidRPr="00632102">
        <w:rPr>
          <w:rtl/>
        </w:rPr>
        <w:t xml:space="preserve"> </w:t>
      </w:r>
      <w:r w:rsidRPr="00632102">
        <w:rPr>
          <w:rFonts w:hint="eastAsia"/>
          <w:rtl/>
        </w:rPr>
        <w:t>לברך</w:t>
      </w:r>
      <w:r w:rsidRPr="00632102">
        <w:rPr>
          <w:rtl/>
        </w:rPr>
        <w:t xml:space="preserve"> </w:t>
      </w:r>
      <w:r w:rsidRPr="00632102">
        <w:rPr>
          <w:rFonts w:hint="eastAsia"/>
          <w:rtl/>
        </w:rPr>
        <w:t>אחר</w:t>
      </w:r>
      <w:r w:rsidRPr="00632102">
        <w:rPr>
          <w:rtl/>
        </w:rPr>
        <w:t xml:space="preserve"> </w:t>
      </w:r>
      <w:r w:rsidRPr="00632102">
        <w:rPr>
          <w:rFonts w:hint="eastAsia"/>
          <w:rtl/>
        </w:rPr>
        <w:t>כך</w:t>
      </w:r>
      <w:r w:rsidRPr="00632102">
        <w:rPr>
          <w:rtl/>
        </w:rPr>
        <w:t xml:space="preserve"> </w:t>
      </w:r>
      <w:r w:rsidRPr="00632102">
        <w:rPr>
          <w:rFonts w:hint="eastAsia"/>
          <w:rtl/>
        </w:rPr>
        <w:t>בלא</w:t>
      </w:r>
      <w:r w:rsidRPr="00632102">
        <w:rPr>
          <w:rtl/>
        </w:rPr>
        <w:t xml:space="preserve"> </w:t>
      </w:r>
      <w:r w:rsidRPr="00632102">
        <w:rPr>
          <w:rFonts w:hint="eastAsia"/>
          <w:rtl/>
        </w:rPr>
        <w:t>שם</w:t>
      </w:r>
      <w:r w:rsidRPr="00632102">
        <w:rPr>
          <w:rtl/>
        </w:rPr>
        <w:t xml:space="preserve"> </w:t>
      </w:r>
      <w:r w:rsidRPr="00632102">
        <w:rPr>
          <w:rFonts w:hint="eastAsia"/>
          <w:rtl/>
        </w:rPr>
        <w:t>ומלכות</w:t>
      </w:r>
      <w:r w:rsidRPr="00632102">
        <w:rPr>
          <w:rFonts w:hint="cs"/>
          <w:rtl/>
        </w:rPr>
        <w:t>".</w:t>
      </w:r>
    </w:p>
    <w:p w:rsidR="004C1858" w:rsidRPr="00632102" w:rsidRDefault="004C1858" w:rsidP="004B0C42">
      <w:pPr>
        <w:pStyle w:val="a3"/>
        <w:rPr>
          <w:rtl/>
        </w:rPr>
      </w:pPr>
      <w:r w:rsidRPr="00632102">
        <w:rPr>
          <w:rFonts w:hint="eastAsia"/>
          <w:rtl/>
        </w:rPr>
        <w:t>וכ</w:t>
      </w:r>
      <w:r w:rsidRPr="00632102">
        <w:rPr>
          <w:rFonts w:hint="cs"/>
          <w:rtl/>
        </w:rPr>
        <w:t xml:space="preserve">בר מצינו כן </w:t>
      </w:r>
      <w:r w:rsidRPr="00632102">
        <w:rPr>
          <w:rFonts w:hint="eastAsia"/>
          <w:rtl/>
        </w:rPr>
        <w:t>באשל</w:t>
      </w:r>
      <w:r w:rsidRPr="00632102">
        <w:rPr>
          <w:rtl/>
        </w:rPr>
        <w:t xml:space="preserve"> </w:t>
      </w:r>
      <w:r w:rsidRPr="00632102">
        <w:rPr>
          <w:rFonts w:hint="eastAsia"/>
          <w:rtl/>
        </w:rPr>
        <w:t>אברהם</w:t>
      </w:r>
      <w:r w:rsidRPr="00632102">
        <w:rPr>
          <w:rtl/>
        </w:rPr>
        <w:t xml:space="preserve"> </w:t>
      </w:r>
      <w:r w:rsidRPr="00632102">
        <w:rPr>
          <w:rFonts w:hint="cs"/>
          <w:rtl/>
        </w:rPr>
        <w:t>להגה"ק מ</w:t>
      </w:r>
      <w:r w:rsidRPr="00632102">
        <w:rPr>
          <w:rFonts w:hint="eastAsia"/>
          <w:rtl/>
        </w:rPr>
        <w:t>בוטשאטש</w:t>
      </w:r>
      <w:r w:rsidRPr="00632102">
        <w:rPr>
          <w:rtl/>
        </w:rPr>
        <w:t xml:space="preserve"> </w:t>
      </w:r>
      <w:r w:rsidRPr="00632102">
        <w:rPr>
          <w:rFonts w:hint="cs"/>
          <w:rtl/>
        </w:rPr>
        <w:t>(</w:t>
      </w:r>
      <w:r w:rsidRPr="00632102">
        <w:rPr>
          <w:rFonts w:hint="eastAsia"/>
          <w:rtl/>
        </w:rPr>
        <w:t>תנינא</w:t>
      </w:r>
      <w:r w:rsidRPr="00632102">
        <w:rPr>
          <w:rtl/>
        </w:rPr>
        <w:t xml:space="preserve"> </w:t>
      </w:r>
      <w:r w:rsidRPr="00632102">
        <w:rPr>
          <w:rFonts w:hint="eastAsia"/>
          <w:rtl/>
        </w:rPr>
        <w:t>סי</w:t>
      </w:r>
      <w:r w:rsidRPr="00632102">
        <w:rPr>
          <w:rtl/>
        </w:rPr>
        <w:t xml:space="preserve">' </w:t>
      </w:r>
      <w:r w:rsidRPr="00632102">
        <w:rPr>
          <w:rFonts w:hint="eastAsia"/>
          <w:rtl/>
        </w:rPr>
        <w:t>רכו</w:t>
      </w:r>
      <w:r w:rsidRPr="00632102">
        <w:rPr>
          <w:rFonts w:hint="cs"/>
          <w:rtl/>
        </w:rPr>
        <w:t>) שנהג כן למעשה</w:t>
      </w:r>
      <w:r w:rsidRPr="00632102">
        <w:rPr>
          <w:rtl/>
        </w:rPr>
        <w:t xml:space="preserve"> </w:t>
      </w:r>
      <w:r w:rsidRPr="00632102">
        <w:rPr>
          <w:rFonts w:hint="cs"/>
          <w:rtl/>
        </w:rPr>
        <w:t>"</w:t>
      </w:r>
      <w:r w:rsidRPr="00632102">
        <w:rPr>
          <w:rFonts w:hint="eastAsia"/>
          <w:rtl/>
        </w:rPr>
        <w:t>כמדומה</w:t>
      </w:r>
      <w:r w:rsidRPr="00632102">
        <w:rPr>
          <w:rtl/>
        </w:rPr>
        <w:t xml:space="preserve"> </w:t>
      </w:r>
      <w:r w:rsidRPr="00632102">
        <w:rPr>
          <w:rFonts w:hint="eastAsia"/>
          <w:rtl/>
        </w:rPr>
        <w:t>לי</w:t>
      </w:r>
      <w:r w:rsidRPr="00632102">
        <w:rPr>
          <w:rtl/>
        </w:rPr>
        <w:t xml:space="preserve"> </w:t>
      </w:r>
      <w:r w:rsidRPr="00632102">
        <w:rPr>
          <w:rFonts w:hint="eastAsia"/>
          <w:rtl/>
        </w:rPr>
        <w:t>שבשנה</w:t>
      </w:r>
      <w:r w:rsidRPr="00632102">
        <w:rPr>
          <w:rtl/>
        </w:rPr>
        <w:t xml:space="preserve"> </w:t>
      </w:r>
      <w:r w:rsidRPr="00632102">
        <w:rPr>
          <w:rFonts w:hint="eastAsia"/>
          <w:rtl/>
        </w:rPr>
        <w:t>זו</w:t>
      </w:r>
      <w:r w:rsidRPr="00632102">
        <w:rPr>
          <w:rtl/>
        </w:rPr>
        <w:t xml:space="preserve"> </w:t>
      </w:r>
      <w:r w:rsidRPr="00632102">
        <w:rPr>
          <w:rFonts w:hint="eastAsia"/>
          <w:rtl/>
        </w:rPr>
        <w:t>ברכתי</w:t>
      </w:r>
      <w:r w:rsidRPr="00632102">
        <w:rPr>
          <w:rtl/>
        </w:rPr>
        <w:t xml:space="preserve"> </w:t>
      </w:r>
      <w:r w:rsidRPr="00632102">
        <w:rPr>
          <w:rFonts w:hint="eastAsia"/>
          <w:rtl/>
        </w:rPr>
        <w:t>על</w:t>
      </w:r>
      <w:r w:rsidRPr="00632102">
        <w:rPr>
          <w:rtl/>
        </w:rPr>
        <w:t xml:space="preserve"> </w:t>
      </w:r>
      <w:r w:rsidRPr="00632102">
        <w:rPr>
          <w:rFonts w:hint="eastAsia"/>
          <w:rtl/>
        </w:rPr>
        <w:t>האילנות</w:t>
      </w:r>
      <w:r w:rsidRPr="00632102">
        <w:rPr>
          <w:rtl/>
        </w:rPr>
        <w:t xml:space="preserve"> </w:t>
      </w:r>
      <w:r w:rsidRPr="00632102">
        <w:rPr>
          <w:rFonts w:hint="eastAsia"/>
          <w:rtl/>
        </w:rPr>
        <w:t>בנוסח</w:t>
      </w:r>
      <w:r w:rsidRPr="00632102">
        <w:rPr>
          <w:rtl/>
        </w:rPr>
        <w:t xml:space="preserve"> </w:t>
      </w:r>
      <w:r w:rsidRPr="00632102">
        <w:rPr>
          <w:rFonts w:hint="eastAsia"/>
          <w:rtl/>
        </w:rPr>
        <w:t>רחמנא</w:t>
      </w:r>
      <w:r w:rsidRPr="00632102">
        <w:rPr>
          <w:rFonts w:hint="cs"/>
          <w:rtl/>
        </w:rPr>
        <w:t>,</w:t>
      </w:r>
      <w:r w:rsidRPr="00632102">
        <w:rPr>
          <w:rtl/>
        </w:rPr>
        <w:t xml:space="preserve"> </w:t>
      </w:r>
      <w:r w:rsidRPr="00632102">
        <w:rPr>
          <w:rFonts w:hint="eastAsia"/>
          <w:rtl/>
        </w:rPr>
        <w:t>מצד</w:t>
      </w:r>
      <w:r w:rsidRPr="00632102">
        <w:rPr>
          <w:rtl/>
        </w:rPr>
        <w:t xml:space="preserve"> </w:t>
      </w:r>
      <w:r w:rsidRPr="00632102">
        <w:rPr>
          <w:rFonts w:hint="eastAsia"/>
          <w:rtl/>
        </w:rPr>
        <w:t>שהי</w:t>
      </w:r>
      <w:r w:rsidRPr="00632102">
        <w:rPr>
          <w:rtl/>
        </w:rPr>
        <w:t xml:space="preserve">' </w:t>
      </w:r>
      <w:r w:rsidRPr="00632102">
        <w:rPr>
          <w:rFonts w:hint="eastAsia"/>
          <w:rtl/>
        </w:rPr>
        <w:t>אחר</w:t>
      </w:r>
      <w:r w:rsidRPr="00632102">
        <w:rPr>
          <w:rtl/>
        </w:rPr>
        <w:t xml:space="preserve"> </w:t>
      </w:r>
      <w:r w:rsidRPr="00632102">
        <w:rPr>
          <w:rFonts w:hint="eastAsia"/>
          <w:rtl/>
        </w:rPr>
        <w:t>ניסן</w:t>
      </w:r>
      <w:r w:rsidRPr="00632102">
        <w:rPr>
          <w:rtl/>
        </w:rPr>
        <w:t xml:space="preserve"> </w:t>
      </w:r>
      <w:r w:rsidRPr="00632102">
        <w:rPr>
          <w:rFonts w:hint="eastAsia"/>
          <w:rtl/>
        </w:rPr>
        <w:t>והייתי</w:t>
      </w:r>
      <w:r w:rsidRPr="00632102">
        <w:rPr>
          <w:rtl/>
        </w:rPr>
        <w:t xml:space="preserve"> </w:t>
      </w:r>
      <w:r w:rsidRPr="00632102">
        <w:rPr>
          <w:rFonts w:hint="eastAsia"/>
          <w:rtl/>
        </w:rPr>
        <w:t>מסופק</w:t>
      </w:r>
      <w:r w:rsidRPr="00632102">
        <w:rPr>
          <w:rFonts w:hint="cs"/>
          <w:rtl/>
        </w:rPr>
        <w:t>...".</w:t>
      </w:r>
    </w:p>
    <w:p w:rsidR="004C1858" w:rsidRPr="00632102" w:rsidRDefault="004C1858" w:rsidP="004B0C42">
      <w:pPr>
        <w:pStyle w:val="a3"/>
        <w:rPr>
          <w:rtl/>
        </w:rPr>
      </w:pPr>
      <w:r w:rsidRPr="00632102">
        <w:rPr>
          <w:rFonts w:hint="cs"/>
          <w:rtl/>
        </w:rPr>
        <w:t xml:space="preserve">ובפרט די"ל בדעת הריטב"א שכתב </w:t>
      </w:r>
      <w:r>
        <w:rPr>
          <w:rFonts w:hint="cs"/>
          <w:rtl/>
        </w:rPr>
        <w:t>"</w:t>
      </w:r>
      <w:r w:rsidRPr="00632102">
        <w:rPr>
          <w:rFonts w:hint="cs"/>
          <w:rtl/>
        </w:rPr>
        <w:t>ויומי ניסן לאו דוקא, אלא כל מקום ומקום לפי מה דמלבלבי</w:t>
      </w:r>
      <w:r>
        <w:rPr>
          <w:rFonts w:hint="cs"/>
          <w:rtl/>
        </w:rPr>
        <w:t>"</w:t>
      </w:r>
      <w:r w:rsidRPr="00632102">
        <w:rPr>
          <w:rFonts w:hint="cs"/>
          <w:rtl/>
        </w:rPr>
        <w:t>, כוונתו לומר דאם במקום מסוים טבע האילנות ללבלב בחודש אייר או תשרי כגון בארצות הדרומית, אז ניסן לאו דוקא ואפשר לברך גם כשמלבלב לפי קביעת זמן הלבלב באותו מקום. אבל באופן שהאילנות לבלבו בחודש ניסן, רק שלא הספקנו לברך עליו מאיזה טעם שיהיה כגון בנדוננו שהיה אסור לצאת החוצה, בזה גם הריטב"א יודה שאין לברך לאחר ניסן. וכעי"ז ראיתי אח"כ ב</w:t>
      </w:r>
      <w:r w:rsidRPr="00632102">
        <w:rPr>
          <w:rFonts w:hint="eastAsia"/>
          <w:rtl/>
        </w:rPr>
        <w:t>שו</w:t>
      </w:r>
      <w:r w:rsidRPr="00632102">
        <w:rPr>
          <w:rtl/>
        </w:rPr>
        <w:t>"</w:t>
      </w:r>
      <w:r w:rsidRPr="00632102">
        <w:rPr>
          <w:rFonts w:hint="eastAsia"/>
          <w:rtl/>
        </w:rPr>
        <w:t>ת</w:t>
      </w:r>
      <w:r w:rsidRPr="00632102">
        <w:rPr>
          <w:rtl/>
        </w:rPr>
        <w:t xml:space="preserve"> </w:t>
      </w:r>
      <w:r w:rsidRPr="00632102">
        <w:rPr>
          <w:rFonts w:hint="eastAsia"/>
          <w:rtl/>
        </w:rPr>
        <w:t>הר</w:t>
      </w:r>
      <w:r w:rsidRPr="00632102">
        <w:rPr>
          <w:rtl/>
        </w:rPr>
        <w:t xml:space="preserve"> </w:t>
      </w:r>
      <w:r w:rsidRPr="00632102">
        <w:rPr>
          <w:rFonts w:hint="eastAsia"/>
          <w:rtl/>
        </w:rPr>
        <w:t>צבי</w:t>
      </w:r>
      <w:r w:rsidRPr="00632102">
        <w:rPr>
          <w:rtl/>
        </w:rPr>
        <w:t xml:space="preserve"> </w:t>
      </w:r>
      <w:r w:rsidRPr="00632102">
        <w:rPr>
          <w:rFonts w:hint="cs"/>
          <w:rtl/>
        </w:rPr>
        <w:t>(</w:t>
      </w:r>
      <w:r w:rsidRPr="00632102">
        <w:rPr>
          <w:rFonts w:hint="eastAsia"/>
          <w:rtl/>
        </w:rPr>
        <w:t>או</w:t>
      </w:r>
      <w:r w:rsidRPr="00632102">
        <w:rPr>
          <w:rFonts w:hint="cs"/>
          <w:rtl/>
        </w:rPr>
        <w:t>"</w:t>
      </w:r>
      <w:r w:rsidRPr="00632102">
        <w:rPr>
          <w:rFonts w:hint="eastAsia"/>
          <w:rtl/>
        </w:rPr>
        <w:t>ח</w:t>
      </w:r>
      <w:r w:rsidRPr="00632102">
        <w:rPr>
          <w:rtl/>
        </w:rPr>
        <w:t xml:space="preserve"> </w:t>
      </w:r>
      <w:r w:rsidRPr="00632102">
        <w:rPr>
          <w:rFonts w:hint="eastAsia"/>
          <w:rtl/>
        </w:rPr>
        <w:t>סי</w:t>
      </w:r>
      <w:r w:rsidRPr="00632102">
        <w:rPr>
          <w:rFonts w:hint="cs"/>
          <w:rtl/>
        </w:rPr>
        <w:t>'</w:t>
      </w:r>
      <w:r w:rsidRPr="00632102">
        <w:rPr>
          <w:rtl/>
        </w:rPr>
        <w:t xml:space="preserve"> </w:t>
      </w:r>
      <w:r w:rsidRPr="00632102">
        <w:rPr>
          <w:rFonts w:hint="eastAsia"/>
          <w:rtl/>
        </w:rPr>
        <w:t>קיח</w:t>
      </w:r>
      <w:r w:rsidRPr="00632102">
        <w:rPr>
          <w:rFonts w:hint="cs"/>
          <w:rtl/>
        </w:rPr>
        <w:t>) "</w:t>
      </w:r>
      <w:r w:rsidRPr="00632102">
        <w:rPr>
          <w:rFonts w:hint="eastAsia"/>
          <w:rtl/>
        </w:rPr>
        <w:t>אמנם</w:t>
      </w:r>
      <w:r w:rsidRPr="00632102">
        <w:rPr>
          <w:rtl/>
        </w:rPr>
        <w:t xml:space="preserve"> </w:t>
      </w:r>
      <w:r w:rsidRPr="00632102">
        <w:rPr>
          <w:rFonts w:hint="eastAsia"/>
          <w:rtl/>
        </w:rPr>
        <w:t>כשנדקדק</w:t>
      </w:r>
      <w:r w:rsidRPr="00632102">
        <w:rPr>
          <w:rtl/>
        </w:rPr>
        <w:t xml:space="preserve"> </w:t>
      </w:r>
      <w:r w:rsidRPr="00632102">
        <w:rPr>
          <w:rFonts w:hint="eastAsia"/>
          <w:rtl/>
        </w:rPr>
        <w:t>בדברי</w:t>
      </w:r>
      <w:r w:rsidRPr="00632102">
        <w:rPr>
          <w:rtl/>
        </w:rPr>
        <w:t xml:space="preserve"> </w:t>
      </w:r>
      <w:r w:rsidRPr="00632102">
        <w:rPr>
          <w:rFonts w:hint="eastAsia"/>
          <w:rtl/>
        </w:rPr>
        <w:t>הריטב</w:t>
      </w:r>
      <w:r w:rsidRPr="00632102">
        <w:rPr>
          <w:rtl/>
        </w:rPr>
        <w:t>"</w:t>
      </w:r>
      <w:r w:rsidRPr="00632102">
        <w:rPr>
          <w:rFonts w:hint="eastAsia"/>
          <w:rtl/>
        </w:rPr>
        <w:t>א</w:t>
      </w:r>
      <w:r w:rsidRPr="00632102">
        <w:rPr>
          <w:rtl/>
        </w:rPr>
        <w:t xml:space="preserve"> </w:t>
      </w:r>
      <w:r w:rsidRPr="00632102">
        <w:rPr>
          <w:rFonts w:hint="eastAsia"/>
          <w:rtl/>
        </w:rPr>
        <w:t>שכתב</w:t>
      </w:r>
      <w:r w:rsidRPr="00632102">
        <w:rPr>
          <w:rtl/>
        </w:rPr>
        <w:t xml:space="preserve">: </w:t>
      </w:r>
      <w:r w:rsidRPr="00632102">
        <w:rPr>
          <w:rFonts w:hint="eastAsia"/>
          <w:rtl/>
        </w:rPr>
        <w:t>אלא</w:t>
      </w:r>
      <w:r w:rsidRPr="00632102">
        <w:rPr>
          <w:rtl/>
        </w:rPr>
        <w:t xml:space="preserve"> </w:t>
      </w:r>
      <w:r w:rsidRPr="00632102">
        <w:rPr>
          <w:rFonts w:hint="eastAsia"/>
          <w:rtl/>
        </w:rPr>
        <w:t>כל</w:t>
      </w:r>
      <w:r w:rsidRPr="00632102">
        <w:rPr>
          <w:rtl/>
        </w:rPr>
        <w:t xml:space="preserve"> </w:t>
      </w:r>
      <w:r w:rsidRPr="00632102">
        <w:rPr>
          <w:rFonts w:hint="eastAsia"/>
          <w:rtl/>
        </w:rPr>
        <w:t>מקום</w:t>
      </w:r>
      <w:r w:rsidRPr="00632102">
        <w:rPr>
          <w:rtl/>
        </w:rPr>
        <w:t xml:space="preserve"> </w:t>
      </w:r>
      <w:r w:rsidRPr="00632102">
        <w:rPr>
          <w:rFonts w:hint="eastAsia"/>
          <w:rtl/>
        </w:rPr>
        <w:t>ומקום</w:t>
      </w:r>
      <w:r w:rsidRPr="00632102">
        <w:rPr>
          <w:rtl/>
        </w:rPr>
        <w:t xml:space="preserve"> </w:t>
      </w:r>
      <w:r w:rsidRPr="00632102">
        <w:rPr>
          <w:rFonts w:hint="eastAsia"/>
          <w:rtl/>
        </w:rPr>
        <w:t>לפי</w:t>
      </w:r>
      <w:r w:rsidRPr="00632102">
        <w:rPr>
          <w:rtl/>
        </w:rPr>
        <w:t xml:space="preserve"> </w:t>
      </w:r>
      <w:r w:rsidRPr="00632102">
        <w:rPr>
          <w:rFonts w:hint="eastAsia"/>
          <w:rtl/>
        </w:rPr>
        <w:t>מה</w:t>
      </w:r>
      <w:r w:rsidRPr="00632102">
        <w:rPr>
          <w:rtl/>
        </w:rPr>
        <w:t xml:space="preserve"> </w:t>
      </w:r>
      <w:r w:rsidRPr="00632102">
        <w:rPr>
          <w:rFonts w:hint="eastAsia"/>
          <w:rtl/>
        </w:rPr>
        <w:t>שהוא</w:t>
      </w:r>
      <w:r w:rsidRPr="00632102">
        <w:rPr>
          <w:rtl/>
        </w:rPr>
        <w:t xml:space="preserve"> </w:t>
      </w:r>
      <w:r w:rsidRPr="00632102">
        <w:rPr>
          <w:rFonts w:hint="eastAsia"/>
          <w:rtl/>
        </w:rPr>
        <w:t>דמלבלב</w:t>
      </w:r>
      <w:r w:rsidRPr="00632102">
        <w:rPr>
          <w:rtl/>
        </w:rPr>
        <w:t xml:space="preserve">, </w:t>
      </w:r>
      <w:r w:rsidRPr="00632102">
        <w:rPr>
          <w:rFonts w:hint="eastAsia"/>
          <w:rtl/>
        </w:rPr>
        <w:t>ולא</w:t>
      </w:r>
      <w:r w:rsidRPr="00632102">
        <w:rPr>
          <w:rtl/>
        </w:rPr>
        <w:t xml:space="preserve"> </w:t>
      </w:r>
      <w:r w:rsidRPr="00632102">
        <w:rPr>
          <w:rFonts w:hint="eastAsia"/>
          <w:rtl/>
        </w:rPr>
        <w:t>כתב</w:t>
      </w:r>
      <w:r w:rsidRPr="00632102">
        <w:rPr>
          <w:rtl/>
        </w:rPr>
        <w:t xml:space="preserve"> </w:t>
      </w:r>
      <w:r w:rsidRPr="00632102">
        <w:rPr>
          <w:rFonts w:hint="eastAsia"/>
          <w:rtl/>
        </w:rPr>
        <w:t>בקצרה</w:t>
      </w:r>
      <w:r w:rsidRPr="00632102">
        <w:rPr>
          <w:rtl/>
        </w:rPr>
        <w:t xml:space="preserve"> </w:t>
      </w:r>
      <w:r w:rsidRPr="00632102">
        <w:rPr>
          <w:rFonts w:hint="eastAsia"/>
          <w:rtl/>
        </w:rPr>
        <w:t>דכל</w:t>
      </w:r>
      <w:r w:rsidRPr="00632102">
        <w:rPr>
          <w:rtl/>
        </w:rPr>
        <w:t xml:space="preserve"> </w:t>
      </w:r>
      <w:r w:rsidRPr="00632102">
        <w:rPr>
          <w:rFonts w:hint="eastAsia"/>
          <w:rtl/>
        </w:rPr>
        <w:t>אימת</w:t>
      </w:r>
      <w:r w:rsidRPr="00632102">
        <w:rPr>
          <w:rtl/>
        </w:rPr>
        <w:t xml:space="preserve"> </w:t>
      </w:r>
      <w:r w:rsidRPr="00632102">
        <w:rPr>
          <w:rFonts w:hint="eastAsia"/>
          <w:rtl/>
        </w:rPr>
        <w:t>דחזי</w:t>
      </w:r>
      <w:r w:rsidRPr="00632102">
        <w:rPr>
          <w:rtl/>
        </w:rPr>
        <w:t xml:space="preserve"> </w:t>
      </w:r>
      <w:r w:rsidRPr="00632102">
        <w:rPr>
          <w:rFonts w:hint="eastAsia"/>
          <w:rtl/>
        </w:rPr>
        <w:t>מברך</w:t>
      </w:r>
      <w:r w:rsidRPr="00632102">
        <w:rPr>
          <w:rtl/>
        </w:rPr>
        <w:t xml:space="preserve">, </w:t>
      </w:r>
      <w:r w:rsidRPr="00632102">
        <w:rPr>
          <w:rFonts w:hint="eastAsia"/>
          <w:rtl/>
        </w:rPr>
        <w:t>נראה</w:t>
      </w:r>
      <w:r w:rsidRPr="00632102">
        <w:rPr>
          <w:rtl/>
        </w:rPr>
        <w:t xml:space="preserve"> </w:t>
      </w:r>
      <w:r w:rsidRPr="00632102">
        <w:rPr>
          <w:rFonts w:hint="eastAsia"/>
          <w:rtl/>
        </w:rPr>
        <w:t>שגם</w:t>
      </w:r>
      <w:r w:rsidRPr="00632102">
        <w:rPr>
          <w:rtl/>
        </w:rPr>
        <w:t xml:space="preserve"> </w:t>
      </w:r>
      <w:r w:rsidRPr="00632102">
        <w:rPr>
          <w:rFonts w:hint="eastAsia"/>
          <w:rtl/>
        </w:rPr>
        <w:t>לדבריו</w:t>
      </w:r>
      <w:r w:rsidRPr="00632102">
        <w:rPr>
          <w:rtl/>
        </w:rPr>
        <w:t xml:space="preserve"> </w:t>
      </w:r>
      <w:r w:rsidRPr="00632102">
        <w:rPr>
          <w:rFonts w:hint="eastAsia"/>
          <w:rtl/>
        </w:rPr>
        <w:t>אינו</w:t>
      </w:r>
      <w:r w:rsidRPr="00632102">
        <w:rPr>
          <w:rtl/>
        </w:rPr>
        <w:t xml:space="preserve"> </w:t>
      </w:r>
      <w:r w:rsidRPr="00632102">
        <w:rPr>
          <w:rFonts w:hint="eastAsia"/>
          <w:rtl/>
        </w:rPr>
        <w:t>מברך</w:t>
      </w:r>
      <w:r w:rsidRPr="00632102">
        <w:rPr>
          <w:rtl/>
        </w:rPr>
        <w:t xml:space="preserve"> </w:t>
      </w:r>
      <w:r w:rsidRPr="00632102">
        <w:rPr>
          <w:rFonts w:hint="eastAsia"/>
          <w:rtl/>
        </w:rPr>
        <w:t>כל</w:t>
      </w:r>
      <w:r w:rsidRPr="00632102">
        <w:rPr>
          <w:rtl/>
        </w:rPr>
        <w:t xml:space="preserve"> </w:t>
      </w:r>
      <w:r w:rsidRPr="00632102">
        <w:rPr>
          <w:rFonts w:hint="eastAsia"/>
          <w:rtl/>
        </w:rPr>
        <w:t>זמן</w:t>
      </w:r>
      <w:r w:rsidRPr="00632102">
        <w:rPr>
          <w:rtl/>
        </w:rPr>
        <w:t xml:space="preserve"> </w:t>
      </w:r>
      <w:r w:rsidRPr="00632102">
        <w:rPr>
          <w:rFonts w:hint="eastAsia"/>
          <w:rtl/>
        </w:rPr>
        <w:t>שהוא</w:t>
      </w:r>
      <w:r w:rsidRPr="00632102">
        <w:rPr>
          <w:rtl/>
        </w:rPr>
        <w:t xml:space="preserve"> </w:t>
      </w:r>
      <w:r w:rsidRPr="00632102">
        <w:rPr>
          <w:rFonts w:hint="eastAsia"/>
          <w:rtl/>
        </w:rPr>
        <w:t>רואה</w:t>
      </w:r>
      <w:r w:rsidRPr="00632102">
        <w:rPr>
          <w:rtl/>
        </w:rPr>
        <w:t xml:space="preserve"> </w:t>
      </w:r>
      <w:r w:rsidRPr="00632102">
        <w:rPr>
          <w:rFonts w:hint="eastAsia"/>
          <w:rtl/>
        </w:rPr>
        <w:t>אלא</w:t>
      </w:r>
      <w:r w:rsidRPr="00632102">
        <w:rPr>
          <w:rtl/>
        </w:rPr>
        <w:t xml:space="preserve"> </w:t>
      </w:r>
      <w:r w:rsidRPr="00632102">
        <w:rPr>
          <w:rFonts w:hint="eastAsia"/>
          <w:rtl/>
        </w:rPr>
        <w:t>בכל</w:t>
      </w:r>
      <w:r w:rsidRPr="00632102">
        <w:rPr>
          <w:rtl/>
        </w:rPr>
        <w:t xml:space="preserve"> </w:t>
      </w:r>
      <w:r w:rsidRPr="00632102">
        <w:rPr>
          <w:rFonts w:hint="eastAsia"/>
          <w:rtl/>
        </w:rPr>
        <w:t>מקום</w:t>
      </w:r>
      <w:r w:rsidRPr="00632102">
        <w:rPr>
          <w:rtl/>
        </w:rPr>
        <w:t xml:space="preserve"> </w:t>
      </w:r>
      <w:r w:rsidRPr="00632102">
        <w:rPr>
          <w:rFonts w:hint="eastAsia"/>
          <w:rtl/>
        </w:rPr>
        <w:t>ומקום</w:t>
      </w:r>
      <w:r w:rsidRPr="00632102">
        <w:rPr>
          <w:rtl/>
        </w:rPr>
        <w:t xml:space="preserve"> </w:t>
      </w:r>
      <w:r w:rsidRPr="00632102">
        <w:rPr>
          <w:rFonts w:hint="eastAsia"/>
          <w:rtl/>
        </w:rPr>
        <w:t>בעינן</w:t>
      </w:r>
      <w:r w:rsidRPr="00632102">
        <w:rPr>
          <w:rtl/>
        </w:rPr>
        <w:t xml:space="preserve"> </w:t>
      </w:r>
      <w:r w:rsidRPr="00632102">
        <w:rPr>
          <w:rFonts w:hint="eastAsia"/>
          <w:rtl/>
        </w:rPr>
        <w:t>שיהא</w:t>
      </w:r>
      <w:r w:rsidRPr="00632102">
        <w:rPr>
          <w:rtl/>
        </w:rPr>
        <w:t xml:space="preserve"> </w:t>
      </w:r>
      <w:r w:rsidRPr="00632102">
        <w:rPr>
          <w:rFonts w:hint="eastAsia"/>
          <w:rtl/>
        </w:rPr>
        <w:t>זמן</w:t>
      </w:r>
      <w:r w:rsidRPr="00632102">
        <w:rPr>
          <w:rtl/>
        </w:rPr>
        <w:t xml:space="preserve"> </w:t>
      </w:r>
      <w:r w:rsidRPr="00632102">
        <w:rPr>
          <w:rFonts w:hint="eastAsia"/>
          <w:rtl/>
        </w:rPr>
        <w:t>הקבוע</w:t>
      </w:r>
      <w:r w:rsidRPr="00632102">
        <w:rPr>
          <w:rtl/>
        </w:rPr>
        <w:t xml:space="preserve"> </w:t>
      </w:r>
      <w:r w:rsidRPr="00632102">
        <w:rPr>
          <w:rFonts w:hint="eastAsia"/>
          <w:rtl/>
        </w:rPr>
        <w:t>ללבלב</w:t>
      </w:r>
      <w:r w:rsidRPr="00632102">
        <w:rPr>
          <w:rtl/>
        </w:rPr>
        <w:t xml:space="preserve"> </w:t>
      </w:r>
      <w:r w:rsidRPr="00632102">
        <w:rPr>
          <w:rFonts w:hint="eastAsia"/>
          <w:rtl/>
        </w:rPr>
        <w:t>שם</w:t>
      </w:r>
      <w:r w:rsidRPr="00632102">
        <w:rPr>
          <w:rFonts w:hint="cs"/>
          <w:rtl/>
        </w:rPr>
        <w:t>"</w:t>
      </w:r>
      <w:r w:rsidRPr="00632102">
        <w:rPr>
          <w:rtl/>
        </w:rPr>
        <w:t>.</w:t>
      </w:r>
      <w:r w:rsidRPr="00632102">
        <w:rPr>
          <w:rFonts w:hint="cs"/>
          <w:rtl/>
        </w:rPr>
        <w:t xml:space="preserve"> עכ"פ מדי ספיקא לא נפקי וספק ברכות להקל וא</w:t>
      </w:r>
      <w:r>
        <w:rPr>
          <w:rFonts w:hint="cs"/>
          <w:rtl/>
        </w:rPr>
        <w:t>ין</w:t>
      </w:r>
      <w:r w:rsidRPr="00632102">
        <w:rPr>
          <w:rFonts w:hint="cs"/>
          <w:rtl/>
        </w:rPr>
        <w:t xml:space="preserve"> לברך </w:t>
      </w:r>
      <w:r>
        <w:rPr>
          <w:rFonts w:hint="cs"/>
          <w:rtl/>
        </w:rPr>
        <w:t>בספק פלוגתת הפוסקים</w:t>
      </w:r>
      <w:r w:rsidRPr="00632102">
        <w:rPr>
          <w:rFonts w:hint="cs"/>
          <w:rtl/>
        </w:rPr>
        <w:t>.</w:t>
      </w:r>
    </w:p>
    <w:p w:rsidR="004C1858" w:rsidRPr="00632102" w:rsidRDefault="004C1858" w:rsidP="004B0C42">
      <w:pPr>
        <w:pStyle w:val="11"/>
        <w:bidi/>
        <w:rPr>
          <w:rtl/>
        </w:rPr>
      </w:pPr>
      <w:r w:rsidRPr="00632102">
        <w:rPr>
          <w:rFonts w:hint="cs"/>
          <w:rtl/>
        </w:rPr>
        <w:t>אם צריך לצאת מחוץ לעיר דוקא</w:t>
      </w:r>
    </w:p>
    <w:p w:rsidR="004C1858" w:rsidRPr="00632102" w:rsidRDefault="004C1858" w:rsidP="004B0C42">
      <w:pPr>
        <w:pStyle w:val="a3"/>
        <w:rPr>
          <w:rtl/>
        </w:rPr>
      </w:pPr>
      <w:r w:rsidRPr="00632102">
        <w:rPr>
          <w:rFonts w:hint="cs"/>
          <w:rtl/>
        </w:rPr>
        <w:t>ועכשיו נבוא לדין השני שכתב מע"כ לדייק מלשון הגמ' "האי מאן דנפיק ביומי ניסן", והיינו "שיוצא מביתו - לשדות ולכרמים", לאפוקי הרואה אותם בתוך ביתו, או מחלון ביתו וחצירו אפילו אילנות שבעציץ נקוב אינו מברך, עכ"ד.</w:t>
      </w:r>
    </w:p>
    <w:p w:rsidR="004C1858" w:rsidRPr="00632102" w:rsidRDefault="004C1858" w:rsidP="004B0C42">
      <w:pPr>
        <w:pStyle w:val="a3"/>
        <w:rPr>
          <w:rtl/>
        </w:rPr>
      </w:pPr>
      <w:r w:rsidRPr="00632102">
        <w:rPr>
          <w:rFonts w:hint="cs"/>
          <w:rtl/>
        </w:rPr>
        <w:lastRenderedPageBreak/>
        <w:t xml:space="preserve">והנה אכן ראיתי שגם בשו"ת לב חיים (ל"ב סי' מה) כתב לדייק מלשון הגמ' שצריך לצאת בכדי לברך. </w:t>
      </w:r>
    </w:p>
    <w:p w:rsidR="004C1858" w:rsidRPr="00632102" w:rsidRDefault="004C1858" w:rsidP="004B0C42">
      <w:pPr>
        <w:pStyle w:val="a3"/>
        <w:rPr>
          <w:rtl/>
        </w:rPr>
      </w:pPr>
      <w:r w:rsidRPr="00632102">
        <w:rPr>
          <w:rFonts w:hint="cs"/>
          <w:rtl/>
        </w:rPr>
        <w:t xml:space="preserve">אבל לעומת זה הרבה ראשונים לא כתבו כלל לשון "יוצא", אלא </w:t>
      </w:r>
      <w:r w:rsidRPr="00632102">
        <w:rPr>
          <w:rFonts w:hint="cs"/>
          <w:b/>
          <w:bCs/>
          <w:rtl/>
        </w:rPr>
        <w:t>"הרואה אילנות</w:t>
      </w:r>
      <w:r w:rsidRPr="00632102">
        <w:rPr>
          <w:rFonts w:hint="cs"/>
          <w:rtl/>
        </w:rPr>
        <w:t>". ב</w:t>
      </w:r>
      <w:r w:rsidRPr="00632102">
        <w:rPr>
          <w:rFonts w:hint="eastAsia"/>
          <w:rtl/>
        </w:rPr>
        <w:t>מחזור</w:t>
      </w:r>
      <w:r w:rsidRPr="00632102">
        <w:rPr>
          <w:rtl/>
        </w:rPr>
        <w:t xml:space="preserve"> </w:t>
      </w:r>
      <w:r w:rsidRPr="00632102">
        <w:rPr>
          <w:rFonts w:hint="eastAsia"/>
          <w:rtl/>
        </w:rPr>
        <w:t>ויטרי</w:t>
      </w:r>
      <w:r w:rsidRPr="00632102">
        <w:rPr>
          <w:rtl/>
        </w:rPr>
        <w:t xml:space="preserve"> </w:t>
      </w:r>
      <w:r w:rsidRPr="00632102">
        <w:rPr>
          <w:rFonts w:hint="cs"/>
          <w:rtl/>
        </w:rPr>
        <w:t>(</w:t>
      </w:r>
      <w:r w:rsidRPr="00632102">
        <w:rPr>
          <w:rFonts w:hint="eastAsia"/>
          <w:rtl/>
        </w:rPr>
        <w:t>סי</w:t>
      </w:r>
      <w:r w:rsidRPr="00632102">
        <w:rPr>
          <w:rFonts w:hint="cs"/>
          <w:rtl/>
        </w:rPr>
        <w:t>'</w:t>
      </w:r>
      <w:r w:rsidRPr="00632102">
        <w:rPr>
          <w:rtl/>
        </w:rPr>
        <w:t xml:space="preserve"> </w:t>
      </w:r>
      <w:r w:rsidRPr="00632102">
        <w:rPr>
          <w:rFonts w:hint="eastAsia"/>
          <w:rtl/>
        </w:rPr>
        <w:t>תקכט</w:t>
      </w:r>
      <w:r w:rsidRPr="00632102">
        <w:rPr>
          <w:rFonts w:hint="cs"/>
          <w:rtl/>
        </w:rPr>
        <w:t>) "</w:t>
      </w:r>
      <w:r w:rsidRPr="00632102">
        <w:rPr>
          <w:rFonts w:hint="eastAsia"/>
          <w:rtl/>
        </w:rPr>
        <w:t>הרואה</w:t>
      </w:r>
      <w:r w:rsidRPr="00632102">
        <w:rPr>
          <w:rtl/>
        </w:rPr>
        <w:t xml:space="preserve"> </w:t>
      </w:r>
      <w:r w:rsidRPr="00632102">
        <w:rPr>
          <w:rFonts w:hint="eastAsia"/>
          <w:rtl/>
        </w:rPr>
        <w:t>אילנות</w:t>
      </w:r>
      <w:r w:rsidRPr="00632102">
        <w:rPr>
          <w:rtl/>
        </w:rPr>
        <w:t xml:space="preserve"> </w:t>
      </w:r>
      <w:r w:rsidRPr="00632102">
        <w:rPr>
          <w:rFonts w:hint="eastAsia"/>
          <w:rtl/>
        </w:rPr>
        <w:t>שהן</w:t>
      </w:r>
      <w:r w:rsidRPr="00632102">
        <w:rPr>
          <w:rtl/>
        </w:rPr>
        <w:t xml:space="preserve"> </w:t>
      </w:r>
      <w:r w:rsidRPr="00632102">
        <w:rPr>
          <w:rFonts w:hint="eastAsia"/>
          <w:rtl/>
        </w:rPr>
        <w:t>מלובלבין</w:t>
      </w:r>
      <w:r w:rsidRPr="00632102">
        <w:rPr>
          <w:rtl/>
        </w:rPr>
        <w:t xml:space="preserve"> </w:t>
      </w:r>
      <w:r w:rsidRPr="00632102">
        <w:rPr>
          <w:rFonts w:hint="eastAsia"/>
          <w:rtl/>
        </w:rPr>
        <w:t>ומוציאין</w:t>
      </w:r>
      <w:r w:rsidRPr="00632102">
        <w:rPr>
          <w:rtl/>
        </w:rPr>
        <w:t xml:space="preserve"> </w:t>
      </w:r>
      <w:r w:rsidRPr="00632102">
        <w:rPr>
          <w:rFonts w:hint="eastAsia"/>
          <w:rtl/>
        </w:rPr>
        <w:t>פרחים</w:t>
      </w:r>
      <w:r w:rsidRPr="00632102">
        <w:rPr>
          <w:rtl/>
        </w:rPr>
        <w:t xml:space="preserve"> </w:t>
      </w:r>
      <w:r w:rsidRPr="00632102">
        <w:rPr>
          <w:rFonts w:hint="eastAsia"/>
          <w:rtl/>
        </w:rPr>
        <w:t>בימי</w:t>
      </w:r>
      <w:r w:rsidRPr="00632102">
        <w:rPr>
          <w:rtl/>
        </w:rPr>
        <w:t xml:space="preserve"> </w:t>
      </w:r>
      <w:r w:rsidRPr="00632102">
        <w:rPr>
          <w:rFonts w:hint="eastAsia"/>
          <w:rtl/>
        </w:rPr>
        <w:t>ניסן</w:t>
      </w:r>
      <w:r w:rsidRPr="00632102">
        <w:rPr>
          <w:rtl/>
        </w:rPr>
        <w:t xml:space="preserve"> </w:t>
      </w:r>
      <w:r w:rsidRPr="00632102">
        <w:rPr>
          <w:rFonts w:hint="eastAsia"/>
          <w:rtl/>
        </w:rPr>
        <w:t>אומר</w:t>
      </w:r>
      <w:r w:rsidRPr="00632102">
        <w:rPr>
          <w:rFonts w:hint="cs"/>
          <w:rtl/>
        </w:rPr>
        <w:t xml:space="preserve">". </w:t>
      </w:r>
      <w:r w:rsidRPr="00632102">
        <w:rPr>
          <w:rFonts w:hint="eastAsia"/>
          <w:rtl/>
        </w:rPr>
        <w:t>הרוקח</w:t>
      </w:r>
      <w:r w:rsidRPr="00632102">
        <w:rPr>
          <w:rtl/>
        </w:rPr>
        <w:t xml:space="preserve"> </w:t>
      </w:r>
      <w:r w:rsidRPr="00632102">
        <w:rPr>
          <w:rFonts w:hint="cs"/>
          <w:rtl/>
        </w:rPr>
        <w:t>(</w:t>
      </w:r>
      <w:r w:rsidRPr="00632102">
        <w:rPr>
          <w:rFonts w:hint="eastAsia"/>
          <w:rtl/>
        </w:rPr>
        <w:t>הל</w:t>
      </w:r>
      <w:r w:rsidRPr="00632102">
        <w:rPr>
          <w:rFonts w:hint="cs"/>
          <w:rtl/>
        </w:rPr>
        <w:t xml:space="preserve">' </w:t>
      </w:r>
      <w:r w:rsidRPr="00632102">
        <w:rPr>
          <w:rFonts w:hint="eastAsia"/>
          <w:rtl/>
        </w:rPr>
        <w:t>ברכות</w:t>
      </w:r>
      <w:r w:rsidRPr="00632102">
        <w:rPr>
          <w:rtl/>
        </w:rPr>
        <w:t xml:space="preserve"> </w:t>
      </w:r>
      <w:r w:rsidRPr="00632102">
        <w:rPr>
          <w:rFonts w:hint="eastAsia"/>
          <w:rtl/>
        </w:rPr>
        <w:t>המשך</w:t>
      </w:r>
      <w:r w:rsidRPr="00632102">
        <w:rPr>
          <w:rtl/>
        </w:rPr>
        <w:t xml:space="preserve"> </w:t>
      </w:r>
      <w:r w:rsidRPr="00632102">
        <w:rPr>
          <w:rFonts w:hint="eastAsia"/>
          <w:rtl/>
        </w:rPr>
        <w:t>סי</w:t>
      </w:r>
      <w:r w:rsidRPr="00632102">
        <w:rPr>
          <w:rFonts w:hint="cs"/>
          <w:rtl/>
        </w:rPr>
        <w:t>'</w:t>
      </w:r>
      <w:r w:rsidRPr="00632102">
        <w:rPr>
          <w:rtl/>
        </w:rPr>
        <w:t xml:space="preserve"> </w:t>
      </w:r>
      <w:r w:rsidRPr="00632102">
        <w:rPr>
          <w:rFonts w:hint="eastAsia"/>
          <w:rtl/>
        </w:rPr>
        <w:t>שמב</w:t>
      </w:r>
      <w:r w:rsidRPr="00632102">
        <w:rPr>
          <w:rFonts w:hint="cs"/>
          <w:rtl/>
        </w:rPr>
        <w:t>) "</w:t>
      </w:r>
      <w:r w:rsidRPr="00632102">
        <w:rPr>
          <w:rFonts w:hint="eastAsia"/>
          <w:rtl/>
        </w:rPr>
        <w:t>הרואה</w:t>
      </w:r>
      <w:r w:rsidRPr="00632102">
        <w:rPr>
          <w:rtl/>
        </w:rPr>
        <w:t xml:space="preserve"> </w:t>
      </w:r>
      <w:r w:rsidRPr="00632102">
        <w:rPr>
          <w:rFonts w:hint="eastAsia"/>
          <w:rtl/>
        </w:rPr>
        <w:t>אילנות</w:t>
      </w:r>
      <w:r w:rsidRPr="00632102">
        <w:rPr>
          <w:rtl/>
        </w:rPr>
        <w:t xml:space="preserve"> </w:t>
      </w:r>
      <w:r w:rsidRPr="00632102">
        <w:rPr>
          <w:rFonts w:hint="eastAsia"/>
          <w:rtl/>
        </w:rPr>
        <w:t>שהוציאו</w:t>
      </w:r>
      <w:r w:rsidRPr="00632102">
        <w:rPr>
          <w:rtl/>
        </w:rPr>
        <w:t xml:space="preserve"> </w:t>
      </w:r>
      <w:r w:rsidRPr="00632102">
        <w:rPr>
          <w:rFonts w:hint="eastAsia"/>
          <w:rtl/>
        </w:rPr>
        <w:t>פרח</w:t>
      </w:r>
      <w:r w:rsidRPr="00632102">
        <w:rPr>
          <w:rtl/>
        </w:rPr>
        <w:t xml:space="preserve"> </w:t>
      </w:r>
      <w:r w:rsidRPr="00632102">
        <w:rPr>
          <w:rFonts w:hint="eastAsia"/>
          <w:rtl/>
        </w:rPr>
        <w:t>כגון</w:t>
      </w:r>
      <w:r w:rsidRPr="00632102">
        <w:rPr>
          <w:rtl/>
        </w:rPr>
        <w:t xml:space="preserve"> </w:t>
      </w:r>
      <w:r w:rsidRPr="00632102">
        <w:rPr>
          <w:rFonts w:hint="eastAsia"/>
          <w:rtl/>
        </w:rPr>
        <w:t>בניסן</w:t>
      </w:r>
      <w:r w:rsidRPr="00632102">
        <w:rPr>
          <w:rtl/>
        </w:rPr>
        <w:t xml:space="preserve"> </w:t>
      </w:r>
      <w:r w:rsidRPr="00632102">
        <w:rPr>
          <w:rFonts w:hint="eastAsia"/>
          <w:rtl/>
        </w:rPr>
        <w:t>אומר</w:t>
      </w:r>
      <w:r w:rsidRPr="00632102">
        <w:rPr>
          <w:rFonts w:hint="cs"/>
          <w:rtl/>
        </w:rPr>
        <w:t>"</w:t>
      </w:r>
      <w:r w:rsidRPr="00632102">
        <w:rPr>
          <w:rtl/>
        </w:rPr>
        <w:t>.</w:t>
      </w:r>
      <w:r w:rsidRPr="00632102">
        <w:rPr>
          <w:rFonts w:hint="cs"/>
          <w:rtl/>
        </w:rPr>
        <w:t xml:space="preserve"> ב</w:t>
      </w:r>
      <w:r w:rsidRPr="00632102">
        <w:rPr>
          <w:rFonts w:hint="eastAsia"/>
          <w:rtl/>
        </w:rPr>
        <w:t>רבינו</w:t>
      </w:r>
      <w:r w:rsidRPr="00632102">
        <w:rPr>
          <w:rtl/>
        </w:rPr>
        <w:t xml:space="preserve"> </w:t>
      </w:r>
      <w:r w:rsidRPr="00632102">
        <w:rPr>
          <w:rFonts w:hint="eastAsia"/>
          <w:rtl/>
        </w:rPr>
        <w:t>ירוחם</w:t>
      </w:r>
      <w:r w:rsidRPr="00632102">
        <w:rPr>
          <w:rtl/>
        </w:rPr>
        <w:t xml:space="preserve"> </w:t>
      </w:r>
      <w:r w:rsidRPr="00632102">
        <w:rPr>
          <w:rFonts w:hint="cs"/>
          <w:rtl/>
        </w:rPr>
        <w:t>(</w:t>
      </w:r>
      <w:r w:rsidRPr="00632102">
        <w:rPr>
          <w:rFonts w:hint="eastAsia"/>
          <w:rtl/>
        </w:rPr>
        <w:t>תולדות</w:t>
      </w:r>
      <w:r w:rsidRPr="00632102">
        <w:rPr>
          <w:rtl/>
        </w:rPr>
        <w:t xml:space="preserve"> </w:t>
      </w:r>
      <w:r w:rsidRPr="00632102">
        <w:rPr>
          <w:rFonts w:hint="eastAsia"/>
          <w:rtl/>
        </w:rPr>
        <w:t>אדם</w:t>
      </w:r>
      <w:r w:rsidRPr="00632102">
        <w:rPr>
          <w:rtl/>
        </w:rPr>
        <w:t xml:space="preserve"> </w:t>
      </w:r>
      <w:r w:rsidRPr="00632102">
        <w:rPr>
          <w:rFonts w:hint="eastAsia"/>
          <w:rtl/>
        </w:rPr>
        <w:t>וחוה</w:t>
      </w:r>
      <w:r w:rsidRPr="00632102">
        <w:rPr>
          <w:rtl/>
        </w:rPr>
        <w:t xml:space="preserve"> </w:t>
      </w:r>
      <w:r w:rsidRPr="00632102">
        <w:rPr>
          <w:rFonts w:hint="eastAsia"/>
          <w:rtl/>
        </w:rPr>
        <w:t>נתיב</w:t>
      </w:r>
      <w:r w:rsidRPr="00632102">
        <w:rPr>
          <w:rtl/>
        </w:rPr>
        <w:t xml:space="preserve"> </w:t>
      </w:r>
      <w:r w:rsidRPr="00632102">
        <w:rPr>
          <w:rFonts w:hint="eastAsia"/>
          <w:rtl/>
        </w:rPr>
        <w:t>יג</w:t>
      </w:r>
      <w:r w:rsidRPr="00632102">
        <w:rPr>
          <w:rtl/>
        </w:rPr>
        <w:t xml:space="preserve"> </w:t>
      </w:r>
      <w:r w:rsidRPr="00632102">
        <w:rPr>
          <w:rFonts w:hint="eastAsia"/>
          <w:rtl/>
        </w:rPr>
        <w:t>ח</w:t>
      </w:r>
      <w:r w:rsidRPr="00632102">
        <w:rPr>
          <w:rFonts w:hint="cs"/>
          <w:rtl/>
        </w:rPr>
        <w:t>"</w:t>
      </w:r>
      <w:r w:rsidRPr="00632102">
        <w:rPr>
          <w:rFonts w:hint="eastAsia"/>
          <w:rtl/>
        </w:rPr>
        <w:t>ב</w:t>
      </w:r>
      <w:r w:rsidRPr="00632102">
        <w:rPr>
          <w:rtl/>
        </w:rPr>
        <w:t xml:space="preserve"> </w:t>
      </w:r>
      <w:r w:rsidRPr="00632102">
        <w:rPr>
          <w:rFonts w:hint="eastAsia"/>
          <w:rtl/>
        </w:rPr>
        <w:t>דף</w:t>
      </w:r>
      <w:r w:rsidRPr="00632102">
        <w:rPr>
          <w:rtl/>
        </w:rPr>
        <w:t xml:space="preserve"> </w:t>
      </w:r>
      <w:r w:rsidRPr="00632102">
        <w:rPr>
          <w:rFonts w:hint="eastAsia"/>
          <w:rtl/>
        </w:rPr>
        <w:t>קג</w:t>
      </w:r>
      <w:r w:rsidRPr="00632102">
        <w:rPr>
          <w:rtl/>
        </w:rPr>
        <w:t xml:space="preserve"> </w:t>
      </w:r>
      <w:r w:rsidRPr="00632102">
        <w:rPr>
          <w:rFonts w:hint="eastAsia"/>
          <w:rtl/>
        </w:rPr>
        <w:t>טור</w:t>
      </w:r>
      <w:r w:rsidRPr="00632102">
        <w:rPr>
          <w:rtl/>
        </w:rPr>
        <w:t xml:space="preserve"> </w:t>
      </w:r>
      <w:r w:rsidRPr="00632102">
        <w:rPr>
          <w:rFonts w:hint="eastAsia"/>
          <w:rtl/>
        </w:rPr>
        <w:t>ד</w:t>
      </w:r>
      <w:r w:rsidRPr="00632102">
        <w:rPr>
          <w:rFonts w:hint="cs"/>
          <w:rtl/>
        </w:rPr>
        <w:t>) "</w:t>
      </w:r>
      <w:r w:rsidRPr="00632102">
        <w:rPr>
          <w:rFonts w:hint="eastAsia"/>
          <w:rtl/>
        </w:rPr>
        <w:t>הרואה</w:t>
      </w:r>
      <w:r w:rsidRPr="00632102">
        <w:rPr>
          <w:rtl/>
        </w:rPr>
        <w:t xml:space="preserve"> </w:t>
      </w:r>
      <w:r w:rsidRPr="00632102">
        <w:rPr>
          <w:rFonts w:hint="eastAsia"/>
          <w:rtl/>
        </w:rPr>
        <w:t>אילנות</w:t>
      </w:r>
      <w:r w:rsidRPr="00632102">
        <w:rPr>
          <w:rtl/>
        </w:rPr>
        <w:t xml:space="preserve"> </w:t>
      </w:r>
      <w:r w:rsidRPr="00632102">
        <w:rPr>
          <w:rFonts w:hint="eastAsia"/>
          <w:rtl/>
        </w:rPr>
        <w:t>בנץ</w:t>
      </w:r>
      <w:r w:rsidRPr="00632102">
        <w:rPr>
          <w:rtl/>
        </w:rPr>
        <w:t xml:space="preserve"> </w:t>
      </w:r>
      <w:r w:rsidRPr="00632102">
        <w:rPr>
          <w:rFonts w:hint="eastAsia"/>
          <w:rtl/>
        </w:rPr>
        <w:t>שלהם</w:t>
      </w:r>
      <w:r w:rsidRPr="00632102">
        <w:rPr>
          <w:rtl/>
        </w:rPr>
        <w:t xml:space="preserve"> </w:t>
      </w:r>
      <w:r w:rsidRPr="00632102">
        <w:rPr>
          <w:rFonts w:hint="eastAsia"/>
          <w:rtl/>
        </w:rPr>
        <w:t>כגון</w:t>
      </w:r>
      <w:r w:rsidRPr="00632102">
        <w:rPr>
          <w:rtl/>
        </w:rPr>
        <w:t xml:space="preserve"> </w:t>
      </w:r>
      <w:r w:rsidRPr="00632102">
        <w:rPr>
          <w:rFonts w:hint="eastAsia"/>
          <w:rtl/>
        </w:rPr>
        <w:t>בימי</w:t>
      </w:r>
      <w:r w:rsidRPr="00632102">
        <w:rPr>
          <w:rtl/>
        </w:rPr>
        <w:t xml:space="preserve"> </w:t>
      </w:r>
      <w:r w:rsidRPr="00632102">
        <w:rPr>
          <w:rFonts w:hint="eastAsia"/>
          <w:rtl/>
        </w:rPr>
        <w:t>ניסן</w:t>
      </w:r>
      <w:r w:rsidRPr="00632102">
        <w:rPr>
          <w:rtl/>
        </w:rPr>
        <w:t xml:space="preserve"> </w:t>
      </w:r>
      <w:r w:rsidRPr="00632102">
        <w:rPr>
          <w:rFonts w:hint="eastAsia"/>
          <w:rtl/>
        </w:rPr>
        <w:t>מברך</w:t>
      </w:r>
      <w:r w:rsidRPr="00632102">
        <w:rPr>
          <w:rFonts w:hint="cs"/>
          <w:rtl/>
        </w:rPr>
        <w:t>". ה</w:t>
      </w:r>
      <w:r w:rsidRPr="00632102">
        <w:rPr>
          <w:rFonts w:hint="eastAsia"/>
          <w:rtl/>
        </w:rPr>
        <w:t>אבודרהם</w:t>
      </w:r>
      <w:r w:rsidRPr="00632102">
        <w:rPr>
          <w:rtl/>
        </w:rPr>
        <w:t xml:space="preserve"> </w:t>
      </w:r>
      <w:r w:rsidRPr="00632102">
        <w:rPr>
          <w:rFonts w:hint="cs"/>
          <w:rtl/>
        </w:rPr>
        <w:t>(</w:t>
      </w:r>
      <w:r w:rsidRPr="00632102">
        <w:rPr>
          <w:rFonts w:hint="eastAsia"/>
          <w:rtl/>
        </w:rPr>
        <w:t>ברכת</w:t>
      </w:r>
      <w:r w:rsidRPr="00632102">
        <w:rPr>
          <w:rtl/>
        </w:rPr>
        <w:t xml:space="preserve"> </w:t>
      </w:r>
      <w:r w:rsidRPr="00632102">
        <w:rPr>
          <w:rFonts w:hint="eastAsia"/>
          <w:rtl/>
        </w:rPr>
        <w:t>הראייה</w:t>
      </w:r>
      <w:r w:rsidRPr="00632102">
        <w:rPr>
          <w:rtl/>
        </w:rPr>
        <w:t xml:space="preserve"> </w:t>
      </w:r>
      <w:r w:rsidRPr="00632102">
        <w:rPr>
          <w:rFonts w:hint="eastAsia"/>
          <w:rtl/>
        </w:rPr>
        <w:t>השבח</w:t>
      </w:r>
      <w:r w:rsidRPr="00632102">
        <w:rPr>
          <w:rtl/>
        </w:rPr>
        <w:t xml:space="preserve"> </w:t>
      </w:r>
      <w:r w:rsidRPr="00632102">
        <w:rPr>
          <w:rFonts w:hint="eastAsia"/>
          <w:rtl/>
        </w:rPr>
        <w:t>וההודאה</w:t>
      </w:r>
      <w:r w:rsidRPr="00632102">
        <w:rPr>
          <w:rFonts w:hint="cs"/>
          <w:rtl/>
        </w:rPr>
        <w:t>) "</w:t>
      </w:r>
      <w:r w:rsidRPr="00632102">
        <w:rPr>
          <w:rFonts w:hint="eastAsia"/>
          <w:rtl/>
        </w:rPr>
        <w:t>הרואה</w:t>
      </w:r>
      <w:r w:rsidRPr="00632102">
        <w:rPr>
          <w:rtl/>
        </w:rPr>
        <w:t xml:space="preserve"> </w:t>
      </w:r>
      <w:r w:rsidRPr="00632102">
        <w:rPr>
          <w:rFonts w:hint="eastAsia"/>
          <w:rtl/>
        </w:rPr>
        <w:t>אילנות</w:t>
      </w:r>
      <w:r w:rsidRPr="00632102">
        <w:rPr>
          <w:rtl/>
        </w:rPr>
        <w:t xml:space="preserve"> </w:t>
      </w:r>
      <w:r w:rsidRPr="00632102">
        <w:rPr>
          <w:rFonts w:hint="eastAsia"/>
          <w:rtl/>
        </w:rPr>
        <w:t>פורחים</w:t>
      </w:r>
      <w:r w:rsidRPr="00632102">
        <w:rPr>
          <w:rtl/>
        </w:rPr>
        <w:t xml:space="preserve"> </w:t>
      </w:r>
      <w:r w:rsidRPr="00632102">
        <w:rPr>
          <w:rFonts w:hint="eastAsia"/>
          <w:rtl/>
        </w:rPr>
        <w:t>וניצנים</w:t>
      </w:r>
      <w:r w:rsidRPr="00632102">
        <w:rPr>
          <w:rtl/>
        </w:rPr>
        <w:t xml:space="preserve"> </w:t>
      </w:r>
      <w:r w:rsidRPr="00632102">
        <w:rPr>
          <w:rFonts w:hint="eastAsia"/>
          <w:rtl/>
        </w:rPr>
        <w:t>עולים</w:t>
      </w:r>
      <w:r w:rsidRPr="00632102">
        <w:rPr>
          <w:rtl/>
        </w:rPr>
        <w:t xml:space="preserve"> </w:t>
      </w:r>
      <w:r w:rsidRPr="00632102">
        <w:rPr>
          <w:rFonts w:hint="eastAsia"/>
          <w:rtl/>
        </w:rPr>
        <w:t>בשדות</w:t>
      </w:r>
      <w:r w:rsidRPr="00632102">
        <w:rPr>
          <w:rtl/>
        </w:rPr>
        <w:t xml:space="preserve"> </w:t>
      </w:r>
      <w:r w:rsidRPr="00632102">
        <w:rPr>
          <w:rFonts w:hint="eastAsia"/>
          <w:rtl/>
        </w:rPr>
        <w:t>בימי</w:t>
      </w:r>
      <w:r w:rsidRPr="00632102">
        <w:rPr>
          <w:rtl/>
        </w:rPr>
        <w:t xml:space="preserve"> </w:t>
      </w:r>
      <w:r w:rsidRPr="00632102">
        <w:rPr>
          <w:rFonts w:hint="eastAsia"/>
          <w:rtl/>
        </w:rPr>
        <w:t>ניסן</w:t>
      </w:r>
      <w:r w:rsidRPr="00632102">
        <w:rPr>
          <w:rtl/>
        </w:rPr>
        <w:t xml:space="preserve"> </w:t>
      </w:r>
      <w:r w:rsidRPr="00632102">
        <w:rPr>
          <w:rFonts w:hint="eastAsia"/>
          <w:rtl/>
        </w:rPr>
        <w:t>מברך</w:t>
      </w:r>
      <w:r w:rsidRPr="00632102">
        <w:rPr>
          <w:rFonts w:hint="cs"/>
          <w:rtl/>
        </w:rPr>
        <w:t xml:space="preserve">". </w:t>
      </w:r>
    </w:p>
    <w:p w:rsidR="004C1858" w:rsidRPr="00632102" w:rsidRDefault="004C1858" w:rsidP="004B0C42">
      <w:pPr>
        <w:pStyle w:val="a3"/>
        <w:rPr>
          <w:rtl/>
        </w:rPr>
      </w:pPr>
      <w:r w:rsidRPr="00632102">
        <w:rPr>
          <w:rFonts w:hint="cs"/>
          <w:rtl/>
        </w:rPr>
        <w:t xml:space="preserve">ואפי' הרמב"ם (פ"י מהל' ברכות הי"ג) שכתב "היוצא לשדות או לגנות ביומי ניסן וראה אילנות פורחות ונצנים עולים מברך", </w:t>
      </w:r>
      <w:r>
        <w:rPr>
          <w:rFonts w:hint="cs"/>
          <w:rtl/>
        </w:rPr>
        <w:t xml:space="preserve">ומשמע לצריך לצאת </w:t>
      </w:r>
      <w:r>
        <w:rPr>
          <w:rtl/>
        </w:rPr>
        <w:t>–</w:t>
      </w:r>
      <w:r>
        <w:rPr>
          <w:rFonts w:hint="cs"/>
          <w:rtl/>
        </w:rPr>
        <w:t xml:space="preserve"> </w:t>
      </w:r>
      <w:r w:rsidRPr="00632102">
        <w:rPr>
          <w:rFonts w:hint="cs"/>
          <w:rtl/>
        </w:rPr>
        <w:t>כבר כתב ה</w:t>
      </w:r>
      <w:r w:rsidRPr="00632102">
        <w:rPr>
          <w:rFonts w:hint="eastAsia"/>
          <w:rtl/>
        </w:rPr>
        <w:t>מעשה</w:t>
      </w:r>
      <w:r w:rsidRPr="00632102">
        <w:rPr>
          <w:rtl/>
        </w:rPr>
        <w:t xml:space="preserve"> </w:t>
      </w:r>
      <w:r w:rsidRPr="00632102">
        <w:rPr>
          <w:rFonts w:hint="eastAsia"/>
          <w:rtl/>
        </w:rPr>
        <w:t>ר</w:t>
      </w:r>
      <w:r w:rsidRPr="00632102">
        <w:rPr>
          <w:rFonts w:hint="cs"/>
          <w:rtl/>
        </w:rPr>
        <w:t>ו</w:t>
      </w:r>
      <w:r w:rsidRPr="00632102">
        <w:rPr>
          <w:rFonts w:hint="eastAsia"/>
          <w:rtl/>
        </w:rPr>
        <w:t>קח</w:t>
      </w:r>
      <w:r w:rsidRPr="00632102">
        <w:rPr>
          <w:rtl/>
        </w:rPr>
        <w:t xml:space="preserve"> </w:t>
      </w:r>
      <w:r w:rsidRPr="00632102">
        <w:rPr>
          <w:rFonts w:hint="cs"/>
          <w:rtl/>
        </w:rPr>
        <w:t>(שם) "</w:t>
      </w:r>
      <w:r w:rsidRPr="00632102">
        <w:rPr>
          <w:rFonts w:hint="eastAsia"/>
          <w:rtl/>
        </w:rPr>
        <w:t>ובהווה</w:t>
      </w:r>
      <w:r w:rsidRPr="00632102">
        <w:rPr>
          <w:rtl/>
        </w:rPr>
        <w:t xml:space="preserve"> </w:t>
      </w:r>
      <w:r w:rsidRPr="00632102">
        <w:rPr>
          <w:rFonts w:hint="eastAsia"/>
          <w:rtl/>
        </w:rPr>
        <w:t>דברו</w:t>
      </w:r>
      <w:r w:rsidRPr="00632102">
        <w:rPr>
          <w:rFonts w:hint="cs"/>
          <w:rtl/>
        </w:rPr>
        <w:t>". ובפרי האדמה (ח"א דף רכט ע"ד על הרמב"ם שם) מדייק מהרמב"ם להיפך "</w:t>
      </w:r>
      <w:r w:rsidRPr="00632102">
        <w:rPr>
          <w:rFonts w:hint="eastAsia"/>
          <w:rtl/>
        </w:rPr>
        <w:t>מדקאמר</w:t>
      </w:r>
      <w:r w:rsidRPr="00632102">
        <w:rPr>
          <w:rtl/>
        </w:rPr>
        <w:t xml:space="preserve"> </w:t>
      </w:r>
      <w:r w:rsidRPr="00632102">
        <w:rPr>
          <w:rFonts w:hint="eastAsia"/>
          <w:rtl/>
        </w:rPr>
        <w:t>רבינו</w:t>
      </w:r>
      <w:r w:rsidRPr="00632102">
        <w:rPr>
          <w:rtl/>
        </w:rPr>
        <w:t xml:space="preserve"> </w:t>
      </w:r>
      <w:r w:rsidRPr="00632102">
        <w:rPr>
          <w:rFonts w:hint="eastAsia"/>
          <w:b/>
          <w:bCs/>
          <w:rtl/>
        </w:rPr>
        <w:t>או</w:t>
      </w:r>
      <w:r w:rsidRPr="00632102">
        <w:rPr>
          <w:b/>
          <w:bCs/>
          <w:rtl/>
        </w:rPr>
        <w:t xml:space="preserve"> </w:t>
      </w:r>
      <w:r w:rsidRPr="00632102">
        <w:rPr>
          <w:rFonts w:hint="eastAsia"/>
          <w:b/>
          <w:bCs/>
          <w:rtl/>
        </w:rPr>
        <w:t>גנות</w:t>
      </w:r>
      <w:r w:rsidRPr="00632102">
        <w:rPr>
          <w:rtl/>
        </w:rPr>
        <w:t xml:space="preserve"> </w:t>
      </w:r>
      <w:r w:rsidRPr="00632102">
        <w:rPr>
          <w:rFonts w:hint="eastAsia"/>
          <w:rtl/>
        </w:rPr>
        <w:t>אתא</w:t>
      </w:r>
      <w:r w:rsidRPr="00632102">
        <w:rPr>
          <w:rtl/>
        </w:rPr>
        <w:t xml:space="preserve"> </w:t>
      </w:r>
      <w:r w:rsidRPr="00632102">
        <w:rPr>
          <w:rFonts w:hint="eastAsia"/>
          <w:rtl/>
        </w:rPr>
        <w:t>לרבויי</w:t>
      </w:r>
      <w:r w:rsidRPr="00632102">
        <w:rPr>
          <w:rtl/>
        </w:rPr>
        <w:t xml:space="preserve"> </w:t>
      </w:r>
      <w:r w:rsidRPr="00632102">
        <w:rPr>
          <w:rFonts w:hint="eastAsia"/>
          <w:rtl/>
        </w:rPr>
        <w:t>אילנות</w:t>
      </w:r>
      <w:r w:rsidRPr="00632102">
        <w:rPr>
          <w:rtl/>
        </w:rPr>
        <w:t xml:space="preserve"> </w:t>
      </w:r>
      <w:r w:rsidRPr="00632102">
        <w:rPr>
          <w:rFonts w:hint="eastAsia"/>
          <w:rtl/>
        </w:rPr>
        <w:t>אם</w:t>
      </w:r>
      <w:r w:rsidRPr="00632102">
        <w:rPr>
          <w:rtl/>
        </w:rPr>
        <w:t xml:space="preserve"> </w:t>
      </w:r>
      <w:r w:rsidRPr="00632102">
        <w:rPr>
          <w:rFonts w:hint="eastAsia"/>
          <w:rtl/>
        </w:rPr>
        <w:t>יהיו</w:t>
      </w:r>
      <w:r w:rsidRPr="00632102">
        <w:rPr>
          <w:rtl/>
        </w:rPr>
        <w:t xml:space="preserve"> </w:t>
      </w:r>
      <w:r w:rsidRPr="00632102">
        <w:rPr>
          <w:rFonts w:hint="eastAsia"/>
          <w:rtl/>
        </w:rPr>
        <w:t>נטועים</w:t>
      </w:r>
      <w:r w:rsidRPr="00632102">
        <w:rPr>
          <w:rtl/>
        </w:rPr>
        <w:t xml:space="preserve"> </w:t>
      </w:r>
      <w:r w:rsidRPr="00632102">
        <w:rPr>
          <w:rFonts w:hint="eastAsia"/>
          <w:rtl/>
        </w:rPr>
        <w:t>תוך</w:t>
      </w:r>
      <w:r w:rsidRPr="00632102">
        <w:rPr>
          <w:rtl/>
        </w:rPr>
        <w:t xml:space="preserve"> </w:t>
      </w:r>
      <w:r w:rsidRPr="00632102">
        <w:rPr>
          <w:rFonts w:hint="eastAsia"/>
          <w:rtl/>
        </w:rPr>
        <w:t>חצירו</w:t>
      </w:r>
      <w:r w:rsidRPr="00632102">
        <w:rPr>
          <w:rFonts w:hint="cs"/>
          <w:rtl/>
        </w:rPr>
        <w:t xml:space="preserve">". </w:t>
      </w:r>
    </w:p>
    <w:p w:rsidR="004C1858" w:rsidRPr="00632102" w:rsidRDefault="004C1858" w:rsidP="004B0C42">
      <w:pPr>
        <w:pStyle w:val="a3"/>
        <w:rPr>
          <w:rtl/>
        </w:rPr>
      </w:pPr>
      <w:r w:rsidRPr="00632102">
        <w:rPr>
          <w:rFonts w:hint="cs"/>
          <w:rtl/>
        </w:rPr>
        <w:t>וכ"כ בפתח הדביר שהיוצא לאו דוקא, אלא דיבר בהווה, דלא שכיחא אילנות נטועות בחצרות אלא בשדות שמחוץ לעיר, ואיה"נ אם נמצאים גנות ונטיעות תוך העיר שפיר מברך כשרואה אילנות פורחות. ומוסיף שם "</w:t>
      </w:r>
      <w:r w:rsidRPr="00632102">
        <w:rPr>
          <w:rFonts w:hint="eastAsia"/>
          <w:rtl/>
        </w:rPr>
        <w:t>ואפי</w:t>
      </w:r>
      <w:r w:rsidRPr="00632102">
        <w:rPr>
          <w:rFonts w:hint="cs"/>
          <w:rtl/>
        </w:rPr>
        <w:t>'</w:t>
      </w:r>
      <w:r w:rsidRPr="00632102">
        <w:rPr>
          <w:rtl/>
        </w:rPr>
        <w:t xml:space="preserve"> </w:t>
      </w:r>
      <w:r w:rsidRPr="00632102">
        <w:rPr>
          <w:rFonts w:hint="eastAsia"/>
          <w:rtl/>
        </w:rPr>
        <w:t>על</w:t>
      </w:r>
      <w:r w:rsidRPr="00632102">
        <w:rPr>
          <w:rtl/>
        </w:rPr>
        <w:t xml:space="preserve"> </w:t>
      </w:r>
      <w:r w:rsidRPr="00632102">
        <w:rPr>
          <w:rFonts w:hint="eastAsia"/>
          <w:rtl/>
        </w:rPr>
        <w:t>דר</w:t>
      </w:r>
      <w:r w:rsidRPr="00632102">
        <w:rPr>
          <w:rFonts w:hint="cs"/>
          <w:rtl/>
        </w:rPr>
        <w:t>ך</w:t>
      </w:r>
      <w:r w:rsidRPr="00632102">
        <w:rPr>
          <w:rtl/>
        </w:rPr>
        <w:t xml:space="preserve"> </w:t>
      </w:r>
      <w:r w:rsidRPr="00632102">
        <w:rPr>
          <w:rFonts w:hint="eastAsia"/>
          <w:rtl/>
        </w:rPr>
        <w:t>האמת</w:t>
      </w:r>
      <w:r w:rsidRPr="00632102">
        <w:rPr>
          <w:rtl/>
        </w:rPr>
        <w:t xml:space="preserve"> </w:t>
      </w:r>
      <w:r w:rsidRPr="00632102">
        <w:rPr>
          <w:rFonts w:hint="eastAsia"/>
          <w:rtl/>
        </w:rPr>
        <w:t>דברכה</w:t>
      </w:r>
      <w:r w:rsidRPr="00632102">
        <w:rPr>
          <w:rtl/>
        </w:rPr>
        <w:t xml:space="preserve"> </w:t>
      </w:r>
      <w:r w:rsidRPr="00632102">
        <w:rPr>
          <w:rFonts w:hint="eastAsia"/>
          <w:rtl/>
        </w:rPr>
        <w:t>זו</w:t>
      </w:r>
      <w:r w:rsidRPr="00632102">
        <w:rPr>
          <w:rtl/>
        </w:rPr>
        <w:t xml:space="preserve"> </w:t>
      </w:r>
      <w:r w:rsidRPr="00632102">
        <w:rPr>
          <w:rFonts w:hint="eastAsia"/>
          <w:rtl/>
        </w:rPr>
        <w:t>מועלת</w:t>
      </w:r>
      <w:r w:rsidRPr="00632102">
        <w:rPr>
          <w:rtl/>
        </w:rPr>
        <w:t xml:space="preserve"> </w:t>
      </w:r>
      <w:r w:rsidRPr="00632102">
        <w:rPr>
          <w:rFonts w:hint="eastAsia"/>
          <w:rtl/>
        </w:rPr>
        <w:t>לתק</w:t>
      </w:r>
      <w:r w:rsidRPr="00632102">
        <w:rPr>
          <w:rFonts w:hint="cs"/>
          <w:rtl/>
        </w:rPr>
        <w:t>ן</w:t>
      </w:r>
      <w:r w:rsidRPr="00632102">
        <w:rPr>
          <w:rtl/>
        </w:rPr>
        <w:t xml:space="preserve"> </w:t>
      </w:r>
      <w:r w:rsidRPr="00632102">
        <w:rPr>
          <w:rFonts w:hint="eastAsia"/>
          <w:rtl/>
        </w:rPr>
        <w:t>הנשמות</w:t>
      </w:r>
      <w:r w:rsidRPr="00632102">
        <w:rPr>
          <w:rtl/>
        </w:rPr>
        <w:t xml:space="preserve"> </w:t>
      </w:r>
      <w:r w:rsidRPr="00632102">
        <w:rPr>
          <w:rFonts w:hint="eastAsia"/>
          <w:rtl/>
        </w:rPr>
        <w:t>הנדחות</w:t>
      </w:r>
      <w:r w:rsidRPr="00632102">
        <w:rPr>
          <w:rtl/>
        </w:rPr>
        <w:t xml:space="preserve"> </w:t>
      </w:r>
      <w:r w:rsidRPr="00632102">
        <w:rPr>
          <w:rFonts w:hint="eastAsia"/>
          <w:rtl/>
        </w:rPr>
        <w:t>שאינ</w:t>
      </w:r>
      <w:r w:rsidRPr="00632102">
        <w:rPr>
          <w:rFonts w:hint="cs"/>
          <w:rtl/>
        </w:rPr>
        <w:t>ן</w:t>
      </w:r>
      <w:r w:rsidRPr="00632102">
        <w:rPr>
          <w:rtl/>
        </w:rPr>
        <w:t xml:space="preserve"> </w:t>
      </w:r>
      <w:r w:rsidRPr="00632102">
        <w:rPr>
          <w:rFonts w:hint="eastAsia"/>
          <w:rtl/>
        </w:rPr>
        <w:t>יכולות</w:t>
      </w:r>
      <w:r w:rsidRPr="00632102">
        <w:rPr>
          <w:rtl/>
        </w:rPr>
        <w:t xml:space="preserve"> </w:t>
      </w:r>
      <w:r w:rsidRPr="00632102">
        <w:rPr>
          <w:rFonts w:hint="eastAsia"/>
          <w:rtl/>
        </w:rPr>
        <w:t>לב</w:t>
      </w:r>
      <w:r w:rsidRPr="00632102">
        <w:rPr>
          <w:rFonts w:hint="cs"/>
          <w:rtl/>
        </w:rPr>
        <w:t>ו</w:t>
      </w:r>
      <w:r w:rsidRPr="00632102">
        <w:rPr>
          <w:rFonts w:hint="eastAsia"/>
          <w:rtl/>
        </w:rPr>
        <w:t>א</w:t>
      </w:r>
      <w:r w:rsidRPr="00632102">
        <w:rPr>
          <w:rtl/>
        </w:rPr>
        <w:t xml:space="preserve"> </w:t>
      </w:r>
      <w:r w:rsidRPr="00632102">
        <w:rPr>
          <w:rFonts w:hint="eastAsia"/>
          <w:rtl/>
        </w:rPr>
        <w:t>אל</w:t>
      </w:r>
      <w:r w:rsidRPr="00632102">
        <w:rPr>
          <w:rtl/>
        </w:rPr>
        <w:t xml:space="preserve"> </w:t>
      </w:r>
      <w:r w:rsidRPr="00632102">
        <w:rPr>
          <w:rFonts w:hint="eastAsia"/>
          <w:rtl/>
        </w:rPr>
        <w:t>מנוחת</w:t>
      </w:r>
      <w:r w:rsidRPr="00632102">
        <w:rPr>
          <w:rFonts w:hint="cs"/>
          <w:rtl/>
        </w:rPr>
        <w:t>ם,</w:t>
      </w:r>
      <w:r w:rsidRPr="00632102">
        <w:rPr>
          <w:rtl/>
        </w:rPr>
        <w:t xml:space="preserve"> </w:t>
      </w:r>
      <w:r w:rsidRPr="00632102">
        <w:rPr>
          <w:rFonts w:hint="eastAsia"/>
          <w:rtl/>
        </w:rPr>
        <w:t>ומתלבשי</w:t>
      </w:r>
      <w:r w:rsidRPr="00632102">
        <w:rPr>
          <w:rFonts w:hint="cs"/>
          <w:rtl/>
        </w:rPr>
        <w:t>ם</w:t>
      </w:r>
      <w:r w:rsidRPr="00632102">
        <w:rPr>
          <w:rtl/>
        </w:rPr>
        <w:t xml:space="preserve"> </w:t>
      </w:r>
      <w:r w:rsidRPr="00632102">
        <w:rPr>
          <w:rFonts w:hint="eastAsia"/>
          <w:rtl/>
        </w:rPr>
        <w:t>בענפי</w:t>
      </w:r>
      <w:r w:rsidRPr="00632102">
        <w:rPr>
          <w:rtl/>
        </w:rPr>
        <w:t xml:space="preserve"> </w:t>
      </w:r>
      <w:r w:rsidRPr="00632102">
        <w:rPr>
          <w:rFonts w:hint="eastAsia"/>
          <w:rtl/>
        </w:rPr>
        <w:t>האילנות</w:t>
      </w:r>
      <w:r w:rsidRPr="00632102">
        <w:rPr>
          <w:rtl/>
        </w:rPr>
        <w:t xml:space="preserve"> </w:t>
      </w:r>
      <w:r w:rsidRPr="00632102">
        <w:rPr>
          <w:rFonts w:hint="eastAsia"/>
          <w:rtl/>
        </w:rPr>
        <w:t>ונתקנות</w:t>
      </w:r>
      <w:r w:rsidRPr="00632102">
        <w:rPr>
          <w:rtl/>
        </w:rPr>
        <w:t xml:space="preserve"> </w:t>
      </w:r>
      <w:r w:rsidRPr="00632102">
        <w:rPr>
          <w:rFonts w:hint="eastAsia"/>
          <w:rtl/>
        </w:rPr>
        <w:t>ע</w:t>
      </w:r>
      <w:r w:rsidRPr="00632102">
        <w:rPr>
          <w:rFonts w:hint="cs"/>
          <w:rtl/>
        </w:rPr>
        <w:t>"</w:t>
      </w:r>
      <w:r w:rsidRPr="00632102">
        <w:rPr>
          <w:rFonts w:hint="eastAsia"/>
          <w:rtl/>
        </w:rPr>
        <w:t>י</w:t>
      </w:r>
      <w:r w:rsidRPr="00632102">
        <w:rPr>
          <w:rtl/>
        </w:rPr>
        <w:t xml:space="preserve"> </w:t>
      </w:r>
      <w:r w:rsidRPr="00632102">
        <w:rPr>
          <w:rFonts w:hint="eastAsia"/>
          <w:rtl/>
        </w:rPr>
        <w:t>הברכה</w:t>
      </w:r>
      <w:r w:rsidRPr="00632102">
        <w:rPr>
          <w:rtl/>
        </w:rPr>
        <w:t xml:space="preserve"> </w:t>
      </w:r>
      <w:r w:rsidRPr="00632102">
        <w:rPr>
          <w:rFonts w:hint="eastAsia"/>
          <w:rtl/>
        </w:rPr>
        <w:t>בכוונה</w:t>
      </w:r>
      <w:r w:rsidRPr="00632102">
        <w:rPr>
          <w:rtl/>
        </w:rPr>
        <w:t xml:space="preserve"> </w:t>
      </w:r>
      <w:r w:rsidRPr="00632102">
        <w:rPr>
          <w:rFonts w:hint="eastAsia"/>
          <w:rtl/>
        </w:rPr>
        <w:t>זו</w:t>
      </w:r>
      <w:r w:rsidRPr="00632102">
        <w:rPr>
          <w:rFonts w:hint="cs"/>
          <w:rtl/>
        </w:rPr>
        <w:t>,</w:t>
      </w:r>
      <w:r w:rsidRPr="00632102">
        <w:rPr>
          <w:rtl/>
        </w:rPr>
        <w:t xml:space="preserve"> </w:t>
      </w:r>
      <w:r w:rsidRPr="00632102">
        <w:rPr>
          <w:rFonts w:hint="eastAsia"/>
          <w:rtl/>
        </w:rPr>
        <w:t>ומעשה</w:t>
      </w:r>
      <w:r w:rsidRPr="00632102">
        <w:rPr>
          <w:rtl/>
        </w:rPr>
        <w:t xml:space="preserve"> </w:t>
      </w:r>
      <w:r w:rsidRPr="00632102">
        <w:rPr>
          <w:rFonts w:hint="eastAsia"/>
          <w:rtl/>
        </w:rPr>
        <w:t>שהיה</w:t>
      </w:r>
      <w:r w:rsidRPr="00632102">
        <w:rPr>
          <w:rtl/>
        </w:rPr>
        <w:t xml:space="preserve"> </w:t>
      </w:r>
      <w:r w:rsidRPr="00632102">
        <w:rPr>
          <w:rFonts w:hint="eastAsia"/>
          <w:rtl/>
        </w:rPr>
        <w:t>מרבינו</w:t>
      </w:r>
      <w:r w:rsidRPr="00632102">
        <w:rPr>
          <w:rtl/>
        </w:rPr>
        <w:t xml:space="preserve"> </w:t>
      </w:r>
      <w:r w:rsidRPr="00632102">
        <w:rPr>
          <w:rFonts w:hint="eastAsia"/>
          <w:rtl/>
        </w:rPr>
        <w:t>האר</w:t>
      </w:r>
      <w:r w:rsidRPr="00632102">
        <w:rPr>
          <w:rtl/>
        </w:rPr>
        <w:t>"</w:t>
      </w:r>
      <w:r w:rsidRPr="00632102">
        <w:rPr>
          <w:rFonts w:hint="eastAsia"/>
          <w:rtl/>
        </w:rPr>
        <w:t>י</w:t>
      </w:r>
      <w:r w:rsidRPr="00632102">
        <w:rPr>
          <w:rtl/>
        </w:rPr>
        <w:t xml:space="preserve"> </w:t>
      </w:r>
      <w:r w:rsidRPr="00632102">
        <w:rPr>
          <w:rFonts w:hint="eastAsia"/>
          <w:rtl/>
        </w:rPr>
        <w:t>הקדוש</w:t>
      </w:r>
      <w:r w:rsidRPr="00632102">
        <w:rPr>
          <w:rtl/>
        </w:rPr>
        <w:t xml:space="preserve"> </w:t>
      </w:r>
      <w:r w:rsidRPr="00632102">
        <w:rPr>
          <w:rFonts w:hint="eastAsia"/>
          <w:rtl/>
        </w:rPr>
        <w:t>ז</w:t>
      </w:r>
      <w:r w:rsidRPr="00632102">
        <w:rPr>
          <w:rFonts w:hint="cs"/>
          <w:rtl/>
        </w:rPr>
        <w:t>"</w:t>
      </w:r>
      <w:r w:rsidRPr="00632102">
        <w:rPr>
          <w:rFonts w:hint="eastAsia"/>
          <w:rtl/>
        </w:rPr>
        <w:t>ל</w:t>
      </w:r>
      <w:r w:rsidRPr="00632102">
        <w:rPr>
          <w:rtl/>
        </w:rPr>
        <w:t xml:space="preserve"> </w:t>
      </w:r>
      <w:r w:rsidRPr="00632102">
        <w:rPr>
          <w:rFonts w:hint="eastAsia"/>
          <w:rtl/>
        </w:rPr>
        <w:t>זיע</w:t>
      </w:r>
      <w:r w:rsidRPr="00632102">
        <w:rPr>
          <w:rFonts w:hint="cs"/>
          <w:rtl/>
        </w:rPr>
        <w:t>"א</w:t>
      </w:r>
      <w:r w:rsidRPr="00632102">
        <w:rPr>
          <w:rtl/>
        </w:rPr>
        <w:t xml:space="preserve"> </w:t>
      </w:r>
      <w:r w:rsidRPr="00632102">
        <w:rPr>
          <w:rFonts w:hint="eastAsia"/>
          <w:rtl/>
        </w:rPr>
        <w:t>היה</w:t>
      </w:r>
      <w:r w:rsidRPr="00632102">
        <w:rPr>
          <w:rtl/>
        </w:rPr>
        <w:t xml:space="preserve"> </w:t>
      </w:r>
      <w:r w:rsidRPr="00632102">
        <w:rPr>
          <w:rFonts w:hint="eastAsia"/>
          <w:rtl/>
        </w:rPr>
        <w:t>שהל</w:t>
      </w:r>
      <w:r w:rsidRPr="00632102">
        <w:rPr>
          <w:rFonts w:hint="cs"/>
          <w:rtl/>
        </w:rPr>
        <w:t>ך</w:t>
      </w:r>
      <w:r w:rsidRPr="00632102">
        <w:rPr>
          <w:rtl/>
        </w:rPr>
        <w:t xml:space="preserve"> </w:t>
      </w:r>
      <w:r w:rsidRPr="00632102">
        <w:rPr>
          <w:rFonts w:hint="eastAsia"/>
          <w:rtl/>
        </w:rPr>
        <w:t>ללמוד</w:t>
      </w:r>
      <w:r w:rsidRPr="00632102">
        <w:rPr>
          <w:rtl/>
        </w:rPr>
        <w:t xml:space="preserve"> </w:t>
      </w:r>
      <w:r w:rsidRPr="00632102">
        <w:rPr>
          <w:rFonts w:hint="eastAsia"/>
          <w:rtl/>
        </w:rPr>
        <w:t>תורה</w:t>
      </w:r>
      <w:r w:rsidRPr="00632102">
        <w:rPr>
          <w:rtl/>
        </w:rPr>
        <w:t xml:space="preserve"> </w:t>
      </w:r>
      <w:r w:rsidRPr="00632102">
        <w:rPr>
          <w:rFonts w:hint="eastAsia"/>
          <w:rtl/>
        </w:rPr>
        <w:t>אל</w:t>
      </w:r>
      <w:r w:rsidRPr="00632102">
        <w:rPr>
          <w:rtl/>
        </w:rPr>
        <w:t xml:space="preserve"> </w:t>
      </w:r>
      <w:r w:rsidRPr="00632102">
        <w:rPr>
          <w:rFonts w:hint="eastAsia"/>
          <w:rtl/>
        </w:rPr>
        <w:t>השדה</w:t>
      </w:r>
      <w:r w:rsidRPr="00632102">
        <w:rPr>
          <w:rtl/>
        </w:rPr>
        <w:t xml:space="preserve"> </w:t>
      </w:r>
      <w:r w:rsidRPr="00632102">
        <w:rPr>
          <w:rFonts w:hint="eastAsia"/>
          <w:rtl/>
        </w:rPr>
        <w:t>ככתוב</w:t>
      </w:r>
      <w:r w:rsidRPr="00632102">
        <w:rPr>
          <w:rtl/>
        </w:rPr>
        <w:t xml:space="preserve"> </w:t>
      </w:r>
      <w:r w:rsidRPr="00632102">
        <w:rPr>
          <w:rFonts w:hint="eastAsia"/>
          <w:rtl/>
        </w:rPr>
        <w:t>בספר</w:t>
      </w:r>
      <w:r w:rsidRPr="00632102">
        <w:rPr>
          <w:rtl/>
        </w:rPr>
        <w:t xml:space="preserve"> </w:t>
      </w:r>
      <w:r w:rsidRPr="00632102">
        <w:rPr>
          <w:rFonts w:hint="eastAsia"/>
          <w:rtl/>
        </w:rPr>
        <w:t>שבחי</w:t>
      </w:r>
      <w:r w:rsidRPr="00632102">
        <w:rPr>
          <w:rtl/>
        </w:rPr>
        <w:t xml:space="preserve"> </w:t>
      </w:r>
      <w:r w:rsidRPr="00632102">
        <w:rPr>
          <w:rFonts w:hint="eastAsia"/>
          <w:rtl/>
        </w:rPr>
        <w:t>האר</w:t>
      </w:r>
      <w:r w:rsidRPr="00632102">
        <w:rPr>
          <w:rtl/>
        </w:rPr>
        <w:t>"</w:t>
      </w:r>
      <w:r w:rsidRPr="00632102">
        <w:rPr>
          <w:rFonts w:hint="eastAsia"/>
          <w:rtl/>
        </w:rPr>
        <w:t>י</w:t>
      </w:r>
      <w:r w:rsidRPr="00632102">
        <w:rPr>
          <w:rtl/>
        </w:rPr>
        <w:t xml:space="preserve"> </w:t>
      </w:r>
      <w:r w:rsidRPr="00632102">
        <w:rPr>
          <w:rFonts w:hint="eastAsia"/>
          <w:rtl/>
        </w:rPr>
        <w:t>ז</w:t>
      </w:r>
      <w:r w:rsidRPr="00632102">
        <w:rPr>
          <w:rFonts w:hint="cs"/>
          <w:rtl/>
        </w:rPr>
        <w:t>"</w:t>
      </w:r>
      <w:r w:rsidRPr="00632102">
        <w:rPr>
          <w:rFonts w:hint="eastAsia"/>
          <w:rtl/>
        </w:rPr>
        <w:t>ל</w:t>
      </w:r>
      <w:r w:rsidRPr="00632102">
        <w:rPr>
          <w:rFonts w:hint="cs"/>
          <w:rtl/>
        </w:rPr>
        <w:t>.</w:t>
      </w:r>
      <w:r w:rsidRPr="00632102">
        <w:rPr>
          <w:rtl/>
        </w:rPr>
        <w:t xml:space="preserve"> </w:t>
      </w:r>
      <w:r w:rsidRPr="00632102">
        <w:rPr>
          <w:rFonts w:hint="eastAsia"/>
          <w:rtl/>
        </w:rPr>
        <w:t>ומשמע</w:t>
      </w:r>
      <w:r w:rsidRPr="00632102">
        <w:rPr>
          <w:rtl/>
        </w:rPr>
        <w:t xml:space="preserve"> </w:t>
      </w:r>
      <w:r w:rsidRPr="00632102">
        <w:rPr>
          <w:rFonts w:hint="eastAsia"/>
          <w:rtl/>
        </w:rPr>
        <w:t>קצת</w:t>
      </w:r>
      <w:r w:rsidRPr="00632102">
        <w:rPr>
          <w:rtl/>
        </w:rPr>
        <w:t xml:space="preserve"> </w:t>
      </w:r>
      <w:r w:rsidRPr="00632102">
        <w:rPr>
          <w:rFonts w:hint="eastAsia"/>
          <w:rtl/>
        </w:rPr>
        <w:t>דאלו</w:t>
      </w:r>
      <w:r w:rsidRPr="00632102">
        <w:rPr>
          <w:rtl/>
        </w:rPr>
        <w:t xml:space="preserve"> </w:t>
      </w:r>
      <w:r w:rsidRPr="00632102">
        <w:rPr>
          <w:rFonts w:hint="eastAsia"/>
          <w:rtl/>
        </w:rPr>
        <w:t>הנשמות</w:t>
      </w:r>
      <w:r w:rsidRPr="00632102">
        <w:rPr>
          <w:rtl/>
        </w:rPr>
        <w:t xml:space="preserve"> </w:t>
      </w:r>
      <w:r w:rsidRPr="00632102">
        <w:rPr>
          <w:rFonts w:hint="eastAsia"/>
          <w:rtl/>
        </w:rPr>
        <w:t>לא</w:t>
      </w:r>
      <w:r w:rsidRPr="00632102">
        <w:rPr>
          <w:rtl/>
        </w:rPr>
        <w:t xml:space="preserve"> </w:t>
      </w:r>
      <w:r w:rsidRPr="00632102">
        <w:rPr>
          <w:rFonts w:hint="eastAsia"/>
          <w:rtl/>
        </w:rPr>
        <w:t>שכיחי</w:t>
      </w:r>
      <w:r w:rsidRPr="00632102">
        <w:rPr>
          <w:rtl/>
        </w:rPr>
        <w:t xml:space="preserve"> </w:t>
      </w:r>
      <w:r w:rsidRPr="00632102">
        <w:rPr>
          <w:rFonts w:hint="eastAsia"/>
          <w:rtl/>
        </w:rPr>
        <w:t>אלא</w:t>
      </w:r>
      <w:r w:rsidRPr="00632102">
        <w:rPr>
          <w:rtl/>
        </w:rPr>
        <w:t xml:space="preserve"> </w:t>
      </w:r>
      <w:r w:rsidRPr="00632102">
        <w:rPr>
          <w:rFonts w:hint="eastAsia"/>
          <w:rtl/>
        </w:rPr>
        <w:t>בשדות</w:t>
      </w:r>
      <w:r w:rsidRPr="00632102">
        <w:rPr>
          <w:rFonts w:hint="cs"/>
          <w:rtl/>
        </w:rPr>
        <w:t>.</w:t>
      </w:r>
      <w:r w:rsidRPr="00632102">
        <w:rPr>
          <w:rtl/>
        </w:rPr>
        <w:t xml:space="preserve"> </w:t>
      </w:r>
      <w:r w:rsidRPr="00632102">
        <w:rPr>
          <w:rFonts w:hint="eastAsia"/>
          <w:rtl/>
        </w:rPr>
        <w:t>הא</w:t>
      </w:r>
      <w:r w:rsidRPr="00632102">
        <w:rPr>
          <w:rtl/>
        </w:rPr>
        <w:t xml:space="preserve"> </w:t>
      </w:r>
      <w:r w:rsidRPr="00632102">
        <w:rPr>
          <w:rFonts w:hint="eastAsia"/>
          <w:rtl/>
        </w:rPr>
        <w:t>לא</w:t>
      </w:r>
      <w:r w:rsidRPr="00632102">
        <w:rPr>
          <w:rtl/>
        </w:rPr>
        <w:t xml:space="preserve"> </w:t>
      </w:r>
      <w:r w:rsidRPr="00632102">
        <w:rPr>
          <w:rFonts w:hint="eastAsia"/>
          <w:rtl/>
        </w:rPr>
        <w:t>מ</w:t>
      </w:r>
      <w:r w:rsidRPr="00632102">
        <w:rPr>
          <w:rFonts w:hint="cs"/>
          <w:rtl/>
        </w:rPr>
        <w:t>וכרח</w:t>
      </w:r>
      <w:r w:rsidRPr="00632102">
        <w:rPr>
          <w:rtl/>
        </w:rPr>
        <w:t xml:space="preserve"> </w:t>
      </w:r>
      <w:r w:rsidRPr="00632102">
        <w:rPr>
          <w:rFonts w:hint="eastAsia"/>
          <w:rtl/>
        </w:rPr>
        <w:t>מידי</w:t>
      </w:r>
      <w:r w:rsidRPr="00632102">
        <w:rPr>
          <w:rFonts w:hint="cs"/>
          <w:rtl/>
        </w:rPr>
        <w:t>,</w:t>
      </w:r>
      <w:r w:rsidRPr="00632102">
        <w:rPr>
          <w:rtl/>
        </w:rPr>
        <w:t xml:space="preserve"> </w:t>
      </w:r>
      <w:r w:rsidRPr="00632102">
        <w:rPr>
          <w:rFonts w:hint="eastAsia"/>
          <w:rtl/>
        </w:rPr>
        <w:t>די</w:t>
      </w:r>
      <w:r w:rsidRPr="00632102">
        <w:rPr>
          <w:rFonts w:hint="cs"/>
          <w:rtl/>
        </w:rPr>
        <w:t>"</w:t>
      </w:r>
      <w:r w:rsidRPr="00632102">
        <w:rPr>
          <w:rFonts w:hint="eastAsia"/>
          <w:rtl/>
        </w:rPr>
        <w:t>ל</w:t>
      </w:r>
      <w:r w:rsidRPr="00632102">
        <w:rPr>
          <w:rtl/>
        </w:rPr>
        <w:t xml:space="preserve"> </w:t>
      </w:r>
      <w:r w:rsidRPr="00632102">
        <w:rPr>
          <w:rFonts w:hint="eastAsia"/>
          <w:rtl/>
        </w:rPr>
        <w:t>דשאני</w:t>
      </w:r>
      <w:r w:rsidRPr="00632102">
        <w:rPr>
          <w:rtl/>
        </w:rPr>
        <w:t xml:space="preserve"> </w:t>
      </w:r>
      <w:r w:rsidRPr="00632102">
        <w:rPr>
          <w:rFonts w:hint="eastAsia"/>
          <w:rtl/>
        </w:rPr>
        <w:t>התם</w:t>
      </w:r>
      <w:r w:rsidRPr="00632102">
        <w:rPr>
          <w:rtl/>
        </w:rPr>
        <w:t xml:space="preserve"> </w:t>
      </w:r>
      <w:r w:rsidRPr="00632102">
        <w:rPr>
          <w:rFonts w:hint="eastAsia"/>
          <w:rtl/>
        </w:rPr>
        <w:t>דהנשמות</w:t>
      </w:r>
      <w:r w:rsidRPr="00632102">
        <w:rPr>
          <w:rtl/>
        </w:rPr>
        <w:t xml:space="preserve"> </w:t>
      </w:r>
      <w:r w:rsidRPr="00632102">
        <w:rPr>
          <w:rFonts w:hint="eastAsia"/>
          <w:rtl/>
        </w:rPr>
        <w:t>ההם</w:t>
      </w:r>
      <w:r w:rsidRPr="00632102">
        <w:rPr>
          <w:rtl/>
        </w:rPr>
        <w:t xml:space="preserve"> </w:t>
      </w:r>
      <w:r w:rsidRPr="00632102">
        <w:rPr>
          <w:rFonts w:hint="eastAsia"/>
          <w:rtl/>
        </w:rPr>
        <w:t>שמעו</w:t>
      </w:r>
      <w:r w:rsidRPr="00632102">
        <w:rPr>
          <w:rtl/>
        </w:rPr>
        <w:t xml:space="preserve"> </w:t>
      </w:r>
      <w:r w:rsidRPr="00632102">
        <w:rPr>
          <w:rFonts w:hint="eastAsia"/>
          <w:rtl/>
        </w:rPr>
        <w:t>בת</w:t>
      </w:r>
      <w:r w:rsidRPr="00632102">
        <w:rPr>
          <w:rtl/>
        </w:rPr>
        <w:t xml:space="preserve"> </w:t>
      </w:r>
      <w:r w:rsidRPr="00632102">
        <w:rPr>
          <w:rFonts w:hint="eastAsia"/>
          <w:rtl/>
        </w:rPr>
        <w:t>קול</w:t>
      </w:r>
      <w:r w:rsidRPr="00632102">
        <w:rPr>
          <w:rtl/>
        </w:rPr>
        <w:t xml:space="preserve"> </w:t>
      </w:r>
      <w:r w:rsidRPr="00632102">
        <w:rPr>
          <w:rFonts w:hint="eastAsia"/>
          <w:rtl/>
        </w:rPr>
        <w:t>בשמים</w:t>
      </w:r>
      <w:r w:rsidRPr="00632102">
        <w:rPr>
          <w:rtl/>
        </w:rPr>
        <w:t xml:space="preserve"> </w:t>
      </w:r>
      <w:r w:rsidRPr="00632102">
        <w:rPr>
          <w:rFonts w:hint="eastAsia"/>
          <w:rtl/>
        </w:rPr>
        <w:t>שהרב</w:t>
      </w:r>
      <w:r w:rsidRPr="00632102">
        <w:rPr>
          <w:rtl/>
        </w:rPr>
        <w:t xml:space="preserve"> </w:t>
      </w:r>
      <w:r w:rsidRPr="00632102">
        <w:rPr>
          <w:rFonts w:hint="eastAsia"/>
          <w:rtl/>
        </w:rPr>
        <w:t>ז</w:t>
      </w:r>
      <w:r w:rsidRPr="00632102">
        <w:rPr>
          <w:rtl/>
        </w:rPr>
        <w:t>"</w:t>
      </w:r>
      <w:r w:rsidRPr="00632102">
        <w:rPr>
          <w:rFonts w:hint="eastAsia"/>
          <w:rtl/>
        </w:rPr>
        <w:t>ל</w:t>
      </w:r>
      <w:r w:rsidRPr="00632102">
        <w:rPr>
          <w:rtl/>
        </w:rPr>
        <w:t xml:space="preserve"> </w:t>
      </w:r>
      <w:r w:rsidRPr="00632102">
        <w:rPr>
          <w:rFonts w:hint="eastAsia"/>
          <w:rtl/>
        </w:rPr>
        <w:t>היה</w:t>
      </w:r>
      <w:r w:rsidRPr="00632102">
        <w:rPr>
          <w:rtl/>
        </w:rPr>
        <w:t xml:space="preserve"> </w:t>
      </w:r>
      <w:r w:rsidRPr="00632102">
        <w:rPr>
          <w:rFonts w:hint="eastAsia"/>
          <w:rtl/>
        </w:rPr>
        <w:t>כח</w:t>
      </w:r>
      <w:r w:rsidRPr="00632102">
        <w:rPr>
          <w:rtl/>
        </w:rPr>
        <w:t xml:space="preserve"> </w:t>
      </w:r>
      <w:r w:rsidRPr="00632102">
        <w:rPr>
          <w:rFonts w:hint="eastAsia"/>
          <w:rtl/>
        </w:rPr>
        <w:t>בידו</w:t>
      </w:r>
      <w:r w:rsidRPr="00632102">
        <w:rPr>
          <w:rtl/>
        </w:rPr>
        <w:t xml:space="preserve"> </w:t>
      </w:r>
      <w:r w:rsidRPr="00632102">
        <w:rPr>
          <w:rFonts w:hint="eastAsia"/>
          <w:rtl/>
        </w:rPr>
        <w:t>לתקנם</w:t>
      </w:r>
      <w:r w:rsidRPr="00632102">
        <w:rPr>
          <w:rFonts w:hint="cs"/>
          <w:rtl/>
        </w:rPr>
        <w:t>,</w:t>
      </w:r>
      <w:r w:rsidRPr="00632102">
        <w:rPr>
          <w:rtl/>
        </w:rPr>
        <w:t xml:space="preserve"> </w:t>
      </w:r>
      <w:r w:rsidRPr="00632102">
        <w:rPr>
          <w:rFonts w:hint="eastAsia"/>
          <w:rtl/>
        </w:rPr>
        <w:t>ועל</w:t>
      </w:r>
      <w:r w:rsidRPr="00632102">
        <w:rPr>
          <w:rtl/>
        </w:rPr>
        <w:t xml:space="preserve"> </w:t>
      </w:r>
      <w:r w:rsidRPr="00632102">
        <w:rPr>
          <w:rFonts w:hint="eastAsia"/>
          <w:rtl/>
        </w:rPr>
        <w:t>כן</w:t>
      </w:r>
      <w:r w:rsidRPr="00632102">
        <w:rPr>
          <w:rtl/>
        </w:rPr>
        <w:t xml:space="preserve"> </w:t>
      </w:r>
      <w:r w:rsidRPr="00632102">
        <w:rPr>
          <w:rFonts w:hint="eastAsia"/>
          <w:rtl/>
        </w:rPr>
        <w:t>כולם</w:t>
      </w:r>
      <w:r w:rsidRPr="00632102">
        <w:rPr>
          <w:rtl/>
        </w:rPr>
        <w:t xml:space="preserve"> </w:t>
      </w:r>
      <w:r w:rsidRPr="00632102">
        <w:rPr>
          <w:rFonts w:hint="eastAsia"/>
          <w:rtl/>
        </w:rPr>
        <w:t>נקבצו</w:t>
      </w:r>
      <w:r w:rsidRPr="00632102">
        <w:rPr>
          <w:rtl/>
        </w:rPr>
        <w:t xml:space="preserve"> </w:t>
      </w:r>
      <w:r w:rsidRPr="00632102">
        <w:rPr>
          <w:rFonts w:hint="eastAsia"/>
          <w:rtl/>
        </w:rPr>
        <w:t>באו</w:t>
      </w:r>
      <w:r w:rsidRPr="00632102">
        <w:rPr>
          <w:rtl/>
        </w:rPr>
        <w:t xml:space="preserve"> </w:t>
      </w:r>
      <w:r w:rsidRPr="00632102">
        <w:rPr>
          <w:rFonts w:hint="eastAsia"/>
          <w:rtl/>
        </w:rPr>
        <w:t>אצל</w:t>
      </w:r>
      <w:r w:rsidRPr="00632102">
        <w:rPr>
          <w:rtl/>
        </w:rPr>
        <w:t xml:space="preserve"> </w:t>
      </w:r>
      <w:r w:rsidRPr="00632102">
        <w:rPr>
          <w:rFonts w:hint="eastAsia"/>
          <w:rtl/>
        </w:rPr>
        <w:t>הרב</w:t>
      </w:r>
      <w:r w:rsidRPr="00632102">
        <w:rPr>
          <w:rtl/>
        </w:rPr>
        <w:t xml:space="preserve"> </w:t>
      </w:r>
      <w:r w:rsidRPr="00632102">
        <w:rPr>
          <w:rFonts w:hint="eastAsia"/>
          <w:rtl/>
        </w:rPr>
        <w:t>ז</w:t>
      </w:r>
      <w:r w:rsidRPr="00632102">
        <w:rPr>
          <w:rtl/>
        </w:rPr>
        <w:t>"</w:t>
      </w:r>
      <w:r w:rsidRPr="00632102">
        <w:rPr>
          <w:rFonts w:hint="eastAsia"/>
          <w:rtl/>
        </w:rPr>
        <w:t>ל</w:t>
      </w:r>
      <w:r w:rsidRPr="00632102">
        <w:rPr>
          <w:rtl/>
        </w:rPr>
        <w:t xml:space="preserve"> </w:t>
      </w:r>
      <w:r w:rsidRPr="00632102">
        <w:rPr>
          <w:rFonts w:hint="eastAsia"/>
          <w:rtl/>
        </w:rPr>
        <w:t>שיתקנם</w:t>
      </w:r>
      <w:r w:rsidRPr="00632102">
        <w:rPr>
          <w:rtl/>
        </w:rPr>
        <w:t xml:space="preserve"> </w:t>
      </w:r>
      <w:r w:rsidRPr="00632102">
        <w:rPr>
          <w:rFonts w:hint="eastAsia"/>
          <w:rtl/>
        </w:rPr>
        <w:t>כיע</w:t>
      </w:r>
      <w:r w:rsidRPr="00632102">
        <w:rPr>
          <w:rtl/>
        </w:rPr>
        <w:t>"</w:t>
      </w:r>
      <w:r w:rsidRPr="00632102">
        <w:rPr>
          <w:rFonts w:hint="eastAsia"/>
          <w:rtl/>
        </w:rPr>
        <w:t>ש</w:t>
      </w:r>
      <w:r w:rsidRPr="00632102">
        <w:rPr>
          <w:rFonts w:hint="cs"/>
          <w:rtl/>
        </w:rPr>
        <w:t>.</w:t>
      </w:r>
      <w:r w:rsidRPr="00632102">
        <w:rPr>
          <w:rtl/>
        </w:rPr>
        <w:t xml:space="preserve"> </w:t>
      </w:r>
      <w:r w:rsidRPr="00632102">
        <w:rPr>
          <w:rFonts w:hint="eastAsia"/>
          <w:rtl/>
        </w:rPr>
        <w:t>וכיון</w:t>
      </w:r>
      <w:r w:rsidRPr="00632102">
        <w:rPr>
          <w:rtl/>
        </w:rPr>
        <w:t xml:space="preserve"> </w:t>
      </w:r>
      <w:r w:rsidRPr="00632102">
        <w:rPr>
          <w:rFonts w:hint="eastAsia"/>
          <w:rtl/>
        </w:rPr>
        <w:t>שהרב</w:t>
      </w:r>
      <w:r w:rsidRPr="00632102">
        <w:rPr>
          <w:rtl/>
        </w:rPr>
        <w:t xml:space="preserve"> </w:t>
      </w:r>
      <w:r w:rsidRPr="00632102">
        <w:rPr>
          <w:rFonts w:hint="eastAsia"/>
          <w:rtl/>
        </w:rPr>
        <w:t>ז</w:t>
      </w:r>
      <w:r w:rsidRPr="00632102">
        <w:rPr>
          <w:rtl/>
        </w:rPr>
        <w:t>"</w:t>
      </w:r>
      <w:r w:rsidRPr="00632102">
        <w:rPr>
          <w:rFonts w:hint="eastAsia"/>
          <w:rtl/>
        </w:rPr>
        <w:t>ל</w:t>
      </w:r>
      <w:r w:rsidRPr="00632102">
        <w:rPr>
          <w:rtl/>
        </w:rPr>
        <w:t xml:space="preserve"> </w:t>
      </w:r>
      <w:r w:rsidRPr="00632102">
        <w:rPr>
          <w:rFonts w:hint="eastAsia"/>
          <w:rtl/>
        </w:rPr>
        <w:t>הואיל</w:t>
      </w:r>
      <w:r w:rsidRPr="00632102">
        <w:rPr>
          <w:rtl/>
        </w:rPr>
        <w:t xml:space="preserve"> </w:t>
      </w:r>
      <w:r w:rsidRPr="00632102">
        <w:rPr>
          <w:rFonts w:hint="eastAsia"/>
          <w:rtl/>
        </w:rPr>
        <w:t>הלך</w:t>
      </w:r>
      <w:r w:rsidRPr="00632102">
        <w:rPr>
          <w:rtl/>
        </w:rPr>
        <w:t xml:space="preserve"> </w:t>
      </w:r>
      <w:r w:rsidRPr="00632102">
        <w:rPr>
          <w:rFonts w:hint="eastAsia"/>
          <w:rtl/>
        </w:rPr>
        <w:t>לשדה</w:t>
      </w:r>
      <w:r w:rsidRPr="00632102">
        <w:rPr>
          <w:rtl/>
        </w:rPr>
        <w:t xml:space="preserve"> </w:t>
      </w:r>
      <w:r w:rsidRPr="00632102">
        <w:rPr>
          <w:rFonts w:hint="eastAsia"/>
          <w:rtl/>
        </w:rPr>
        <w:t>הלכו</w:t>
      </w:r>
      <w:r w:rsidRPr="00632102">
        <w:rPr>
          <w:rtl/>
        </w:rPr>
        <w:t xml:space="preserve"> </w:t>
      </w:r>
      <w:r w:rsidRPr="00632102">
        <w:rPr>
          <w:rFonts w:hint="eastAsia"/>
          <w:rtl/>
        </w:rPr>
        <w:t>אחריו</w:t>
      </w:r>
      <w:r w:rsidRPr="00632102">
        <w:rPr>
          <w:rFonts w:hint="cs"/>
          <w:rtl/>
        </w:rPr>
        <w:t>.</w:t>
      </w:r>
      <w:r w:rsidRPr="00632102">
        <w:rPr>
          <w:rtl/>
        </w:rPr>
        <w:t xml:space="preserve"> </w:t>
      </w:r>
      <w:r w:rsidRPr="00632102">
        <w:rPr>
          <w:rFonts w:hint="eastAsia"/>
          <w:rtl/>
        </w:rPr>
        <w:t>אבל</w:t>
      </w:r>
      <w:r w:rsidRPr="00632102">
        <w:rPr>
          <w:rtl/>
        </w:rPr>
        <w:t xml:space="preserve"> </w:t>
      </w:r>
      <w:r w:rsidRPr="00632102">
        <w:rPr>
          <w:rFonts w:hint="eastAsia"/>
          <w:rtl/>
        </w:rPr>
        <w:t>אה</w:t>
      </w:r>
      <w:r w:rsidRPr="00632102">
        <w:rPr>
          <w:rtl/>
        </w:rPr>
        <w:t>"</w:t>
      </w:r>
      <w:r w:rsidRPr="00632102">
        <w:rPr>
          <w:rFonts w:hint="eastAsia"/>
          <w:rtl/>
        </w:rPr>
        <w:t>נ</w:t>
      </w:r>
      <w:r w:rsidRPr="00632102">
        <w:rPr>
          <w:rtl/>
        </w:rPr>
        <w:t xml:space="preserve"> </w:t>
      </w:r>
      <w:r w:rsidRPr="00632102">
        <w:rPr>
          <w:rFonts w:hint="eastAsia"/>
          <w:rtl/>
        </w:rPr>
        <w:t>דבכל</w:t>
      </w:r>
      <w:r w:rsidRPr="00632102">
        <w:rPr>
          <w:rtl/>
        </w:rPr>
        <w:t xml:space="preserve"> </w:t>
      </w:r>
      <w:r w:rsidRPr="00632102">
        <w:rPr>
          <w:rFonts w:hint="eastAsia"/>
          <w:rtl/>
        </w:rPr>
        <w:t>המקומות</w:t>
      </w:r>
      <w:r w:rsidRPr="00632102">
        <w:rPr>
          <w:rtl/>
        </w:rPr>
        <w:t xml:space="preserve"> </w:t>
      </w:r>
      <w:r w:rsidRPr="00632102">
        <w:rPr>
          <w:rFonts w:hint="eastAsia"/>
          <w:rtl/>
        </w:rPr>
        <w:t>שנטועים</w:t>
      </w:r>
      <w:r w:rsidRPr="00632102">
        <w:rPr>
          <w:rtl/>
        </w:rPr>
        <w:t xml:space="preserve"> </w:t>
      </w:r>
      <w:r w:rsidRPr="00632102">
        <w:rPr>
          <w:rFonts w:hint="eastAsia"/>
          <w:rtl/>
        </w:rPr>
        <w:t>בו</w:t>
      </w:r>
      <w:r w:rsidRPr="00632102">
        <w:rPr>
          <w:rtl/>
        </w:rPr>
        <w:t xml:space="preserve"> </w:t>
      </w:r>
      <w:r w:rsidRPr="00632102">
        <w:rPr>
          <w:rFonts w:hint="eastAsia"/>
          <w:rtl/>
        </w:rPr>
        <w:t>אילנות</w:t>
      </w:r>
      <w:r w:rsidRPr="00632102">
        <w:rPr>
          <w:rtl/>
        </w:rPr>
        <w:t xml:space="preserve"> </w:t>
      </w:r>
      <w:r w:rsidRPr="00632102">
        <w:rPr>
          <w:rFonts w:hint="eastAsia"/>
          <w:rtl/>
        </w:rPr>
        <w:t>אפילו</w:t>
      </w:r>
      <w:r w:rsidRPr="00632102">
        <w:rPr>
          <w:rtl/>
        </w:rPr>
        <w:t xml:space="preserve"> </w:t>
      </w:r>
      <w:r w:rsidRPr="00632102">
        <w:rPr>
          <w:rFonts w:hint="eastAsia"/>
          <w:rtl/>
        </w:rPr>
        <w:t>בתוך</w:t>
      </w:r>
      <w:r w:rsidRPr="00632102">
        <w:rPr>
          <w:rFonts w:hint="cs"/>
          <w:rtl/>
        </w:rPr>
        <w:t xml:space="preserve"> </w:t>
      </w:r>
      <w:r w:rsidRPr="00632102">
        <w:rPr>
          <w:rFonts w:hint="eastAsia"/>
          <w:rtl/>
        </w:rPr>
        <w:t>העיר</w:t>
      </w:r>
      <w:r w:rsidRPr="00632102">
        <w:rPr>
          <w:rtl/>
        </w:rPr>
        <w:t xml:space="preserve"> </w:t>
      </w:r>
      <w:r w:rsidRPr="00632102">
        <w:rPr>
          <w:rFonts w:hint="eastAsia"/>
          <w:rtl/>
        </w:rPr>
        <w:t>עבידי</w:t>
      </w:r>
      <w:r w:rsidRPr="00632102">
        <w:rPr>
          <w:rtl/>
        </w:rPr>
        <w:t xml:space="preserve"> </w:t>
      </w:r>
      <w:r w:rsidRPr="00632102">
        <w:rPr>
          <w:rFonts w:hint="eastAsia"/>
          <w:rtl/>
        </w:rPr>
        <w:t>דאתו</w:t>
      </w:r>
      <w:r w:rsidRPr="00632102">
        <w:rPr>
          <w:rtl/>
        </w:rPr>
        <w:t xml:space="preserve"> </w:t>
      </w:r>
      <w:r w:rsidRPr="00632102">
        <w:rPr>
          <w:rFonts w:hint="eastAsia"/>
          <w:rtl/>
        </w:rPr>
        <w:t>אותן</w:t>
      </w:r>
      <w:r w:rsidRPr="00632102">
        <w:rPr>
          <w:rtl/>
        </w:rPr>
        <w:t xml:space="preserve"> </w:t>
      </w:r>
      <w:r w:rsidRPr="00632102">
        <w:rPr>
          <w:rFonts w:hint="eastAsia"/>
          <w:rtl/>
        </w:rPr>
        <w:t>הנשמות</w:t>
      </w:r>
      <w:r w:rsidRPr="00632102">
        <w:rPr>
          <w:rtl/>
        </w:rPr>
        <w:t xml:space="preserve"> </w:t>
      </w:r>
      <w:r w:rsidRPr="00632102">
        <w:rPr>
          <w:rFonts w:hint="eastAsia"/>
          <w:rtl/>
        </w:rPr>
        <w:t>אולי</w:t>
      </w:r>
      <w:r w:rsidRPr="00632102">
        <w:rPr>
          <w:rtl/>
        </w:rPr>
        <w:t xml:space="preserve"> </w:t>
      </w:r>
      <w:r w:rsidRPr="00632102">
        <w:rPr>
          <w:rFonts w:hint="eastAsia"/>
          <w:rtl/>
        </w:rPr>
        <w:t>יתוקנו</w:t>
      </w:r>
      <w:r w:rsidRPr="00632102">
        <w:rPr>
          <w:rtl/>
        </w:rPr>
        <w:t xml:space="preserve"> </w:t>
      </w:r>
      <w:r w:rsidRPr="00632102">
        <w:rPr>
          <w:rFonts w:hint="eastAsia"/>
          <w:rtl/>
        </w:rPr>
        <w:t>ע</w:t>
      </w:r>
      <w:r w:rsidRPr="00632102">
        <w:rPr>
          <w:rtl/>
        </w:rPr>
        <w:t>"</w:t>
      </w:r>
      <w:r w:rsidRPr="00632102">
        <w:rPr>
          <w:rFonts w:hint="eastAsia"/>
          <w:rtl/>
        </w:rPr>
        <w:t>י</w:t>
      </w:r>
      <w:r w:rsidRPr="00632102">
        <w:rPr>
          <w:rtl/>
        </w:rPr>
        <w:t xml:space="preserve"> </w:t>
      </w:r>
      <w:r w:rsidRPr="00632102">
        <w:rPr>
          <w:rFonts w:hint="eastAsia"/>
          <w:rtl/>
        </w:rPr>
        <w:t>הברכה</w:t>
      </w:r>
      <w:r w:rsidRPr="00632102">
        <w:rPr>
          <w:rtl/>
        </w:rPr>
        <w:t xml:space="preserve"> </w:t>
      </w:r>
      <w:r w:rsidRPr="00632102">
        <w:rPr>
          <w:rFonts w:hint="eastAsia"/>
          <w:rtl/>
        </w:rPr>
        <w:t>בכוונה</w:t>
      </w:r>
      <w:r w:rsidRPr="00632102">
        <w:rPr>
          <w:rFonts w:hint="cs"/>
          <w:rtl/>
        </w:rPr>
        <w:t>,</w:t>
      </w:r>
      <w:r w:rsidRPr="00632102">
        <w:rPr>
          <w:rtl/>
        </w:rPr>
        <w:t xml:space="preserve"> </w:t>
      </w:r>
      <w:r w:rsidRPr="00632102">
        <w:rPr>
          <w:rFonts w:hint="eastAsia"/>
          <w:rtl/>
        </w:rPr>
        <w:t>דמאן</w:t>
      </w:r>
      <w:r w:rsidRPr="00632102">
        <w:rPr>
          <w:rtl/>
        </w:rPr>
        <w:t xml:space="preserve"> </w:t>
      </w:r>
      <w:r w:rsidRPr="00632102">
        <w:rPr>
          <w:rFonts w:hint="eastAsia"/>
          <w:rtl/>
        </w:rPr>
        <w:t>פלג</w:t>
      </w:r>
      <w:r w:rsidRPr="00632102">
        <w:rPr>
          <w:rtl/>
        </w:rPr>
        <w:t xml:space="preserve"> </w:t>
      </w:r>
      <w:r w:rsidRPr="00632102">
        <w:rPr>
          <w:rFonts w:hint="cs"/>
          <w:rtl/>
        </w:rPr>
        <w:t>לן, ו</w:t>
      </w:r>
      <w:r w:rsidRPr="00632102">
        <w:rPr>
          <w:rFonts w:hint="eastAsia"/>
          <w:rtl/>
        </w:rPr>
        <w:t>ל</w:t>
      </w:r>
      <w:r w:rsidRPr="00632102">
        <w:rPr>
          <w:rFonts w:hint="cs"/>
          <w:rtl/>
        </w:rPr>
        <w:t>כ</w:t>
      </w:r>
      <w:r w:rsidRPr="00632102">
        <w:rPr>
          <w:rFonts w:hint="eastAsia"/>
          <w:rtl/>
        </w:rPr>
        <w:t>ן</w:t>
      </w:r>
      <w:r w:rsidRPr="00632102">
        <w:rPr>
          <w:rtl/>
        </w:rPr>
        <w:t xml:space="preserve"> </w:t>
      </w:r>
      <w:r w:rsidRPr="00632102">
        <w:rPr>
          <w:rFonts w:hint="eastAsia"/>
          <w:rtl/>
        </w:rPr>
        <w:t>שפיר</w:t>
      </w:r>
      <w:r w:rsidRPr="00632102">
        <w:rPr>
          <w:rtl/>
        </w:rPr>
        <w:t xml:space="preserve"> </w:t>
      </w:r>
      <w:r w:rsidRPr="00632102">
        <w:rPr>
          <w:rFonts w:hint="eastAsia"/>
          <w:rtl/>
        </w:rPr>
        <w:t>קאמר</w:t>
      </w:r>
      <w:r w:rsidRPr="00632102">
        <w:rPr>
          <w:rtl/>
        </w:rPr>
        <w:t xml:space="preserve"> </w:t>
      </w:r>
      <w:r w:rsidRPr="00632102">
        <w:rPr>
          <w:rFonts w:hint="eastAsia"/>
          <w:rtl/>
        </w:rPr>
        <w:t>הרב</w:t>
      </w:r>
      <w:r w:rsidRPr="00632102">
        <w:rPr>
          <w:rtl/>
        </w:rPr>
        <w:t xml:space="preserve"> </w:t>
      </w:r>
      <w:r w:rsidRPr="00632102">
        <w:rPr>
          <w:rFonts w:hint="eastAsia"/>
          <w:rtl/>
        </w:rPr>
        <w:t>מעשה</w:t>
      </w:r>
      <w:r w:rsidRPr="00632102">
        <w:rPr>
          <w:rtl/>
        </w:rPr>
        <w:t xml:space="preserve"> </w:t>
      </w:r>
      <w:r w:rsidRPr="00632102">
        <w:rPr>
          <w:rFonts w:hint="eastAsia"/>
          <w:rtl/>
        </w:rPr>
        <w:t>ר</w:t>
      </w:r>
      <w:r w:rsidRPr="00632102">
        <w:rPr>
          <w:rFonts w:hint="cs"/>
          <w:rtl/>
        </w:rPr>
        <w:t>ו</w:t>
      </w:r>
      <w:r w:rsidRPr="00632102">
        <w:rPr>
          <w:rFonts w:hint="eastAsia"/>
          <w:rtl/>
        </w:rPr>
        <w:t>קח</w:t>
      </w:r>
      <w:r w:rsidRPr="00632102">
        <w:rPr>
          <w:rtl/>
        </w:rPr>
        <w:t xml:space="preserve"> </w:t>
      </w:r>
      <w:r w:rsidRPr="00632102">
        <w:rPr>
          <w:rFonts w:hint="eastAsia"/>
          <w:rtl/>
        </w:rPr>
        <w:t>ז</w:t>
      </w:r>
      <w:r w:rsidRPr="00632102">
        <w:rPr>
          <w:rFonts w:hint="cs"/>
          <w:rtl/>
        </w:rPr>
        <w:t>"</w:t>
      </w:r>
      <w:r w:rsidRPr="00632102">
        <w:rPr>
          <w:rFonts w:hint="eastAsia"/>
          <w:rtl/>
        </w:rPr>
        <w:t>ל</w:t>
      </w:r>
      <w:r w:rsidRPr="00632102">
        <w:rPr>
          <w:rtl/>
        </w:rPr>
        <w:t xml:space="preserve"> </w:t>
      </w:r>
      <w:r w:rsidRPr="00632102">
        <w:rPr>
          <w:rFonts w:hint="eastAsia"/>
          <w:rtl/>
        </w:rPr>
        <w:t>דדברו</w:t>
      </w:r>
      <w:r w:rsidRPr="00632102">
        <w:rPr>
          <w:rtl/>
        </w:rPr>
        <w:t xml:space="preserve"> </w:t>
      </w:r>
      <w:r w:rsidRPr="00632102">
        <w:rPr>
          <w:rFonts w:hint="eastAsia"/>
          <w:rtl/>
        </w:rPr>
        <w:t>בהווה</w:t>
      </w:r>
      <w:r w:rsidRPr="00632102">
        <w:rPr>
          <w:rtl/>
        </w:rPr>
        <w:t xml:space="preserve"> </w:t>
      </w:r>
      <w:r w:rsidRPr="00632102">
        <w:rPr>
          <w:rFonts w:hint="eastAsia"/>
          <w:rtl/>
        </w:rPr>
        <w:t>ומצו</w:t>
      </w:r>
      <w:r w:rsidRPr="00632102">
        <w:rPr>
          <w:rtl/>
        </w:rPr>
        <w:t xml:space="preserve"> </w:t>
      </w:r>
      <w:r w:rsidRPr="00632102">
        <w:rPr>
          <w:rFonts w:hint="eastAsia"/>
          <w:rtl/>
        </w:rPr>
        <w:t>לברוכי</w:t>
      </w:r>
      <w:r w:rsidRPr="00632102">
        <w:rPr>
          <w:rtl/>
        </w:rPr>
        <w:t xml:space="preserve"> </w:t>
      </w:r>
      <w:r w:rsidRPr="00632102">
        <w:rPr>
          <w:rFonts w:hint="eastAsia"/>
          <w:rtl/>
        </w:rPr>
        <w:t>על</w:t>
      </w:r>
      <w:r w:rsidRPr="00632102">
        <w:rPr>
          <w:rtl/>
        </w:rPr>
        <w:t xml:space="preserve"> </w:t>
      </w:r>
      <w:r w:rsidRPr="00632102">
        <w:rPr>
          <w:rFonts w:hint="eastAsia"/>
          <w:rtl/>
        </w:rPr>
        <w:t>אילנות</w:t>
      </w:r>
      <w:r w:rsidRPr="00632102">
        <w:rPr>
          <w:rtl/>
        </w:rPr>
        <w:t xml:space="preserve"> </w:t>
      </w:r>
      <w:r w:rsidRPr="00632102">
        <w:rPr>
          <w:rFonts w:hint="eastAsia"/>
          <w:rtl/>
        </w:rPr>
        <w:t>פורחי</w:t>
      </w:r>
      <w:r w:rsidRPr="00632102">
        <w:rPr>
          <w:rFonts w:hint="cs"/>
          <w:rtl/>
        </w:rPr>
        <w:t>ן</w:t>
      </w:r>
      <w:r w:rsidRPr="00632102">
        <w:rPr>
          <w:rtl/>
        </w:rPr>
        <w:t xml:space="preserve"> </w:t>
      </w:r>
      <w:r w:rsidRPr="00632102">
        <w:rPr>
          <w:rFonts w:hint="eastAsia"/>
          <w:rtl/>
        </w:rPr>
        <w:t>שבתו</w:t>
      </w:r>
      <w:r w:rsidRPr="00632102">
        <w:rPr>
          <w:rFonts w:hint="cs"/>
          <w:rtl/>
        </w:rPr>
        <w:t>ך</w:t>
      </w:r>
      <w:r w:rsidRPr="00632102">
        <w:rPr>
          <w:rtl/>
        </w:rPr>
        <w:t xml:space="preserve"> </w:t>
      </w:r>
      <w:r w:rsidRPr="00632102">
        <w:rPr>
          <w:rFonts w:hint="eastAsia"/>
          <w:rtl/>
        </w:rPr>
        <w:t>העיר</w:t>
      </w:r>
      <w:r w:rsidRPr="00632102">
        <w:rPr>
          <w:rFonts w:hint="cs"/>
          <w:rtl/>
        </w:rPr>
        <w:t>,</w:t>
      </w:r>
      <w:r w:rsidRPr="00632102">
        <w:rPr>
          <w:rtl/>
        </w:rPr>
        <w:t xml:space="preserve"> </w:t>
      </w:r>
      <w:r w:rsidRPr="00632102">
        <w:rPr>
          <w:rFonts w:hint="eastAsia"/>
          <w:rtl/>
        </w:rPr>
        <w:t>וכמשמעות</w:t>
      </w:r>
      <w:r w:rsidRPr="00632102">
        <w:rPr>
          <w:rtl/>
        </w:rPr>
        <w:t xml:space="preserve"> </w:t>
      </w:r>
      <w:r w:rsidRPr="00632102">
        <w:rPr>
          <w:rFonts w:hint="eastAsia"/>
          <w:rtl/>
        </w:rPr>
        <w:t>לשו</w:t>
      </w:r>
      <w:r w:rsidRPr="00632102">
        <w:rPr>
          <w:rFonts w:hint="cs"/>
          <w:rtl/>
        </w:rPr>
        <w:t>ן מוהר"ד אבודרהם והרב חיי אדם ושאר הפוסקים הנזכר ז"ל</w:t>
      </w:r>
      <w:r>
        <w:rPr>
          <w:rFonts w:hint="cs"/>
          <w:rtl/>
        </w:rPr>
        <w:t>"</w:t>
      </w:r>
      <w:r w:rsidRPr="00632102">
        <w:rPr>
          <w:rFonts w:hint="cs"/>
          <w:rtl/>
        </w:rPr>
        <w:t>.</w:t>
      </w:r>
    </w:p>
    <w:p w:rsidR="004C1858" w:rsidRPr="00632102" w:rsidRDefault="004C1858" w:rsidP="004B0C42">
      <w:pPr>
        <w:pStyle w:val="a3"/>
        <w:rPr>
          <w:rtl/>
        </w:rPr>
      </w:pPr>
      <w:r w:rsidRPr="00632102">
        <w:rPr>
          <w:rFonts w:hint="cs"/>
          <w:rtl/>
        </w:rPr>
        <w:t xml:space="preserve">וכך היה המנהג לפועל </w:t>
      </w:r>
      <w:r>
        <w:rPr>
          <w:rFonts w:hint="cs"/>
          <w:rtl/>
        </w:rPr>
        <w:t xml:space="preserve">מאז ומקדם </w:t>
      </w:r>
      <w:r w:rsidRPr="00632102">
        <w:rPr>
          <w:rFonts w:hint="cs"/>
          <w:rtl/>
        </w:rPr>
        <w:t>כפי ש</w:t>
      </w:r>
      <w:r>
        <w:rPr>
          <w:rFonts w:hint="cs"/>
          <w:rtl/>
        </w:rPr>
        <w:t>העיד</w:t>
      </w:r>
      <w:r w:rsidRPr="00632102">
        <w:rPr>
          <w:rFonts w:hint="cs"/>
          <w:rtl/>
        </w:rPr>
        <w:t xml:space="preserve"> הגר"ח פלאג'י במועד לכל חי (סי' א ס"ז) "</w:t>
      </w:r>
      <w:r w:rsidRPr="00632102">
        <w:rPr>
          <w:rFonts w:hint="eastAsia"/>
          <w:rtl/>
        </w:rPr>
        <w:t>דכדברי</w:t>
      </w:r>
      <w:r w:rsidRPr="00632102">
        <w:rPr>
          <w:rtl/>
        </w:rPr>
        <w:t xml:space="preserve"> </w:t>
      </w:r>
      <w:r w:rsidRPr="00632102">
        <w:rPr>
          <w:rFonts w:hint="eastAsia"/>
          <w:rtl/>
        </w:rPr>
        <w:t>הרב</w:t>
      </w:r>
      <w:r w:rsidRPr="00632102">
        <w:rPr>
          <w:rtl/>
        </w:rPr>
        <w:t xml:space="preserve"> </w:t>
      </w:r>
      <w:r w:rsidRPr="00632102">
        <w:rPr>
          <w:rFonts w:hint="eastAsia"/>
          <w:rtl/>
        </w:rPr>
        <w:t>פרי</w:t>
      </w:r>
      <w:r w:rsidRPr="00632102">
        <w:rPr>
          <w:rtl/>
        </w:rPr>
        <w:t xml:space="preserve"> </w:t>
      </w:r>
      <w:r w:rsidRPr="00632102">
        <w:rPr>
          <w:rFonts w:hint="eastAsia"/>
          <w:rtl/>
        </w:rPr>
        <w:t>האדמה</w:t>
      </w:r>
      <w:r w:rsidRPr="00632102">
        <w:rPr>
          <w:rtl/>
        </w:rPr>
        <w:t xml:space="preserve"> </w:t>
      </w:r>
      <w:r w:rsidRPr="00632102">
        <w:rPr>
          <w:rFonts w:hint="eastAsia"/>
          <w:rtl/>
        </w:rPr>
        <w:t>נוהגין</w:t>
      </w:r>
      <w:r w:rsidRPr="00632102">
        <w:rPr>
          <w:rtl/>
        </w:rPr>
        <w:t xml:space="preserve"> </w:t>
      </w:r>
      <w:r w:rsidRPr="00632102">
        <w:rPr>
          <w:rFonts w:hint="eastAsia"/>
          <w:rtl/>
        </w:rPr>
        <w:t>בפשיטות</w:t>
      </w:r>
      <w:r w:rsidRPr="00632102">
        <w:rPr>
          <w:rtl/>
        </w:rPr>
        <w:t xml:space="preserve"> </w:t>
      </w:r>
      <w:r w:rsidRPr="00632102">
        <w:rPr>
          <w:rFonts w:hint="eastAsia"/>
          <w:rtl/>
        </w:rPr>
        <w:t>בקושטא</w:t>
      </w:r>
      <w:r w:rsidRPr="00632102">
        <w:rPr>
          <w:rtl/>
        </w:rPr>
        <w:t xml:space="preserve"> </w:t>
      </w:r>
      <w:r w:rsidRPr="00632102">
        <w:rPr>
          <w:rFonts w:hint="eastAsia"/>
          <w:rtl/>
        </w:rPr>
        <w:t>יגן</w:t>
      </w:r>
      <w:r w:rsidRPr="00632102">
        <w:rPr>
          <w:rtl/>
        </w:rPr>
        <w:t xml:space="preserve"> </w:t>
      </w:r>
      <w:r w:rsidRPr="00632102">
        <w:rPr>
          <w:rFonts w:hint="eastAsia"/>
          <w:rtl/>
        </w:rPr>
        <w:t>עליה</w:t>
      </w:r>
      <w:r w:rsidRPr="00632102">
        <w:rPr>
          <w:rtl/>
        </w:rPr>
        <w:t xml:space="preserve"> </w:t>
      </w:r>
      <w:r w:rsidRPr="00632102">
        <w:rPr>
          <w:rFonts w:hint="eastAsia"/>
          <w:rtl/>
        </w:rPr>
        <w:t>אלקים</w:t>
      </w:r>
      <w:r w:rsidRPr="00632102">
        <w:rPr>
          <w:rtl/>
        </w:rPr>
        <w:t xml:space="preserve">, </w:t>
      </w:r>
      <w:r w:rsidRPr="00632102">
        <w:rPr>
          <w:rFonts w:hint="eastAsia"/>
          <w:rtl/>
        </w:rPr>
        <w:t>רבני</w:t>
      </w:r>
      <w:r w:rsidRPr="00632102">
        <w:rPr>
          <w:rtl/>
        </w:rPr>
        <w:t xml:space="preserve"> </w:t>
      </w:r>
      <w:r w:rsidRPr="00632102">
        <w:rPr>
          <w:rFonts w:hint="eastAsia"/>
          <w:rtl/>
        </w:rPr>
        <w:t>אלפין</w:t>
      </w:r>
      <w:r w:rsidRPr="00632102">
        <w:rPr>
          <w:rtl/>
        </w:rPr>
        <w:t xml:space="preserve">, </w:t>
      </w:r>
      <w:r w:rsidRPr="00632102">
        <w:rPr>
          <w:rFonts w:hint="eastAsia"/>
          <w:rtl/>
        </w:rPr>
        <w:t>דמברכין</w:t>
      </w:r>
      <w:r w:rsidRPr="00632102">
        <w:rPr>
          <w:rtl/>
        </w:rPr>
        <w:t xml:space="preserve"> </w:t>
      </w:r>
      <w:r w:rsidRPr="00632102">
        <w:rPr>
          <w:rFonts w:hint="eastAsia"/>
          <w:rtl/>
        </w:rPr>
        <w:t>בעד</w:t>
      </w:r>
      <w:r w:rsidRPr="00632102">
        <w:rPr>
          <w:rtl/>
        </w:rPr>
        <w:t xml:space="preserve"> </w:t>
      </w:r>
      <w:r w:rsidRPr="00632102">
        <w:rPr>
          <w:rFonts w:hint="eastAsia"/>
          <w:rtl/>
        </w:rPr>
        <w:t>החלון</w:t>
      </w:r>
      <w:r w:rsidRPr="00632102">
        <w:rPr>
          <w:rtl/>
        </w:rPr>
        <w:t xml:space="preserve"> </w:t>
      </w:r>
      <w:r w:rsidRPr="00632102">
        <w:rPr>
          <w:rFonts w:hint="eastAsia"/>
          <w:rtl/>
        </w:rPr>
        <w:t>בהיותם</w:t>
      </w:r>
      <w:r w:rsidRPr="00632102">
        <w:rPr>
          <w:rtl/>
        </w:rPr>
        <w:t xml:space="preserve"> </w:t>
      </w:r>
      <w:r w:rsidRPr="00632102">
        <w:rPr>
          <w:rFonts w:hint="eastAsia"/>
          <w:rtl/>
        </w:rPr>
        <w:t>בביתם</w:t>
      </w:r>
      <w:r w:rsidRPr="00632102">
        <w:rPr>
          <w:rtl/>
        </w:rPr>
        <w:t xml:space="preserve"> </w:t>
      </w:r>
      <w:r w:rsidRPr="00632102">
        <w:rPr>
          <w:rFonts w:hint="eastAsia"/>
          <w:rtl/>
        </w:rPr>
        <w:t>ואינם</w:t>
      </w:r>
      <w:r w:rsidRPr="00632102">
        <w:rPr>
          <w:rtl/>
        </w:rPr>
        <w:t xml:space="preserve"> </w:t>
      </w:r>
      <w:r w:rsidRPr="00632102">
        <w:rPr>
          <w:rFonts w:hint="eastAsia"/>
          <w:rtl/>
        </w:rPr>
        <w:t>זזים</w:t>
      </w:r>
      <w:r w:rsidRPr="00632102">
        <w:rPr>
          <w:rtl/>
        </w:rPr>
        <w:t xml:space="preserve"> </w:t>
      </w:r>
      <w:r w:rsidRPr="00632102">
        <w:rPr>
          <w:rFonts w:hint="eastAsia"/>
          <w:rtl/>
        </w:rPr>
        <w:t>ממקומם</w:t>
      </w:r>
      <w:r w:rsidRPr="00632102">
        <w:rPr>
          <w:rtl/>
        </w:rPr>
        <w:t xml:space="preserve"> </w:t>
      </w:r>
      <w:r w:rsidRPr="00632102">
        <w:rPr>
          <w:rFonts w:hint="eastAsia"/>
          <w:rtl/>
        </w:rPr>
        <w:t>ועומדים</w:t>
      </w:r>
      <w:r w:rsidRPr="00632102">
        <w:rPr>
          <w:rtl/>
        </w:rPr>
        <w:t xml:space="preserve"> </w:t>
      </w:r>
      <w:r w:rsidRPr="00632102">
        <w:rPr>
          <w:rFonts w:hint="eastAsia"/>
          <w:rtl/>
        </w:rPr>
        <w:t>ומברכים</w:t>
      </w:r>
      <w:r w:rsidRPr="00632102">
        <w:rPr>
          <w:rtl/>
        </w:rPr>
        <w:t xml:space="preserve">, </w:t>
      </w:r>
      <w:r w:rsidRPr="00632102">
        <w:rPr>
          <w:rFonts w:hint="eastAsia"/>
          <w:rtl/>
        </w:rPr>
        <w:t>ואפילו</w:t>
      </w:r>
      <w:r w:rsidRPr="00632102">
        <w:rPr>
          <w:rtl/>
        </w:rPr>
        <w:t xml:space="preserve"> </w:t>
      </w:r>
      <w:r w:rsidRPr="00632102">
        <w:rPr>
          <w:rFonts w:hint="eastAsia"/>
          <w:rtl/>
        </w:rPr>
        <w:t>שאינם</w:t>
      </w:r>
      <w:r w:rsidRPr="00632102">
        <w:rPr>
          <w:rtl/>
        </w:rPr>
        <w:t xml:space="preserve"> </w:t>
      </w:r>
      <w:r w:rsidRPr="00632102">
        <w:rPr>
          <w:rFonts w:hint="eastAsia"/>
          <w:rtl/>
        </w:rPr>
        <w:t>זקנים</w:t>
      </w:r>
      <w:r w:rsidRPr="00632102">
        <w:rPr>
          <w:rtl/>
        </w:rPr>
        <w:t xml:space="preserve"> </w:t>
      </w:r>
      <w:r w:rsidRPr="00632102">
        <w:rPr>
          <w:rFonts w:hint="eastAsia"/>
          <w:rtl/>
        </w:rPr>
        <w:t>והם</w:t>
      </w:r>
      <w:r w:rsidRPr="00632102">
        <w:rPr>
          <w:rtl/>
        </w:rPr>
        <w:t xml:space="preserve"> </w:t>
      </w:r>
      <w:r w:rsidRPr="00632102">
        <w:rPr>
          <w:rFonts w:hint="eastAsia"/>
          <w:rtl/>
        </w:rPr>
        <w:t>גבורי</w:t>
      </w:r>
      <w:r w:rsidRPr="00632102">
        <w:rPr>
          <w:rtl/>
        </w:rPr>
        <w:t xml:space="preserve"> </w:t>
      </w:r>
      <w:r w:rsidRPr="00632102">
        <w:rPr>
          <w:rFonts w:hint="eastAsia"/>
          <w:rtl/>
        </w:rPr>
        <w:t>כח</w:t>
      </w:r>
      <w:r w:rsidRPr="00632102">
        <w:rPr>
          <w:rtl/>
        </w:rPr>
        <w:t xml:space="preserve">, </w:t>
      </w:r>
      <w:r w:rsidRPr="00632102">
        <w:rPr>
          <w:rFonts w:hint="eastAsia"/>
          <w:rtl/>
        </w:rPr>
        <w:t>אינם</w:t>
      </w:r>
      <w:r w:rsidRPr="00632102">
        <w:rPr>
          <w:rtl/>
        </w:rPr>
        <w:t xml:space="preserve"> </w:t>
      </w:r>
      <w:r w:rsidRPr="00632102">
        <w:rPr>
          <w:rFonts w:hint="eastAsia"/>
          <w:rtl/>
        </w:rPr>
        <w:t>אומרים</w:t>
      </w:r>
      <w:r w:rsidRPr="00632102">
        <w:rPr>
          <w:rtl/>
        </w:rPr>
        <w:t xml:space="preserve"> </w:t>
      </w:r>
      <w:r w:rsidRPr="00632102">
        <w:rPr>
          <w:rFonts w:hint="eastAsia"/>
          <w:rtl/>
        </w:rPr>
        <w:t>נצא</w:t>
      </w:r>
      <w:r w:rsidRPr="00632102">
        <w:rPr>
          <w:rtl/>
        </w:rPr>
        <w:t xml:space="preserve"> </w:t>
      </w:r>
      <w:r w:rsidRPr="00632102">
        <w:rPr>
          <w:rFonts w:hint="eastAsia"/>
          <w:rtl/>
        </w:rPr>
        <w:t>השדה</w:t>
      </w:r>
      <w:r w:rsidRPr="00632102">
        <w:rPr>
          <w:rtl/>
        </w:rPr>
        <w:t xml:space="preserve"> </w:t>
      </w:r>
      <w:r w:rsidRPr="00632102">
        <w:rPr>
          <w:rFonts w:hint="eastAsia"/>
          <w:rtl/>
        </w:rPr>
        <w:t>ונברך</w:t>
      </w:r>
      <w:r w:rsidRPr="00632102">
        <w:rPr>
          <w:rtl/>
        </w:rPr>
        <w:t xml:space="preserve">, </w:t>
      </w:r>
      <w:r w:rsidRPr="00632102">
        <w:rPr>
          <w:rFonts w:hint="eastAsia"/>
          <w:rtl/>
        </w:rPr>
        <w:t>ומנהג</w:t>
      </w:r>
      <w:r w:rsidRPr="00632102">
        <w:rPr>
          <w:rtl/>
        </w:rPr>
        <w:t xml:space="preserve"> </w:t>
      </w:r>
      <w:r w:rsidRPr="00632102">
        <w:rPr>
          <w:rFonts w:hint="eastAsia"/>
          <w:rtl/>
        </w:rPr>
        <w:t>עטרת</w:t>
      </w:r>
      <w:r w:rsidRPr="00632102">
        <w:rPr>
          <w:rtl/>
        </w:rPr>
        <w:t xml:space="preserve"> </w:t>
      </w:r>
      <w:r w:rsidRPr="00632102">
        <w:rPr>
          <w:rFonts w:hint="eastAsia"/>
          <w:rtl/>
        </w:rPr>
        <w:t>ראשי</w:t>
      </w:r>
      <w:r w:rsidRPr="00632102">
        <w:rPr>
          <w:rtl/>
        </w:rPr>
        <w:t xml:space="preserve"> </w:t>
      </w:r>
      <w:r w:rsidRPr="00632102">
        <w:rPr>
          <w:rFonts w:hint="eastAsia"/>
          <w:rtl/>
        </w:rPr>
        <w:t>מורי</w:t>
      </w:r>
      <w:r w:rsidRPr="00632102">
        <w:rPr>
          <w:rtl/>
        </w:rPr>
        <w:t xml:space="preserve"> </w:t>
      </w:r>
      <w:r w:rsidRPr="00632102">
        <w:rPr>
          <w:rFonts w:hint="eastAsia"/>
          <w:rtl/>
        </w:rPr>
        <w:t>זקני</w:t>
      </w:r>
      <w:r w:rsidRPr="00632102">
        <w:rPr>
          <w:rtl/>
        </w:rPr>
        <w:t xml:space="preserve"> </w:t>
      </w:r>
      <w:r w:rsidRPr="00632102">
        <w:rPr>
          <w:rFonts w:hint="eastAsia"/>
          <w:rtl/>
        </w:rPr>
        <w:t>הרב</w:t>
      </w:r>
      <w:r w:rsidRPr="00632102">
        <w:rPr>
          <w:rtl/>
        </w:rPr>
        <w:t xml:space="preserve"> </w:t>
      </w:r>
      <w:r w:rsidRPr="00632102">
        <w:rPr>
          <w:rFonts w:hint="eastAsia"/>
          <w:rtl/>
        </w:rPr>
        <w:t>הי</w:t>
      </w:r>
      <w:r w:rsidRPr="00632102">
        <w:rPr>
          <w:rtl/>
        </w:rPr>
        <w:t>"</w:t>
      </w:r>
      <w:r w:rsidRPr="00632102">
        <w:rPr>
          <w:rFonts w:hint="eastAsia"/>
          <w:rtl/>
        </w:rPr>
        <w:t>ם</w:t>
      </w:r>
      <w:r w:rsidRPr="00632102">
        <w:rPr>
          <w:rtl/>
        </w:rPr>
        <w:t xml:space="preserve"> </w:t>
      </w:r>
      <w:r w:rsidRPr="00632102">
        <w:rPr>
          <w:rFonts w:hint="eastAsia"/>
          <w:rtl/>
        </w:rPr>
        <w:t>הגדול</w:t>
      </w:r>
      <w:r w:rsidRPr="00632102">
        <w:rPr>
          <w:rtl/>
        </w:rPr>
        <w:t xml:space="preserve"> </w:t>
      </w:r>
      <w:r w:rsidRPr="00632102">
        <w:rPr>
          <w:rFonts w:hint="eastAsia"/>
          <w:rtl/>
        </w:rPr>
        <w:t>לברך</w:t>
      </w:r>
      <w:r w:rsidRPr="00632102">
        <w:rPr>
          <w:rtl/>
        </w:rPr>
        <w:t xml:space="preserve"> </w:t>
      </w:r>
      <w:r w:rsidRPr="00632102">
        <w:rPr>
          <w:rFonts w:hint="eastAsia"/>
          <w:rtl/>
        </w:rPr>
        <w:t>בחצרו</w:t>
      </w:r>
      <w:r w:rsidRPr="00632102">
        <w:rPr>
          <w:rtl/>
        </w:rPr>
        <w:t xml:space="preserve"> </w:t>
      </w:r>
      <w:r w:rsidRPr="00632102">
        <w:rPr>
          <w:rFonts w:hint="eastAsia"/>
          <w:rtl/>
        </w:rPr>
        <w:t>שהיה</w:t>
      </w:r>
      <w:r w:rsidRPr="00632102">
        <w:rPr>
          <w:rtl/>
        </w:rPr>
        <w:t xml:space="preserve"> </w:t>
      </w:r>
      <w:r w:rsidRPr="00632102">
        <w:rPr>
          <w:rFonts w:hint="eastAsia"/>
          <w:rtl/>
        </w:rPr>
        <w:t>לו</w:t>
      </w:r>
      <w:r w:rsidRPr="00632102">
        <w:rPr>
          <w:rtl/>
        </w:rPr>
        <w:t xml:space="preserve"> </w:t>
      </w:r>
      <w:r w:rsidRPr="00632102">
        <w:rPr>
          <w:rFonts w:hint="eastAsia"/>
          <w:rtl/>
        </w:rPr>
        <w:t>אילנות</w:t>
      </w:r>
      <w:r w:rsidRPr="00632102">
        <w:rPr>
          <w:rFonts w:hint="cs"/>
          <w:rtl/>
        </w:rPr>
        <w:t>". וכ"מ גם ב</w:t>
      </w:r>
      <w:r w:rsidRPr="00632102">
        <w:rPr>
          <w:rFonts w:hint="eastAsia"/>
          <w:rtl/>
        </w:rPr>
        <w:t>שו</w:t>
      </w:r>
      <w:r w:rsidRPr="00632102">
        <w:rPr>
          <w:rtl/>
        </w:rPr>
        <w:t>"</w:t>
      </w:r>
      <w:r w:rsidRPr="00632102">
        <w:rPr>
          <w:rFonts w:hint="eastAsia"/>
          <w:rtl/>
        </w:rPr>
        <w:t>ת</w:t>
      </w:r>
      <w:r w:rsidRPr="00632102">
        <w:rPr>
          <w:rtl/>
        </w:rPr>
        <w:t xml:space="preserve"> </w:t>
      </w:r>
      <w:r w:rsidRPr="00632102">
        <w:rPr>
          <w:rFonts w:hint="eastAsia"/>
          <w:rtl/>
        </w:rPr>
        <w:t>רב</w:t>
      </w:r>
      <w:r w:rsidRPr="00632102">
        <w:rPr>
          <w:rtl/>
        </w:rPr>
        <w:t xml:space="preserve"> </w:t>
      </w:r>
      <w:r w:rsidRPr="00632102">
        <w:rPr>
          <w:rFonts w:hint="eastAsia"/>
          <w:rtl/>
        </w:rPr>
        <w:t>פעלים</w:t>
      </w:r>
      <w:r w:rsidRPr="00632102">
        <w:rPr>
          <w:rtl/>
        </w:rPr>
        <w:t xml:space="preserve"> </w:t>
      </w:r>
      <w:r w:rsidRPr="00632102">
        <w:rPr>
          <w:rFonts w:hint="cs"/>
          <w:rtl/>
        </w:rPr>
        <w:t>(</w:t>
      </w:r>
      <w:r w:rsidRPr="00632102">
        <w:rPr>
          <w:rFonts w:hint="eastAsia"/>
          <w:rtl/>
        </w:rPr>
        <w:t>ח</w:t>
      </w:r>
      <w:r w:rsidRPr="00632102">
        <w:rPr>
          <w:rFonts w:hint="cs"/>
          <w:rtl/>
        </w:rPr>
        <w:t>"</w:t>
      </w:r>
      <w:r w:rsidRPr="00632102">
        <w:rPr>
          <w:rFonts w:hint="eastAsia"/>
          <w:rtl/>
        </w:rPr>
        <w:t>ג</w:t>
      </w:r>
      <w:r w:rsidRPr="00632102">
        <w:rPr>
          <w:rtl/>
        </w:rPr>
        <w:t xml:space="preserve"> </w:t>
      </w:r>
      <w:r w:rsidRPr="00632102">
        <w:rPr>
          <w:rFonts w:hint="eastAsia"/>
          <w:rtl/>
        </w:rPr>
        <w:t>או</w:t>
      </w:r>
      <w:r w:rsidRPr="00632102">
        <w:rPr>
          <w:rFonts w:hint="cs"/>
          <w:rtl/>
        </w:rPr>
        <w:t>"</w:t>
      </w:r>
      <w:r w:rsidRPr="00632102">
        <w:rPr>
          <w:rFonts w:hint="eastAsia"/>
          <w:rtl/>
        </w:rPr>
        <w:t>ח</w:t>
      </w:r>
      <w:r w:rsidRPr="00632102">
        <w:rPr>
          <w:rtl/>
        </w:rPr>
        <w:t xml:space="preserve"> </w:t>
      </w:r>
      <w:r w:rsidRPr="00632102">
        <w:rPr>
          <w:rFonts w:hint="eastAsia"/>
          <w:rtl/>
        </w:rPr>
        <w:t>סי</w:t>
      </w:r>
      <w:r w:rsidRPr="00632102">
        <w:rPr>
          <w:rFonts w:hint="cs"/>
          <w:rtl/>
        </w:rPr>
        <w:t>'</w:t>
      </w:r>
      <w:r w:rsidRPr="00632102">
        <w:rPr>
          <w:rtl/>
        </w:rPr>
        <w:t xml:space="preserve"> </w:t>
      </w:r>
      <w:r w:rsidRPr="00632102">
        <w:rPr>
          <w:rFonts w:hint="eastAsia"/>
          <w:rtl/>
        </w:rPr>
        <w:t>ט</w:t>
      </w:r>
      <w:r w:rsidRPr="00632102">
        <w:rPr>
          <w:rFonts w:hint="cs"/>
          <w:rtl/>
        </w:rPr>
        <w:t>). וכן עמא דבר בכל שנה ושנה שמברכים על אילנות שבתוך העיר בחצר הבתים</w:t>
      </w:r>
      <w:r>
        <w:rPr>
          <w:rFonts w:hint="cs"/>
          <w:rtl/>
        </w:rPr>
        <w:t xml:space="preserve"> ואינם מדקדקים כלל לצאת מחוץ לעיר דוקא</w:t>
      </w:r>
      <w:r w:rsidRPr="00632102">
        <w:rPr>
          <w:rFonts w:hint="cs"/>
          <w:rtl/>
        </w:rPr>
        <w:t>.</w:t>
      </w:r>
    </w:p>
    <w:p w:rsidR="004C1858" w:rsidRPr="00632102" w:rsidRDefault="004C1858" w:rsidP="004B0C42">
      <w:pPr>
        <w:pStyle w:val="a3"/>
        <w:rPr>
          <w:rtl/>
        </w:rPr>
      </w:pPr>
      <w:r w:rsidRPr="00632102">
        <w:rPr>
          <w:rFonts w:hint="cs"/>
          <w:rtl/>
        </w:rPr>
        <w:t>ואפי' הגר"ח פלאג'י בעצמו שדעתו שהיוצא הוא בדוקא מסכים "</w:t>
      </w:r>
      <w:r w:rsidRPr="00632102">
        <w:rPr>
          <w:rFonts w:hint="eastAsia"/>
          <w:rtl/>
        </w:rPr>
        <w:t>דלזקן</w:t>
      </w:r>
      <w:r w:rsidRPr="00632102">
        <w:rPr>
          <w:rtl/>
        </w:rPr>
        <w:t xml:space="preserve"> </w:t>
      </w:r>
      <w:r w:rsidRPr="00632102">
        <w:rPr>
          <w:rFonts w:hint="eastAsia"/>
          <w:rtl/>
        </w:rPr>
        <w:t>מופלג</w:t>
      </w:r>
      <w:r w:rsidRPr="00632102">
        <w:rPr>
          <w:rtl/>
        </w:rPr>
        <w:t xml:space="preserve"> </w:t>
      </w:r>
      <w:r w:rsidRPr="00632102">
        <w:rPr>
          <w:rFonts w:hint="eastAsia"/>
          <w:rtl/>
        </w:rPr>
        <w:t>או</w:t>
      </w:r>
      <w:r w:rsidRPr="00632102">
        <w:rPr>
          <w:rtl/>
        </w:rPr>
        <w:t xml:space="preserve"> </w:t>
      </w:r>
      <w:r w:rsidRPr="00632102">
        <w:rPr>
          <w:rFonts w:hint="eastAsia"/>
          <w:rtl/>
        </w:rPr>
        <w:t>חלוש</w:t>
      </w:r>
      <w:r w:rsidRPr="00632102">
        <w:rPr>
          <w:rtl/>
        </w:rPr>
        <w:t xml:space="preserve"> </w:t>
      </w:r>
      <w:r w:rsidRPr="00632102">
        <w:rPr>
          <w:rFonts w:hint="eastAsia"/>
          <w:rtl/>
        </w:rPr>
        <w:t>המזג</w:t>
      </w:r>
      <w:r w:rsidRPr="00632102">
        <w:rPr>
          <w:rtl/>
        </w:rPr>
        <w:t xml:space="preserve"> </w:t>
      </w:r>
      <w:r w:rsidRPr="00632102">
        <w:rPr>
          <w:rFonts w:hint="eastAsia"/>
          <w:rtl/>
        </w:rPr>
        <w:t>דקשה</w:t>
      </w:r>
      <w:r w:rsidRPr="00632102">
        <w:rPr>
          <w:rtl/>
        </w:rPr>
        <w:t xml:space="preserve"> </w:t>
      </w:r>
      <w:r w:rsidRPr="00632102">
        <w:rPr>
          <w:rFonts w:hint="eastAsia"/>
          <w:rtl/>
        </w:rPr>
        <w:t>לו</w:t>
      </w:r>
      <w:r w:rsidRPr="00632102">
        <w:rPr>
          <w:rtl/>
        </w:rPr>
        <w:t xml:space="preserve"> </w:t>
      </w:r>
      <w:r w:rsidRPr="00632102">
        <w:rPr>
          <w:rFonts w:hint="eastAsia"/>
          <w:rtl/>
        </w:rPr>
        <w:t>היציאה</w:t>
      </w:r>
      <w:r w:rsidRPr="00632102">
        <w:rPr>
          <w:rtl/>
        </w:rPr>
        <w:t xml:space="preserve"> </w:t>
      </w:r>
      <w:r w:rsidRPr="00632102">
        <w:rPr>
          <w:rFonts w:hint="eastAsia"/>
          <w:rtl/>
        </w:rPr>
        <w:t>רחוק</w:t>
      </w:r>
      <w:r w:rsidRPr="00632102">
        <w:rPr>
          <w:rtl/>
        </w:rPr>
        <w:t xml:space="preserve"> </w:t>
      </w:r>
      <w:r w:rsidRPr="00632102">
        <w:rPr>
          <w:rFonts w:hint="eastAsia"/>
          <w:rtl/>
        </w:rPr>
        <w:t>מן</w:t>
      </w:r>
      <w:r w:rsidRPr="00632102">
        <w:rPr>
          <w:rtl/>
        </w:rPr>
        <w:t xml:space="preserve"> </w:t>
      </w:r>
      <w:r w:rsidRPr="00632102">
        <w:rPr>
          <w:rFonts w:hint="eastAsia"/>
          <w:rtl/>
        </w:rPr>
        <w:t>העיר</w:t>
      </w:r>
      <w:r w:rsidRPr="00632102">
        <w:rPr>
          <w:rtl/>
        </w:rPr>
        <w:t xml:space="preserve">, </w:t>
      </w:r>
      <w:r w:rsidRPr="00632102">
        <w:rPr>
          <w:rFonts w:hint="eastAsia"/>
          <w:rtl/>
        </w:rPr>
        <w:t>אזי</w:t>
      </w:r>
      <w:r w:rsidRPr="00632102">
        <w:rPr>
          <w:rtl/>
        </w:rPr>
        <w:t xml:space="preserve"> </w:t>
      </w:r>
      <w:r w:rsidRPr="00632102">
        <w:rPr>
          <w:rFonts w:hint="eastAsia"/>
          <w:rtl/>
        </w:rPr>
        <w:t>יברך</w:t>
      </w:r>
      <w:r w:rsidRPr="00632102">
        <w:rPr>
          <w:rtl/>
        </w:rPr>
        <w:t xml:space="preserve"> </w:t>
      </w:r>
      <w:r w:rsidRPr="00632102">
        <w:rPr>
          <w:rFonts w:hint="eastAsia"/>
          <w:rtl/>
        </w:rPr>
        <w:t>בחצר</w:t>
      </w:r>
      <w:r w:rsidRPr="00632102">
        <w:rPr>
          <w:rtl/>
        </w:rPr>
        <w:t xml:space="preserve"> </w:t>
      </w:r>
      <w:r w:rsidRPr="00632102">
        <w:rPr>
          <w:rFonts w:hint="eastAsia"/>
          <w:rtl/>
        </w:rPr>
        <w:t>גינת</w:t>
      </w:r>
      <w:r w:rsidRPr="00632102">
        <w:rPr>
          <w:rtl/>
        </w:rPr>
        <w:t xml:space="preserve">, </w:t>
      </w:r>
      <w:r w:rsidRPr="00632102">
        <w:rPr>
          <w:rFonts w:hint="eastAsia"/>
          <w:rtl/>
        </w:rPr>
        <w:t>ואין</w:t>
      </w:r>
      <w:r w:rsidRPr="00632102">
        <w:rPr>
          <w:rtl/>
        </w:rPr>
        <w:t xml:space="preserve"> </w:t>
      </w:r>
      <w:r w:rsidRPr="00632102">
        <w:rPr>
          <w:rFonts w:hint="eastAsia"/>
          <w:rtl/>
        </w:rPr>
        <w:t>דנין</w:t>
      </w:r>
      <w:r w:rsidRPr="00632102">
        <w:rPr>
          <w:rtl/>
        </w:rPr>
        <w:t xml:space="preserve"> </w:t>
      </w:r>
      <w:r w:rsidRPr="00632102">
        <w:rPr>
          <w:rFonts w:hint="eastAsia"/>
          <w:rtl/>
        </w:rPr>
        <w:t>אפשר</w:t>
      </w:r>
      <w:r w:rsidRPr="00632102">
        <w:rPr>
          <w:rtl/>
        </w:rPr>
        <w:t xml:space="preserve"> </w:t>
      </w:r>
      <w:r w:rsidRPr="00632102">
        <w:rPr>
          <w:rFonts w:hint="eastAsia"/>
          <w:rtl/>
        </w:rPr>
        <w:t>משאי</w:t>
      </w:r>
      <w:r w:rsidRPr="00632102">
        <w:rPr>
          <w:rtl/>
        </w:rPr>
        <w:t xml:space="preserve"> </w:t>
      </w:r>
      <w:r w:rsidRPr="00632102">
        <w:rPr>
          <w:rFonts w:hint="eastAsia"/>
          <w:rtl/>
        </w:rPr>
        <w:t>אפשר</w:t>
      </w:r>
      <w:r w:rsidRPr="00632102">
        <w:rPr>
          <w:rFonts w:hint="cs"/>
          <w:rtl/>
        </w:rPr>
        <w:t>".</w:t>
      </w:r>
    </w:p>
    <w:p w:rsidR="004C1858" w:rsidRPr="00632102" w:rsidRDefault="004C1858" w:rsidP="004B0C42">
      <w:pPr>
        <w:pStyle w:val="a3"/>
        <w:rPr>
          <w:rtl/>
        </w:rPr>
      </w:pPr>
      <w:r w:rsidRPr="00632102">
        <w:rPr>
          <w:rFonts w:hint="cs"/>
          <w:rtl/>
        </w:rPr>
        <w:t xml:space="preserve">וא"כ בנדונינו שמנהג העולם להחמיר כדעת הפוסקים והמקובלים שלא לברך רק בחודש ניסן ולא לאחריו, ולכמה פוסקים לאחר ניסן אין לברך בשם ומלכות בכדי שלא להוציא שם שמים לבטלה [וגם הריטב"א שכתב שיומי דניסן לאו דוקא, כבר כתבנו שיתכן לומר שדעתו </w:t>
      </w:r>
      <w:r w:rsidRPr="00632102">
        <w:rPr>
          <w:rFonts w:hint="cs"/>
          <w:rtl/>
        </w:rPr>
        <w:lastRenderedPageBreak/>
        <w:t>שזהו רק באופן שקביעת זמן הלבלב באותו מקום הוא באייר. אבל באופן שהאילנות לבלבו בחודש ניסן, רק שלא הספקנו לברך עליו מאיזה טעם שיהיה כגון בנדוננו שהיה אסור לצאת החוצה, בזה גם הר</w:t>
      </w:r>
      <w:r>
        <w:rPr>
          <w:rFonts w:hint="cs"/>
          <w:rtl/>
        </w:rPr>
        <w:t>יטב"א יודה שאין לברך לאחר ניסן].</w:t>
      </w:r>
      <w:r w:rsidRPr="00632102">
        <w:rPr>
          <w:rFonts w:hint="cs"/>
          <w:rtl/>
        </w:rPr>
        <w:t xml:space="preserve"> ולעומת זה</w:t>
      </w:r>
      <w:r>
        <w:rPr>
          <w:rFonts w:hint="cs"/>
          <w:rtl/>
        </w:rPr>
        <w:t>,</w:t>
      </w:r>
      <w:r w:rsidRPr="00632102">
        <w:rPr>
          <w:rFonts w:hint="cs"/>
          <w:rtl/>
        </w:rPr>
        <w:t xml:space="preserve"> הענין לצאת לחוץ לעיר דוקא אינו הכרח כלל לדעת רוב הפוסקים, ואפי' להדיעות שזהו ענין גדול עבור הנשמות, זהו באופן שאפשר, </w:t>
      </w:r>
      <w:r w:rsidRPr="00632102">
        <w:rPr>
          <w:rFonts w:hint="eastAsia"/>
          <w:rtl/>
        </w:rPr>
        <w:t>ואין</w:t>
      </w:r>
      <w:r w:rsidRPr="00632102">
        <w:rPr>
          <w:rtl/>
        </w:rPr>
        <w:t xml:space="preserve"> </w:t>
      </w:r>
      <w:r w:rsidRPr="00632102">
        <w:rPr>
          <w:rFonts w:hint="eastAsia"/>
          <w:rtl/>
        </w:rPr>
        <w:t>דנין</w:t>
      </w:r>
      <w:r w:rsidRPr="00632102">
        <w:rPr>
          <w:rtl/>
        </w:rPr>
        <w:t xml:space="preserve"> </w:t>
      </w:r>
      <w:r w:rsidRPr="00632102">
        <w:rPr>
          <w:rFonts w:hint="eastAsia"/>
          <w:rtl/>
        </w:rPr>
        <w:t>אפשר</w:t>
      </w:r>
      <w:r w:rsidRPr="00632102">
        <w:rPr>
          <w:rtl/>
        </w:rPr>
        <w:t xml:space="preserve"> </w:t>
      </w:r>
      <w:r w:rsidRPr="00632102">
        <w:rPr>
          <w:rFonts w:hint="eastAsia"/>
          <w:rtl/>
        </w:rPr>
        <w:t>משאי</w:t>
      </w:r>
      <w:r w:rsidRPr="00632102">
        <w:rPr>
          <w:rtl/>
        </w:rPr>
        <w:t xml:space="preserve"> </w:t>
      </w:r>
      <w:r w:rsidRPr="00632102">
        <w:rPr>
          <w:rFonts w:hint="eastAsia"/>
          <w:rtl/>
        </w:rPr>
        <w:t>אפשר</w:t>
      </w:r>
      <w:r w:rsidRPr="00632102">
        <w:rPr>
          <w:rFonts w:hint="cs"/>
          <w:rtl/>
        </w:rPr>
        <w:t xml:space="preserve">, וכיון שעכשיו אי אפשר, שהרי בחודש ניסן היה אסור לצאת בחוץ, בודאי שמותר ואף יש ענין </w:t>
      </w:r>
      <w:r w:rsidRPr="00632102">
        <w:rPr>
          <w:rtl/>
        </w:rPr>
        <w:t>–</w:t>
      </w:r>
      <w:r w:rsidRPr="00632102">
        <w:rPr>
          <w:rFonts w:hint="cs"/>
          <w:rtl/>
        </w:rPr>
        <w:t xml:space="preserve"> לברך בשם ומלכות על שני </w:t>
      </w:r>
      <w:r>
        <w:rPr>
          <w:rFonts w:hint="cs"/>
          <w:rtl/>
        </w:rPr>
        <w:t>ה</w:t>
      </w:r>
      <w:r w:rsidRPr="00632102">
        <w:rPr>
          <w:rFonts w:hint="cs"/>
          <w:rtl/>
        </w:rPr>
        <w:t xml:space="preserve">אילנות הנטועים בעציץ נקוב המוציא פירות כבר כמה שנים </w:t>
      </w:r>
      <w:r>
        <w:rPr>
          <w:rFonts w:hint="cs"/>
          <w:rtl/>
        </w:rPr>
        <w:t xml:space="preserve">(ואינם ערלה לחוש לספיקת הרע"א והדברי מלכיאל) </w:t>
      </w:r>
      <w:r w:rsidRPr="00632102">
        <w:rPr>
          <w:rFonts w:hint="cs"/>
          <w:rtl/>
        </w:rPr>
        <w:t>ועכשיו לבלבו מחדש. וח"ו לברך עוד פעם בחודש אייר בשם ומלכות, ו</w:t>
      </w:r>
      <w:r>
        <w:rPr>
          <w:rFonts w:hint="cs"/>
          <w:rtl/>
        </w:rPr>
        <w:t xml:space="preserve">מי שרוצה בדוקא </w:t>
      </w:r>
      <w:r w:rsidRPr="00632102">
        <w:rPr>
          <w:rFonts w:hint="cs"/>
          <w:rtl/>
        </w:rPr>
        <w:t xml:space="preserve">אפשר לברך </w:t>
      </w:r>
      <w:r>
        <w:rPr>
          <w:rFonts w:hint="cs"/>
          <w:rtl/>
        </w:rPr>
        <w:t>עוד פעם</w:t>
      </w:r>
      <w:r w:rsidRPr="00632102">
        <w:rPr>
          <w:rFonts w:hint="cs"/>
          <w:rtl/>
        </w:rPr>
        <w:t xml:space="preserve"> </w:t>
      </w:r>
      <w:r>
        <w:rPr>
          <w:rFonts w:hint="cs"/>
          <w:rtl/>
        </w:rPr>
        <w:t xml:space="preserve">רק </w:t>
      </w:r>
      <w:r w:rsidRPr="00632102">
        <w:rPr>
          <w:rFonts w:hint="cs"/>
          <w:rtl/>
        </w:rPr>
        <w:t>בל</w:t>
      </w:r>
      <w:r>
        <w:rPr>
          <w:rFonts w:hint="cs"/>
          <w:rtl/>
        </w:rPr>
        <w:t>י</w:t>
      </w:r>
      <w:r w:rsidRPr="00632102">
        <w:rPr>
          <w:rFonts w:hint="cs"/>
          <w:rtl/>
        </w:rPr>
        <w:t xml:space="preserve"> שם ומלכות, כנלענ"ד. </w:t>
      </w:r>
    </w:p>
    <w:p w:rsidR="00642014" w:rsidRDefault="00642014" w:rsidP="00642014">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760DB7">
        <w:rPr>
          <w:rFonts w:ascii="Nymphette" w:eastAsia="Times New Roman" w:hAnsi="Nymphette" w:cs="Nymphette"/>
          <w:sz w:val="44"/>
          <w:szCs w:val="44"/>
        </w:rPr>
        <w:t>g</w:t>
      </w:r>
    </w:p>
    <w:p w:rsidR="004B0C42" w:rsidRPr="004B0C42" w:rsidRDefault="004B0C42" w:rsidP="004B0C42">
      <w:pPr>
        <w:pStyle w:val="a0"/>
        <w:rPr>
          <w:rtl/>
        </w:rPr>
      </w:pPr>
      <w:bookmarkStart w:id="156" w:name="_Toc39817454"/>
      <w:r w:rsidRPr="004B0C42">
        <w:rPr>
          <w:rFonts w:hint="cs"/>
          <w:rtl/>
        </w:rPr>
        <w:t>מזוזה בבית שאדם שוהה בה בעל כרחך</w:t>
      </w:r>
      <w:bookmarkEnd w:id="156"/>
    </w:p>
    <w:p w:rsidR="004B0C42" w:rsidRPr="00C60FEE" w:rsidRDefault="004B0C42" w:rsidP="00C93F24">
      <w:pPr>
        <w:pStyle w:val="a"/>
        <w:rPr>
          <w:rtl/>
        </w:rPr>
      </w:pPr>
      <w:bookmarkStart w:id="157" w:name="_Toc39817455"/>
      <w:r w:rsidRPr="00C60FEE">
        <w:rPr>
          <w:rFonts w:hint="cs"/>
          <w:rtl/>
        </w:rPr>
        <w:t>הרב מרדכי פרקש</w:t>
      </w:r>
      <w:bookmarkEnd w:id="157"/>
    </w:p>
    <w:p w:rsidR="004B0C42" w:rsidRPr="00C60FEE" w:rsidRDefault="004B0C42" w:rsidP="004B0C42">
      <w:pPr>
        <w:pStyle w:val="a1"/>
        <w:rPr>
          <w:rtl/>
        </w:rPr>
      </w:pPr>
      <w:r w:rsidRPr="00C60FEE">
        <w:rPr>
          <w:rFonts w:hint="cs"/>
          <w:rtl/>
        </w:rPr>
        <w:t xml:space="preserve">שליח כ"ק אדמו"ר </w:t>
      </w:r>
      <w:r w:rsidRPr="00C60FEE">
        <w:rPr>
          <w:rtl/>
        </w:rPr>
        <w:t>–</w:t>
      </w:r>
      <w:r w:rsidRPr="00C60FEE">
        <w:rPr>
          <w:rFonts w:hint="cs"/>
          <w:rtl/>
        </w:rPr>
        <w:t xml:space="preserve"> בעלוויו, וואשינגטאן</w:t>
      </w:r>
    </w:p>
    <w:p w:rsidR="004B0C42" w:rsidRPr="004B0C42" w:rsidRDefault="004B0C42" w:rsidP="004B0C42">
      <w:pPr>
        <w:pStyle w:val="11"/>
        <w:bidi/>
        <w:rPr>
          <w:rtl/>
        </w:rPr>
      </w:pPr>
      <w:r>
        <w:rPr>
          <w:rFonts w:hint="cs"/>
          <w:rtl/>
        </w:rPr>
        <w:t>א.</w:t>
      </w:r>
    </w:p>
    <w:p w:rsidR="004B0C42" w:rsidRPr="004B0C42" w:rsidRDefault="004B0C42" w:rsidP="004B0C42">
      <w:pPr>
        <w:pStyle w:val="a3"/>
      </w:pPr>
      <w:r w:rsidRPr="004B0C42">
        <w:rPr>
          <w:rFonts w:hint="cs"/>
          <w:rtl/>
        </w:rPr>
        <w:t xml:space="preserve">מחמת המצב המסוכן של התדבקות רח"ל במגיפת הקרונא נשלחו כו"כ לשהות לתקופה מסוימת בבדידות  בביתם ומהם שנלקחו </w:t>
      </w:r>
      <w:r w:rsidRPr="004B0C42">
        <w:rPr>
          <w:rtl/>
        </w:rPr>
        <w:t>–</w:t>
      </w:r>
      <w:r w:rsidRPr="004B0C42">
        <w:rPr>
          <w:rFonts w:hint="cs"/>
          <w:rtl/>
        </w:rPr>
        <w:t>בהוראת הממשלה- למקומות מסוימים וחייבים לשהות שם  משך זמן עד שיתברר מצבם  ושאל א</w:t>
      </w:r>
      <w:r>
        <w:rPr>
          <w:rFonts w:hint="cs"/>
          <w:rtl/>
        </w:rPr>
        <w:t>חד האם חייב במזוזה במקום שהייתו</w:t>
      </w:r>
      <w:r w:rsidRPr="004B0C42">
        <w:rPr>
          <w:rFonts w:hint="cs"/>
          <w:rtl/>
        </w:rPr>
        <w:t>.</w:t>
      </w:r>
    </w:p>
    <w:p w:rsidR="004B0C42" w:rsidRPr="004B0C42" w:rsidRDefault="004B0C42" w:rsidP="004B0C42">
      <w:pPr>
        <w:pStyle w:val="a3"/>
        <w:rPr>
          <w:rtl/>
        </w:rPr>
      </w:pPr>
      <w:r w:rsidRPr="004B0C42">
        <w:rPr>
          <w:rFonts w:hint="cs"/>
          <w:rtl/>
        </w:rPr>
        <w:t>והנה בשו"ת חיים שאל (להחיד"א ח"ב סי' כב) נשאל אודות 'לאזריט"ו' [מהמבואר בדבריו נראה שהוא מחנה הסגר המיועד לבאים מארץ אחרת, בזמן שיש מחלה מדבקת, ולפי החוק כל הבאים מחו"ל צריכים להישאר שם בהסגר זמן מסוים שלא יבואו במגע עם תושבי הארץ, וניתן להם בתים לגור בהם ורשות לצאת לחצר המחנה] ונסתפק 'אם ידע שיושב שם יותר מל' יום או ארבעים, אי חייב לקבוע מזוזה, דהויא דירה בעל כרחו ולאו שמיה דירה'?</w:t>
      </w:r>
    </w:p>
    <w:p w:rsidR="004B0C42" w:rsidRPr="004B0C42" w:rsidRDefault="004B0C42" w:rsidP="004B0C42">
      <w:pPr>
        <w:pStyle w:val="a3"/>
      </w:pPr>
      <w:r w:rsidRPr="004B0C42">
        <w:rPr>
          <w:rFonts w:hint="cs"/>
          <w:rtl/>
        </w:rPr>
        <w:t>וכותב בתו"ד: 'איברא דלענין מזוזה נראה בעיני דפטור הדר בבי' בלאזריט"ו, הגם דיושב יותר מל' יום, ולא מטעם שכתב השואל דדירה בע"כ לאו שמיה דירה, דזה סברת ר' יהודה פ"ק דיומא, ואנן קיי"ל כרבנן דסברי דדירה בע"כ שמה דירה, וכמ"ש הרמב"ם [הל' מזוזה פ"ו ה"ו אודות לשכת פרהדרין והובא לעיל] .. אלמא משמע מסתימת דבריו דפסק כרבנן וחייבת מדאורייתא דדירה בע"כ שמה דירה'. ולמעשה כותב לפטור ממזוזה מטעם דירת עראי ומוסיף 'ולכי תידוק דירת ישראל בבתים אלו גרע משאלה, דבשאלה יש שואל כפי' ומשאיל מתרצה, אבל הכא זהו חק העיר ליכנס שם זמן בעל כרחך, ולא דמי לשאלה ולא ללשכת כה"ג, ומה גם דכבר כתבנו לעיל דהממונא רשאי להחליף הבית ושילך לבית אחר'.</w:t>
      </w:r>
    </w:p>
    <w:p w:rsidR="004B0C42" w:rsidRPr="004B0C42" w:rsidRDefault="004B0C42" w:rsidP="004B0C42">
      <w:pPr>
        <w:pStyle w:val="a3"/>
        <w:rPr>
          <w:rtl/>
        </w:rPr>
      </w:pPr>
      <w:r w:rsidRPr="004B0C42">
        <w:rPr>
          <w:rFonts w:hint="cs"/>
          <w:rtl/>
        </w:rPr>
        <w:t xml:space="preserve">ובספר חובת הדר (הל' מזוזה פ"ג הערה כ) הקשה על החיד"א 'וכל דבריו שם צ"ע, דכיון דס"ל דדירה בע"כ שמיה דירה, מאי איכפת לן שיש חוק העיר, ומה מועיל רצון או חוסר רצון' עיי"ש המשך קושיותיו ומה שתירץ. ואבאר השקו"ט בזה .(ואף שפעם כתבתי  בנושא דירה </w:t>
      </w:r>
      <w:r w:rsidRPr="004B0C42">
        <w:rPr>
          <w:rFonts w:hint="cs"/>
          <w:rtl/>
        </w:rPr>
        <w:lastRenderedPageBreak/>
        <w:t>בעל כרחך ונדפס בקובץ דינן הרי עברתי עכשו שוב על סוגיא זו ונערך עם תיקונים והוספות)</w:t>
      </w:r>
    </w:p>
    <w:p w:rsidR="004B0C42" w:rsidRDefault="004B0C42" w:rsidP="004B0C42">
      <w:pPr>
        <w:pStyle w:val="11"/>
        <w:bidi/>
        <w:rPr>
          <w:rtl/>
        </w:rPr>
      </w:pPr>
      <w:r>
        <w:rPr>
          <w:rFonts w:hint="cs"/>
          <w:rtl/>
        </w:rPr>
        <w:t>ב</w:t>
      </w:r>
      <w:r w:rsidRPr="004B0C42">
        <w:rPr>
          <w:rFonts w:hint="cs"/>
          <w:rtl/>
        </w:rPr>
        <w:t xml:space="preserve">. </w:t>
      </w:r>
    </w:p>
    <w:p w:rsidR="004B0C42" w:rsidRPr="004B0C42" w:rsidRDefault="004B0C42" w:rsidP="004B0C42">
      <w:pPr>
        <w:pStyle w:val="a3"/>
        <w:rPr>
          <w:rtl/>
        </w:rPr>
      </w:pPr>
      <w:r w:rsidRPr="004B0C42">
        <w:rPr>
          <w:rFonts w:hint="cs"/>
          <w:rtl/>
        </w:rPr>
        <w:t>גמ' יומא (י, א) תנו רבנן כל הלשכות שהיו במקדש לא היו להן מזוזה חוץ מלשכת פרהדרין, שהיה בה בית דירה לכהן גדול, אמר ר' יהודה והלא כמה לשכות היו במקדש שהיה להן בית דירה ולא היה להן מזוזה, אלא לשכת פרהדרין גזירה היתה. מבואר דלרבנן לשכת פרהדרין היתה חייבת במזוזה מן התורה, ולר' יהודה החיוב מזוזה הוה רק מדרבנן, ובמסקנת הסוגיא (שם י' ע"ב) התבאר הטעם 'רבנן סברי דירה בעל כרחה שמה דירה ורבי יהודה סבר דירה בעל כרחה לא שמה דירה, ומדרבנן הוא דתקינו לה שלא יאמרו כהן גדול חבוש בבית האסורין'. וכן פוסק הרמב"ם בהל' מזוזה (פ"ו ה"ו) 'כל השערים שהיו במקדש לא היה להם מזוזות, חוץ משער נקנור ושלפנים ממנו, ושל לשכת פרהדרין מפני שהלשכה הזאת היתה בית דירה לכהן גדול בשבעת ימי ההפרשה'.</w:t>
      </w:r>
    </w:p>
    <w:p w:rsidR="004B0C42" w:rsidRPr="004B0C42" w:rsidRDefault="004B0C42" w:rsidP="004B0C42">
      <w:pPr>
        <w:pStyle w:val="a3"/>
        <w:rPr>
          <w:rtl/>
        </w:rPr>
      </w:pPr>
      <w:r w:rsidRPr="004B0C42">
        <w:rPr>
          <w:rFonts w:hint="cs"/>
          <w:rtl/>
        </w:rPr>
        <w:t xml:space="preserve"> מבואר בזה דלשיטת חכמים שהייתו של אדם במקום מגורים שלא ברצונו, כגון כהן גדול שחוייב לפרוש ללשכת פרהדרין בשבעת ימים קודם יום הכפורים, אכתי נקראת דירה ולכן חייבת במזוזה, אך ר' יהודה חולק ולשיטתו שהייה שלא ברצונו אינה נחשבת דירה ופטורה ממזוזה. </w:t>
      </w:r>
    </w:p>
    <w:p w:rsidR="004B0C42" w:rsidRPr="004B0C42" w:rsidRDefault="004B0C42" w:rsidP="004B0C42">
      <w:pPr>
        <w:pStyle w:val="a3"/>
        <w:rPr>
          <w:rtl/>
        </w:rPr>
      </w:pPr>
      <w:r w:rsidRPr="004B0C42">
        <w:rPr>
          <w:rFonts w:hint="cs"/>
          <w:rtl/>
        </w:rPr>
        <w:t>והנה לכאורה עדיין צריך לבאר לשיטת חכמים מהו החילוק בין שאר הלשכות ללשכת פרהדרין, שהרי לא מצינו בגמ' שרבנן ישיבו לר' יהודה על קושיתו 'והלא כמה לשכות היו במקדש שהיה להן בית דירה', וכפי שרש"י מבאר שמדובר אודות הלשכות 'לשומרי הבית', ומהו אכן תוכן החילוק בין דירת שומר לדירת הכהן גדול, ואם לרבנן דירת בעל כרחה שמה דירה מדוע שלא ייחשב דירה גבי שומר, למרות שהם שהו שם מחמת חובתם לשמור ולא מרצונם?</w:t>
      </w:r>
    </w:p>
    <w:p w:rsidR="004B0C42" w:rsidRPr="004B0C42" w:rsidRDefault="004B0C42" w:rsidP="004B0C42">
      <w:pPr>
        <w:pStyle w:val="a3"/>
        <w:rPr>
          <w:sz w:val="32"/>
          <w:szCs w:val="32"/>
          <w:rtl/>
        </w:rPr>
      </w:pPr>
      <w:r w:rsidRPr="004B0C42">
        <w:rPr>
          <w:rFonts w:hint="cs"/>
          <w:rtl/>
        </w:rPr>
        <w:t xml:space="preserve">[אף שישנו תירוץ בראשונים מה החילוק בין הלשכות ללשכת הכה"ג </w:t>
      </w:r>
      <w:r w:rsidRPr="004B0C42">
        <w:rPr>
          <w:rtl/>
        </w:rPr>
        <w:t>–</w:t>
      </w:r>
      <w:r w:rsidRPr="004B0C42">
        <w:rPr>
          <w:rFonts w:hint="cs"/>
          <w:rtl/>
        </w:rPr>
        <w:t xml:space="preserve"> במאירי בדף יא, ותוס' הרא"ש ד"ה כל , מבארים שבלשכות השומרים גרו רק בלילה דדין השמירה לשיטת הרא"ש  והרמב"ם היה רק בלילה, ובית שהוא רק ללילה אינו נקרא דירה, משא"כ לשכת הכהן גדול שגר בה ביום ובלילה, </w:t>
      </w:r>
      <w:r w:rsidRPr="004B0C42">
        <w:rPr>
          <w:rFonts w:hint="cs"/>
          <w:b/>
          <w:bCs/>
          <w:rtl/>
        </w:rPr>
        <w:t>אבל אינו מתרץ לדעת המפרש רייש תמיד  ופירוש הראב"ד וכן הוא דעת הרא"ש לפי דעת האחרונים  (ראה לקו"ש חי"ג עמ' 56 הערה 11 והמצויין שם) שהשמירה היתה גם ביום וגם בלילה. א"כ היו זמנים שחלק משומרים נחו שם ביום.</w:t>
      </w:r>
    </w:p>
    <w:p w:rsidR="004B0C42" w:rsidRPr="004B0C42" w:rsidRDefault="004B0C42" w:rsidP="004B0C42">
      <w:pPr>
        <w:pStyle w:val="a3"/>
        <w:rPr>
          <w:rtl/>
        </w:rPr>
      </w:pPr>
      <w:r w:rsidRPr="004B0C42">
        <w:rPr>
          <w:rFonts w:hint="cs"/>
          <w:rtl/>
        </w:rPr>
        <w:t xml:space="preserve">עוד י"ל לשיטות הראשונים שגם חכמים מסכימים דכל שבקודש פטור ממזוזה א"כ לשכות השומרים פטורות, וכל הדיון רק על לשכת הכה""ג כמבואר בתוס' ובמאירי שהיתה פתוחה לחול (וראה לקמן אות ח), אבל עדיין צ"ב מדוע לא השיבו חכמים לר"י על קושיותו].    </w:t>
      </w:r>
    </w:p>
    <w:p w:rsidR="004B0C42" w:rsidRDefault="004B0C42" w:rsidP="004B0C42">
      <w:pPr>
        <w:pStyle w:val="11"/>
        <w:bidi/>
        <w:rPr>
          <w:rtl/>
        </w:rPr>
      </w:pPr>
      <w:r w:rsidRPr="004B0C42">
        <w:rPr>
          <w:rFonts w:hint="cs"/>
          <w:rtl/>
        </w:rPr>
        <w:t xml:space="preserve">ג. </w:t>
      </w:r>
    </w:p>
    <w:p w:rsidR="004B0C42" w:rsidRPr="004B0C42" w:rsidRDefault="004B0C42" w:rsidP="004B0C42">
      <w:pPr>
        <w:pStyle w:val="a3"/>
        <w:rPr>
          <w:rtl/>
        </w:rPr>
      </w:pPr>
      <w:r w:rsidRPr="004B0C42">
        <w:rPr>
          <w:rFonts w:hint="cs"/>
          <w:rtl/>
        </w:rPr>
        <w:t xml:space="preserve">ואוי"ל דהמושג 'בעל כרחו' יש לפרש בב' אופנים: א) </w:t>
      </w:r>
      <w:r w:rsidRPr="004B0C42">
        <w:rPr>
          <w:rFonts w:hint="cs"/>
          <w:b/>
          <w:bCs/>
          <w:rtl/>
        </w:rPr>
        <w:t>בעל כרחו מלכתחילה,</w:t>
      </w:r>
      <w:r w:rsidRPr="004B0C42">
        <w:rPr>
          <w:rFonts w:hint="cs"/>
          <w:rtl/>
        </w:rPr>
        <w:t xml:space="preserve"> היינו שאינו  ברצונו ובחירתו של אדם לשהות במקום  שנמצא בו, וההגבלה כאילו נכפתה עליו ואינה תלויה בו כלל, ע"ד </w:t>
      </w:r>
      <w:r w:rsidRPr="004B0C42">
        <w:rPr>
          <w:rFonts w:hint="cs"/>
          <w:b/>
          <w:bCs/>
          <w:rtl/>
        </w:rPr>
        <w:t>הגבלה עצמית</w:t>
      </w:r>
      <w:r w:rsidRPr="004B0C42">
        <w:rPr>
          <w:rFonts w:hint="cs"/>
          <w:rtl/>
        </w:rPr>
        <w:t>. ב)</w:t>
      </w:r>
      <w:r w:rsidRPr="004B0C42">
        <w:rPr>
          <w:rFonts w:hint="cs"/>
          <w:b/>
          <w:bCs/>
          <w:rtl/>
        </w:rPr>
        <w:t>בעל כרחו בדיעבד</w:t>
      </w:r>
      <w:r w:rsidRPr="004B0C42">
        <w:rPr>
          <w:rFonts w:hint="cs"/>
          <w:rtl/>
        </w:rPr>
        <w:t xml:space="preserve">, היינו כשהאדם </w:t>
      </w:r>
      <w:r w:rsidRPr="004B0C42">
        <w:rPr>
          <w:rFonts w:hint="cs"/>
          <w:b/>
          <w:bCs/>
          <w:rtl/>
        </w:rPr>
        <w:t xml:space="preserve">נכנס </w:t>
      </w:r>
      <w:r w:rsidRPr="004B0C42">
        <w:rPr>
          <w:rFonts w:hint="cs"/>
          <w:rtl/>
        </w:rPr>
        <w:t xml:space="preserve">למצב שבו הוא נמצא, היה זה בבחירתו וברצונו, ועכשיו בדיעבד הוא נמצא במצב של 'בעל כרחו' דמחויב לשהות </w:t>
      </w:r>
      <w:r w:rsidRPr="004B0C42">
        <w:rPr>
          <w:rFonts w:hint="cs"/>
          <w:rtl/>
        </w:rPr>
        <w:lastRenderedPageBreak/>
        <w:t xml:space="preserve">שם, אבל בכל זאת  ההגבלה מלכתחילה תלויה בדעתו, ע"ד </w:t>
      </w:r>
      <w:r w:rsidRPr="004B0C42">
        <w:rPr>
          <w:rFonts w:hint="cs"/>
          <w:b/>
          <w:bCs/>
          <w:rtl/>
        </w:rPr>
        <w:t>הגבלה רצונית</w:t>
      </w:r>
      <w:r w:rsidRPr="004B0C42">
        <w:rPr>
          <w:rFonts w:hint="cs"/>
          <w:rtl/>
        </w:rPr>
        <w:t xml:space="preserve">. </w:t>
      </w:r>
    </w:p>
    <w:p w:rsidR="004B0C42" w:rsidRPr="004B0C42" w:rsidRDefault="004B0C42" w:rsidP="004B0C42">
      <w:pPr>
        <w:pStyle w:val="a3"/>
        <w:rPr>
          <w:rtl/>
        </w:rPr>
      </w:pPr>
      <w:r w:rsidRPr="004B0C42">
        <w:rPr>
          <w:rFonts w:hint="cs"/>
          <w:rtl/>
        </w:rPr>
        <w:t xml:space="preserve">וזהו החילוק בין הכהן גדול לשומרים, השומרים מחויבים לשהות במקדש מצד עצם תפקידם ואחריות למשמרת בית אב שלהם, ובלשון הרמב"ם (הל' כלי המקדש והעובדים בו פ"ג ה"א) 'ומצות עשה להיות הלויים פנויין ומוכנין לעבודת המקדש, </w:t>
      </w:r>
      <w:r w:rsidRPr="004B0C42">
        <w:rPr>
          <w:rFonts w:hint="cs"/>
          <w:b/>
          <w:bCs/>
          <w:rtl/>
        </w:rPr>
        <w:t>בין רצו בין לא רצו</w:t>
      </w:r>
      <w:r w:rsidRPr="004B0C42">
        <w:rPr>
          <w:rFonts w:hint="cs"/>
          <w:rtl/>
        </w:rPr>
        <w:t xml:space="preserve"> שנאמר ועבד הלוי הוא', ובהמשך (ה"ב) עבודה שלהן היא שיהיו שומרין את המקדש וכו', הרי דשהייתם במקדש הוא מחמת חובתם  ותפקידם לשמור  המקדש ולא מחמת רצונם דווקא בעבודה זו, משא"כ הכהן גדול התמנה לתפקידו מצד דעתו ורצונו, (ולא מצינו שההתמנות לכה"ג היתה בע"כ של כהן, אף שבד"כ עברה בירושה מאב לבן, ואולי גם יכול היה להתפטר מתפקידו, [ואף שגם כהן שהועבר מתפקידו נשארים עליו דיני ואיסורי הכהן גדול כמבואר במגילה ט, ב והוריות יא, ב אין בין כהן גדול משמש לכהן שעבר אלא פר יום הכיפורים ועשירית האיפה, אבל עדיין אינו משרת ככהן גדול ואינו מחוייב לשהות בלשכת פלהדרין, ואכמ"ל], והכה"ג לקח על עצמו מלכתחילה אחריות לעמוד ולשרת, הכולל התחייבות לשהות תקופה מסוימת במקום מגורים שלא מרצונו.</w:t>
      </w:r>
    </w:p>
    <w:p w:rsidR="004B0C42" w:rsidRPr="004B0C42" w:rsidRDefault="004B0C42" w:rsidP="004B0C42">
      <w:pPr>
        <w:pStyle w:val="a3"/>
        <w:rPr>
          <w:rtl/>
        </w:rPr>
      </w:pPr>
      <w:r w:rsidRPr="004B0C42">
        <w:rPr>
          <w:rFonts w:hint="cs"/>
          <w:rtl/>
        </w:rPr>
        <w:t xml:space="preserve">וי"ל דבסוג דירה כזו שאדם שוהה בה </w:t>
      </w:r>
      <w:r w:rsidRPr="004B0C42">
        <w:rPr>
          <w:rFonts w:hint="cs"/>
          <w:b/>
          <w:bCs/>
          <w:rtl/>
        </w:rPr>
        <w:t>בעל כרחו לגמרי,</w:t>
      </w:r>
      <w:r w:rsidRPr="004B0C42">
        <w:rPr>
          <w:rFonts w:hint="cs"/>
          <w:rtl/>
        </w:rPr>
        <w:t xml:space="preserve"> ואינו תלוי בדעתו ורצונו כלל, גם רבנן יודו שאין כאן חיוב מזוזה, כי מצב זה לא נקרא 'בית דירה' ומזוזה חובת הדר בבית דירה בעינן, וזהו הטעם שאכן אין מחייבים מזוזה בשאר הלשכות אף שהיו שומרים דרים שם, כי דירת השומרים הוא בעל כרחם לגמרי, היינו שלא </w:t>
      </w:r>
      <w:r w:rsidRPr="004B0C42">
        <w:rPr>
          <w:rFonts w:hint="cs"/>
          <w:b/>
          <w:bCs/>
          <w:rtl/>
        </w:rPr>
        <w:t>בחרו</w:t>
      </w:r>
      <w:r w:rsidRPr="004B0C42">
        <w:rPr>
          <w:rFonts w:hint="cs"/>
          <w:rtl/>
        </w:rPr>
        <w:t xml:space="preserve"> בתפקיד זה, רק מחויבים בזה בעצם וכפי משמר בית אב שלהם. ומחלוקת ר"י ורבנן הוא רק בסוג דירה שהוא 'בעל כרחו בדיעבד', לרבנן הוי דירה משא"כ לר' יהודה. והיינו לרבנן אף שהכהן גדול שוהה בלשכת פרהדרין שבעת ימים בעל כרחו, אבל סוף סוף כיון שברצונו התמנה לתפקיד זה, ובידיעתו בחר לקחת  האחריות לשרת לפני השם גם ביום הכפורים וימי ההכנה אליו, הרי כזה סוג בע"כ 'בעל כרחו בדיעבד' שמיה דירה ויתחייב במזוזה, אבל ר' יהודה סובר כיון </w:t>
      </w:r>
      <w:r w:rsidRPr="004B0C42">
        <w:rPr>
          <w:rFonts w:hint="cs"/>
          <w:b/>
          <w:bCs/>
          <w:rtl/>
        </w:rPr>
        <w:t xml:space="preserve">שבמציאות ובפועל </w:t>
      </w:r>
      <w:r w:rsidRPr="004B0C42">
        <w:rPr>
          <w:rFonts w:hint="cs"/>
          <w:rtl/>
        </w:rPr>
        <w:t xml:space="preserve">הרי בז' ימים אלו </w:t>
      </w:r>
      <w:r w:rsidRPr="004B0C42">
        <w:rPr>
          <w:rFonts w:hint="cs"/>
          <w:b/>
          <w:bCs/>
          <w:rtl/>
        </w:rPr>
        <w:t>חייב</w:t>
      </w:r>
      <w:r w:rsidRPr="004B0C42">
        <w:rPr>
          <w:rFonts w:hint="cs"/>
          <w:rtl/>
        </w:rPr>
        <w:t xml:space="preserve"> לדור שם אף שלא לרצונו, הוי דירה בעל כרחו ולא שמי' דירה לגבי חיוב מזוזה. </w:t>
      </w:r>
    </w:p>
    <w:p w:rsidR="004B0C42" w:rsidRPr="004B0C42" w:rsidRDefault="004B0C42" w:rsidP="004B0C42">
      <w:pPr>
        <w:pStyle w:val="a3"/>
        <w:rPr>
          <w:rtl/>
        </w:rPr>
      </w:pPr>
      <w:r w:rsidRPr="004B0C42">
        <w:rPr>
          <w:rFonts w:hint="cs"/>
          <w:rtl/>
        </w:rPr>
        <w:t>[ואין להקשות אם דירה בע"כ שמה דירה מה איכפת לי איך התחיל הבע"כ,הרי אילו יצוייר שלא היה כהן אחר מתאים להיות כה"ג האם הוא יהי' פטור ממזוזה? או מאידך לו יצוייר שיש הרבה לוויים והוא התנדב האם זה משנה?  דכפשוט נקטינן כהכלל דלא פלוג ,דאם לא כן נתת דבריך לשיעורין,בפרט שהוא נדיר ביותר שיכריחוהו אותו להיות כה"ג, ואדרבה  כדמשמע מסיפורי תולדות הכהנים גדולים]</w:t>
      </w:r>
    </w:p>
    <w:p w:rsidR="004B0C42" w:rsidRDefault="004B0C42" w:rsidP="004B0C42">
      <w:pPr>
        <w:pStyle w:val="11"/>
        <w:bidi/>
        <w:rPr>
          <w:rtl/>
        </w:rPr>
      </w:pPr>
      <w:r w:rsidRPr="004B0C42">
        <w:rPr>
          <w:rFonts w:hint="cs"/>
          <w:rtl/>
        </w:rPr>
        <w:t xml:space="preserve">ד.  </w:t>
      </w:r>
    </w:p>
    <w:p w:rsidR="004B0C42" w:rsidRPr="004B0C42" w:rsidRDefault="004B0C42" w:rsidP="004B0C42">
      <w:pPr>
        <w:pStyle w:val="a3"/>
        <w:rPr>
          <w:rtl/>
        </w:rPr>
      </w:pPr>
      <w:r w:rsidRPr="004B0C42">
        <w:rPr>
          <w:rFonts w:hint="cs"/>
          <w:rtl/>
        </w:rPr>
        <w:t xml:space="preserve">ולפי"ז יש לבאר כמה הערות בסוגיא זו:  בגמ' (שם) איתביה אביי סוכת החג בחג ר' יהודה מחייב וחכמים פוטרין, ותני עלה ר' יהודה מחייב בעירוב ובמזוזה ובמעשר. ובתוס' (ד"ה וכי) מקשה  'אבל תימא לי מאי קאמר וכי תימא מדרבנן, מכל מקום תיקשי אכתי דרבנן אדרבנן מכ"ש, דהכא פטרי אפילו מדרבנן ולעיל מחייבי אפי' מדאורייתא', היינו שהקשו התוס' על רבנן שבסוכה פטרו מזוזה לגמרי אפי' רק מחיוב דרבנן, ואילו בלשכת פרהדרין שהכהן גדול דר בה במשך שבוע בשנה, חייבו במזוזה ומדאורייתא?, ומתרץ בתוס' 'וי"ל דרבנן אדרבנן לא קשה, דשאני סוכה דדירת עראי היא דבקל יכול להיות שהוא יוצא ממנה, כגון אם הוא מצטער או ירדו גשמים וכהנה רבות, אבל לשכת פרהדרין שהיה בתוכה בקביעות מחייבי'. </w:t>
      </w:r>
    </w:p>
    <w:p w:rsidR="004B0C42" w:rsidRPr="004B0C42" w:rsidRDefault="004B0C42" w:rsidP="004B0C42">
      <w:pPr>
        <w:pStyle w:val="a3"/>
        <w:rPr>
          <w:rtl/>
        </w:rPr>
      </w:pPr>
      <w:r w:rsidRPr="004B0C42">
        <w:rPr>
          <w:rFonts w:hint="cs"/>
          <w:rtl/>
        </w:rPr>
        <w:lastRenderedPageBreak/>
        <w:t>אבל עדיין קשה בהו"א דגמ' 'וכי תימא מדרבנן' בדעת ר' יהודה, שבסוכה מחייב מזוזה מדרבנן מבלי טעם מיוחד, ולאידך בלשכת פרהדרין מחייב במזוזה רק מטעם מיוחד שלא יאמרו כה"ג חבוש וכו', ואף לדברי התוס' שלמעשה הסיבה לרבי יהודה הוא לא מטעם שלא יאמרו כה"ג חבוש, אלא מטעם לשכה אטו בית, א</w:t>
      </w:r>
      <w:r w:rsidRPr="004B0C42">
        <w:rPr>
          <w:rFonts w:hint="cs"/>
          <w:u w:val="single"/>
          <w:rtl/>
        </w:rPr>
        <w:t>ב</w:t>
      </w:r>
      <w:r w:rsidRPr="004B0C42">
        <w:rPr>
          <w:rFonts w:hint="cs"/>
          <w:rtl/>
        </w:rPr>
        <w:t xml:space="preserve">ל עדיין יש טעם מיוחד ולא כמו בסוכה שמחייב בלא טעם מיוחד ומאי שנא? ולפי הנ"ל מבואר, בסוכה כיון שלמעשה יכול לצאת מסוכה זו לכל מיני צרכים, הרי זה גופא הסימן שאינו נחשבת לדירה בעל כרחו כלל, ולכן חייב במזוזה עכ"פ מדרבנן, משא"כ בלשכת פרהדרין  הרי זה גופא </w:t>
      </w:r>
      <w:r w:rsidRPr="004B0C42">
        <w:rPr>
          <w:rFonts w:hint="cs"/>
          <w:b/>
          <w:bCs/>
          <w:rtl/>
        </w:rPr>
        <w:t xml:space="preserve">שלפועל </w:t>
      </w:r>
      <w:r w:rsidRPr="004B0C42">
        <w:rPr>
          <w:rFonts w:hint="cs"/>
          <w:rtl/>
        </w:rPr>
        <w:t xml:space="preserve"> הוקבע שם לדירת הכהן גדול לשבעת הימים, ואינו יכול לצאת ממנה, הוי דירה בעל כרחו הפטורה ממזוזה, והא דחייבוהו רבנן במזוזה הוא רק מטעם המיוחד שלא יאמרו וכו'.</w:t>
      </w:r>
    </w:p>
    <w:p w:rsidR="004B0C42" w:rsidRPr="004B0C42" w:rsidRDefault="004B0C42" w:rsidP="004B0C42">
      <w:pPr>
        <w:pStyle w:val="a3"/>
        <w:rPr>
          <w:rtl/>
        </w:rPr>
      </w:pPr>
      <w:r w:rsidRPr="004B0C42">
        <w:rPr>
          <w:rFonts w:hint="cs"/>
          <w:rtl/>
        </w:rPr>
        <w:t xml:space="preserve"> [אמנם בענין זה אם הכה"ג יכל לצאת משם לצרכים פרטיים, חלקו בזה המפרשים, השפת אמת בריש מס' יומא כותב בגדר מצות הפרישה 'לכאורה נראה דהמצוה היא </w:t>
      </w:r>
      <w:r w:rsidRPr="004B0C42">
        <w:rPr>
          <w:rFonts w:hint="cs"/>
          <w:b/>
          <w:bCs/>
          <w:rtl/>
        </w:rPr>
        <w:t>כמו מצות ז' ימים תשבו בסוכות</w:t>
      </w:r>
      <w:r w:rsidRPr="004B0C42">
        <w:rPr>
          <w:rFonts w:hint="cs"/>
          <w:rtl/>
        </w:rPr>
        <w:t xml:space="preserve">, דאע"ג דאמרינן תשבו כעין תדורו, מ"מ דבר עראי מותר לעשות חוץ לסוכה...אכן לקמן בתו"י ד"ה ור"י משמע דצ"ל תמיד בלשכה יותר מחיוב סוכה, ומש"ה נקרא  דירה בע"כ'. לאידך הפני יהושע בריש המסכת לומד דהלשון שבעת ימים 'אקרא קאי למאן דיליף פרישת כה"ג ביוכ"פ ממילואים והתם כתיב 'מפתח אהל מועד לא תצאו שבעת ימים' ואגב אורח אשמעינן מלשון זה שאלו שבעת הימים </w:t>
      </w:r>
      <w:r w:rsidRPr="004B0C42">
        <w:rPr>
          <w:rFonts w:hint="cs"/>
          <w:b/>
          <w:bCs/>
          <w:rtl/>
        </w:rPr>
        <w:t xml:space="preserve">היו דבוקים בלי הפסק </w:t>
      </w:r>
      <w:r w:rsidRPr="004B0C42">
        <w:rPr>
          <w:rFonts w:hint="cs"/>
          <w:rtl/>
        </w:rPr>
        <w:t>יומם ולילה כדאשכחן במילואים' עיי"ש הרי דכלל לא יצא. עכ"פ לשיטת השפת אמת  ברייש דבריו הסובר שיכל לצאת נצטרך לחלק לר' יהודה בין סוכה ללשכת פרהדרין כחילוק אחר המבואר בתוספת ישנים ד"ה וכי תימא ,דסוכה המסורה לכל אדם יש לגזור סוכה אטו בית, משא"כ לשכת פרהדרין המסורה לכהנים זריזין אין לגזור, עיי"ש ואכמ"ל.]</w:t>
      </w:r>
    </w:p>
    <w:p w:rsidR="004B0C42" w:rsidRPr="004B0C42" w:rsidRDefault="004B0C42" w:rsidP="004B0C42">
      <w:pPr>
        <w:pStyle w:val="a3"/>
        <w:rPr>
          <w:rtl/>
        </w:rPr>
      </w:pPr>
      <w:r w:rsidRPr="004B0C42">
        <w:rPr>
          <w:rFonts w:hint="cs"/>
          <w:rtl/>
        </w:rPr>
        <w:t>ולמסקנת הגמ' דלר' יהודה סוכה חייבת במזוזה מדאורייתא דסוכה דירת קבע בעינן (כמבואר בסוכה ז, ב), הרי ר' יהודה גם יסבור דכיון שסו"ס יכול אדם לצאת משם לצרכיו הפרטיים, הרי זהו גופא הסימן דלא הוי דירה בעל כרחו, וכנ"ל.</w:t>
      </w:r>
    </w:p>
    <w:p w:rsidR="004B0C42" w:rsidRDefault="004B0C42" w:rsidP="004B0C42">
      <w:pPr>
        <w:pStyle w:val="11"/>
        <w:bidi/>
        <w:rPr>
          <w:rtl/>
        </w:rPr>
      </w:pPr>
      <w:r w:rsidRPr="004B0C42">
        <w:rPr>
          <w:rFonts w:hint="cs"/>
          <w:rtl/>
        </w:rPr>
        <w:t xml:space="preserve">ה. </w:t>
      </w:r>
    </w:p>
    <w:p w:rsidR="004B0C42" w:rsidRPr="004B0C42" w:rsidRDefault="004B0C42" w:rsidP="004B0C42">
      <w:pPr>
        <w:pStyle w:val="a3"/>
        <w:rPr>
          <w:rtl/>
        </w:rPr>
      </w:pPr>
      <w:r w:rsidRPr="004B0C42">
        <w:rPr>
          <w:rFonts w:hint="cs"/>
          <w:rtl/>
        </w:rPr>
        <w:t>והנה הברכי יוסף (יו"ד סי' רפו סק"ג) הביא את הבית הלל שכתב שבית האסורין פטור ממזוזה לפי שאינו דירת כבוד, והביא ראי' מפ"ק דיומא גבי לשכת פרהדרין דלר' יהודה חייב שלא יאמרו כהן גדול חבוש בבית האסורין, משמע דבית האסורין פטור לפי שאינו דירת כבוד, והרי מדובר בלשכת הפרהדרין שהכהן הגדול ודאי לא היה מתפנה בה אלא הולך לשירותים של העזרה ודוגמתו בית האסורים מדובר במקום נקי, ואעפ"כ פטור מצד עצם הגדרתו כבית האסורין  הוה מקום שאינו של כבוד. והברכ"י מקשה על מה שכתב שבית האסורים פטור ממזוזה משום שאינו דירת כבוד, שהרי בשו"ע מיעטו רק בית הכסא ובית מרחץ וכיו"ב, משא"כ בית אסורין שאין בו טינוף וכו'. ועוד מקשה 'ומה שהביא ראי' מסוגית יומא אינה ראיה כלל, דלרבנן דירה בעל כרחה שמה דירה .. וכן ראיתי בספר שער אפרים סי' פג דהרב הביא ראיה לבית האסורין מסוגיא זו, והרב בנו בהגהה מפרשה לחיובא עיי"ש'. הרי שלומד הברכ"י דלרבנן החולקים על ר' יהודה וסוברים דדירה בע"כ שמה דירה, הרי בית אסורים חייב במזוזה, ולא כדעת הבית הלל, אבל למעשה מצדד הברכ"י לפטור בית אסורים ממזוזה משום דהוי בית עראי ולא לקביעות והו"ל כבתים שבספינה, עיי"ש.</w:t>
      </w:r>
    </w:p>
    <w:p w:rsidR="004B0C42" w:rsidRPr="004B0C42" w:rsidRDefault="004B0C42" w:rsidP="004B0C42">
      <w:pPr>
        <w:pStyle w:val="a3"/>
        <w:rPr>
          <w:rtl/>
        </w:rPr>
      </w:pPr>
      <w:r w:rsidRPr="004B0C42">
        <w:rPr>
          <w:rFonts w:hint="cs"/>
          <w:rtl/>
        </w:rPr>
        <w:lastRenderedPageBreak/>
        <w:t xml:space="preserve">אמנם לפי מה שביארנו לעיל, הרי י"ל שגם רבנן יסברו דבית האסורים פטור ממזוזה, דדירה שהוא בעל כרחו בעצם, היינו שהאדם נכנס לגור שם שלא ברצונו כלל, אינו נחשב דירה לחייבו במזוזה שהוא חובת הדר, וכראיית ר' יהודה מלשכות המקדש שהיו בהן שומרים, דכיון שתפקידם לשמור אינו תלויה בהחלטתם לכן היו פטורים ממזוזה, וגם רבנן מסכימים לזה וכנ"ל. ובזה מתורץ דברי הבית הלל, דמה שמביא ראיה מדברי ר' יהודה הוא </w:t>
      </w:r>
      <w:r w:rsidRPr="004B0C42">
        <w:rPr>
          <w:rFonts w:hint="cs"/>
          <w:b/>
          <w:bCs/>
          <w:rtl/>
        </w:rPr>
        <w:t>מעיקר</w:t>
      </w:r>
      <w:r w:rsidRPr="004B0C42">
        <w:rPr>
          <w:rFonts w:hint="cs"/>
          <w:rtl/>
        </w:rPr>
        <w:t xml:space="preserve"> דבריו 'שלא יאמרו כהן גדול חבוש בבית האסורין', הייו שלדעתו כולם מסכימים עם זה שבית האסורין פטור ממזוזה, אלא שר' יהודה חולק גבי לשכת פרהדרין דלאו שמיה דירה, אבל גבי בית האסורים  עצמו לא מצינו שרבנן ור' יהודה יחלקו, וכנ"ל דהוי דירה מסוג בע"כ שהוא שונה מדירת בע"כ של לשכת פרהדרין, ובסוג כזה גם רבנן מודים שפטור ממזוזה, וכל מחלוקתם הוא בדירת בע"כ שהוא בדוגמת לשכת פרהדרין, וכנ"ל.</w:t>
      </w:r>
    </w:p>
    <w:p w:rsidR="004B0C42" w:rsidRPr="004B0C42" w:rsidRDefault="004B0C42" w:rsidP="004B0C42">
      <w:pPr>
        <w:pStyle w:val="a3"/>
        <w:rPr>
          <w:sz w:val="24"/>
          <w:szCs w:val="24"/>
          <w:rtl/>
        </w:rPr>
      </w:pPr>
      <w:r w:rsidRPr="004B0C42">
        <w:rPr>
          <w:rFonts w:hint="cs"/>
          <w:rtl/>
        </w:rPr>
        <w:t xml:space="preserve">[ומה שכתב הבית הלל שבית האסורים פטור ממזוזה לפי שאינה דירה של כבוד וקושית הברכ"י עליו, י"ל שבא להוסיף שבכזה סוג בית אסורים יש גם </w:t>
      </w:r>
      <w:r w:rsidRPr="004B0C42">
        <w:rPr>
          <w:rFonts w:hint="cs"/>
          <w:b/>
          <w:bCs/>
          <w:rtl/>
        </w:rPr>
        <w:t>איסור</w:t>
      </w:r>
      <w:r w:rsidRPr="004B0C42">
        <w:rPr>
          <w:rFonts w:hint="cs"/>
          <w:rtl/>
        </w:rPr>
        <w:t xml:space="preserve"> לקבוע מזוזה מחמת בזיון המקום, ולהעיר מש"ך ס"ק יא גבי בית הכסא ושאר דירות שאינם של כבוד שהם פטורים </w:t>
      </w:r>
      <w:r w:rsidRPr="004B0C42">
        <w:rPr>
          <w:rFonts w:hint="cs"/>
          <w:b/>
          <w:bCs/>
          <w:rtl/>
        </w:rPr>
        <w:t>ואין</w:t>
      </w:r>
      <w:r w:rsidRPr="004B0C42">
        <w:rPr>
          <w:rFonts w:hint="cs"/>
          <w:rtl/>
        </w:rPr>
        <w:t xml:space="preserve"> לשים שם מזוזה. והעיר הרב מ"מ נחשון: "אבל צ"ע דאין רמז בדברי הבית הילל שיש גם איסור לשים ושאת זה הוא בא לחדש, הוא רק כתב שפטור? וכן לגופו של ענין לענ"ד זה דחוק לומר כך בבית הלל ,שהרי הבית הילל נקט ברור הן בתחילת דבריו והן בסופם שהחסרון בבית האסורין הוא מצד שאינו דירת כבוד! ולא מצד דירת בע"כ. אך ניתן לומר שכוונת הבית הילל שדירה בע"כ היא גופא הופכת אותו לדירה שאינה של כבוד, אך אז קשה עליו שהכריע דלא כרבנן, ולכן לענ"ד הבית הילל רק לומד שלכו"ע בית האסורין פטור, והטעם מצד שזה לא דירה של כבוד מקום שמכניסים אנשים לשם בעל כרחם ומצד הנהגתם השלילית וכן איך שנראה כזה מקום, וכל זה לא שייך בכה"ג שהדירה עצמה מכובדת והחסרון היחיד שנמצא שם בע"כ היינו מצד ציווי התורה (אבל בהחלט יתכן ששמח להיות שם)" ע"כ. </w:t>
      </w:r>
      <w:r w:rsidRPr="004B0C42">
        <w:rPr>
          <w:rFonts w:hint="cs"/>
          <w:sz w:val="24"/>
          <w:szCs w:val="24"/>
          <w:rtl/>
        </w:rPr>
        <w:t xml:space="preserve"> </w:t>
      </w:r>
    </w:p>
    <w:p w:rsidR="004B0C42" w:rsidRPr="004B0C42" w:rsidRDefault="004B0C42" w:rsidP="004B0C42">
      <w:pPr>
        <w:pStyle w:val="a3"/>
        <w:rPr>
          <w:rtl/>
        </w:rPr>
      </w:pPr>
      <w:r w:rsidRPr="004B0C42">
        <w:rPr>
          <w:rFonts w:hint="cs"/>
          <w:rtl/>
        </w:rPr>
        <w:t xml:space="preserve"> ועיי ג"כ בשו"ת ממעמקים סימן יג אודות מזוזה בגיטו קובנא ,והוא כותב שם שהשער אפרים דעתו לפטור כהבית הילל, ולא זכיתי להבין מהיכן למד זאת, השער אפרים רק כתב  -ראה לקמן אות ה-שפתרון השאלה נמצא בסוגיה ביומא ובנו מפרש דכוונתו כרבנן ולחיובא וכמפורש בהגהת רעק"א ס"ק א. ועיין בשו"ת שאלי ציון או"ח ח"ב סימן ט-יא מה שדן עם הרב עוזיאל- הרה"ר בארץ ישראל- אודות מזוזות במחנה העצורים לטרון ,ודבריו צ"ע שחילק בין הבית הילל לברכי יוסף דהבית הילל קאי בבית האסורים דיש בו טינוף והברכי יוסף במקום דלית בו טינוף אלא דאין ביקורים וכו' ולכאורה בבית הילל עצמו מבואר דלא קאי בבית אסורים שיש בו טינוף וכדמוכח מההשוואה ללשכת הכה"ג והרי לא היה מתפנה בה אלא בשירותי העזרה, ועיין שו"ת באהלה של תורה יו"ד סי' מה אודות חיוב מזוזה במקלט, ושם כתב קצת מהסברא  שהזכרנו לעיל. ואכמ"ל</w:t>
      </w:r>
      <w:r w:rsidRPr="004B0C42">
        <w:rPr>
          <w:rFonts w:hint="cs"/>
          <w:highlight w:val="yellow"/>
          <w:rtl/>
        </w:rPr>
        <w:t xml:space="preserve"> </w:t>
      </w:r>
    </w:p>
    <w:p w:rsidR="004B0C42" w:rsidRPr="004B0C42" w:rsidRDefault="004B0C42" w:rsidP="004B0C42">
      <w:pPr>
        <w:pStyle w:val="a3"/>
        <w:rPr>
          <w:rtl/>
        </w:rPr>
      </w:pPr>
      <w:r w:rsidRPr="004B0C42">
        <w:rPr>
          <w:rFonts w:hint="cs"/>
          <w:rtl/>
        </w:rPr>
        <w:t>ולהעיר –אף שבפשטות הוא ענין אחר אבל באותו ענין-מלקו"ש (חי"ט עמ' 127) מה שהשיב כ"ק אדמו"ר הריי"צ נ"ע בהיותו בבית האסורים, שהוא נמצא במקום הפטור ממזוזה, שיש מקומות הפטורים ממזוזה ע"ד "בית דיר של סוסים ובית הכסא", ועי"ש בהערה 47 דהפטור הוא משום דנפיש זוהמייהו, ושם בהערה 50, ובכלל הרבה פעמים הבית הכסא הוא חלק מחדר האסיר.]</w:t>
      </w:r>
    </w:p>
    <w:p w:rsidR="004B0C42" w:rsidRDefault="004B0C42" w:rsidP="004B0C42">
      <w:pPr>
        <w:pStyle w:val="11"/>
        <w:bidi/>
        <w:rPr>
          <w:rtl/>
        </w:rPr>
      </w:pPr>
      <w:r w:rsidRPr="004B0C42">
        <w:rPr>
          <w:rFonts w:hint="cs"/>
          <w:rtl/>
        </w:rPr>
        <w:lastRenderedPageBreak/>
        <w:t xml:space="preserve">ו. </w:t>
      </w:r>
    </w:p>
    <w:p w:rsidR="004B0C42" w:rsidRPr="004B0C42" w:rsidRDefault="004B0C42" w:rsidP="004B0C42">
      <w:pPr>
        <w:pStyle w:val="a3"/>
        <w:rPr>
          <w:rtl/>
        </w:rPr>
      </w:pPr>
      <w:r w:rsidRPr="004B0C42">
        <w:rPr>
          <w:rFonts w:hint="cs"/>
          <w:rtl/>
        </w:rPr>
        <w:t xml:space="preserve">בספר שער אפרים (שם, הביאו הפתחי תשובה סי' רפו סק"א) כותב שאלה: 'קהל שיש להם בית האסורים חדר אחד, במי שהושיבו בתפיסה בחדר הנ"ל על כמה חודשים אי חייב במזוזה או לא'? ומשיב 'לענ"ד שיש להביא ראיה לדין זה מגמ' דיומא פ"ק דף י' גבי לשכת פרהדרין אי חייב במזוזה, וקמפליגי אי דירת בעל כרחך חייב במזוזה'. ואינו כותב מפורש דעתו אם נלמוד מגמ' זו לחיוב או לפטור. אבל בהגה"ה מבן המחבר כותב: 'וזאת ליהודה ויאמר, מגמרא הנז' נלענ"ד לומר שבית האסורים </w:t>
      </w:r>
      <w:r w:rsidRPr="004B0C42">
        <w:rPr>
          <w:rFonts w:hint="cs"/>
          <w:b/>
          <w:bCs/>
          <w:rtl/>
        </w:rPr>
        <w:t>חייב</w:t>
      </w:r>
      <w:r w:rsidRPr="004B0C42">
        <w:rPr>
          <w:rFonts w:hint="cs"/>
          <w:rtl/>
        </w:rPr>
        <w:t xml:space="preserve"> במזוזה, ואיפסקא הלכה כרבנן שאמרו בגמ' הנ"ל דירה בע"כ שמה דירה, ויש להביא ראיה לזה ממ"ש הרמב"ם בפ"ו מהל' מזוזה עשרה תנאים יש בבית ואח"כ יתחייב הדר בו לעשות לו מזוזה, ואם חסר תנאי אחד מהן פטור מן המזוזה, ואלו הן וכו' ע"ש. ויש לדקדק ולמה לא מביא בכלל הי' תנאין הנזכרים שלא יהיה הדירה בע"כ, אלא ודאי שהרמב"ם פוסק כרבנן דדירה בע"כ שמה דירה וחייבת במזוזה, וק"ל'.</w:t>
      </w:r>
    </w:p>
    <w:p w:rsidR="004B0C42" w:rsidRPr="004B0C42" w:rsidRDefault="004B0C42" w:rsidP="004B0C42">
      <w:pPr>
        <w:pStyle w:val="a3"/>
        <w:rPr>
          <w:color w:val="FF0000"/>
          <w:rtl/>
        </w:rPr>
      </w:pPr>
      <w:r w:rsidRPr="004B0C42">
        <w:rPr>
          <w:rFonts w:hint="cs"/>
          <w:rtl/>
        </w:rPr>
        <w:t xml:space="preserve">אבל לפי ביאורינו לעיל הרי אפשר לומר בדעת השער אפרים דמה שהביא מגמ' יומא הוא אדרבה, ללמוד דבית האסורים </w:t>
      </w:r>
      <w:r w:rsidRPr="004B0C42">
        <w:rPr>
          <w:rFonts w:hint="cs"/>
          <w:b/>
          <w:bCs/>
          <w:rtl/>
        </w:rPr>
        <w:t>פטור</w:t>
      </w:r>
      <w:r w:rsidRPr="004B0C42">
        <w:rPr>
          <w:rFonts w:hint="cs"/>
          <w:rtl/>
        </w:rPr>
        <w:t xml:space="preserve"> ממזוזה, כיון דהוי כשאר לשכות שבמקדש, דהוי בעל כרחו מלכתחילה, וכפשטות דברי ר' יהודה  'שלא יאמרו כה"ג חבוש בבית האסורים', שבזה כו"ע סברי - גם רבנן-  שפטור ממזוזה, ולכן גם בית האסורים של הקהלה הנ"ל (בשאלה) אכן פטור ממזוזה. [ואף שהוא דחוק בלשון השער אפרים שכתב ברור שביומא נחלקו לגבי דירה בעל כרחו, והרי המבואר כאן הוא רק סברא לענ"ד ולא מסתבר שכוונתו בפשטות לשונו לחידוש שלא כתוב מפורש בסוגיה אלא רק יוצא מכך שלא השיבו על שאר הלשכות וכנ"ל, אבל כן נראה משו"ת מנחת יצחק (ח"ד סימן צ) שכותב בתו"ד "דהרי הברכי יוסף סובב שם על דברי השערי אפרים לענין בית האסורים </w:t>
      </w:r>
      <w:r w:rsidRPr="004B0C42">
        <w:rPr>
          <w:rFonts w:hint="cs"/>
          <w:b/>
          <w:bCs/>
          <w:rtl/>
        </w:rPr>
        <w:t>דס"ל לפטור</w:t>
      </w:r>
      <w:r w:rsidRPr="004B0C42">
        <w:rPr>
          <w:rFonts w:hint="cs"/>
          <w:rtl/>
        </w:rPr>
        <w:t xml:space="preserve"> מטעם דדירה בע"כ לא שמה דירה, </w:t>
      </w:r>
      <w:r w:rsidRPr="004B0C42">
        <w:rPr>
          <w:rFonts w:hint="cs"/>
          <w:b/>
          <w:bCs/>
          <w:rtl/>
        </w:rPr>
        <w:t>ובנו</w:t>
      </w:r>
      <w:r w:rsidRPr="004B0C42">
        <w:rPr>
          <w:rFonts w:hint="cs"/>
          <w:rtl/>
        </w:rPr>
        <w:t xml:space="preserve"> בהגה"ה כתב דמש"ס דשם ראיה </w:t>
      </w:r>
      <w:r w:rsidRPr="004B0C42">
        <w:rPr>
          <w:rFonts w:hint="cs"/>
          <w:b/>
          <w:bCs/>
          <w:rtl/>
        </w:rPr>
        <w:t>לחיובא</w:t>
      </w:r>
      <w:r w:rsidRPr="004B0C42">
        <w:rPr>
          <w:rFonts w:hint="cs"/>
          <w:rtl/>
        </w:rPr>
        <w:t>, דלרבנן דירה בע"כ שמה דירה", הרי שלמד שה</w:t>
      </w:r>
      <w:r>
        <w:rPr>
          <w:rFonts w:hint="cs"/>
          <w:rtl/>
        </w:rPr>
        <w:t>שער אפרים עצמו למד מהגמ' לפטור,</w:t>
      </w:r>
      <w:r w:rsidRPr="004B0C42">
        <w:rPr>
          <w:rFonts w:hint="cs"/>
          <w:color w:val="FF0000"/>
          <w:rtl/>
        </w:rPr>
        <w:t xml:space="preserve"> </w:t>
      </w:r>
      <w:r w:rsidRPr="004B0C42">
        <w:rPr>
          <w:rFonts w:hint="cs"/>
          <w:rtl/>
        </w:rPr>
        <w:t>ויש לצרף גם את שו"ת ממעמקים שצוין לעיל אף שצ"ע  בדבריו וכנ"ל].</w:t>
      </w:r>
    </w:p>
    <w:p w:rsidR="004B0C42" w:rsidRPr="004B0C42" w:rsidRDefault="004B0C42" w:rsidP="004B0C42">
      <w:pPr>
        <w:pStyle w:val="a3"/>
        <w:rPr>
          <w:rtl/>
        </w:rPr>
      </w:pPr>
      <w:r w:rsidRPr="004B0C42">
        <w:rPr>
          <w:rFonts w:hint="cs"/>
          <w:rtl/>
        </w:rPr>
        <w:t xml:space="preserve">וקשה כנ"ל איך יכל השער אפרים ללמוד לפטור אם הלכה כרבנן דדירה בע"כ שמה דירה?, אבל לפי ביאורינו ניחא, דכנ"ל מהגמ' אפשר להוכיח דדירה שהוא בעל כרחו  בעצם ומלכתחילה אכן סבירא להו רבנן לפטור וכנ"ל. </w:t>
      </w:r>
    </w:p>
    <w:p w:rsidR="004B0C42" w:rsidRDefault="004B0C42" w:rsidP="004B0C42">
      <w:pPr>
        <w:pStyle w:val="11"/>
        <w:bidi/>
        <w:rPr>
          <w:rtl/>
        </w:rPr>
      </w:pPr>
      <w:r w:rsidRPr="004B0C42">
        <w:rPr>
          <w:rFonts w:hint="cs"/>
          <w:rtl/>
        </w:rPr>
        <w:t>ז.</w:t>
      </w:r>
    </w:p>
    <w:p w:rsidR="004B0C42" w:rsidRPr="004B0C42" w:rsidRDefault="004B0C42" w:rsidP="004B0C42">
      <w:pPr>
        <w:pStyle w:val="a3"/>
        <w:rPr>
          <w:rtl/>
        </w:rPr>
      </w:pPr>
      <w:r w:rsidRPr="004B0C42">
        <w:rPr>
          <w:rFonts w:hint="cs"/>
          <w:rtl/>
        </w:rPr>
        <w:t>ולפי המתבאר לעיל יש לתרץ קושית חובת הדר על החיד"א בשו"ת חיים שאל דלעיל , שאכן יש לחלק בין דירה בע"כ לדירת ה'לאזריט"ו', והיינו דבדירת בע"כ יכול להיות שהכניסה שם מלכתחילה היתה ברצון, ע"ד לשכת הכהן גדול, ולכן הוה דירה וחייב במזוזה, אבל כאן היות כל הכניסה הוא רק 'חק העיר ליכנס שם' ואין לו בזה רצון כלל, הרי כזה סוג בע"כ גם רבנן מודים שאינה נחשבת דירה ופטורה ממזוזה וכנ"ל.</w:t>
      </w:r>
    </w:p>
    <w:p w:rsidR="004B0C42" w:rsidRPr="004B0C42" w:rsidRDefault="004B0C42" w:rsidP="004B0C42">
      <w:pPr>
        <w:pStyle w:val="a3"/>
        <w:rPr>
          <w:rtl/>
        </w:rPr>
      </w:pPr>
      <w:r w:rsidRPr="004B0C42">
        <w:rPr>
          <w:rFonts w:hint="cs"/>
          <w:rtl/>
        </w:rPr>
        <w:t xml:space="preserve">והעיר הרב מ"מ נחשון :הברכי יוסף בחלק הזה של התשובה לא מדבר מדין דירה בע"כ, אלא מדין דירת עראי, וכדי שלא יקשה המקשה שהרי גם בלשכת כה"ג זה דירת ארעי ,על זה מבאר שיש הבדל בין עראי שכולו בלי רצון לבין  דירת כה"ג שזה אמנם בע"כ מצד ציווי התורה אבל סו"ס רוצה להיות שם ולכן זה לא ארעי, כלומר זה לא דיון על בע"כ אלא כלפי דירת </w:t>
      </w:r>
      <w:r w:rsidRPr="004B0C42">
        <w:rPr>
          <w:rFonts w:hint="cs"/>
          <w:rtl/>
        </w:rPr>
        <w:lastRenderedPageBreak/>
        <w:t xml:space="preserve">ארעי. </w:t>
      </w:r>
    </w:p>
    <w:p w:rsidR="004B0C42" w:rsidRPr="004B0C42" w:rsidRDefault="004B0C42" w:rsidP="004B0C42">
      <w:pPr>
        <w:pStyle w:val="a3"/>
        <w:rPr>
          <w:rtl/>
        </w:rPr>
      </w:pPr>
      <w:r w:rsidRPr="004B0C42">
        <w:rPr>
          <w:rFonts w:hint="cs"/>
          <w:rtl/>
        </w:rPr>
        <w:t>ובכלל תמיהני שהרי לחיד"א דירה בע"כ שמה דירה ובית האסורים חייב במזוזה. אלא שחידש המושג של דירה בע"כ אבל זה לא קשור לסוגיה ביומא. ע"כ.</w:t>
      </w:r>
    </w:p>
    <w:p w:rsidR="004B0C42" w:rsidRDefault="004B0C42" w:rsidP="004B0C42">
      <w:pPr>
        <w:pStyle w:val="11"/>
        <w:bidi/>
        <w:rPr>
          <w:rtl/>
        </w:rPr>
      </w:pPr>
      <w:r w:rsidRPr="004B0C42">
        <w:rPr>
          <w:rFonts w:hint="cs"/>
          <w:rtl/>
        </w:rPr>
        <w:t xml:space="preserve">ח. </w:t>
      </w:r>
    </w:p>
    <w:p w:rsidR="004B0C42" w:rsidRPr="004B0C42" w:rsidRDefault="004B0C42" w:rsidP="004B0C42">
      <w:pPr>
        <w:pStyle w:val="a3"/>
        <w:rPr>
          <w:rtl/>
        </w:rPr>
      </w:pPr>
      <w:r w:rsidRPr="004B0C42">
        <w:rPr>
          <w:rFonts w:hint="cs"/>
          <w:rtl/>
        </w:rPr>
        <w:t>והנה כל מה שביארנו עד עתה בדברי הגמ' מתאים עם דעות הפוסקים שבית האסורים פטור ממזוזה, אמנם להפוסקים הסוברים שבית אסורים חייב במזוזה, וכנ"ל שיטת השער אפרים הובא גם בהגהות ר' עקיבא איגר (בשו"ע יו"ד שם) שבית אסורים חייב במזוזה דדירה בע"כ שמיה דירה. וכ"כ הערוך השלחן (או"ח סי' שנח ס"ט) דחצר בית האסורים חייבת במזוזה אם היא של ישראל, ומהטעם דדירה בע"כ שמיה דירה, וכ"כ ביו"ד (סי' רפו ס"ד) דבית האסורים חייב במזוזה, וכן החיד"א בברכי יוסף שפוטר הוא מטעמים אחרים אבל מצד דירת בעל כרחו גם דעתו לחייב וכנ"ל.</w:t>
      </w:r>
    </w:p>
    <w:p w:rsidR="004B0C42" w:rsidRPr="004B0C42" w:rsidRDefault="004B0C42" w:rsidP="004B0C42">
      <w:pPr>
        <w:pStyle w:val="a3"/>
        <w:rPr>
          <w:rtl/>
        </w:rPr>
      </w:pPr>
      <w:r w:rsidRPr="004B0C42">
        <w:rPr>
          <w:rFonts w:hint="cs"/>
          <w:rtl/>
        </w:rPr>
        <w:t xml:space="preserve">וצ"ב לשיטה זו מה ישיבו רבנן לקושית ר' יהודה דכמה לשכות היו במקדש שהיה להן בית דירה ולא היה להן מזוזה, ומאי שנא הלשכות שהיו דירת בע"כ ובכ"ז פטורים, מלשכת פרהדרין שחייב במוזה, ומאי שנא בית האסורים שחייב במזוזה מהלשכות שבמקדש שפטורין? ובכלל איך יסבירו דברי הגמ' 'שלא יאמרו כה"ג חבוש בבית האסורין' שהוה  דוגמא וסיבה </w:t>
      </w:r>
      <w:r w:rsidRPr="004B0C42">
        <w:rPr>
          <w:rFonts w:hint="cs"/>
          <w:b/>
          <w:bCs/>
          <w:rtl/>
        </w:rPr>
        <w:t>לפטור</w:t>
      </w:r>
      <w:r w:rsidRPr="004B0C42">
        <w:rPr>
          <w:rFonts w:hint="cs"/>
          <w:rtl/>
        </w:rPr>
        <w:t>, ואיך יוסבר לדעתם הא שבית האסורים חייב במזוזה, וצ"ב.</w:t>
      </w:r>
    </w:p>
    <w:p w:rsidR="004B0C42" w:rsidRPr="004B0C42" w:rsidRDefault="004B0C42" w:rsidP="004B0C42">
      <w:pPr>
        <w:pStyle w:val="a3"/>
        <w:rPr>
          <w:rtl/>
        </w:rPr>
      </w:pPr>
      <w:r w:rsidRPr="004B0C42">
        <w:rPr>
          <w:rFonts w:hint="cs"/>
          <w:rtl/>
        </w:rPr>
        <w:t>וי"ל בהקדים דברי הגמ' (יומא יא ע"ב) 'יכול שאני מרבה אף הר הבית והלשכות והעזרות , ת"ל בית, מה בית שהוא חול אף כל שהוא חול, יצאו אלו שהן קודש' ולכן פטורים מן המזוזה. והקשו הראשונים הרי הגמ' (לעיל י' ע"א) מביאה דעת רבנן שלשכת פרהדרין חייבת במזוזה מן התורה בשבעת הימים שדר שם הכהן גדול, ואלו כאן פוטרת הגמ' את כל הר הבית והלשכות ממזוזה מפני שהם קודש?! ואפילו ר' יהודה שפוטר שם ממזוזה הוא לא מטעם שהוא קודש אלא משום שדירת בע"כ לאו שמה דירה, והלא כאן מפורש שהוא מחמת שהוא קודש, וצ"ב.</w:t>
      </w:r>
    </w:p>
    <w:p w:rsidR="004B0C42" w:rsidRPr="004B0C42" w:rsidRDefault="004B0C42" w:rsidP="004B0C42">
      <w:pPr>
        <w:pStyle w:val="a3"/>
        <w:rPr>
          <w:rtl/>
        </w:rPr>
      </w:pPr>
      <w:r w:rsidRPr="004B0C42">
        <w:rPr>
          <w:rFonts w:hint="cs"/>
          <w:rtl/>
        </w:rPr>
        <w:t>ויש ראשונים הסוברים שבין חכמים המחייבים לשכת פרהדרין במזוזה ובין ר' יהודה שפוטר אכן חולקים על ברייתא זו הפוטרת כל הלשכות מפני שהן קודש, עיי' בריטב"א ומה שתירץ בתוס' הרא"ש.</w:t>
      </w:r>
    </w:p>
    <w:p w:rsidR="004B0C42" w:rsidRDefault="004B0C42" w:rsidP="004B0C42">
      <w:pPr>
        <w:pStyle w:val="11"/>
        <w:bidi/>
        <w:rPr>
          <w:rtl/>
        </w:rPr>
      </w:pPr>
      <w:r w:rsidRPr="004B0C42">
        <w:rPr>
          <w:rFonts w:hint="cs"/>
          <w:rtl/>
        </w:rPr>
        <w:t xml:space="preserve">ט. </w:t>
      </w:r>
    </w:p>
    <w:p w:rsidR="004B0C42" w:rsidRPr="004B0C42" w:rsidRDefault="004B0C42" w:rsidP="004B0C42">
      <w:pPr>
        <w:pStyle w:val="a3"/>
        <w:rPr>
          <w:rtl/>
        </w:rPr>
      </w:pPr>
      <w:r w:rsidRPr="004B0C42">
        <w:rPr>
          <w:rFonts w:hint="cs"/>
          <w:rtl/>
        </w:rPr>
        <w:t>אמנם יש לומר דאכן ברייתא זו תתאים גם עם דעת רבנן ור' יהודה, ויסברו ד</w:t>
      </w:r>
      <w:r w:rsidRPr="004B0C42">
        <w:rPr>
          <w:rFonts w:hint="cs"/>
          <w:b/>
          <w:bCs/>
          <w:rtl/>
        </w:rPr>
        <w:t xml:space="preserve">לשכת פרהדרין </w:t>
      </w:r>
      <w:r w:rsidRPr="004B0C42">
        <w:rPr>
          <w:rFonts w:hint="cs"/>
          <w:rtl/>
        </w:rPr>
        <w:t xml:space="preserve">שונה משאר חלקי המקדש. והוא בהקדים הטעם המבואר בראשונים בההיתר לכה"ג לשבת ולישון בלשכה שבעזרה, והא אין ישיבה בעזרה אלא למלכי בית דוד בלבד, ומבארים בכמה אופנים: דלשכה זו היתה בנויה בקודש ופתוחה לחול, או בנויה בחול ופתוחה לקודש (עיין בזה ביומא ח ע"ב תוס' ד"ה דאי), ובריטב"א (יומא יא ע"א) כתב 'וי"ל דשאני הכא דמתחלת עשייתה היתה לכך, ולא נתקדשה כשאר העזרה', וראה משנה למלך הל' בית הבחירה פ"א ה"ט שכתב 'דע"כ לשכה זו לא נתקדשה בקדושת עזרה שהרי הכהן גדול היה ישן בה כל ז' ימים' [ובזה מתרץ המשל"מ איך הותר לעשות הלשכה מעץ הרי אין בונין בו עץ, </w:t>
      </w:r>
      <w:r w:rsidRPr="004B0C42">
        <w:rPr>
          <w:rFonts w:hint="cs"/>
          <w:rtl/>
        </w:rPr>
        <w:lastRenderedPageBreak/>
        <w:t>אבל ראה בלקו"ש (חכ"ח עמ' 220 הערה 6 שכותב ע"ז 'אבל ברמב"ם לא נרמז זה כלל', ואכ"מ] . וזהו גם הטעם דבלשכת פרהדרין אף שבכללות הוא גם מאלו 'שהן קודש' בכ"ז התחייב במזוזה כי מתחילת עשייתה לא נתקדשה כשאר העזרה כי עשויה לדירת כה"ג וכל צרכיו, משא"כ שאר הלשכות שנעשו לצורך קודש אכן פטורים ממזוזה.</w:t>
      </w:r>
    </w:p>
    <w:p w:rsidR="004B0C42" w:rsidRPr="004B0C42" w:rsidRDefault="004B0C42" w:rsidP="004B0C42">
      <w:pPr>
        <w:pStyle w:val="a3"/>
        <w:rPr>
          <w:rtl/>
        </w:rPr>
      </w:pPr>
      <w:r w:rsidRPr="004B0C42">
        <w:rPr>
          <w:rFonts w:hint="cs"/>
          <w:rtl/>
        </w:rPr>
        <w:t>וראיתי עתה שאכן סברא זו כתב  המאירי (יומא יא ע"ב בסופו) 'ואי קשיא לך נמי לשכת פרהדרין גופא לא ליחייב במזוזה מדאמרינן לקמן מה בית שהוא חול .. תרצו בה דפתוחה בחול היתה ותנן כל הלשכות שהן בנויות בקדש ופתוחות בחול תוכן חול". אף שדברי המאירי עצ"ע מה גרע פתוחה לחול מהר הבית המפורש כאן בברייתא שפטור משום שהוא קודש, אבל לפי דברי הריטב"א הנ"ל אכן מוסבר כיון דמתחילת עשייתה נעשתה לצורך הכהן גדול ולא נתקדשה בקדושה כנ"ל.</w:t>
      </w:r>
    </w:p>
    <w:p w:rsidR="004B0C42" w:rsidRPr="004B0C42" w:rsidRDefault="004B0C42" w:rsidP="004B0C42">
      <w:pPr>
        <w:pStyle w:val="a3"/>
        <w:rPr>
          <w:rtl/>
        </w:rPr>
      </w:pPr>
      <w:r w:rsidRPr="004B0C42">
        <w:rPr>
          <w:rFonts w:hint="cs"/>
          <w:rtl/>
        </w:rPr>
        <w:t>וימתק יותר ע"פ המבואר בחתם סופר (שו"ת יו"ד סי' רפא, הובא בלקו"ש חכ"ד תצא ב, ושם בהערה 13 ו34 עיי"ש) שמש"כ הרמב"ם ש'פטורין לפי שהן קודש' הטעם הוא לפי שאינם דירת הדיוט, ודוקא דירת הדיוט חייבת במזוזה, כי ענין המזוזה הוא קביעות שם ה' על פתח הבית, ואין צורך בזה ב'דירת גבוה ה' אלוקי ישראל', משא"כ לשכת פרהדרין 'כל שהדיוט דר בו היינו כה"ג, אפי' יהיה המקום קדוש, מ"מ מיקרי ביתך היינו דירתך', עיי"ש.</w:t>
      </w:r>
    </w:p>
    <w:p w:rsidR="004B0C42" w:rsidRPr="004B0C42" w:rsidRDefault="004B0C42" w:rsidP="004B0C42">
      <w:pPr>
        <w:pStyle w:val="a3"/>
        <w:rPr>
          <w:rtl/>
        </w:rPr>
      </w:pPr>
      <w:r w:rsidRPr="004B0C42">
        <w:rPr>
          <w:rFonts w:hint="cs"/>
          <w:rtl/>
        </w:rPr>
        <w:t xml:space="preserve">א"כ לפי"ז י"ל, דלשיטת המחייבים בית האסורים במזוזה יסברו דאין לחלק בין סוגי ה'בעל כרחו', וכיון דפסקינן כרבנן דדירת בע"כ שמיה דירה הרי גם בית אסורים בכלל וכהבנת המגיה בשער אפרים הנ"ל, והחילוק בין לשכת פרהדרין לשאר הלשכות יסברו רבנן דשאר הלשכות פטורים בגלל שהן </w:t>
      </w:r>
      <w:r w:rsidRPr="004B0C42">
        <w:rPr>
          <w:rFonts w:hint="cs"/>
          <w:b/>
          <w:bCs/>
          <w:rtl/>
        </w:rPr>
        <w:t>קודש</w:t>
      </w:r>
      <w:r w:rsidRPr="004B0C42">
        <w:rPr>
          <w:rFonts w:hint="cs"/>
          <w:rtl/>
        </w:rPr>
        <w:t xml:space="preserve"> אבל בלשכת פרהדרין לא שייך טעם זה כנ"ל, וע"כ הטעם הוא, או משום דדירה בע"כ שמה דירה כרבנן או משום גזירה כר' יהודה. ולדעתם כשהגמ' מביאה סיבת החיוב שלא יאמרו כה"ג חבוש בבית האסורים הוא לא מדיני וחיוב מזוזה בבית האסורים אלא להדגיש שאי שימת מזוזה גורם לו לאדם להרגיש שאינו דר בבית, דמזוזה חובת הדר היא ודוגמא קיצונית למצב היפך הבית הוא בית הסוהר.</w:t>
      </w:r>
    </w:p>
    <w:p w:rsidR="00FA5CCA" w:rsidRDefault="00642014" w:rsidP="00642014">
      <w:pPr>
        <w:tabs>
          <w:tab w:val="left" w:pos="2171"/>
          <w:tab w:val="center" w:pos="3096"/>
        </w:tabs>
        <w:bidi/>
        <w:spacing w:after="100" w:line="360" w:lineRule="auto"/>
        <w:ind w:firstLine="288"/>
        <w:jc w:val="center"/>
        <w:rPr>
          <w:rFonts w:ascii="Nymphette" w:eastAsia="Times New Roman" w:hAnsi="Nymphette" w:cs="Nymphette"/>
          <w:sz w:val="44"/>
          <w:szCs w:val="44"/>
        </w:rPr>
      </w:pPr>
      <w:r w:rsidRPr="00760DB7">
        <w:rPr>
          <w:rFonts w:ascii="Nymphette" w:eastAsia="Times New Roman" w:hAnsi="Nymphette" w:cs="Nymphette"/>
          <w:sz w:val="44"/>
          <w:szCs w:val="44"/>
        </w:rPr>
        <w:t>g</w:t>
      </w:r>
    </w:p>
    <w:p w:rsidR="00FA5CCA" w:rsidRDefault="00FA5CCA">
      <w:pPr>
        <w:rPr>
          <w:rFonts w:ascii="Nymphette" w:eastAsia="Times New Roman" w:hAnsi="Nymphette" w:cs="Nymphette"/>
          <w:sz w:val="44"/>
          <w:szCs w:val="44"/>
        </w:rPr>
      </w:pPr>
      <w:r>
        <w:rPr>
          <w:rFonts w:ascii="Nymphette" w:eastAsia="Times New Roman" w:hAnsi="Nymphette" w:cs="Nymphette"/>
          <w:sz w:val="44"/>
          <w:szCs w:val="44"/>
        </w:rPr>
        <w:br w:type="page"/>
      </w:r>
    </w:p>
    <w:p w:rsidR="004B0C42" w:rsidRDefault="004B0C42" w:rsidP="006E31A6">
      <w:pPr>
        <w:pStyle w:val="a0"/>
        <w:bidi w:val="0"/>
        <w:rPr>
          <w:rtl/>
        </w:rPr>
      </w:pPr>
      <w:bookmarkStart w:id="158" w:name="_Toc39817456"/>
      <w:r w:rsidRPr="00B57E32">
        <w:rPr>
          <w:rtl/>
        </w:rPr>
        <w:lastRenderedPageBreak/>
        <w:t>בענין אם מותר להרחיב או להקטין תפסן מפיות בשבת</w:t>
      </w:r>
      <w:bookmarkEnd w:id="158"/>
    </w:p>
    <w:p w:rsidR="006E31A6" w:rsidRDefault="006E31A6" w:rsidP="00C93F24">
      <w:pPr>
        <w:pStyle w:val="a"/>
        <w:rPr>
          <w:rtl/>
        </w:rPr>
      </w:pPr>
      <w:bookmarkStart w:id="159" w:name="_Toc39817457"/>
      <w:r>
        <w:rPr>
          <w:rFonts w:hint="cs"/>
          <w:rtl/>
        </w:rPr>
        <w:t>הרב יעקב אהרן סקוצילס</w:t>
      </w:r>
      <w:bookmarkEnd w:id="159"/>
    </w:p>
    <w:p w:rsidR="006E31A6" w:rsidRPr="00B57E32" w:rsidRDefault="006E31A6" w:rsidP="006E31A6">
      <w:pPr>
        <w:pStyle w:val="a1"/>
        <w:rPr>
          <w:rtl/>
        </w:rPr>
      </w:pPr>
      <w:r w:rsidRPr="00B57E32">
        <w:rPr>
          <w:rFonts w:hint="cs"/>
          <w:rtl/>
        </w:rPr>
        <w:t>רב ומו"צ בית הוראה יד הרמ"ה</w:t>
      </w:r>
    </w:p>
    <w:p w:rsidR="006E31A6" w:rsidRPr="00B57E32" w:rsidRDefault="006E31A6" w:rsidP="006E31A6">
      <w:pPr>
        <w:pStyle w:val="a1"/>
        <w:rPr>
          <w:rtl/>
        </w:rPr>
      </w:pPr>
      <w:r w:rsidRPr="00B57E32">
        <w:rPr>
          <w:rFonts w:hint="cs"/>
          <w:rtl/>
        </w:rPr>
        <w:t>מח"ס אהל יעקב ירושלים</w:t>
      </w:r>
    </w:p>
    <w:p w:rsidR="004B0C42" w:rsidRPr="00D7775A" w:rsidRDefault="004B0C42" w:rsidP="006E31A6">
      <w:pPr>
        <w:pStyle w:val="a3"/>
        <w:rPr>
          <w:rtl/>
        </w:rPr>
      </w:pPr>
      <w:r>
        <w:rPr>
          <w:rtl/>
        </w:rPr>
        <w:t>בדבר השאלה אודות תפסן למפיות שהוא טוב גם כך וגם כך אלא שיש כאלו שטוב להם גדול ויש שטוב להם קטן יותר, האם יש איסור מכה בפטיש לשנות גודל התפסן בשבת.</w:t>
      </w:r>
    </w:p>
    <w:p w:rsidR="004B0C42" w:rsidRDefault="004B0C42" w:rsidP="006E31A6">
      <w:pPr>
        <w:pStyle w:val="a3"/>
        <w:rPr>
          <w:rtl/>
        </w:rPr>
      </w:pPr>
      <w:r>
        <w:rPr>
          <w:rtl/>
        </w:rPr>
        <w:t xml:space="preserve">וצדדי הספק האם אסור לעשות שינוי בחפץ להתאים לאדם מסוים כשעל ידי כך לא מוסיפים כלום לחפץ ולא מחברים כלום רק לוקחים מה שקיים ומסדרים אותו להתאים לתכלית הרצוי ושוב יכול לחזור למצבו הקודם. ואפשר שלפי זה אם נדמות לשאר חפץ שכבר מושלם רק משנים את הדרגות או הגודל שלו אולי זה כבר דומה למה שדנו הפוסקים לגבי סטנדר שיש מקילים ויש אוסרים כמ"ש בסמוך. </w:t>
      </w:r>
    </w:p>
    <w:p w:rsidR="004B0C42" w:rsidRDefault="004B0C42" w:rsidP="006E31A6">
      <w:pPr>
        <w:pStyle w:val="a3"/>
        <w:rPr>
          <w:rtl/>
        </w:rPr>
      </w:pPr>
      <w:r>
        <w:rPr>
          <w:rtl/>
        </w:rPr>
        <w:t>אולם שמא ניתן לדמות את זה למה שכתב הפוסקים לפי מה שנפסק להלכה (סימן שי"ד סעיף א' ומ"ב ס"ק ט') לגבי הרחבת נקב שיש בזה איסור תיקון מנא, וכבר מצאנו בפוסקים שכתבו שאסור להרחיב נקב של פיטמה של בקבוק תינוק כדי שיצא יותר תכולה עם החור תהיה יותר רחב, אולי נידון דידן דומה מאחר וגם משנים את החפץ כדי שיתאים לשלחן גדול או שלחן קטן, כמו כן הפיטמה כעת מותאם יותר לאחד יותר גדול, ונבאר בס"ד יסוד ההיתר והאיסור בכמה דוגמאות האלו ולראות האם נידון דידן דומה להתיר או לאסור.</w:t>
      </w:r>
    </w:p>
    <w:p w:rsidR="004B0C42" w:rsidRDefault="004B0C42" w:rsidP="006E31A6">
      <w:pPr>
        <w:pStyle w:val="a3"/>
        <w:rPr>
          <w:rtl/>
        </w:rPr>
      </w:pPr>
      <w:r>
        <w:rPr>
          <w:rtl/>
        </w:rPr>
        <w:t xml:space="preserve">בביאור יסוד האיסור בקצרה ונפק"מ לדינא במלאכת מכה בפטיש, הנה מבואר בגמ' שבת דף עה: והובא במשנה ברורה (סימן שי"ד ס"ק ח') מהרמב"ם (הל' שבת פרק כ"ג) מכה בפטיש הוא שם הכולל לכל גמר מלאכה, שהוא תולדת אב מלאכה זו שהאומן מכה בפטיש על הכלי כדי להשוות עקמימותה. ומצאנו כמה דוגמאות במסכת שבת לאיסור שכלול במכה בפטיש, הגמ' דף מח. כתב אין נותנין את המוכין לא לתוך הכר ולא לתוך הכסת בתחילה. וטעם האיסור בכה"ג משום שזה הפעולה האחרונה בתהליך יצירת הכלי שעל ידה נעשה הכלי ראוי לתשמישו. וכן מובא שם האיסור לפתוח בית הצואר של חלוק בפעם הראשונה שכעת משווי ליה מנא. הסוגיא של מכה בפטיש מורחב מאוד ואכמ"ל בזה וכעת נציין רק מה שנוגע לנידון דידן. </w:t>
      </w:r>
    </w:p>
    <w:p w:rsidR="004B0C42" w:rsidRDefault="004B0C42" w:rsidP="006E31A6">
      <w:pPr>
        <w:pStyle w:val="a3"/>
        <w:rPr>
          <w:rtl/>
        </w:rPr>
      </w:pPr>
      <w:r>
        <w:rPr>
          <w:rtl/>
        </w:rPr>
        <w:t xml:space="preserve">המגן אברהם (סימן ש"מ ס"ק י"א) הביא מספר הזכרונות שמחט שנתעקמה אסור ליישר אותו משום מכה בפטיש, הא מבואר יסוד הדין שאע"פ שהוא כבר כלי מושלם וגמרו לייצר אותו לגמרי אם התקלקל הצורה ומתקן אותו על מכונו חייב משום מכה בפטיש. מיהו מבואר מהמשנה ברורה (סימן שיג ס"ק מ"ה) שאם הכלי הוא מיועד לשנות אותו תדיר אין בהם איסור של מכה בפטיש. </w:t>
      </w:r>
    </w:p>
    <w:p w:rsidR="004B0C42" w:rsidRDefault="004B0C42" w:rsidP="006E31A6">
      <w:pPr>
        <w:pStyle w:val="a3"/>
        <w:rPr>
          <w:rtl/>
        </w:rPr>
      </w:pPr>
      <w:r>
        <w:rPr>
          <w:rtl/>
        </w:rPr>
        <w:t xml:space="preserve">והנה יש לדון במקרה המצוי לגבי כובע (מגבעות) שהתעקמו אם הכובע הוא רכה והתקמט מותר לחזור וליישרו, כך פסק החזון איש הובא בדינים והנהגות (פרק י"ד אות כ"ד) והטעם </w:t>
      </w:r>
      <w:r>
        <w:rPr>
          <w:rtl/>
        </w:rPr>
        <w:lastRenderedPageBreak/>
        <w:t xml:space="preserve">משום שאין בפעולה זו משום תיקון מנא, שהרי כיון שהם רכות לכן אינן בגדר מקולקלות אף בעודן מקומטות, שהרי צורתן הראשונה עדיין עליהן, וממילא מה שמיישר אותו אינו נחשב לתיקון. [מיהו אם הכובע התקמט לגמרי לכאורה אף אם הוא רכה מגדירים אותו כמקולקל ואסור לתקנו בשבת ויש לעיין בזה]. וראה עוד במאור השבת חלק א' (מכתב י"א אות ח') שהגרשז"א היקל בזה. </w:t>
      </w:r>
    </w:p>
    <w:p w:rsidR="004B0C42" w:rsidRDefault="004B0C42" w:rsidP="006E31A6">
      <w:pPr>
        <w:pStyle w:val="a3"/>
        <w:rPr>
          <w:rtl/>
        </w:rPr>
      </w:pPr>
      <w:r>
        <w:rPr>
          <w:rtl/>
        </w:rPr>
        <w:t>אמנם אותם כובעים שהם קשיחות אם הם התקמטו אסור לחזור וליישרן כי כובע קשה הקמטים נחשבים כקלקול בכלי ולכן מה שמיישר אותו הוי כתיקון כלי כמ"ש לעיל לגבי מחט שהתעקם. מבואר מכל הנ"ל וכמ"ש במגן אברהם שם שאף בכלי גמור שייך תיקון מנא כל עוד שכלי השלם מוגדר כעת ככלי מקולקל דאז הוי דומיא למחט עקום שאסור לכל הדעות ליישר. ולמעשה בנידון דידן ראיתי שכבר כתבו גדולי הוראה שליט"א להחמיר בזה כמ"ש בספר חוט שני (פרק ל"ז) וכן הובא בספר החשוב והנצרך בכל בית ישראל "וביום השבת" שיש להחמיר בזה כדעת הגר"נ קרליץ שליט"א על פי המגן אברהם הנ"ל.</w:t>
      </w:r>
    </w:p>
    <w:p w:rsidR="004B0C42" w:rsidRDefault="004B0C42" w:rsidP="006E31A6">
      <w:pPr>
        <w:pStyle w:val="a3"/>
        <w:rPr>
          <w:rtl/>
        </w:rPr>
      </w:pPr>
      <w:r>
        <w:rPr>
          <w:rtl/>
        </w:rPr>
        <w:t>אמנם נלענ"ד שאין להביא ראיה להחמיר מנידון של תיקון כובע בשבת כיון ששם אע"פ שהוא כלי שלם וגמור מ"מ על ידי הקמיטות הוא מאבד את האפשרות להשתמש בשום שימוש של לבישת כובע, ולא מיועד לשום שימוש, משא"כ כלי דידן בכל אופן הוא מיועד לשימוש רק לא לכל שולחן הוא מתאים ולכן אין לו חסרון של כובע קמוטה או מחט שהתעקם שמאבדים שימוש בכלי או חלק מהתשמישים של אותו כלי.</w:t>
      </w:r>
    </w:p>
    <w:p w:rsidR="004B0C42" w:rsidRDefault="004B0C42" w:rsidP="006E31A6">
      <w:pPr>
        <w:pStyle w:val="a3"/>
        <w:rPr>
          <w:rtl/>
        </w:rPr>
      </w:pPr>
      <w:r>
        <w:rPr>
          <w:rtl/>
        </w:rPr>
        <w:t>ודמות ראיה אולי נוכל להביא במה שדנו לגבי משקפת בשו"ת ציץ אליעזר חלק ו' (סימן ו') בהשמטות הביא ששמע מהחזון איש לגבי משקפת שמותר לכוון אותה בשבת, וכך הביא בשש"כ (פרק ט"ז סעיף מ"ז) בשם עוד כמה פוסקים. והרי אע"פ שהכלי מתאים לאחד כך ולשני כך אין בזה חשש תיקון כלי, ויסוד ההיתר מובא בשו"ת דבר יהושע חלק ב' (סימן מ"ד) שהביא מה ששמע מרבו הגאון רבי מאיר אריק זצ"ל  שביאר שם הסברא דכיון שיש בני אדם שיכולים לראות בו בלי כוונה כגון מי שעין שלו רואה באותו הכוון שהמשקפת מכוונת כבר ואין צריך לכוונה בכוון אחר אך לפי עין הרואה של זה צריך לכוונה בכוון אחר, נמצא שאין חסרון בגוף המשקפת אלא בעינו של אדם אבל הכלי מצד עצמו אין צריך שום תיקון, בכה"ג לא חשיב תיקון מנא אלא תיקון גברא. ולכן למשל לגבי התפסן שהרי באופן כשהברזל מכוון למשל לרוחב של 4 ס"מ הנה ישנם שולחנות שלהם הוא מותאם, אלא שלשולחן של 5 ס"מ אינו מותאם, וא"כ לא שייך לומר דכשהרחיבו למדה של 5 ס"מ שעכשיו "תיקן" אותו, שהרי עכשיו אינו ראוי לשולחן ברוחב 4 ס"מ.</w:t>
      </w:r>
    </w:p>
    <w:p w:rsidR="004B0C42" w:rsidRDefault="004B0C42" w:rsidP="006E31A6">
      <w:pPr>
        <w:pStyle w:val="a3"/>
        <w:rPr>
          <w:rtl/>
        </w:rPr>
      </w:pPr>
      <w:r>
        <w:rPr>
          <w:rtl/>
        </w:rPr>
        <w:t xml:space="preserve">ומעתה דוגמאות הנ"ל כגון ליישר דבר עקום, כמובן שאין קשר בין נידון דידן לזה, הרי שם לוקחים דבר שאי אפשר להשתמש בו באופן רגיל וכפי מה שהוא מיועד לשימושו, וכעת ניתן להשתמש בו הרי הוא בודאי נחשב כתיקון כלי. כמו כן מה שאסרו בשו"ע (סימן שי"ד סעיף א') וכן הוא הסכמת כל הפוסקים שיש איסור להרחיב את הפתח של הפיטמה, ואע"פ שלפי זה נמצא שהוא אסור בין אם כל התכלית של הרחבת החור הוא עבור שימוש פלוני ואילו לפני כן היה מתאים למישהו אחר וכל המעשה הוא רק לשנות את ההתאמה של הכלי ובכל זאת קיימא לן שאסור. מ"מ אין זה קשה למה שכתבנו להקל בתפסן, כי הלא הפיטמה יש בה חסרון אחד שאין בתפסן והוא שאחרי הרחבת החור הוא ממש משנה אותו כעין כלי </w:t>
      </w:r>
      <w:r>
        <w:rPr>
          <w:rtl/>
        </w:rPr>
        <w:lastRenderedPageBreak/>
        <w:t>חדש שכעת מיועד רק עבור אנשים מסוימים ולא חוזרים למצב הקודם שפעם היה בעבר כשהחור היה יותר קטן, משא"כ בתפסן שהוא במהותו לא מגביל מצד הכלי עצמו את השימושו של הכלי השלם רק תלוי לפי בעל הבית אם יש לו שלחן רחב או פחות רחב והשינוי לא הוי בעצם הכלי עצמו רק באיזה שלחן רוצים לחבר אותו עליה, וממילא אין לדמות האיסור של הרחבת הכלי להרחבת התפסן להתאים לשלחן, כנלענ"ד.</w:t>
      </w:r>
    </w:p>
    <w:p w:rsidR="004B0C42" w:rsidRDefault="004B0C42" w:rsidP="006E31A6">
      <w:pPr>
        <w:pStyle w:val="a3"/>
        <w:rPr>
          <w:rtl/>
        </w:rPr>
      </w:pPr>
      <w:r>
        <w:rPr>
          <w:rtl/>
        </w:rPr>
        <w:t>ומקצת ראיה ודמיון לתפסן הוא מה שראינו שדנו הפוסקים אודות הסטנדר שמעלים או מורדים אותו לפי גובה הנצרך מבן אדם שמשתמש בו, ואף שידוע שיש שחששו לזה ובפרט אם משנים את מצב הסטנדר ומשאירים אותו לזמן רב כמ"ש בשו"ת מנחת יצחק ט' (סימן ל"ח) ובשו"ת אור לציון חלק ב' (פרק כ"ז) ועוד שחששו להחמיר. מ"מ הסכמת הרבה פוסקים וכן קבלנו להורות כדעת הגרשז"א ובעל שבט הלוי בשו"ת שבט הלוי חלק ו' (סימן ל"ב) ועוד פוסקים שהקילו בזה. וטעם הדבר הובא בספר ארחות שבת (פרק ח' הערה פ"ז) שסטנדר שאפשר להגביהו ולהנמיכו לפי הצורך ומחזיקים אותו במקומו על ידי הברגה מותר לפתוח את ההברגה ולחזור להדקה לפי הצורך ואין שום חששות של בונה כיון שהסטנדר נחשב ככלי שלם בכל מצב, בין כשהוא מוגבה ובין כשהוא נמוך, ולכן שינוי המצב שלו אינו בגדר סתירה ובנין, אפילו אם מהדקים אותו היטב. הא חזינן שוב יסוד הנ"ל שכלים שלמים שלא מאבדים את שלמותם על ידי שינוי במידת הכלי אין שייך לסוגיא של בונה סותר או תיקון כלי ומכה בפטיש. ואע"פ שראיתי בנידון דידן שיש מחמירים בזה, מ"מ אחרי כל הנ"ל נלענ"ד להורות להתיר וכן דנתי בפני מו"ר גאב"ד דרמת שלמה הגאון רבי מתתיהו דייטש שליט"א במח"ס נתיבות אדם והסכים לדינא עם החשבון הנ"ל ולהורות שאין בזה משום מכה בפטיש, וכן דעת הגרש"ק גרוס שליט"א במח"ס שבט הקהתי הובא בספר החשוב נחלת שבת ועוד כמה פוסקי זמנינו.</w:t>
      </w:r>
    </w:p>
    <w:p w:rsidR="004B0C42" w:rsidRDefault="004B0C42" w:rsidP="006E31A6">
      <w:pPr>
        <w:pStyle w:val="11"/>
        <w:bidi/>
        <w:rPr>
          <w:rtl/>
        </w:rPr>
      </w:pPr>
      <w:r>
        <w:rPr>
          <w:rtl/>
        </w:rPr>
        <w:t>קשית ממתכת לענין טבילת כלים ייצירת כלי על ידי ישראל</w:t>
      </w:r>
    </w:p>
    <w:p w:rsidR="004B0C42" w:rsidRDefault="004B0C42" w:rsidP="006E31A6">
      <w:pPr>
        <w:pStyle w:val="a3"/>
        <w:rPr>
          <w:rtl/>
        </w:rPr>
      </w:pPr>
      <w:r>
        <w:rPr>
          <w:rtl/>
        </w:rPr>
        <w:t xml:space="preserve">והנה לגבי הספק בכלי הנקרא קשית שהוא ממתכת ואפשר לסדר אותו שיהיה קטן או גדול האם על ידי החלטה של ישראל ומעמיד אותו לגודל מסוים הוי כעשה הכלי שאז פטור מטבילה כי אולי נחשב כהשלמת הכלי. ובאמת אכמ"ל בדבר שהוא לא עשה שום מעשה שנחשב כתיקון או גמירת כלי על ידי ישראל, ויסוד הדבר על פי הנ"ל מה שהארכנו לגבי הל' שבת שאין בזה חשש תיקון כלי מאותו טעם שאין בזה חסרון או שהתקלקל הכלי באיזה אופן אלא יש בו ב' אפשרות להשתמש בו ולכן אם בוחר כך או בוחר כך לא מעלה או מוריד כלפי הדין של ייצרת או גמר מלאכה שנעשה לכלי על ידי ישראל ובודאי עדיין חייב בטבילה. ובספרי הדל  אהל יעקב הל' טבילת כלים הבאתי כמה דוגמאות דומים כשאין שינוי בשלימות הכלי שלא נחשב כייצירה על ידי ישראל, ואכמ"ל. </w:t>
      </w:r>
    </w:p>
    <w:p w:rsidR="00642014" w:rsidRDefault="00642014" w:rsidP="00642014">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760DB7">
        <w:rPr>
          <w:rFonts w:ascii="Nymphette" w:eastAsia="Times New Roman" w:hAnsi="Nymphette" w:cs="Nymphette"/>
          <w:sz w:val="44"/>
          <w:szCs w:val="44"/>
        </w:rPr>
        <w:t>g</w:t>
      </w:r>
    </w:p>
    <w:p w:rsidR="006E31A6" w:rsidRPr="00E8417D" w:rsidRDefault="006E31A6" w:rsidP="006E31A6">
      <w:pPr>
        <w:pStyle w:val="a0"/>
        <w:bidi w:val="0"/>
        <w:rPr>
          <w:rtl/>
        </w:rPr>
      </w:pPr>
      <w:bookmarkStart w:id="160" w:name="_Toc39817458"/>
      <w:r w:rsidRPr="00E8417D">
        <w:rPr>
          <w:rtl/>
        </w:rPr>
        <w:lastRenderedPageBreak/>
        <w:t>השלמה לשלום זכר בגלל ההסגר</w:t>
      </w:r>
      <w:bookmarkEnd w:id="160"/>
    </w:p>
    <w:p w:rsidR="006E31A6" w:rsidRPr="00E8417D" w:rsidRDefault="006E31A6" w:rsidP="00C93F24">
      <w:pPr>
        <w:pStyle w:val="a"/>
        <w:rPr>
          <w:rtl/>
        </w:rPr>
      </w:pPr>
      <w:bookmarkStart w:id="161" w:name="_Toc39817459"/>
      <w:r>
        <w:rPr>
          <w:rtl/>
        </w:rPr>
        <w:t>הרב</w:t>
      </w:r>
      <w:r w:rsidRPr="00E8417D">
        <w:rPr>
          <w:rtl/>
        </w:rPr>
        <w:t xml:space="preserve"> גמליאל הכהן רבינוביץ</w:t>
      </w:r>
      <w:bookmarkEnd w:id="161"/>
      <w:r w:rsidRPr="00E8417D">
        <w:rPr>
          <w:rtl/>
        </w:rPr>
        <w:t xml:space="preserve"> </w:t>
      </w:r>
    </w:p>
    <w:p w:rsidR="006E31A6" w:rsidRPr="00E8417D" w:rsidRDefault="006E31A6" w:rsidP="006E31A6">
      <w:pPr>
        <w:pStyle w:val="a1"/>
        <w:rPr>
          <w:rtl/>
        </w:rPr>
      </w:pPr>
      <w:r w:rsidRPr="00E8417D">
        <w:rPr>
          <w:rtl/>
        </w:rPr>
        <w:t xml:space="preserve">מח"ס "גם אני אודך" </w:t>
      </w:r>
    </w:p>
    <w:p w:rsidR="006E31A6" w:rsidRPr="00E8417D" w:rsidRDefault="006E31A6" w:rsidP="006E31A6">
      <w:pPr>
        <w:pStyle w:val="a1"/>
        <w:rPr>
          <w:rtl/>
        </w:rPr>
      </w:pPr>
      <w:r w:rsidRPr="00E8417D">
        <w:rPr>
          <w:rtl/>
        </w:rPr>
        <w:t>ו"פרדס יוסף החדש" על המועדים</w:t>
      </w:r>
      <w:r w:rsidRPr="00E8417D">
        <w:rPr>
          <w:rtl/>
        </w:rPr>
        <w:tab/>
      </w:r>
    </w:p>
    <w:p w:rsidR="006E31A6" w:rsidRPr="00E8417D" w:rsidRDefault="006E31A6" w:rsidP="006E31A6">
      <w:pPr>
        <w:pStyle w:val="a3"/>
        <w:rPr>
          <w:rtl/>
        </w:rPr>
      </w:pPr>
      <w:r>
        <w:rPr>
          <w:rFonts w:hint="cs"/>
          <w:rtl/>
        </w:rPr>
        <w:t>הסתפקתי</w:t>
      </w:r>
      <w:r w:rsidRPr="00E8417D">
        <w:rPr>
          <w:rFonts w:hint="cs"/>
          <w:rtl/>
        </w:rPr>
        <w:t xml:space="preserve"> </w:t>
      </w:r>
      <w:r w:rsidRPr="00E8417D">
        <w:rPr>
          <w:rtl/>
        </w:rPr>
        <w:t>בעקבות הסגר והאיסור להתכנס (אלא כל משפחה נמצאת בביתה לבד), רבים לא עשו לבניהם שנולדו שלום זכר, ושאל</w:t>
      </w:r>
      <w:r w:rsidRPr="00E8417D">
        <w:rPr>
          <w:rFonts w:hint="cs"/>
          <w:rtl/>
        </w:rPr>
        <w:t>תי</w:t>
      </w:r>
      <w:r w:rsidRPr="00E8417D">
        <w:rPr>
          <w:rtl/>
        </w:rPr>
        <w:t xml:space="preserve"> האם צריך להשלים זאת כאשר יוכלו להתאסף.</w:t>
      </w:r>
    </w:p>
    <w:p w:rsidR="006E31A6" w:rsidRPr="00E8417D" w:rsidRDefault="006E31A6" w:rsidP="006E31A6">
      <w:pPr>
        <w:pStyle w:val="a3"/>
        <w:rPr>
          <w:rtl/>
        </w:rPr>
      </w:pPr>
      <w:r w:rsidRPr="00E8417D">
        <w:rPr>
          <w:rFonts w:hint="cs"/>
          <w:rtl/>
        </w:rPr>
        <w:t>והגאון הנפלא רבי אלחנן פרינץ שליט"א מח"ס אבני דרך, כתב לי בזה, וזה לשונו:</w:t>
      </w:r>
      <w:r w:rsidRPr="00E8417D">
        <w:rPr>
          <w:rtl/>
        </w:rPr>
        <w:t xml:space="preserve"> </w:t>
      </w:r>
    </w:p>
    <w:p w:rsidR="006E31A6" w:rsidRPr="00E8417D" w:rsidRDefault="006E31A6" w:rsidP="006E31A6">
      <w:pPr>
        <w:pStyle w:val="a3"/>
        <w:rPr>
          <w:rtl/>
        </w:rPr>
      </w:pPr>
      <w:r w:rsidRPr="00E8417D">
        <w:rPr>
          <w:rtl/>
        </w:rPr>
        <w:t xml:space="preserve">ישנם מספר טעמים לשלום זכר. ונראה כי יש נפק"מ בין הטעמים: </w:t>
      </w:r>
    </w:p>
    <w:p w:rsidR="006E31A6" w:rsidRPr="00E8417D" w:rsidRDefault="006E31A6" w:rsidP="006E31A6">
      <w:pPr>
        <w:pStyle w:val="a3"/>
        <w:rPr>
          <w:rtl/>
        </w:rPr>
      </w:pPr>
      <w:r w:rsidRPr="00E8417D">
        <w:rPr>
          <w:rtl/>
        </w:rPr>
        <w:t xml:space="preserve">לפי הטעם שזו סעודת הודיה שהתינוק נמלט ממעי אמו כמובא בתוספות במסכת בבא קמא (פ, א, ד"ה 'לבי ישוע'). ופירש רבינו תם "שנולד שם בן ועל שם שהולד נושע ונמלט ממעי אמו, כדכתיב (ישעיה סו, ז): 'והמליטה זכר', נקט לשון ישועה והיו רגילין לעשות סעודה". וכ"כ טעם זה שו"ת תרומת הדשן (א, רסט), הלבוש ועוד. כלומר, מטעם זה עולה כי אין חיוב לעשות הסעודה דווקא בשבת. ויתרה מכך, נראה דאף ראוי לעשות סעודת הודיה זו גם אחר זמן, דהעיקר להודות שנמלט ממעי אמו ויצא בשלום. וכי אדם שעבר תאונה קשה ולא סעודת הודיה בשבוע אחרי, האם לא ראוי שימצא זמן וישלימנה.   </w:t>
      </w:r>
    </w:p>
    <w:p w:rsidR="006E31A6" w:rsidRPr="00E8417D" w:rsidRDefault="006E31A6" w:rsidP="006E31A6">
      <w:pPr>
        <w:pStyle w:val="a3"/>
        <w:rPr>
          <w:rtl/>
        </w:rPr>
      </w:pPr>
      <w:r w:rsidRPr="00E8417D">
        <w:rPr>
          <w:rtl/>
        </w:rPr>
        <w:t>אולם לפי הטעם שציון השלום זכר, נועד כדי להראות שהשבת היא ההכנה לברית מילה, כדברי הט"ז (יורה-דעה רסה, יג): "ראיתי סמך אחד לזה ממדרש רבות פרשת אמור פרשה כ"ז (י): רבי לוי אמר משל למלך שגזר ואמר כל אכסנאין שיש כאן לא יראו פני עד שיראו פני המטרונא תחילה. כך אמר הקב"ה לא תביאו לפני קרבן עד שתעבור עליו שבת, שאין ז' ימים בלא שבת ואין מילה בלא שבת". כלומר, השבת היא הכנה לברית המילה (וע"ע בשו"ת תשובות-והנהגות ח"ב סי' רב דהוכיח שיש עניין בשבת שלפני אירוע-הברית). ממילא אחר שעבר הזמן (ויכולים להתאסף), אין טעם להשלים את השלום זכר.</w:t>
      </w:r>
    </w:p>
    <w:p w:rsidR="006E31A6" w:rsidRPr="00E8417D" w:rsidRDefault="006E31A6" w:rsidP="006E31A6">
      <w:pPr>
        <w:pStyle w:val="a3"/>
        <w:rPr>
          <w:rtl/>
        </w:rPr>
      </w:pPr>
      <w:r w:rsidRPr="00E8417D">
        <w:rPr>
          <w:rtl/>
        </w:rPr>
        <w:t xml:space="preserve">טעם נוסף לשלום זכר הוא לאור הנאמר במסכת נדה (ל, ב): "ומלמדין אותו כל התורה כולה... וכיון שבא לאויר העולם - בא מלאך וסטרו על פיו, ומשכחו כל התורה כולה". כלומר השלום זכר הוא 'ביקור' אבלים לתינוק על התורה ששכח כמובא בדרישה (רסד, ב) ובט"ז. לפי טעם זה, יל"ע טובא, האם צריך להשלים. שכן יש לחקור עד מתי ניתן לנחמו. </w:t>
      </w:r>
    </w:p>
    <w:p w:rsidR="006E31A6" w:rsidRPr="00E8417D" w:rsidRDefault="006E31A6" w:rsidP="006E31A6">
      <w:pPr>
        <w:pStyle w:val="a3"/>
        <w:rPr>
          <w:rtl/>
        </w:rPr>
      </w:pPr>
      <w:r w:rsidRPr="00E8417D">
        <w:rPr>
          <w:rtl/>
        </w:rPr>
        <w:t>בהיותי בזה מצאתי טעם נוסף בספר נפש-הרב (עמ' רמב) שכתב כי עושים שלום זכר בליל שבת כדי לבקר את היולדת ולראות אם היא צריכה שיחללו עליה את השבת, שהרי בהרבה דינים דינה של יולדת בשבעה ימים הראשונים כדין חולה שיש בו סכנה. וממילא לטעם זה, אין מקום להשלים את השלום זכר.</w:t>
      </w:r>
    </w:p>
    <w:p w:rsidR="006E31A6" w:rsidRPr="00E8417D" w:rsidRDefault="006E31A6" w:rsidP="006E31A6">
      <w:pPr>
        <w:pStyle w:val="a3"/>
        <w:rPr>
          <w:rtl/>
        </w:rPr>
      </w:pPr>
      <w:r w:rsidRPr="00E8417D">
        <w:rPr>
          <w:rtl/>
        </w:rPr>
        <w:t>ואעיר כי אין זה לחידוש לעשות את השלום זכר שלא בזמנו, שהרי כבר כתב בשו"ת תשורת שי (מהדו"ק תקיא) שאם התינוק חולה יעשו את סעודת שלום זכר רק כשיבריא.</w:t>
      </w:r>
    </w:p>
    <w:p w:rsidR="006E31A6" w:rsidRPr="00E8417D" w:rsidRDefault="006E31A6" w:rsidP="006E31A6">
      <w:pPr>
        <w:pStyle w:val="a3"/>
        <w:rPr>
          <w:rtl/>
        </w:rPr>
      </w:pPr>
      <w:r w:rsidRPr="00E8417D">
        <w:rPr>
          <w:rtl/>
        </w:rPr>
        <w:t xml:space="preserve">וכתב לי הרה"ג יוסף ליברמן בהאי לישנא (ותשובתו אלי פורסמה בשו"ת משנת יוסף י, קמד אות ו): "והנה בליל פסח ג"כ נדחה השלום זכר. אבל שמעתי במי שבנו נולד לפני ליל </w:t>
      </w:r>
      <w:r w:rsidRPr="00E8417D">
        <w:rPr>
          <w:rtl/>
        </w:rPr>
        <w:lastRenderedPageBreak/>
        <w:t>שבת שהיה בפסח, ואח"כ בגדלו לא הצליח כ"כ בלימודו, ובא לפני גיסי הרה"ק ציס"ע מהר"א מבעלזא זי"ע, ושאלו אם עשה שלום זכר, ומשענה שלא, ציוהו לעשות עכשיו משהו (ולא שמעתי יותר מה שא"ל לעשות)". וכן ראיתי דהביא בספר פסקים ותשובות (רסה הערה 378) שהורה הרה"ק מבעלזא שיעשה השלום זכר, אפילו אחר כמה שנים (ועיי"ש בהערה שהביא שכך הורו גדולי הדור האחרון, דמי שלא עשה שלום זכר לפני הברית, יעשה אחר הברית).</w:t>
      </w:r>
    </w:p>
    <w:p w:rsidR="006E31A6" w:rsidRPr="00E8417D" w:rsidRDefault="006E31A6" w:rsidP="006E31A6">
      <w:pPr>
        <w:pStyle w:val="a3"/>
        <w:rPr>
          <w:rtl/>
        </w:rPr>
      </w:pPr>
      <w:r w:rsidRPr="00E8417D">
        <w:rPr>
          <w:rtl/>
        </w:rPr>
        <w:t xml:space="preserve">אך בעודי בזה ראיתי כי בשו"ת חמדת צבי (א, כא) כתב כי אין לעשות סעודה זו אחר הברית (וציין דיש דעות המתירות לעשות את השלום-זכר עד הברית, אף אחר שבת. אך אחר הברית כתב דאין לעשות). </w:t>
      </w:r>
    </w:p>
    <w:p w:rsidR="006E31A6" w:rsidRPr="00E8417D" w:rsidRDefault="006E31A6" w:rsidP="006E31A6">
      <w:pPr>
        <w:pStyle w:val="a3"/>
        <w:rPr>
          <w:rtl/>
        </w:rPr>
      </w:pPr>
      <w:r w:rsidRPr="00E8417D">
        <w:rPr>
          <w:rtl/>
        </w:rPr>
        <w:t xml:space="preserve">לפי דברינו שהשלום זכר תלוי בטעמים, וודאי דאין גריעותא במה שיזמין ממכיריו (אחר שיוכלו להתאסף ולהיות שוב יחדיו) להודות לה' על הולדת בנו, אף שכבר עבר זמן. </w:t>
      </w:r>
      <w:r w:rsidRPr="00E8417D">
        <w:rPr>
          <w:rFonts w:hint="cs"/>
          <w:rtl/>
        </w:rPr>
        <w:t>עכ"ל.</w:t>
      </w:r>
    </w:p>
    <w:p w:rsidR="006E31A6" w:rsidRDefault="006E31A6" w:rsidP="006E31A6">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760DB7">
        <w:rPr>
          <w:rFonts w:ascii="Nymphette" w:eastAsia="Times New Roman" w:hAnsi="Nymphette" w:cs="Nymphette"/>
          <w:sz w:val="44"/>
          <w:szCs w:val="44"/>
        </w:rPr>
        <w:t>g</w:t>
      </w:r>
    </w:p>
    <w:p w:rsidR="006E31A6" w:rsidRDefault="006E31A6" w:rsidP="006E31A6">
      <w:pPr>
        <w:pStyle w:val="a0"/>
        <w:rPr>
          <w:rtl/>
        </w:rPr>
      </w:pPr>
      <w:bookmarkStart w:id="162" w:name="_Toc39817460"/>
      <w:r>
        <w:rPr>
          <w:rFonts w:hint="cs"/>
          <w:rtl/>
        </w:rPr>
        <w:t>כפילת הפסוק פותח את ידך</w:t>
      </w:r>
      <w:bookmarkEnd w:id="162"/>
    </w:p>
    <w:p w:rsidR="006E31A6" w:rsidRDefault="006E31A6" w:rsidP="00C93F24">
      <w:pPr>
        <w:pStyle w:val="a"/>
        <w:rPr>
          <w:rtl/>
        </w:rPr>
      </w:pPr>
      <w:bookmarkStart w:id="163" w:name="_Toc39817461"/>
      <w:r>
        <w:rPr>
          <w:rFonts w:hint="cs"/>
          <w:rtl/>
        </w:rPr>
        <w:t>הרב אמיר ולר</w:t>
      </w:r>
      <w:bookmarkEnd w:id="163"/>
      <w:r>
        <w:rPr>
          <w:rFonts w:hint="cs"/>
          <w:rtl/>
        </w:rPr>
        <w:t xml:space="preserve"> </w:t>
      </w:r>
    </w:p>
    <w:p w:rsidR="006E31A6" w:rsidRDefault="006E31A6" w:rsidP="006E31A6">
      <w:pPr>
        <w:pStyle w:val="a1"/>
        <w:rPr>
          <w:rtl/>
        </w:rPr>
      </w:pPr>
      <w:r>
        <w:rPr>
          <w:rFonts w:hint="cs"/>
          <w:rtl/>
        </w:rPr>
        <w:t>מח"ס אמרתו ארץ, ירוץ דברו, תולדות שרה</w:t>
      </w:r>
    </w:p>
    <w:p w:rsidR="006E31A6" w:rsidRDefault="006E31A6" w:rsidP="006E31A6">
      <w:pPr>
        <w:pStyle w:val="a1"/>
        <w:rPr>
          <w:rtl/>
        </w:rPr>
      </w:pPr>
      <w:r>
        <w:rPr>
          <w:rFonts w:hint="cs"/>
          <w:rtl/>
        </w:rPr>
        <w:t>רחובות, אה"ק</w:t>
      </w:r>
    </w:p>
    <w:p w:rsidR="006E31A6" w:rsidRDefault="006E31A6" w:rsidP="006E31A6">
      <w:pPr>
        <w:pStyle w:val="a3"/>
        <w:rPr>
          <w:rFonts w:ascii="Nymphette" w:eastAsia="Times New Roman" w:hAnsi="Nymphette" w:cs="Nymphette"/>
          <w:sz w:val="44"/>
          <w:szCs w:val="44"/>
          <w:rtl/>
        </w:rPr>
      </w:pPr>
      <w:r>
        <w:rPr>
          <w:rFonts w:hint="cs"/>
          <w:rtl/>
        </w:rPr>
        <w:t>בדבר השאלה</w:t>
      </w:r>
      <w:r w:rsidRPr="005E0F87">
        <w:rPr>
          <w:rFonts w:hint="cs"/>
          <w:rtl/>
        </w:rPr>
        <w:t xml:space="preserve"> אודות מ"ש מרן בש"ע (סי' נא ס"ז) שצריך לכוין בפסוק פותח את ידך, ואם לא כיון צריך לחזור ולאמרו פעם אחרת. עכ"ל. מדוע אין חשש בזה שיאמרו שיש שתי רשויות ח"ו</w:t>
      </w:r>
    </w:p>
    <w:p w:rsidR="006E31A6" w:rsidRPr="006E31A6" w:rsidRDefault="006E31A6" w:rsidP="006E31A6">
      <w:pPr>
        <w:pStyle w:val="11"/>
        <w:bidi/>
        <w:rPr>
          <w:rtl/>
        </w:rPr>
      </w:pPr>
      <w:r w:rsidRPr="006E31A6">
        <w:rPr>
          <w:rFonts w:hint="cs"/>
          <w:rtl/>
        </w:rPr>
        <w:t>מקור הדין וד' הראשונים</w:t>
      </w:r>
    </w:p>
    <w:p w:rsidR="006E31A6" w:rsidRPr="006E31A6" w:rsidRDefault="006E31A6" w:rsidP="006E31A6">
      <w:pPr>
        <w:widowControl w:val="0"/>
        <w:bidi/>
        <w:spacing w:after="120" w:line="276" w:lineRule="auto"/>
        <w:ind w:firstLine="288"/>
        <w:jc w:val="both"/>
        <w:rPr>
          <w:rFonts w:ascii="FbFrankReal" w:eastAsia="Calibri" w:hAnsi="FbFrankReal" w:cs="FbFrankReal"/>
          <w:color w:val="000000" w:themeColor="text1"/>
          <w:bdr w:val="nil"/>
          <w:rtl/>
          <w:lang w:val="bg-BG"/>
        </w:rPr>
      </w:pPr>
      <w:r w:rsidRPr="006E31A6">
        <w:rPr>
          <w:rFonts w:ascii="FbFrankReal" w:eastAsia="Calibri" w:hAnsi="FbFrankReal" w:cs="FbFrankReal" w:hint="cs"/>
          <w:color w:val="000000" w:themeColor="text1"/>
          <w:bdr w:val="nil"/>
          <w:rtl/>
          <w:lang w:val="bg-BG"/>
        </w:rPr>
        <w:t>תשובה: בגמרא בברכות (לג:) אמר רבי זירא, כל האומר שמע שמע כאומר מודים מודים (שמשתקין אותו), מתיבי, הקורא את שמע וכופלה הרי זה מגונה, מגונה הוא דהוי, שתוקי לא משתקינן ליה, לא קשיא הא דאמר מילתא מילתא ותני לה והא דאמר פסוקא פסוקא ותני לה. ופירש רש"י, שכשאומר תיבה תיבה ושונה הוי מגונה, וכשאומר כל הפסוק וחוזר משתקין אותו. וכ"כ בפסקי הרי"ד ובפסקי הריא"ז (ברכות שם), והסמ"ק (מצוה קד), והמאירי (שם ובמגילה כה:) ועוד. ע"ש.</w:t>
      </w:r>
    </w:p>
    <w:p w:rsidR="006E31A6" w:rsidRPr="006E31A6" w:rsidRDefault="006E31A6" w:rsidP="006E31A6">
      <w:pPr>
        <w:widowControl w:val="0"/>
        <w:bidi/>
        <w:spacing w:after="120" w:line="276" w:lineRule="auto"/>
        <w:ind w:firstLine="288"/>
        <w:jc w:val="both"/>
        <w:rPr>
          <w:rFonts w:ascii="FbFrankReal" w:eastAsia="Calibri" w:hAnsi="FbFrankReal" w:cs="FbFrankReal"/>
          <w:color w:val="000000" w:themeColor="text1"/>
          <w:bdr w:val="nil"/>
          <w:rtl/>
          <w:lang w:val="bg-BG"/>
        </w:rPr>
      </w:pPr>
      <w:r w:rsidRPr="006E31A6">
        <w:rPr>
          <w:rFonts w:ascii="FbFrankReal" w:eastAsia="Calibri" w:hAnsi="FbFrankReal" w:cs="FbFrankReal" w:hint="cs"/>
          <w:color w:val="000000" w:themeColor="text1"/>
          <w:bdr w:val="nil"/>
          <w:rtl/>
          <w:lang w:val="bg-BG"/>
        </w:rPr>
        <w:t>אולם התוס' (לד. ד"ה אמר פסוקא) הביאו בשם בה"ג ורבינו חננאל שפירשו איפכא, דפסוקא פסוקא הוי מגונה, ותיבה תיבה משתקין אותו, וכתבו התוס' שלשון הגמ' לא משמע כפירושם. ע"ש. והרי"ף (ברכות דף כג ע"ב מדפי הספר) כתב כד' בה"ג. וכ"כ הרמב"ם (פ"ב מהל' ק"ש הי"א) ע"ש. וכ"ה בסמ"ג (עשין יח ד"ק ע"א), וברוקח (סי' שכ), וברבינו יהונתן מלוניל (ברכות לג:). וכן הביאו הרשב"א (ברכות שם) והארחות חיים (הל' ק"ש סי' כא) בשם רב האי גאון. ע"ש.</w:t>
      </w:r>
    </w:p>
    <w:p w:rsidR="006E31A6" w:rsidRPr="006E31A6" w:rsidRDefault="006E31A6" w:rsidP="00107E74">
      <w:pPr>
        <w:pStyle w:val="11"/>
        <w:bidi/>
        <w:rPr>
          <w:rtl/>
        </w:rPr>
      </w:pPr>
      <w:r w:rsidRPr="006E31A6">
        <w:rPr>
          <w:rFonts w:hint="cs"/>
          <w:rtl/>
        </w:rPr>
        <w:t>מי שלא כיון בפסוק "שמע" כיצד יקראהו שוב?</w:t>
      </w:r>
    </w:p>
    <w:p w:rsidR="006E31A6" w:rsidRPr="006E31A6" w:rsidRDefault="006E31A6" w:rsidP="006E31A6">
      <w:pPr>
        <w:widowControl w:val="0"/>
        <w:bidi/>
        <w:spacing w:after="120" w:line="276" w:lineRule="auto"/>
        <w:ind w:firstLine="288"/>
        <w:jc w:val="both"/>
        <w:rPr>
          <w:rFonts w:ascii="FbFrankReal" w:eastAsia="Calibri" w:hAnsi="FbFrankReal" w:cs="FbFrankReal"/>
          <w:color w:val="000000" w:themeColor="text1"/>
          <w:bdr w:val="nil"/>
          <w:rtl/>
          <w:lang w:val="bg-BG"/>
        </w:rPr>
      </w:pPr>
      <w:r w:rsidRPr="006E31A6">
        <w:rPr>
          <w:rFonts w:ascii="FbFrankReal" w:eastAsia="Calibri" w:hAnsi="FbFrankReal" w:cs="FbFrankReal" w:hint="cs"/>
          <w:color w:val="000000" w:themeColor="text1"/>
          <w:bdr w:val="nil"/>
          <w:rtl/>
          <w:lang w:val="bg-BG"/>
        </w:rPr>
        <w:lastRenderedPageBreak/>
        <w:t>והנה מרן בשלחנו הטהור (סי' סא ס"ט) פסק וז"ל: אסור לומר שמע שני פעמים, בין שכופל התיבה שאומר שמע שמע, בין שכופל הפסוק הראשון. עכ"ל. ומבואר שהחמיר כשני הפירושים, וכמו שביאר בבית יוסף (שם).</w:t>
      </w:r>
    </w:p>
    <w:p w:rsidR="006E31A6" w:rsidRPr="006E31A6" w:rsidRDefault="006E31A6" w:rsidP="006E31A6">
      <w:pPr>
        <w:widowControl w:val="0"/>
        <w:bidi/>
        <w:spacing w:after="120" w:line="276" w:lineRule="auto"/>
        <w:ind w:firstLine="288"/>
        <w:jc w:val="both"/>
        <w:rPr>
          <w:rFonts w:ascii="FbFrankReal" w:eastAsia="Calibri" w:hAnsi="FbFrankReal" w:cs="FbFrankReal"/>
          <w:color w:val="000000" w:themeColor="text1"/>
          <w:bdr w:val="nil"/>
          <w:rtl/>
          <w:lang w:val="bg-BG"/>
        </w:rPr>
      </w:pPr>
      <w:r w:rsidRPr="006E31A6">
        <w:rPr>
          <w:rFonts w:ascii="FbFrankReal" w:eastAsia="Calibri" w:hAnsi="FbFrankReal" w:cs="FbFrankReal" w:hint="cs"/>
          <w:color w:val="000000" w:themeColor="text1"/>
          <w:bdr w:val="nil"/>
          <w:rtl/>
          <w:lang w:val="bg-BG"/>
        </w:rPr>
        <w:t>ולהלן (בסי' סג ס"ד) כתב מרן ז"ל: עיקר הכוונה הוא פסוק ראשון, הילכך אם קרא ולא כיוון לבו בפסוק ראשון לא יצא ידי חובתו, וחוזר וקורא, ואפילו מאן דאמר מצות אינן צריכות כוונה מודה בזה. עכ"ל. ואית לן לברורי היאך ינהג זה שלא כיוון שצריך לחזור ולקרוא שוב פסוק ראשון, מבלי שיעבור על איסור אמירת שמע שמע שתי פעמים.</w:t>
      </w:r>
    </w:p>
    <w:p w:rsidR="006E31A6" w:rsidRPr="006E31A6" w:rsidRDefault="006E31A6" w:rsidP="00107E74">
      <w:pPr>
        <w:pStyle w:val="11"/>
        <w:bidi/>
        <w:rPr>
          <w:rtl/>
        </w:rPr>
      </w:pPr>
      <w:r w:rsidRPr="006E31A6">
        <w:rPr>
          <w:rFonts w:hint="cs"/>
          <w:rtl/>
        </w:rPr>
        <w:t>האם יש חילוק בין ציבור ליחיד</w:t>
      </w:r>
    </w:p>
    <w:p w:rsidR="006E31A6" w:rsidRPr="006E31A6" w:rsidRDefault="006E31A6" w:rsidP="006E31A6">
      <w:pPr>
        <w:widowControl w:val="0"/>
        <w:bidi/>
        <w:spacing w:after="120" w:line="276" w:lineRule="auto"/>
        <w:ind w:firstLine="288"/>
        <w:jc w:val="both"/>
        <w:rPr>
          <w:rFonts w:ascii="FbFrankReal" w:eastAsia="Calibri" w:hAnsi="FbFrankReal" w:cs="FbFrankReal"/>
          <w:color w:val="000000" w:themeColor="text1"/>
          <w:bdr w:val="nil"/>
          <w:rtl/>
          <w:lang w:val="bg-BG"/>
        </w:rPr>
      </w:pPr>
      <w:r w:rsidRPr="006E31A6">
        <w:rPr>
          <w:rFonts w:ascii="FbFrankReal" w:eastAsia="Calibri" w:hAnsi="FbFrankReal" w:cs="FbFrankReal" w:hint="cs"/>
          <w:color w:val="000000" w:themeColor="text1"/>
          <w:bdr w:val="nil"/>
          <w:rtl/>
          <w:lang w:val="bg-BG"/>
        </w:rPr>
        <w:t>ועיין לרבינו בעל הטורים (סי' סא) שהביא בשם הירושלמי (פ"ה דברכות ה"ג) שכל החשש באמור שמע שמע זה דוקא בציבור אבל ביחיד שרי. אלא שהטור בעצמו כתב להעיר דבגמרא דידן אין חילוק בזה. וכ"כ בספר הבתים (הל' ק"ש שער רביעי סי' ז), ובספר האגור (סי' קי) ע"ש.</w:t>
      </w:r>
    </w:p>
    <w:p w:rsidR="006E31A6" w:rsidRPr="006E31A6" w:rsidRDefault="006E31A6" w:rsidP="006E31A6">
      <w:pPr>
        <w:widowControl w:val="0"/>
        <w:bidi/>
        <w:spacing w:after="120" w:line="276" w:lineRule="auto"/>
        <w:ind w:firstLine="288"/>
        <w:jc w:val="both"/>
        <w:rPr>
          <w:rFonts w:ascii="FbFrankReal" w:eastAsia="Calibri" w:hAnsi="FbFrankReal" w:cs="FbFrankReal"/>
          <w:color w:val="000000" w:themeColor="text1"/>
          <w:bdr w:val="nil"/>
          <w:rtl/>
          <w:lang w:val="bg-BG"/>
        </w:rPr>
      </w:pPr>
      <w:r w:rsidRPr="006E31A6">
        <w:rPr>
          <w:rFonts w:ascii="FbFrankReal" w:eastAsia="Calibri" w:hAnsi="FbFrankReal" w:cs="FbFrankReal" w:hint="cs"/>
          <w:color w:val="000000" w:themeColor="text1"/>
          <w:bdr w:val="nil"/>
          <w:rtl/>
          <w:lang w:val="bg-BG"/>
        </w:rPr>
        <w:t xml:space="preserve">ברם מאידך גיסא, דברי הירושלמי הובאו להלכה בסמ"ג (עשין יח דף ק ע"א), ובתוס' (ברכות לד. ד"ה אמר מודים), ובחידושי הרא"ה, והנימוקי יוסף, והרשב"ץ (ברכות לג:), ובחידושי הריטב"א והמאירי (מגילה כה:), ובארחות חיים (הל' ק"ש סי' כא) ע"ש. וכן האריך להוכיח הב"ח (סי' סא אות ז) דהלכה כהירושלמי שמחלק בין יחיד לציבור, ודחה דברי הטור שכתב דמהגמ' דידן משמע שאין חילוק, אלא גם מהגמ' דידן משמע שכל החשש הוא דוקא בציבור, ודוקא כשאומר בקול רם. אבל אם הוא אומר בלחש בציבור, או בקול רם כשהוא יחיד, לית לן בה, ושכ"כ בספר חסידים (סי' יח) ע"ש. וכן הסכימו העולת תמיד (סק"ח), והפר"ח (אות ט). וכן כתבו הפמ"ג (מש"ז סק"ג), והגר"ז (סעיף ח, ובסי' סג סעיף ה) בדעת מרן הש"ע. וכן נקטו להלכה אחרונים רבים, דכל שחוזר בלחש כשהוא בציבור, או בקול כשהוא יחיד, מותר. וכמ"ש בשיירי כנה"ג (סי' סא הגב"י סק"ד), והמג"א (סי' סג סק"ו), והט"ז (שם סק"ג), והא"ר (ס"ק ו), והבאר היטב (סק"ט), ומרן החיד"א בקשר גודל (סי' יא אות ו), והחיי אדם (כלל כא אות יט), והמשנ"ב (ס"ק כב) ועוד. ע"ש. </w:t>
      </w:r>
    </w:p>
    <w:p w:rsidR="006E31A6" w:rsidRPr="006E31A6" w:rsidRDefault="006E31A6" w:rsidP="00107E74">
      <w:pPr>
        <w:pStyle w:val="11"/>
        <w:bidi/>
        <w:rPr>
          <w:rtl/>
        </w:rPr>
      </w:pPr>
      <w:r w:rsidRPr="006E31A6">
        <w:rPr>
          <w:rFonts w:hint="cs"/>
          <w:rtl/>
        </w:rPr>
        <w:t>ד' האחרונים שישהה מעט קודם שיחזור</w:t>
      </w:r>
    </w:p>
    <w:p w:rsidR="006E31A6" w:rsidRPr="006E31A6" w:rsidRDefault="006E31A6" w:rsidP="006E31A6">
      <w:pPr>
        <w:widowControl w:val="0"/>
        <w:bidi/>
        <w:spacing w:after="120" w:line="276" w:lineRule="auto"/>
        <w:ind w:firstLine="288"/>
        <w:jc w:val="both"/>
        <w:rPr>
          <w:rFonts w:ascii="FbFrankReal" w:eastAsia="Calibri" w:hAnsi="FbFrankReal" w:cs="FbFrankReal"/>
          <w:color w:val="000000" w:themeColor="text1"/>
          <w:bdr w:val="nil"/>
          <w:rtl/>
          <w:lang w:val="bg-BG"/>
        </w:rPr>
      </w:pPr>
      <w:r w:rsidRPr="006E31A6">
        <w:rPr>
          <w:rFonts w:ascii="FbFrankReal" w:eastAsia="Calibri" w:hAnsi="FbFrankReal" w:cs="FbFrankReal" w:hint="cs"/>
          <w:color w:val="000000" w:themeColor="text1"/>
          <w:bdr w:val="nil"/>
          <w:rtl/>
          <w:lang w:val="bg-BG"/>
        </w:rPr>
        <w:t>וזקוף כען עיניך וחזה לרבינו הט"ז (שם) שהוסיף וכתב, שאם ממתין ביניהם איזה זמן ואחר כך חוזר לית לן בה. וכיו"ב בזה כתב המג"א (סק"ז) בשם השל"ה. וכ"ה בא"ר (ס"ק יז) ושכ"כ הנחלת צבי. ע"ש. וכ"כ הפמ"ג (אש"א סק"ז), והגר"ז (סעיף ח), והמשנ"ב (ס"ק כב) ע"ש.</w:t>
      </w:r>
    </w:p>
    <w:p w:rsidR="006E31A6" w:rsidRPr="006E31A6" w:rsidRDefault="006E31A6" w:rsidP="00107E74">
      <w:pPr>
        <w:pStyle w:val="11"/>
        <w:bidi/>
        <w:rPr>
          <w:rtl/>
        </w:rPr>
      </w:pPr>
      <w:r w:rsidRPr="006E31A6">
        <w:rPr>
          <w:rFonts w:hint="cs"/>
          <w:rtl/>
        </w:rPr>
        <w:t>ד' מרן הרי"ח הטוב זיע"א, ומו"מ בדבריו</w:t>
      </w:r>
    </w:p>
    <w:p w:rsidR="006E31A6" w:rsidRPr="006E31A6" w:rsidRDefault="006E31A6" w:rsidP="006E31A6">
      <w:pPr>
        <w:widowControl w:val="0"/>
        <w:bidi/>
        <w:spacing w:after="120" w:line="276" w:lineRule="auto"/>
        <w:ind w:firstLine="288"/>
        <w:jc w:val="both"/>
        <w:rPr>
          <w:rFonts w:ascii="FbFrankReal" w:eastAsia="Calibri" w:hAnsi="FbFrankReal" w:cs="FbFrankReal"/>
          <w:color w:val="000000" w:themeColor="text1"/>
          <w:bdr w:val="nil"/>
          <w:rtl/>
          <w:lang w:val="bg-BG"/>
        </w:rPr>
      </w:pPr>
      <w:r w:rsidRPr="006E31A6">
        <w:rPr>
          <w:rFonts w:ascii="FbFrankReal" w:eastAsia="Calibri" w:hAnsi="FbFrankReal" w:cs="FbFrankReal" w:hint="cs"/>
          <w:color w:val="000000" w:themeColor="text1"/>
          <w:bdr w:val="nil"/>
          <w:rtl/>
          <w:lang w:val="bg-BG"/>
        </w:rPr>
        <w:t xml:space="preserve">והנה עין רואה למרן הרי"ח הטוב זיע"א בספרו בן איש חי (פר' וארא אות ו) שכתב וז"ל: ואם לא כיוון לבו בפסוק "שמע ישראל" בפשטן של דברים לא יצא ידי חובתו וצריך לחזור, ואם הרגיש בעצמו תכף אחר שאמר פסוק "שמע", לא יחזור לומר פסוק "שמע" פעם שנית, דהאומר שמע שמע משתקין אותו, שלא יהיה נראה כמודה לשתי רשויות חס ושלום, אלא ישתוק שיעור אמירת פרשה ראשונה, ואח"כ יחזור לומר פסוק "שמע", ויקרא משם ואילך על הסדר. ואם ירצה שלא ישתוק, אלא גומר כל הפרשה הראשונה וחוזר וקורא שנית מן פסוק </w:t>
      </w:r>
      <w:r w:rsidRPr="006E31A6">
        <w:rPr>
          <w:rFonts w:ascii="FbFrankReal" w:eastAsia="Calibri" w:hAnsi="FbFrankReal" w:cs="FbFrankReal" w:hint="cs"/>
          <w:color w:val="000000" w:themeColor="text1"/>
          <w:bdr w:val="nil"/>
          <w:rtl/>
          <w:lang w:val="bg-BG"/>
        </w:rPr>
        <w:lastRenderedPageBreak/>
        <w:t>"שמע" אין הכי נמי יעשה כך, וזה עדיף משתיקה. עכ"ל. ומבואר דלא ס"ל לחלק בין יחיד לרבים או בין לחש לקול רם כדעת שאר האחרונים הנ"ל, אלא ס"ל לשהות בין האמירה הראשונה לחזרה שהות כשיעור אמירת פרשה ראשונה, ויותר טוב שיאמר בפיו כל הפרשה הראשונה, ושוב יחזור ויאמר מפסוק "שמע" כסדר.</w:t>
      </w:r>
    </w:p>
    <w:p w:rsidR="006E31A6" w:rsidRPr="006E31A6" w:rsidRDefault="006E31A6" w:rsidP="006E31A6">
      <w:pPr>
        <w:widowControl w:val="0"/>
        <w:bidi/>
        <w:spacing w:after="120" w:line="276" w:lineRule="auto"/>
        <w:ind w:firstLine="288"/>
        <w:jc w:val="both"/>
        <w:rPr>
          <w:rFonts w:ascii="FbFrankReal" w:eastAsia="Calibri" w:hAnsi="FbFrankReal" w:cs="FbFrankReal"/>
          <w:color w:val="000000" w:themeColor="text1"/>
          <w:bdr w:val="nil"/>
          <w:rtl/>
          <w:lang w:val="bg-BG"/>
        </w:rPr>
      </w:pPr>
      <w:r w:rsidRPr="006E31A6">
        <w:rPr>
          <w:rFonts w:ascii="FbFrankReal" w:eastAsia="Calibri" w:hAnsi="FbFrankReal" w:cs="FbFrankReal" w:hint="cs"/>
          <w:color w:val="000000" w:themeColor="text1"/>
          <w:bdr w:val="nil"/>
          <w:rtl/>
          <w:lang w:val="bg-BG"/>
        </w:rPr>
        <w:t>איברא דבקדש חזיתיה למרן רבינו הגר"ע יוסף זצ"ל בס' הליכות עולם ח"א (עמ' קח) שכתב להעיר ע"ד הבא"ח הנ"ל, דמדוע עדיף לקרוא פרשה ראשונה ואז לחזור מאשר לשהות מבלי דיבור, אדרבה נראה דהוי כעין הפסק, שהרי הוא צריך לחזור לקרות כדי לצאת י"ח, וזו כהפסקה בעלמא ואפי' א"נ דלא הוי הפסק דמעניינא הוא, מ"מ הרי דעת הר' מנוח שהובא בכסף משנה (פ"ב מהל' ק"ש הי"א) דה"ה לקורא פרשה אחת וחוזר וקורא דהוי מגונה. וההגהות נסתפקו. ע"ש. והובאה דעה זו בש"ע (סי' סא ס"י) שכתב, שכשקורא ק"ש על המטה מותר לקרוא פרשה ראשונה וחוזר וכופלה. ויש מי שאומר שגם בזה יזהר מלומר פסוק ראשון ב' פעמים. ע"כ. והנה נראה דעת מרן שיש לחוש לדעה זו, לד' הבא"ח גופיה, דבכה"ג חושש לזה, אבל גם לדעת רוב האחרונים שתמיד הלכה כסתם מרן אף לכתחלה, מ"מ ממ"ש ק"ש על המטה משמע שדוקא בזה שאינו יוצא י"ח, הא ק"ש כדין אסור לכפול גם הפרשה, כמ"ש בכ"מ בשם ההגהות דשמא דוקא על מטתו שרי. ע"ש. וכ"כ האחרונים. ושו"ר ג"כ בספר עוד יוסף חי (פר' וארא אות ט) דנחית להכי. ע"ש. ומ"מ אני אומר דנכון יותר לשהות זמן מה, וא"צ ג"כ שהות כדי פרשה אחת. ומצאתי כתוב בספר מהרש"ך ח"ג (סי' לא) דנראה דבכופל דמיחזי כב' רשויות ימתין כדי הילוך ד' אמות. ע"ש. ה"נ הכא ל"ש. עכת"ד. וכן העירו על הבא"ח בהגהות איש מצליח הנדפ' בסוף המשנה ברורה (עמ' פט) ע"ש.</w:t>
      </w:r>
    </w:p>
    <w:p w:rsidR="006E31A6" w:rsidRPr="006E31A6" w:rsidRDefault="006E31A6" w:rsidP="00107E74">
      <w:pPr>
        <w:pStyle w:val="11"/>
        <w:bidi/>
        <w:rPr>
          <w:rtl/>
        </w:rPr>
      </w:pPr>
      <w:r w:rsidRPr="006E31A6">
        <w:rPr>
          <w:rFonts w:hint="cs"/>
          <w:rtl/>
        </w:rPr>
        <w:t>העולה מן האמור עד כה</w:t>
      </w:r>
    </w:p>
    <w:p w:rsidR="006E31A6" w:rsidRPr="006E31A6" w:rsidRDefault="006E31A6" w:rsidP="006E31A6">
      <w:pPr>
        <w:widowControl w:val="0"/>
        <w:bidi/>
        <w:spacing w:after="120" w:line="276" w:lineRule="auto"/>
        <w:ind w:firstLine="288"/>
        <w:jc w:val="both"/>
        <w:rPr>
          <w:rFonts w:ascii="FbFrankReal" w:eastAsia="Calibri" w:hAnsi="FbFrankReal" w:cs="FbFrankReal"/>
          <w:color w:val="000000" w:themeColor="text1"/>
          <w:bdr w:val="nil"/>
          <w:rtl/>
          <w:lang w:val="bg-BG"/>
        </w:rPr>
      </w:pPr>
      <w:r w:rsidRPr="006E31A6">
        <w:rPr>
          <w:rFonts w:ascii="FbFrankReal" w:eastAsia="Calibri" w:hAnsi="FbFrankReal" w:cs="FbFrankReal" w:hint="cs"/>
          <w:color w:val="000000" w:themeColor="text1"/>
          <w:bdr w:val="nil"/>
          <w:rtl/>
          <w:lang w:val="bg-BG"/>
        </w:rPr>
        <w:t>נמצינו למדים שלדעת רבים מרבותינו האחרונים, אם לא כיוון בפסוק הראשון של ק"ש, אזי אם הוא בציבור יאמרנו שוב בלחש, ואם הוא ביחיד יכול לחזור ולאמרו אף בקול רם. וחלקם כתבו דישהה קודם שיחזור ויקרא פסוק ראשון. ולענין שיעור השהות, לדעת הבן איש חי יש להמתין כדי שיעור פרשה ראשונה, ואילו לדעת מרן הגרע"י די בשיעור ד' אמות, וכן משמע מד' אחרונים רבים שכתבו "ממתין איזה זמן" או "ישהה מעט" וכדו'. דלא בעינן כולי האי.</w:t>
      </w:r>
    </w:p>
    <w:p w:rsidR="006E31A6" w:rsidRPr="006E31A6" w:rsidRDefault="006E31A6" w:rsidP="00107E74">
      <w:pPr>
        <w:pStyle w:val="11"/>
        <w:bidi/>
        <w:rPr>
          <w:rtl/>
        </w:rPr>
      </w:pPr>
      <w:r w:rsidRPr="006E31A6">
        <w:rPr>
          <w:rFonts w:hint="cs"/>
          <w:rtl/>
        </w:rPr>
        <w:t>דעת מרן השלחן ערוך</w:t>
      </w:r>
    </w:p>
    <w:p w:rsidR="006E31A6" w:rsidRPr="006E31A6" w:rsidRDefault="006E31A6" w:rsidP="006E31A6">
      <w:pPr>
        <w:widowControl w:val="0"/>
        <w:bidi/>
        <w:spacing w:after="120" w:line="276" w:lineRule="auto"/>
        <w:ind w:firstLine="288"/>
        <w:jc w:val="both"/>
        <w:rPr>
          <w:rFonts w:ascii="FbFrankReal" w:eastAsia="Calibri" w:hAnsi="FbFrankReal" w:cs="FbFrankReal"/>
          <w:color w:val="000000" w:themeColor="text1"/>
          <w:bdr w:val="nil"/>
          <w:rtl/>
          <w:lang w:val="bg-BG"/>
        </w:rPr>
      </w:pPr>
      <w:r w:rsidRPr="006E31A6">
        <w:rPr>
          <w:rFonts w:ascii="FbFrankReal" w:eastAsia="Calibri" w:hAnsi="FbFrankReal" w:cs="FbFrankReal" w:hint="cs"/>
          <w:color w:val="000000" w:themeColor="text1"/>
          <w:bdr w:val="nil"/>
          <w:rtl/>
          <w:lang w:val="bg-BG"/>
        </w:rPr>
        <w:t xml:space="preserve">כל קבל דנא, לפע"ד נראה דמוכח מסתימת דברי מרן ז"ל שאינו סובר לחלק בין לחש לקול רם, וכן מעיקר הדין יכול לחזור מיד לקרוא ק"ש פעם נוספת מבלי לשהות מעט, וכדעת הטור שכתב לדחות ד' הירושלמי. דאי הוה ס"ל לחלק בזה בין קול רם ללחש, או שצריך לשהות בין הקריאה הראשונה לשניה, כל כהאי הו"ל לפרושי ולא למיסתם סתומי. וכן משמע מהב"י. וכ"כ הב"ח אליבא דמרן ז"ל מהא דלא כתב לחלק בזה דס"ל כדעת הטור. ע"ש. וכ"ה בכף החיים (סי' סא אות לד) לדעת מרן. ע"ש. וצ"ל דס"ל דכל שהכוונה היא לעיכובא וצריך לחזור שוב על הפסוק הראשון כדי לצאת ידי חובה, לא חיישינן להא דהאומר "שמע שמע" משתקין אותו, דשאני היכא דלא אפשר. ודו"ק. ושו"ר שכן כתב הגאון רבי יוסף משאש בשו"ת מים חיים ח"א (סי' כט) דאחר שהביא ד' המג"א והט"ז שכתבו לחלק בין קול רם ללחש, כתב ע"ז: לדעתי המעט אחר הסליחה רבה מקדושת עצמותם, דבריהם ז"ל דחוקים </w:t>
      </w:r>
      <w:r w:rsidRPr="006E31A6">
        <w:rPr>
          <w:rFonts w:ascii="FbFrankReal" w:eastAsia="Calibri" w:hAnsi="FbFrankReal" w:cs="FbFrankReal" w:hint="cs"/>
          <w:color w:val="000000" w:themeColor="text1"/>
          <w:bdr w:val="nil"/>
          <w:rtl/>
          <w:lang w:val="bg-BG"/>
        </w:rPr>
        <w:lastRenderedPageBreak/>
        <w:t>הרבה, דאיך תיבת "בלחש" שהיא עיקר הדין ינכה אותה מרן ז"ל מן הספר? לכן אני אומר דמ"ש מרן חוזר וקורא היינו אפילו בקול רם, ולא אמרו משתקין אותו אלא ברגיל לעשות כן וכו'. ע"ש. וכן כתב מרן מלכא זצ"ל בהליכו"ע (שם) וז"ל: ופשט מרן מוכח דאפילו מיד מותר לחזור ולקרוא, ואפילו בקול רם חוזר לצורך כוונה אם לא כיוון. ע"כ.</w:t>
      </w:r>
    </w:p>
    <w:p w:rsidR="006E31A6" w:rsidRPr="006E31A6" w:rsidRDefault="006E31A6" w:rsidP="00107E74">
      <w:pPr>
        <w:pStyle w:val="11"/>
        <w:bidi/>
        <w:rPr>
          <w:rtl/>
        </w:rPr>
      </w:pPr>
      <w:r w:rsidRPr="006E31A6">
        <w:rPr>
          <w:rFonts w:hint="cs"/>
          <w:rtl/>
        </w:rPr>
        <w:t>מסקנא דדינא</w:t>
      </w:r>
    </w:p>
    <w:p w:rsidR="006E31A6" w:rsidRPr="006E31A6" w:rsidRDefault="006E31A6" w:rsidP="006E31A6">
      <w:pPr>
        <w:widowControl w:val="0"/>
        <w:bidi/>
        <w:spacing w:after="120" w:line="276" w:lineRule="auto"/>
        <w:ind w:firstLine="288"/>
        <w:jc w:val="both"/>
        <w:rPr>
          <w:rFonts w:ascii="FbFrankReal" w:eastAsia="Calibri" w:hAnsi="FbFrankReal" w:cs="FbFrankReal"/>
          <w:color w:val="000000" w:themeColor="text1"/>
          <w:bdr w:val="nil"/>
          <w:rtl/>
          <w:lang w:val="bg-BG"/>
        </w:rPr>
      </w:pPr>
      <w:r w:rsidRPr="006E31A6">
        <w:rPr>
          <w:rFonts w:ascii="FbFrankReal" w:eastAsia="Calibri" w:hAnsi="FbFrankReal" w:cs="FbFrankReal" w:hint="cs"/>
          <w:color w:val="000000" w:themeColor="text1"/>
          <w:bdr w:val="nil"/>
          <w:rtl/>
          <w:lang w:val="bg-BG"/>
        </w:rPr>
        <w:t>ברם לענין הלכה ולמעשה כיון שאפשר בנקל לחוש בזה לדעת האחרונים שכתבו שיש לחזור על הפסוק בלחש (וישמיע לאזנו כמובן) אם הוא נמצא בציבור, וכן יש לשהות מעט לפני שחוזר וקורא, יש לנהוג כך לכתחלה. ואם הוא ביחיד יחזור אף בקול רם. אמנם אם ע"י שיחזור הפסוק בלחש תתבטל שוב כוונתו כראוי, אז יכול אף לכתחלה לחזור בקול רם כדעת מרן, ומכל מקום ישהה מעט, היינו כשיעור הילוך ד' אמות קודם שיחזור שנית.</w:t>
      </w:r>
    </w:p>
    <w:p w:rsidR="006E31A6" w:rsidRPr="006E31A6" w:rsidRDefault="006E31A6" w:rsidP="00107E74">
      <w:pPr>
        <w:pStyle w:val="11"/>
        <w:bidi/>
        <w:rPr>
          <w:rtl/>
        </w:rPr>
      </w:pPr>
      <w:r w:rsidRPr="006E31A6">
        <w:rPr>
          <w:rFonts w:hint="cs"/>
          <w:rtl/>
        </w:rPr>
        <w:t xml:space="preserve">מדוע לא חוששים לזה בפסוק "פותח את ידך" </w:t>
      </w:r>
    </w:p>
    <w:p w:rsidR="006E31A6" w:rsidRPr="006E31A6" w:rsidRDefault="006E31A6" w:rsidP="006E31A6">
      <w:pPr>
        <w:widowControl w:val="0"/>
        <w:bidi/>
        <w:spacing w:after="120" w:line="276" w:lineRule="auto"/>
        <w:ind w:firstLine="288"/>
        <w:jc w:val="both"/>
        <w:rPr>
          <w:rFonts w:ascii="FbFrankReal" w:eastAsia="Calibri" w:hAnsi="FbFrankReal" w:cs="FbFrankReal"/>
          <w:color w:val="000000" w:themeColor="text1"/>
          <w:bdr w:val="nil"/>
          <w:rtl/>
          <w:lang w:val="bg-BG"/>
        </w:rPr>
      </w:pPr>
      <w:r w:rsidRPr="006E31A6">
        <w:rPr>
          <w:rFonts w:ascii="FbFrankReal" w:eastAsia="Calibri" w:hAnsi="FbFrankReal" w:cs="FbFrankReal" w:hint="cs"/>
          <w:color w:val="000000" w:themeColor="text1"/>
          <w:bdr w:val="nil"/>
          <w:rtl/>
          <w:lang w:val="bg-BG"/>
        </w:rPr>
        <w:t>ואחר הודיענו אלקים את כל זאת, הבוא נבוא לדון במ"ש מרן (סי' נא ס"ז) דמי שלא כיוון בפסוק "פותח את ידך" צריך לחזור ולאמרו שוב. ושאלת מעכ"ת אמאי לא חיישינן אף בזה דמחזי כב' רשויות. ובבואי אל העי'ן ראיתי בספר "גם אני אודך" תשובות הגרכב"מ דדון שליט"א למעכ"ת נר"ו (סי' לג) שדן בזה וזת"ד: רבינו יוסף חיים זצ"ל בספרו עוד יוסף חי (פר' ויגש אות ח) חשש בזה וכתב שאם לא כיוון בפסוק "פותח את ידך", צריך לחזור לאמרו, ומשום דלא לתחזי כמודה לשתי רשויות ח"ו אם יאמר הפסוק הזה בזה אחר זה, ישהה מעט כנגד אמירת הפסוק הזה כפליים, ויחזור לאמרו כדי לכוין בו. ע"כ. וכבר כתב להעיר על דבריו הגר"מ מאזוז שליט"א ראש ישיבת כסא רחמים, בהערותיו על ספר עוד יוסף חי וז"ל: לא ידעתי מקום לחשש זה, דמה יש אם יאמר אלף פעמים פותח את ידך, והרי לא נזכר שם ה' בכתוב שנחוש לשתי רשויות. ודוד אמר כ"ו פעמים כי לעולם חסדו. ולא מצינו חשש זה אלא גבי שמע ישראל שאומר פעמיים ה' אלוקינו ה' אחד, או גבי מודים שאומר פעמיים שאתה הוא ה' אלוקינו. וגם למור"ם (סי' סא סעיף יב) שפסק שלא לענות אמן אמן על שום ברכה. ע"ש, היינו לפי שנשמע שעונה על הברכה בא"י מגן אברהם אמן אמן, כאילו ב' רשויות יש שכל אחד מהם הוא מגן אברהם, וכאילו אמר בא"י בא"י מגן אברהם. אבל כאן מדגיש וחוזר ומדגיש שהקב"ה משביע וזן ומפרנס לכל חי. וכ"ש דמעיקרא לא כיוון דעתיה והשתא כיוון דעתיה. ומרן בב"י (סי' סא) מתיר לענות אמן אמן. ע"ש. ועיין לכה"ח שם (אות מג). ובנ"ד נראה דלכ"ע שרי. עכ"ל (הנאמ"ן נר"ו). ונלע"ד דמה שמרן הש"ע לא חשש בזה כלל לשתי רשויות ח"ו, הואיל וק"ש יש בה קבלת עול מלכות שמים, ומודים יש בה הודאה להשי"ת שהוא ה' אלוקינו, אולם פותח את ידך הוא שבח הכנת מזון לכל חי, וכבר מצאנו פעמים רבות בתנ"ך כפילות בדברי שבח להשי"ת באותו פסוק ופסוק אחר פסוק. עוד זה מדבר וזה בא, ולא חוששים בזה לשתי רשויות ח"ו כלל ועיקר. עכ"ד הגרכב"מ דדון נר"ו.</w:t>
      </w:r>
    </w:p>
    <w:p w:rsidR="006E31A6" w:rsidRPr="006E31A6" w:rsidRDefault="006E31A6" w:rsidP="006E31A6">
      <w:pPr>
        <w:widowControl w:val="0"/>
        <w:bidi/>
        <w:spacing w:after="120" w:line="276" w:lineRule="auto"/>
        <w:ind w:firstLine="288"/>
        <w:jc w:val="both"/>
        <w:rPr>
          <w:rFonts w:ascii="FbFrankReal" w:eastAsia="Calibri" w:hAnsi="FbFrankReal" w:cs="FbFrankReal"/>
          <w:color w:val="000000" w:themeColor="text1"/>
          <w:bdr w:val="nil"/>
          <w:rtl/>
          <w:lang w:val="bg-BG"/>
        </w:rPr>
      </w:pPr>
      <w:r w:rsidRPr="006E31A6">
        <w:rPr>
          <w:rFonts w:ascii="FbFrankReal" w:eastAsia="Calibri" w:hAnsi="FbFrankReal" w:cs="FbFrankReal" w:hint="cs"/>
          <w:color w:val="000000" w:themeColor="text1"/>
          <w:bdr w:val="nil"/>
          <w:rtl/>
          <w:lang w:val="bg-BG"/>
        </w:rPr>
        <w:t>ואם יורשה לי הקטן להעיר, דלאור האמור לעיל מוכח דאף בפסוק שמע ישראל מרן ז"ל סובר דלא חיישינן לנראה כב' רשויות ח"ו אם חוזר לקרוא מחמת חוסר כוונה. ורק אליבא דהאחרונים הנ"ל קמה הקושיא וגם ניצבה, אמאי לא חשו לזה גם בפותח את ידך. ודו"ק. ומ"מ חילוקו של הגר"מ מאזוז שליט"א ברור ושריר וקיים. וע"ע בשו"ת ציץ אליעזר חלק יב (סי' ח), ובס' פתח שערי שמים לידידי הגאון רבי פנחס רז שליט"א (ח"ב עמ' קמו והלאה) ע"ש.</w:t>
      </w:r>
    </w:p>
    <w:p w:rsidR="006E31A6" w:rsidRPr="006E31A6" w:rsidRDefault="006E31A6" w:rsidP="006E31A6">
      <w:pPr>
        <w:widowControl w:val="0"/>
        <w:bidi/>
        <w:spacing w:after="120" w:line="276" w:lineRule="auto"/>
        <w:ind w:firstLine="288"/>
        <w:jc w:val="both"/>
        <w:rPr>
          <w:rFonts w:ascii="FbFrankReal" w:hAnsi="FbFrankReal" w:cs="FbFrankReal"/>
          <w:color w:val="000000" w:themeColor="text1"/>
          <w:bdr w:val="nil"/>
          <w:rtl/>
          <w:lang w:val="bg-BG"/>
        </w:rPr>
      </w:pPr>
      <w:r w:rsidRPr="006E31A6">
        <w:rPr>
          <w:rFonts w:ascii="FbFrankReal" w:eastAsia="Calibri" w:hAnsi="FbFrankReal" w:cs="FbFrankReal" w:hint="cs"/>
          <w:color w:val="000000" w:themeColor="text1"/>
          <w:bdr w:val="nil"/>
          <w:rtl/>
          <w:lang w:val="bg-BG"/>
        </w:rPr>
        <w:lastRenderedPageBreak/>
        <w:t>הנלע"ד כתבתי, והשי"ת יאיר עינינו בתוה"ק.</w:t>
      </w:r>
    </w:p>
    <w:p w:rsidR="006E31A6" w:rsidRDefault="006E31A6" w:rsidP="006E31A6">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6E31A6">
        <w:rPr>
          <w:rFonts w:ascii="Nymphette" w:eastAsia="Times New Roman" w:hAnsi="Nymphette" w:cs="Nymphette"/>
          <w:sz w:val="44"/>
          <w:szCs w:val="44"/>
        </w:rPr>
        <w:t>g</w:t>
      </w:r>
    </w:p>
    <w:p w:rsidR="00352A69" w:rsidRPr="00233D5E" w:rsidRDefault="00352A69" w:rsidP="00233D5E">
      <w:pPr>
        <w:pStyle w:val="a0"/>
        <w:bidi w:val="0"/>
        <w:rPr>
          <w:rtl/>
        </w:rPr>
      </w:pPr>
      <w:bookmarkStart w:id="164" w:name="_Toc39817462"/>
      <w:r w:rsidRPr="00233D5E">
        <w:rPr>
          <w:rFonts w:hint="cs"/>
          <w:rtl/>
        </w:rPr>
        <w:t>הערות בענייני הלכה ומנהג</w:t>
      </w:r>
      <w:r w:rsidR="001C6EFC" w:rsidRPr="00233D5E">
        <w:rPr>
          <w:rStyle w:val="FootnoteReference"/>
          <w:rtl/>
        </w:rPr>
        <w:footnoteReference w:id="75"/>
      </w:r>
      <w:bookmarkEnd w:id="164"/>
    </w:p>
    <w:p w:rsidR="006A01B4" w:rsidRPr="006A01B4" w:rsidRDefault="006A01B4" w:rsidP="006A01B4">
      <w:pPr>
        <w:pStyle w:val="a"/>
        <w:rPr>
          <w:rtl/>
        </w:rPr>
      </w:pPr>
      <w:r>
        <w:rPr>
          <w:rFonts w:hint="cs"/>
          <w:rtl/>
        </w:rPr>
        <w:t xml:space="preserve">    </w:t>
      </w:r>
      <w:bookmarkStart w:id="165" w:name="_Toc39817463"/>
      <w:r>
        <w:rPr>
          <w:rFonts w:hint="cs"/>
          <w:rtl/>
        </w:rPr>
        <w:t xml:space="preserve">הרב </w:t>
      </w:r>
      <w:r w:rsidRPr="006A01B4">
        <w:rPr>
          <w:rFonts w:hint="cs"/>
          <w:rtl/>
        </w:rPr>
        <w:t>מרדכי מינצברג</w:t>
      </w:r>
      <w:r w:rsidRPr="006A01B4">
        <w:rPr>
          <w:rFonts w:cs="Arial" w:hint="cs"/>
          <w:sz w:val="24"/>
          <w:szCs w:val="24"/>
          <w:rtl/>
        </w:rPr>
        <w:t xml:space="preserve">                                                                                       </w:t>
      </w:r>
      <w:r w:rsidRPr="006A01B4">
        <w:rPr>
          <w:rStyle w:val="Char1"/>
          <w:rFonts w:hint="cs"/>
          <w:b w:val="0"/>
          <w:bCs w:val="0"/>
          <w:rtl/>
        </w:rPr>
        <w:t>ביתר עילית</w:t>
      </w:r>
      <w:r>
        <w:rPr>
          <w:rStyle w:val="Char1"/>
          <w:rFonts w:hint="cs"/>
          <w:b w:val="0"/>
          <w:bCs w:val="0"/>
          <w:rtl/>
        </w:rPr>
        <w:t>, אה"ק</w:t>
      </w:r>
      <w:bookmarkEnd w:id="165"/>
    </w:p>
    <w:p w:rsidR="001C6EFC" w:rsidRDefault="00352A69" w:rsidP="001C6EFC">
      <w:pPr>
        <w:pStyle w:val="11"/>
        <w:bidi/>
        <w:rPr>
          <w:rtl/>
        </w:rPr>
      </w:pPr>
      <w:r>
        <w:rPr>
          <w:rFonts w:hint="cs"/>
          <w:rtl/>
        </w:rPr>
        <w:t xml:space="preserve">א  </w:t>
      </w:r>
      <w:r w:rsidR="001C6EFC">
        <w:rPr>
          <w:rFonts w:hint="cs"/>
          <w:rtl/>
        </w:rPr>
        <w:t xml:space="preserve">                    </w:t>
      </w:r>
    </w:p>
    <w:p w:rsidR="00352A69" w:rsidRPr="001E4B09" w:rsidRDefault="00352A69" w:rsidP="001C6EFC">
      <w:pPr>
        <w:pStyle w:val="11"/>
        <w:bidi/>
        <w:rPr>
          <w:rtl/>
        </w:rPr>
      </w:pPr>
      <w:r>
        <w:rPr>
          <w:rFonts w:hint="cs"/>
          <w:rtl/>
        </w:rPr>
        <w:t xml:space="preserve">     </w:t>
      </w:r>
      <w:r w:rsidRPr="001E4B09">
        <w:rPr>
          <w:rFonts w:hint="cs"/>
          <w:rtl/>
        </w:rPr>
        <w:t xml:space="preserve"> הסתכלות על הש"ץ בעת אמירתו ברכת כהנים</w:t>
      </w:r>
    </w:p>
    <w:p w:rsidR="00352A69" w:rsidRPr="001E4B09" w:rsidRDefault="00352A69" w:rsidP="00352A69">
      <w:pPr>
        <w:pStyle w:val="a3"/>
        <w:rPr>
          <w:rtl/>
        </w:rPr>
      </w:pPr>
      <w:r w:rsidRPr="001E4B09">
        <w:rPr>
          <w:rFonts w:hint="cs"/>
          <w:rtl/>
        </w:rPr>
        <w:t>בנוגע</w:t>
      </w:r>
      <w:r w:rsidRPr="001E4B09">
        <w:rPr>
          <w:rtl/>
        </w:rPr>
        <w:t xml:space="preserve"> </w:t>
      </w:r>
      <w:r w:rsidRPr="001E4B09">
        <w:rPr>
          <w:rFonts w:hint="cs"/>
          <w:rtl/>
        </w:rPr>
        <w:t>להמנהג</w:t>
      </w:r>
      <w:r w:rsidRPr="001E4B09">
        <w:rPr>
          <w:rtl/>
        </w:rPr>
        <w:t xml:space="preserve"> </w:t>
      </w:r>
      <w:r w:rsidRPr="001E4B09">
        <w:rPr>
          <w:rFonts w:hint="cs"/>
          <w:rtl/>
        </w:rPr>
        <w:t>להסתכל</w:t>
      </w:r>
      <w:r w:rsidRPr="001E4B09">
        <w:rPr>
          <w:rtl/>
        </w:rPr>
        <w:t xml:space="preserve"> </w:t>
      </w:r>
      <w:r w:rsidRPr="001E4B09">
        <w:rPr>
          <w:rFonts w:hint="cs"/>
          <w:rtl/>
        </w:rPr>
        <w:t>על</w:t>
      </w:r>
      <w:r w:rsidRPr="001E4B09">
        <w:rPr>
          <w:rtl/>
        </w:rPr>
        <w:t xml:space="preserve"> </w:t>
      </w:r>
      <w:r w:rsidRPr="001E4B09">
        <w:rPr>
          <w:rFonts w:hint="cs"/>
          <w:rtl/>
        </w:rPr>
        <w:t>הש</w:t>
      </w:r>
      <w:r w:rsidRPr="001E4B09">
        <w:rPr>
          <w:rtl/>
        </w:rPr>
        <w:t>"</w:t>
      </w:r>
      <w:r w:rsidRPr="001E4B09">
        <w:rPr>
          <w:rFonts w:hint="cs"/>
          <w:rtl/>
        </w:rPr>
        <w:t>ץ</w:t>
      </w:r>
      <w:r w:rsidRPr="001E4B09">
        <w:rPr>
          <w:rtl/>
        </w:rPr>
        <w:t xml:space="preserve"> </w:t>
      </w:r>
      <w:r w:rsidRPr="001E4B09">
        <w:rPr>
          <w:rFonts w:hint="cs"/>
          <w:rtl/>
        </w:rPr>
        <w:t>בעת</w:t>
      </w:r>
      <w:r w:rsidRPr="001E4B09">
        <w:rPr>
          <w:rtl/>
        </w:rPr>
        <w:t xml:space="preserve"> </w:t>
      </w:r>
      <w:r w:rsidRPr="001E4B09">
        <w:rPr>
          <w:rFonts w:hint="cs"/>
          <w:rtl/>
        </w:rPr>
        <w:t>אמירתו</w:t>
      </w:r>
      <w:r w:rsidRPr="001E4B09">
        <w:rPr>
          <w:rtl/>
        </w:rPr>
        <w:t xml:space="preserve"> </w:t>
      </w:r>
      <w:r w:rsidRPr="001E4B09">
        <w:rPr>
          <w:rFonts w:hint="cs"/>
          <w:rtl/>
        </w:rPr>
        <w:t>ברכת</w:t>
      </w:r>
      <w:r w:rsidRPr="001E4B09">
        <w:rPr>
          <w:rtl/>
        </w:rPr>
        <w:t xml:space="preserve"> </w:t>
      </w:r>
      <w:r w:rsidRPr="001E4B09">
        <w:rPr>
          <w:rFonts w:hint="cs"/>
          <w:rtl/>
        </w:rPr>
        <w:t>כהנים (כשאין הכהנים נושאים כפיים)</w:t>
      </w:r>
      <w:r>
        <w:rPr>
          <w:rFonts w:hint="cs"/>
          <w:rtl/>
        </w:rPr>
        <w:t>,</w:t>
      </w:r>
      <w:r w:rsidRPr="001E4B09">
        <w:rPr>
          <w:rtl/>
        </w:rPr>
        <w:t xml:space="preserve"> </w:t>
      </w:r>
      <w:r w:rsidRPr="001E4B09">
        <w:rPr>
          <w:rFonts w:hint="cs"/>
          <w:rtl/>
        </w:rPr>
        <w:t>הנה</w:t>
      </w:r>
      <w:r w:rsidRPr="001E4B09">
        <w:rPr>
          <w:rtl/>
        </w:rPr>
        <w:t xml:space="preserve"> </w:t>
      </w:r>
      <w:r w:rsidRPr="001E4B09">
        <w:rPr>
          <w:rFonts w:hint="cs"/>
          <w:rtl/>
        </w:rPr>
        <w:t xml:space="preserve">יש המשתדלים להסתכל על פני הש"ץ.    </w:t>
      </w:r>
    </w:p>
    <w:p w:rsidR="00352A69" w:rsidRPr="001E4B09" w:rsidRDefault="00352A69" w:rsidP="00352A69">
      <w:pPr>
        <w:pStyle w:val="a3"/>
        <w:rPr>
          <w:rtl/>
        </w:rPr>
      </w:pPr>
      <w:r w:rsidRPr="001E4B09">
        <w:rPr>
          <w:rFonts w:hint="cs"/>
          <w:rtl/>
        </w:rPr>
        <w:t xml:space="preserve">וטעמם, היות והש"ץ אומר את ברכת כהנים במקום הכהנים, וכמ"ש אדה"ז בשו"ע או"ח סקכ"ז ס"ב: </w:t>
      </w:r>
      <w:r>
        <w:rPr>
          <w:rFonts w:hint="cs"/>
          <w:rtl/>
        </w:rPr>
        <w:t>"</w:t>
      </w:r>
      <w:r w:rsidRPr="001E4B09">
        <w:rPr>
          <w:rFonts w:hint="cs"/>
          <w:rtl/>
        </w:rPr>
        <w:t>ואם אין שם כהנים צריך הש"ץ לומר ברכת כהנים שהיא או"א ברכנו כו'</w:t>
      </w:r>
      <w:r>
        <w:rPr>
          <w:rFonts w:hint="cs"/>
          <w:rtl/>
        </w:rPr>
        <w:t>"</w:t>
      </w:r>
      <w:r w:rsidRPr="001E4B09">
        <w:rPr>
          <w:rFonts w:hint="cs"/>
          <w:rtl/>
        </w:rPr>
        <w:t xml:space="preserve">.  </w:t>
      </w:r>
    </w:p>
    <w:p w:rsidR="00352A69" w:rsidRPr="001E4B09" w:rsidRDefault="00352A69" w:rsidP="00352A69">
      <w:pPr>
        <w:pStyle w:val="a3"/>
        <w:rPr>
          <w:rtl/>
        </w:rPr>
      </w:pPr>
      <w:r w:rsidRPr="001E4B09">
        <w:rPr>
          <w:rFonts w:hint="cs"/>
          <w:rtl/>
        </w:rPr>
        <w:t>והרי ברכת כהנים צ"ל פנים כנגד פנים, כמ"ש אדה"ז</w:t>
      </w:r>
      <w:r>
        <w:rPr>
          <w:rFonts w:hint="cs"/>
          <w:rtl/>
        </w:rPr>
        <w:t xml:space="preserve"> (שם)</w:t>
      </w:r>
      <w:r w:rsidRPr="001E4B09">
        <w:rPr>
          <w:rFonts w:hint="cs"/>
          <w:rtl/>
        </w:rPr>
        <w:t xml:space="preserve"> בסקכ"ח סכ"ג: </w:t>
      </w:r>
      <w:r>
        <w:rPr>
          <w:rFonts w:hint="cs"/>
          <w:rtl/>
        </w:rPr>
        <w:t>"</w:t>
      </w:r>
      <w:r w:rsidRPr="001E4B09">
        <w:rPr>
          <w:rFonts w:hint="cs"/>
          <w:rtl/>
        </w:rPr>
        <w:t>אבל הציבור רשאין לישב רק שיהי' פניהם נגד פני הכהנים שנאמר אמור להם כאדם האומר לחבירו שמדבר עמו פנים אל פנים</w:t>
      </w:r>
      <w:r>
        <w:rPr>
          <w:rFonts w:hint="cs"/>
          <w:rtl/>
        </w:rPr>
        <w:t>"</w:t>
      </w:r>
      <w:r w:rsidRPr="001E4B09">
        <w:rPr>
          <w:rFonts w:hint="cs"/>
          <w:rtl/>
        </w:rPr>
        <w:t xml:space="preserve">. ובסל"ו: </w:t>
      </w:r>
      <w:r>
        <w:rPr>
          <w:rFonts w:hint="cs"/>
          <w:rtl/>
        </w:rPr>
        <w:t>"</w:t>
      </w:r>
      <w:r w:rsidRPr="001E4B09">
        <w:rPr>
          <w:rFonts w:hint="cs"/>
          <w:rtl/>
        </w:rPr>
        <w:t>והעם המקבלים את הברכה כו' ויהיו פניהם  נגד פני הכהנים</w:t>
      </w:r>
      <w:r>
        <w:rPr>
          <w:rFonts w:hint="cs"/>
          <w:rtl/>
        </w:rPr>
        <w:t>"</w:t>
      </w:r>
      <w:r w:rsidRPr="001E4B09">
        <w:rPr>
          <w:rFonts w:hint="cs"/>
          <w:rtl/>
        </w:rPr>
        <w:t xml:space="preserve">. ובסל"ז: </w:t>
      </w:r>
      <w:r>
        <w:rPr>
          <w:rFonts w:hint="cs"/>
          <w:rtl/>
        </w:rPr>
        <w:t>"</w:t>
      </w:r>
      <w:r w:rsidRPr="001E4B09">
        <w:rPr>
          <w:rFonts w:hint="cs"/>
          <w:rtl/>
        </w:rPr>
        <w:t>שברכת כהנים אינה אלא פנים כנגד פנים</w:t>
      </w:r>
      <w:r>
        <w:rPr>
          <w:rFonts w:hint="cs"/>
          <w:rtl/>
        </w:rPr>
        <w:t>"</w:t>
      </w:r>
      <w:r w:rsidRPr="001E4B09">
        <w:rPr>
          <w:rFonts w:hint="cs"/>
          <w:rtl/>
        </w:rPr>
        <w:t>.</w:t>
      </w:r>
    </w:p>
    <w:p w:rsidR="00352A69" w:rsidRPr="001E4B09" w:rsidRDefault="00352A69" w:rsidP="001C6EFC">
      <w:pPr>
        <w:pStyle w:val="a3"/>
        <w:rPr>
          <w:rtl/>
        </w:rPr>
      </w:pPr>
      <w:r w:rsidRPr="001E4B09">
        <w:rPr>
          <w:rFonts w:hint="cs"/>
          <w:rtl/>
        </w:rPr>
        <w:t>ורציתי להעיר מרשימות</w:t>
      </w:r>
      <w:r w:rsidRPr="001E4B09">
        <w:rPr>
          <w:rtl/>
        </w:rPr>
        <w:t xml:space="preserve"> </w:t>
      </w:r>
      <w:r w:rsidRPr="001E4B09">
        <w:rPr>
          <w:rFonts w:hint="cs"/>
          <w:rtl/>
        </w:rPr>
        <w:t>היומן</w:t>
      </w:r>
      <w:r w:rsidRPr="001E4B09">
        <w:rPr>
          <w:rtl/>
        </w:rPr>
        <w:t xml:space="preserve"> </w:t>
      </w:r>
      <w:r w:rsidRPr="001E4B09">
        <w:rPr>
          <w:rFonts w:hint="cs"/>
          <w:rtl/>
        </w:rPr>
        <w:t>עמ</w:t>
      </w:r>
      <w:r w:rsidRPr="001E4B09">
        <w:rPr>
          <w:rtl/>
        </w:rPr>
        <w:t xml:space="preserve">' </w:t>
      </w:r>
      <w:r w:rsidRPr="001E4B09">
        <w:rPr>
          <w:rFonts w:hint="cs"/>
          <w:rtl/>
        </w:rPr>
        <w:t>תכ</w:t>
      </w:r>
      <w:r w:rsidRPr="001E4B09">
        <w:rPr>
          <w:rtl/>
        </w:rPr>
        <w:t>: "</w:t>
      </w:r>
      <w:r w:rsidRPr="001E4B09">
        <w:rPr>
          <w:rFonts w:hint="cs"/>
          <w:rtl/>
        </w:rPr>
        <w:t>כ</w:t>
      </w:r>
      <w:r w:rsidRPr="001E4B09">
        <w:rPr>
          <w:rtl/>
        </w:rPr>
        <w:t>"</w:t>
      </w:r>
      <w:r w:rsidRPr="001E4B09">
        <w:rPr>
          <w:rFonts w:hint="cs"/>
          <w:rtl/>
        </w:rPr>
        <w:t>ק</w:t>
      </w:r>
      <w:r w:rsidRPr="001E4B09">
        <w:rPr>
          <w:rtl/>
        </w:rPr>
        <w:t xml:space="preserve"> </w:t>
      </w:r>
      <w:r w:rsidRPr="001E4B09">
        <w:rPr>
          <w:rFonts w:hint="cs"/>
          <w:rtl/>
        </w:rPr>
        <w:t>אדמו</w:t>
      </w:r>
      <w:r w:rsidRPr="001E4B09">
        <w:rPr>
          <w:rtl/>
        </w:rPr>
        <w:t>"</w:t>
      </w:r>
      <w:r w:rsidRPr="001E4B09">
        <w:rPr>
          <w:rFonts w:hint="cs"/>
          <w:rtl/>
        </w:rPr>
        <w:t>ר</w:t>
      </w:r>
      <w:r w:rsidRPr="001E4B09">
        <w:rPr>
          <w:rtl/>
        </w:rPr>
        <w:t xml:space="preserve"> </w:t>
      </w:r>
      <w:r w:rsidRPr="001E4B09">
        <w:rPr>
          <w:rFonts w:hint="cs"/>
          <w:rtl/>
        </w:rPr>
        <w:t>שליט</w:t>
      </w:r>
      <w:r w:rsidRPr="001E4B09">
        <w:rPr>
          <w:rtl/>
        </w:rPr>
        <w:t>"</w:t>
      </w:r>
      <w:r w:rsidRPr="001E4B09">
        <w:rPr>
          <w:rFonts w:hint="cs"/>
          <w:rtl/>
        </w:rPr>
        <w:t>א</w:t>
      </w:r>
      <w:r w:rsidRPr="001E4B09">
        <w:rPr>
          <w:rtl/>
        </w:rPr>
        <w:t xml:space="preserve"> </w:t>
      </w:r>
      <w:r w:rsidRPr="001E4B09">
        <w:rPr>
          <w:rFonts w:hint="cs"/>
          <w:rtl/>
        </w:rPr>
        <w:t>מביט</w:t>
      </w:r>
      <w:r w:rsidRPr="001E4B09">
        <w:rPr>
          <w:rtl/>
        </w:rPr>
        <w:t xml:space="preserve"> </w:t>
      </w:r>
      <w:r w:rsidRPr="001E4B09">
        <w:rPr>
          <w:rFonts w:hint="cs"/>
          <w:rtl/>
        </w:rPr>
        <w:t>על</w:t>
      </w:r>
      <w:r w:rsidRPr="001E4B09">
        <w:rPr>
          <w:rtl/>
        </w:rPr>
        <w:t xml:space="preserve"> </w:t>
      </w:r>
      <w:r w:rsidRPr="001E4B09">
        <w:rPr>
          <w:rFonts w:hint="cs"/>
          <w:rtl/>
        </w:rPr>
        <w:t>הש</w:t>
      </w:r>
      <w:r w:rsidRPr="001E4B09">
        <w:rPr>
          <w:rtl/>
        </w:rPr>
        <w:t>"</w:t>
      </w:r>
      <w:r w:rsidRPr="001E4B09">
        <w:rPr>
          <w:rFonts w:hint="cs"/>
          <w:rtl/>
        </w:rPr>
        <w:t>ץ</w:t>
      </w:r>
      <w:r w:rsidRPr="001E4B09">
        <w:rPr>
          <w:rtl/>
        </w:rPr>
        <w:t xml:space="preserve"> </w:t>
      </w:r>
      <w:r w:rsidRPr="001E4B09">
        <w:rPr>
          <w:rFonts w:hint="cs"/>
          <w:rtl/>
        </w:rPr>
        <w:t>כשאומר</w:t>
      </w:r>
      <w:r w:rsidRPr="001E4B09">
        <w:rPr>
          <w:rtl/>
        </w:rPr>
        <w:t xml:space="preserve"> </w:t>
      </w:r>
      <w:r w:rsidRPr="001E4B09">
        <w:rPr>
          <w:rFonts w:hint="cs"/>
          <w:rtl/>
        </w:rPr>
        <w:t>ברכת</w:t>
      </w:r>
      <w:r w:rsidRPr="001E4B09">
        <w:rPr>
          <w:rtl/>
        </w:rPr>
        <w:t xml:space="preserve"> </w:t>
      </w:r>
      <w:r w:rsidRPr="001E4B09">
        <w:rPr>
          <w:rFonts w:hint="cs"/>
          <w:rtl/>
        </w:rPr>
        <w:t>כהנים</w:t>
      </w:r>
      <w:r w:rsidRPr="001E4B09">
        <w:rPr>
          <w:rtl/>
        </w:rPr>
        <w:t>"</w:t>
      </w:r>
      <w:r w:rsidRPr="001E4B09">
        <w:rPr>
          <w:rFonts w:hint="cs"/>
          <w:rtl/>
        </w:rPr>
        <w:t>.</w:t>
      </w:r>
      <w:r w:rsidRPr="001E4B09">
        <w:rPr>
          <w:rtl/>
        </w:rPr>
        <w:t xml:space="preserve"> </w:t>
      </w:r>
      <w:r w:rsidRPr="001E4B09">
        <w:rPr>
          <w:rFonts w:hint="cs"/>
          <w:rtl/>
        </w:rPr>
        <w:t>ובספר</w:t>
      </w:r>
      <w:r w:rsidRPr="001E4B09">
        <w:rPr>
          <w:rtl/>
        </w:rPr>
        <w:t xml:space="preserve"> </w:t>
      </w:r>
      <w:r w:rsidRPr="001E4B09">
        <w:rPr>
          <w:rFonts w:hint="cs"/>
          <w:rtl/>
        </w:rPr>
        <w:t>המנהגים</w:t>
      </w:r>
      <w:r w:rsidRPr="001E4B09">
        <w:rPr>
          <w:rtl/>
        </w:rPr>
        <w:t xml:space="preserve"> </w:t>
      </w:r>
      <w:r w:rsidRPr="001E4B09">
        <w:rPr>
          <w:rFonts w:hint="cs"/>
          <w:rtl/>
        </w:rPr>
        <w:t>עמ</w:t>
      </w:r>
      <w:r w:rsidRPr="001E4B09">
        <w:rPr>
          <w:rtl/>
        </w:rPr>
        <w:t>' 13: "</w:t>
      </w:r>
      <w:r w:rsidRPr="001E4B09">
        <w:rPr>
          <w:rFonts w:hint="cs"/>
          <w:rtl/>
        </w:rPr>
        <w:t>בעת</w:t>
      </w:r>
      <w:r w:rsidRPr="001E4B09">
        <w:rPr>
          <w:rtl/>
        </w:rPr>
        <w:t xml:space="preserve"> </w:t>
      </w:r>
      <w:r w:rsidRPr="001E4B09">
        <w:rPr>
          <w:rFonts w:hint="cs"/>
          <w:rtl/>
        </w:rPr>
        <w:t>אמירת</w:t>
      </w:r>
      <w:r w:rsidRPr="001E4B09">
        <w:rPr>
          <w:rtl/>
        </w:rPr>
        <w:t xml:space="preserve"> </w:t>
      </w:r>
      <w:r w:rsidRPr="001E4B09">
        <w:rPr>
          <w:rFonts w:hint="cs"/>
          <w:rtl/>
        </w:rPr>
        <w:t>ברכת</w:t>
      </w:r>
      <w:r w:rsidRPr="001E4B09">
        <w:rPr>
          <w:rtl/>
        </w:rPr>
        <w:t xml:space="preserve"> </w:t>
      </w:r>
      <w:r w:rsidRPr="001E4B09">
        <w:rPr>
          <w:rFonts w:hint="cs"/>
          <w:rtl/>
        </w:rPr>
        <w:t>כהנים</w:t>
      </w:r>
      <w:r>
        <w:rPr>
          <w:rtl/>
        </w:rPr>
        <w:t xml:space="preserve"> </w:t>
      </w:r>
      <w:r w:rsidRPr="001E4B09">
        <w:rPr>
          <w:rFonts w:hint="cs"/>
          <w:rtl/>
        </w:rPr>
        <w:t>היו</w:t>
      </w:r>
      <w:r w:rsidRPr="001E4B09">
        <w:rPr>
          <w:rtl/>
        </w:rPr>
        <w:t xml:space="preserve"> </w:t>
      </w:r>
      <w:r w:rsidRPr="001E4B09">
        <w:rPr>
          <w:rFonts w:hint="cs"/>
          <w:rtl/>
        </w:rPr>
        <w:t>האדמורי</w:t>
      </w:r>
      <w:r w:rsidRPr="001E4B09">
        <w:rPr>
          <w:rtl/>
        </w:rPr>
        <w:t>"</w:t>
      </w:r>
      <w:r w:rsidRPr="001E4B09">
        <w:rPr>
          <w:rFonts w:hint="cs"/>
          <w:rtl/>
        </w:rPr>
        <w:t>ם</w:t>
      </w:r>
      <w:r w:rsidRPr="001E4B09">
        <w:rPr>
          <w:rtl/>
        </w:rPr>
        <w:t xml:space="preserve"> </w:t>
      </w:r>
      <w:r w:rsidRPr="001E4B09">
        <w:rPr>
          <w:rFonts w:hint="cs"/>
          <w:rtl/>
        </w:rPr>
        <w:t>נ</w:t>
      </w:r>
      <w:r w:rsidRPr="001E4B09">
        <w:rPr>
          <w:rtl/>
        </w:rPr>
        <w:t>"</w:t>
      </w:r>
      <w:r w:rsidRPr="001E4B09">
        <w:rPr>
          <w:rFonts w:hint="cs"/>
          <w:rtl/>
        </w:rPr>
        <w:t>ע</w:t>
      </w:r>
      <w:r w:rsidRPr="001E4B09">
        <w:rPr>
          <w:rtl/>
        </w:rPr>
        <w:t xml:space="preserve"> </w:t>
      </w:r>
      <w:r w:rsidRPr="001E4B09">
        <w:rPr>
          <w:rFonts w:hint="cs"/>
          <w:rtl/>
        </w:rPr>
        <w:t>זצוקללה</w:t>
      </w:r>
      <w:r w:rsidRPr="001E4B09">
        <w:rPr>
          <w:rtl/>
        </w:rPr>
        <w:t>"</w:t>
      </w:r>
      <w:r w:rsidRPr="001E4B09">
        <w:rPr>
          <w:rFonts w:hint="cs"/>
          <w:rtl/>
        </w:rPr>
        <w:t>ה</w:t>
      </w:r>
      <w:r w:rsidR="001C6EFC">
        <w:rPr>
          <w:rFonts w:hint="cs"/>
          <w:rtl/>
        </w:rPr>
        <w:t xml:space="preserve"> </w:t>
      </w:r>
      <w:r w:rsidRPr="001E4B09">
        <w:rPr>
          <w:rFonts w:hint="cs"/>
          <w:rtl/>
        </w:rPr>
        <w:t>זי</w:t>
      </w:r>
      <w:r w:rsidRPr="001E4B09">
        <w:rPr>
          <w:rtl/>
        </w:rPr>
        <w:t>"</w:t>
      </w:r>
      <w:r w:rsidRPr="001E4B09">
        <w:rPr>
          <w:rFonts w:hint="cs"/>
          <w:rtl/>
        </w:rPr>
        <w:t>ע</w:t>
      </w:r>
      <w:r w:rsidR="001C6EFC">
        <w:rPr>
          <w:rFonts w:hint="cs"/>
          <w:rtl/>
        </w:rPr>
        <w:t xml:space="preserve"> </w:t>
      </w:r>
      <w:r w:rsidRPr="001E4B09">
        <w:rPr>
          <w:rFonts w:hint="cs"/>
          <w:rtl/>
        </w:rPr>
        <w:t>נוטים</w:t>
      </w:r>
      <w:r w:rsidRPr="001E4B09">
        <w:rPr>
          <w:rtl/>
        </w:rPr>
        <w:t xml:space="preserve"> </w:t>
      </w:r>
      <w:r w:rsidRPr="001E4B09">
        <w:rPr>
          <w:rFonts w:hint="cs"/>
          <w:rtl/>
        </w:rPr>
        <w:t>פניהם</w:t>
      </w:r>
      <w:r w:rsidRPr="001E4B09">
        <w:rPr>
          <w:rtl/>
        </w:rPr>
        <w:t xml:space="preserve"> </w:t>
      </w:r>
      <w:r w:rsidRPr="001E4B09">
        <w:rPr>
          <w:rFonts w:hint="cs"/>
          <w:rtl/>
        </w:rPr>
        <w:t>אל</w:t>
      </w:r>
      <w:r w:rsidRPr="001E4B09">
        <w:rPr>
          <w:rtl/>
        </w:rPr>
        <w:t xml:space="preserve"> </w:t>
      </w:r>
      <w:r w:rsidRPr="001E4B09">
        <w:rPr>
          <w:rFonts w:hint="cs"/>
          <w:rtl/>
        </w:rPr>
        <w:t>הש</w:t>
      </w:r>
      <w:r w:rsidRPr="001E4B09">
        <w:rPr>
          <w:rtl/>
        </w:rPr>
        <w:t>"</w:t>
      </w:r>
      <w:r w:rsidRPr="001E4B09">
        <w:rPr>
          <w:rFonts w:hint="cs"/>
          <w:rtl/>
        </w:rPr>
        <w:t>ץ</w:t>
      </w:r>
      <w:r w:rsidRPr="001E4B09">
        <w:rPr>
          <w:rtl/>
        </w:rPr>
        <w:t>"</w:t>
      </w:r>
      <w:r w:rsidRPr="001E4B09">
        <w:rPr>
          <w:rFonts w:hint="cs"/>
          <w:rtl/>
        </w:rPr>
        <w:t>. ובתורת</w:t>
      </w:r>
      <w:r w:rsidRPr="001E4B09">
        <w:rPr>
          <w:rtl/>
        </w:rPr>
        <w:t xml:space="preserve"> </w:t>
      </w:r>
      <w:r w:rsidRPr="001E4B09">
        <w:rPr>
          <w:rFonts w:hint="cs"/>
          <w:rtl/>
        </w:rPr>
        <w:t>מנחם</w:t>
      </w:r>
      <w:r w:rsidRPr="001E4B09">
        <w:rPr>
          <w:rtl/>
        </w:rPr>
        <w:t xml:space="preserve"> </w:t>
      </w:r>
      <w:r w:rsidRPr="001E4B09">
        <w:rPr>
          <w:rFonts w:hint="cs"/>
          <w:rtl/>
        </w:rPr>
        <w:t>חמ</w:t>
      </w:r>
      <w:r w:rsidRPr="001E4B09">
        <w:rPr>
          <w:rtl/>
        </w:rPr>
        <w:t>"</w:t>
      </w:r>
      <w:r w:rsidRPr="001E4B09">
        <w:rPr>
          <w:rFonts w:hint="cs"/>
          <w:rtl/>
        </w:rPr>
        <w:t>ח</w:t>
      </w:r>
      <w:r w:rsidRPr="001E4B09">
        <w:rPr>
          <w:rtl/>
        </w:rPr>
        <w:t xml:space="preserve"> </w:t>
      </w:r>
      <w:r w:rsidRPr="001E4B09">
        <w:rPr>
          <w:rFonts w:hint="cs"/>
          <w:rtl/>
        </w:rPr>
        <w:t>עמ</w:t>
      </w:r>
      <w:r w:rsidRPr="001E4B09">
        <w:rPr>
          <w:rtl/>
        </w:rPr>
        <w:t>' 389: "</w:t>
      </w:r>
      <w:r w:rsidRPr="001E4B09">
        <w:rPr>
          <w:rFonts w:hint="cs"/>
          <w:rtl/>
        </w:rPr>
        <w:t>בשעה</w:t>
      </w:r>
      <w:r w:rsidRPr="001E4B09">
        <w:rPr>
          <w:rtl/>
        </w:rPr>
        <w:t xml:space="preserve"> </w:t>
      </w:r>
      <w:r w:rsidRPr="001E4B09">
        <w:rPr>
          <w:rFonts w:hint="cs"/>
          <w:rtl/>
        </w:rPr>
        <w:t>שהש</w:t>
      </w:r>
      <w:r w:rsidRPr="001E4B09">
        <w:rPr>
          <w:rtl/>
        </w:rPr>
        <w:t>"</w:t>
      </w:r>
      <w:r w:rsidRPr="001E4B09">
        <w:rPr>
          <w:rFonts w:hint="cs"/>
          <w:rtl/>
        </w:rPr>
        <w:t>ץ</w:t>
      </w:r>
      <w:r w:rsidRPr="001E4B09">
        <w:rPr>
          <w:rtl/>
        </w:rPr>
        <w:t xml:space="preserve"> </w:t>
      </w:r>
      <w:r w:rsidRPr="001E4B09">
        <w:rPr>
          <w:rFonts w:hint="cs"/>
          <w:rtl/>
        </w:rPr>
        <w:t>אומר</w:t>
      </w:r>
      <w:r w:rsidRPr="001E4B09">
        <w:rPr>
          <w:rtl/>
        </w:rPr>
        <w:t xml:space="preserve"> </w:t>
      </w:r>
      <w:r w:rsidRPr="001E4B09">
        <w:rPr>
          <w:rFonts w:hint="cs"/>
          <w:rtl/>
        </w:rPr>
        <w:t>ברכת</w:t>
      </w:r>
      <w:r w:rsidRPr="001E4B09">
        <w:rPr>
          <w:rtl/>
        </w:rPr>
        <w:t xml:space="preserve"> </w:t>
      </w:r>
      <w:r w:rsidRPr="001E4B09">
        <w:rPr>
          <w:rFonts w:hint="cs"/>
          <w:rtl/>
        </w:rPr>
        <w:t>כהנים</w:t>
      </w:r>
      <w:r w:rsidRPr="001E4B09">
        <w:rPr>
          <w:rtl/>
        </w:rPr>
        <w:t xml:space="preserve"> </w:t>
      </w:r>
      <w:r w:rsidRPr="001E4B09">
        <w:rPr>
          <w:rFonts w:hint="cs"/>
          <w:rtl/>
        </w:rPr>
        <w:t>שאז</w:t>
      </w:r>
      <w:r w:rsidRPr="001E4B09">
        <w:rPr>
          <w:rtl/>
        </w:rPr>
        <w:t xml:space="preserve"> </w:t>
      </w:r>
      <w:r w:rsidRPr="001E4B09">
        <w:rPr>
          <w:rFonts w:hint="cs"/>
          <w:rtl/>
        </w:rPr>
        <w:t>צריכים</w:t>
      </w:r>
      <w:r w:rsidRPr="001E4B09">
        <w:rPr>
          <w:rtl/>
        </w:rPr>
        <w:t xml:space="preserve"> </w:t>
      </w:r>
      <w:r w:rsidRPr="001E4B09">
        <w:rPr>
          <w:rFonts w:hint="cs"/>
          <w:rtl/>
        </w:rPr>
        <w:t>להסתכל</w:t>
      </w:r>
      <w:r w:rsidRPr="001E4B09">
        <w:rPr>
          <w:rtl/>
        </w:rPr>
        <w:t xml:space="preserve"> </w:t>
      </w:r>
      <w:r w:rsidRPr="001E4B09">
        <w:rPr>
          <w:rFonts w:hint="cs"/>
          <w:rtl/>
        </w:rPr>
        <w:t>על</w:t>
      </w:r>
      <w:r w:rsidR="001C6EFC">
        <w:rPr>
          <w:rFonts w:hint="cs"/>
          <w:rtl/>
        </w:rPr>
        <w:t xml:space="preserve"> </w:t>
      </w:r>
      <w:r w:rsidRPr="001E4B09">
        <w:rPr>
          <w:rFonts w:hint="cs"/>
          <w:rtl/>
        </w:rPr>
        <w:t>החזן</w:t>
      </w:r>
      <w:r w:rsidRPr="001E4B09">
        <w:rPr>
          <w:rtl/>
        </w:rPr>
        <w:t>".</w:t>
      </w:r>
      <w:r>
        <w:rPr>
          <w:rFonts w:hint="cs"/>
          <w:rtl/>
        </w:rPr>
        <w:t xml:space="preserve"> </w:t>
      </w:r>
      <w:r w:rsidRPr="001E4B09">
        <w:rPr>
          <w:rFonts w:hint="cs"/>
          <w:rtl/>
        </w:rPr>
        <w:t xml:space="preserve">וברשימות הרב"ש </w:t>
      </w:r>
      <w:r>
        <w:rPr>
          <w:rFonts w:hint="cs"/>
          <w:rtl/>
        </w:rPr>
        <w:t xml:space="preserve">עמ' 000 </w:t>
      </w:r>
      <w:r w:rsidRPr="001E4B09">
        <w:rPr>
          <w:rFonts w:hint="cs"/>
          <w:rtl/>
        </w:rPr>
        <w:t xml:space="preserve">(אודות הנהגת כ"ק אדמו"ר הרש"ב): </w:t>
      </w:r>
      <w:r>
        <w:rPr>
          <w:rFonts w:hint="cs"/>
          <w:rtl/>
        </w:rPr>
        <w:t>"</w:t>
      </w:r>
      <w:r w:rsidRPr="001E4B09">
        <w:rPr>
          <w:rFonts w:hint="cs"/>
          <w:rtl/>
        </w:rPr>
        <w:t>כשהגיע החזן לברכת כהנים הי' הופך פניו לשמוע את הברכה עד תיבת "שלום"</w:t>
      </w:r>
      <w:r>
        <w:rPr>
          <w:rFonts w:hint="cs"/>
          <w:rtl/>
        </w:rPr>
        <w:t xml:space="preserve"> "</w:t>
      </w:r>
      <w:r w:rsidRPr="001E4B09">
        <w:rPr>
          <w:rFonts w:hint="cs"/>
          <w:rtl/>
        </w:rPr>
        <w:t>. וכן</w:t>
      </w:r>
      <w:r w:rsidRPr="001E4B09">
        <w:rPr>
          <w:rtl/>
        </w:rPr>
        <w:t xml:space="preserve"> </w:t>
      </w:r>
      <w:r w:rsidRPr="001E4B09">
        <w:rPr>
          <w:rFonts w:hint="cs"/>
          <w:rtl/>
        </w:rPr>
        <w:t>כתב</w:t>
      </w:r>
      <w:r w:rsidRPr="001E4B09">
        <w:rPr>
          <w:rtl/>
        </w:rPr>
        <w:t xml:space="preserve"> </w:t>
      </w:r>
      <w:r w:rsidRPr="001E4B09">
        <w:rPr>
          <w:rFonts w:hint="cs"/>
          <w:rtl/>
        </w:rPr>
        <w:t>בכף</w:t>
      </w:r>
      <w:r w:rsidRPr="001E4B09">
        <w:rPr>
          <w:rtl/>
        </w:rPr>
        <w:t xml:space="preserve"> </w:t>
      </w:r>
      <w:r w:rsidRPr="001E4B09">
        <w:rPr>
          <w:rFonts w:hint="cs"/>
          <w:rtl/>
        </w:rPr>
        <w:t>החיים</w:t>
      </w:r>
      <w:r w:rsidRPr="001E4B09">
        <w:rPr>
          <w:rtl/>
        </w:rPr>
        <w:t xml:space="preserve"> </w:t>
      </w:r>
      <w:r w:rsidRPr="001E4B09">
        <w:rPr>
          <w:rFonts w:hint="cs"/>
          <w:rtl/>
        </w:rPr>
        <w:t>או</w:t>
      </w:r>
      <w:r w:rsidRPr="001E4B09">
        <w:rPr>
          <w:rtl/>
        </w:rPr>
        <w:t>"</w:t>
      </w:r>
      <w:r w:rsidRPr="001E4B09">
        <w:rPr>
          <w:rFonts w:hint="cs"/>
          <w:rtl/>
        </w:rPr>
        <w:t>ח</w:t>
      </w:r>
      <w:r w:rsidRPr="001E4B09">
        <w:rPr>
          <w:rtl/>
        </w:rPr>
        <w:t xml:space="preserve"> </w:t>
      </w:r>
      <w:r w:rsidRPr="001E4B09">
        <w:rPr>
          <w:rFonts w:hint="cs"/>
          <w:rtl/>
        </w:rPr>
        <w:t>סקכ</w:t>
      </w:r>
      <w:r w:rsidRPr="001E4B09">
        <w:rPr>
          <w:rtl/>
        </w:rPr>
        <w:t>"</w:t>
      </w:r>
      <w:r w:rsidRPr="001E4B09">
        <w:rPr>
          <w:rFonts w:hint="cs"/>
          <w:rtl/>
        </w:rPr>
        <w:t>ז</w:t>
      </w:r>
      <w:r w:rsidRPr="001E4B09">
        <w:rPr>
          <w:rtl/>
        </w:rPr>
        <w:t xml:space="preserve"> </w:t>
      </w:r>
      <w:r w:rsidRPr="001E4B09">
        <w:rPr>
          <w:rFonts w:hint="cs"/>
          <w:rtl/>
        </w:rPr>
        <w:t>סקט</w:t>
      </w:r>
      <w:r w:rsidRPr="001E4B09">
        <w:rPr>
          <w:rtl/>
        </w:rPr>
        <w:t>"</w:t>
      </w:r>
      <w:r w:rsidRPr="001E4B09">
        <w:rPr>
          <w:rFonts w:hint="cs"/>
          <w:rtl/>
        </w:rPr>
        <w:t>ז</w:t>
      </w:r>
      <w:r w:rsidRPr="001E4B09">
        <w:rPr>
          <w:rtl/>
        </w:rPr>
        <w:t xml:space="preserve"> (</w:t>
      </w:r>
      <w:r w:rsidRPr="001E4B09">
        <w:rPr>
          <w:rFonts w:hint="cs"/>
          <w:rtl/>
        </w:rPr>
        <w:t>מצויין</w:t>
      </w:r>
      <w:r w:rsidRPr="001E4B09">
        <w:rPr>
          <w:rtl/>
        </w:rPr>
        <w:t xml:space="preserve"> </w:t>
      </w:r>
      <w:r w:rsidRPr="001E4B09">
        <w:rPr>
          <w:rFonts w:hint="cs"/>
          <w:rtl/>
        </w:rPr>
        <w:t>ברשימות</w:t>
      </w:r>
      <w:r w:rsidRPr="001E4B09">
        <w:rPr>
          <w:rtl/>
        </w:rPr>
        <w:t xml:space="preserve"> </w:t>
      </w:r>
      <w:r w:rsidRPr="001E4B09">
        <w:rPr>
          <w:rFonts w:hint="cs"/>
          <w:rtl/>
        </w:rPr>
        <w:t>היומן</w:t>
      </w:r>
      <w:r w:rsidRPr="001E4B09">
        <w:rPr>
          <w:rtl/>
        </w:rPr>
        <w:t xml:space="preserve"> </w:t>
      </w:r>
      <w:r w:rsidRPr="001E4B09">
        <w:rPr>
          <w:rFonts w:hint="cs"/>
          <w:rtl/>
        </w:rPr>
        <w:t>שם</w:t>
      </w:r>
      <w:r w:rsidRPr="001E4B09">
        <w:rPr>
          <w:rtl/>
        </w:rPr>
        <w:t>) :"</w:t>
      </w:r>
      <w:r w:rsidRPr="001E4B09">
        <w:rPr>
          <w:rFonts w:hint="cs"/>
          <w:rtl/>
        </w:rPr>
        <w:t>שאומר</w:t>
      </w:r>
      <w:r w:rsidRPr="001E4B09">
        <w:rPr>
          <w:rtl/>
        </w:rPr>
        <w:t xml:space="preserve"> </w:t>
      </w:r>
      <w:r w:rsidRPr="001E4B09">
        <w:rPr>
          <w:rFonts w:hint="cs"/>
          <w:rtl/>
        </w:rPr>
        <w:t>הש</w:t>
      </w:r>
      <w:r w:rsidRPr="001E4B09">
        <w:rPr>
          <w:rtl/>
        </w:rPr>
        <w:t>"</w:t>
      </w:r>
      <w:r w:rsidRPr="001E4B09">
        <w:rPr>
          <w:rFonts w:hint="cs"/>
          <w:rtl/>
        </w:rPr>
        <w:t>ץ</w:t>
      </w:r>
      <w:r w:rsidRPr="001E4B09">
        <w:rPr>
          <w:rtl/>
        </w:rPr>
        <w:t xml:space="preserve"> </w:t>
      </w:r>
      <w:r w:rsidRPr="001E4B09">
        <w:rPr>
          <w:rFonts w:hint="cs"/>
          <w:rtl/>
        </w:rPr>
        <w:t>או</w:t>
      </w:r>
      <w:r w:rsidRPr="001E4B09">
        <w:rPr>
          <w:rtl/>
        </w:rPr>
        <w:t>"</w:t>
      </w:r>
      <w:r w:rsidRPr="001E4B09">
        <w:rPr>
          <w:rFonts w:hint="cs"/>
          <w:rtl/>
        </w:rPr>
        <w:t>א</w:t>
      </w:r>
      <w:r w:rsidRPr="001E4B09">
        <w:rPr>
          <w:rtl/>
        </w:rPr>
        <w:t xml:space="preserve"> </w:t>
      </w:r>
      <w:r w:rsidRPr="001E4B09">
        <w:rPr>
          <w:rFonts w:hint="cs"/>
          <w:rtl/>
        </w:rPr>
        <w:t>ברכנו</w:t>
      </w:r>
      <w:r w:rsidRPr="001E4B09">
        <w:rPr>
          <w:rtl/>
        </w:rPr>
        <w:t xml:space="preserve"> </w:t>
      </w:r>
      <w:r w:rsidRPr="001E4B09">
        <w:rPr>
          <w:rFonts w:hint="cs"/>
          <w:rtl/>
        </w:rPr>
        <w:t>וכו</w:t>
      </w:r>
      <w:r w:rsidRPr="001E4B09">
        <w:rPr>
          <w:rtl/>
        </w:rPr>
        <w:t xml:space="preserve">' </w:t>
      </w:r>
      <w:r w:rsidRPr="001E4B09">
        <w:rPr>
          <w:rFonts w:hint="cs"/>
          <w:rtl/>
        </w:rPr>
        <w:t>יש</w:t>
      </w:r>
      <w:r w:rsidRPr="001E4B09">
        <w:rPr>
          <w:rtl/>
        </w:rPr>
        <w:t xml:space="preserve"> </w:t>
      </w:r>
      <w:r w:rsidRPr="001E4B09">
        <w:rPr>
          <w:rFonts w:hint="cs"/>
          <w:rtl/>
        </w:rPr>
        <w:t>לפנות</w:t>
      </w:r>
      <w:r w:rsidRPr="001E4B09">
        <w:rPr>
          <w:rtl/>
        </w:rPr>
        <w:t xml:space="preserve"> </w:t>
      </w:r>
      <w:r w:rsidRPr="001E4B09">
        <w:rPr>
          <w:rFonts w:hint="cs"/>
          <w:rtl/>
        </w:rPr>
        <w:t>פניהם</w:t>
      </w:r>
      <w:r w:rsidRPr="001E4B09">
        <w:rPr>
          <w:rtl/>
        </w:rPr>
        <w:t xml:space="preserve"> </w:t>
      </w:r>
      <w:r w:rsidRPr="001E4B09">
        <w:rPr>
          <w:rFonts w:hint="cs"/>
          <w:rtl/>
        </w:rPr>
        <w:t>נגד</w:t>
      </w:r>
      <w:r w:rsidRPr="001E4B09">
        <w:rPr>
          <w:rtl/>
        </w:rPr>
        <w:t xml:space="preserve"> </w:t>
      </w:r>
      <w:r w:rsidRPr="001E4B09">
        <w:rPr>
          <w:rFonts w:hint="cs"/>
          <w:rtl/>
        </w:rPr>
        <w:t>הש</w:t>
      </w:r>
      <w:r w:rsidRPr="001E4B09">
        <w:rPr>
          <w:rtl/>
        </w:rPr>
        <w:t>"</w:t>
      </w:r>
      <w:r w:rsidRPr="001E4B09">
        <w:rPr>
          <w:rFonts w:hint="cs"/>
          <w:rtl/>
        </w:rPr>
        <w:t>ץ</w:t>
      </w:r>
      <w:r w:rsidRPr="001E4B09">
        <w:rPr>
          <w:rtl/>
        </w:rPr>
        <w:t>".</w:t>
      </w:r>
      <w:r w:rsidRPr="001E4B09">
        <w:rPr>
          <w:rFonts w:hint="cs"/>
          <w:rtl/>
        </w:rPr>
        <w:t xml:space="preserve"> </w:t>
      </w:r>
    </w:p>
    <w:p w:rsidR="00352A69" w:rsidRPr="001E4B09" w:rsidRDefault="00352A69" w:rsidP="00352A69">
      <w:pPr>
        <w:pStyle w:val="a3"/>
        <w:rPr>
          <w:rtl/>
        </w:rPr>
      </w:pPr>
      <w:r w:rsidRPr="001E4B09">
        <w:rPr>
          <w:rFonts w:hint="cs"/>
          <w:rtl/>
        </w:rPr>
        <w:t>מכל</w:t>
      </w:r>
      <w:r w:rsidRPr="001E4B09">
        <w:rPr>
          <w:rtl/>
        </w:rPr>
        <w:t xml:space="preserve"> </w:t>
      </w:r>
      <w:r w:rsidRPr="001E4B09">
        <w:rPr>
          <w:rFonts w:hint="cs"/>
          <w:rtl/>
        </w:rPr>
        <w:t>הלשונות</w:t>
      </w:r>
      <w:r w:rsidRPr="001E4B09">
        <w:rPr>
          <w:rtl/>
        </w:rPr>
        <w:t xml:space="preserve"> </w:t>
      </w:r>
      <w:r w:rsidRPr="001E4B09">
        <w:rPr>
          <w:rFonts w:hint="cs"/>
          <w:rtl/>
        </w:rPr>
        <w:t>הנ"ל משמע</w:t>
      </w:r>
      <w:r w:rsidRPr="001E4B09">
        <w:rPr>
          <w:rtl/>
        </w:rPr>
        <w:t xml:space="preserve"> </w:t>
      </w:r>
      <w:r w:rsidRPr="001E4B09">
        <w:rPr>
          <w:rFonts w:hint="cs"/>
          <w:rtl/>
        </w:rPr>
        <w:t>כפשוטו,</w:t>
      </w:r>
      <w:r w:rsidRPr="001E4B09">
        <w:rPr>
          <w:rtl/>
        </w:rPr>
        <w:t xml:space="preserve"> </w:t>
      </w:r>
      <w:r w:rsidRPr="001E4B09">
        <w:rPr>
          <w:rFonts w:hint="cs"/>
          <w:rtl/>
        </w:rPr>
        <w:t>שיש</w:t>
      </w:r>
      <w:r w:rsidRPr="001E4B09">
        <w:rPr>
          <w:rtl/>
        </w:rPr>
        <w:t xml:space="preserve"> </w:t>
      </w:r>
      <w:r w:rsidRPr="001E4B09">
        <w:rPr>
          <w:rFonts w:hint="cs"/>
          <w:rtl/>
        </w:rPr>
        <w:t>להפנות</w:t>
      </w:r>
      <w:r w:rsidRPr="001E4B09">
        <w:rPr>
          <w:rtl/>
        </w:rPr>
        <w:t xml:space="preserve"> </w:t>
      </w:r>
      <w:r w:rsidRPr="001E4B09">
        <w:rPr>
          <w:rFonts w:hint="cs"/>
          <w:rtl/>
        </w:rPr>
        <w:t>את</w:t>
      </w:r>
      <w:r w:rsidRPr="001E4B09">
        <w:rPr>
          <w:rtl/>
        </w:rPr>
        <w:t xml:space="preserve"> </w:t>
      </w:r>
      <w:r w:rsidRPr="001E4B09">
        <w:rPr>
          <w:rFonts w:hint="cs"/>
          <w:rtl/>
        </w:rPr>
        <w:t>הפנים</w:t>
      </w:r>
      <w:r w:rsidRPr="001E4B09">
        <w:rPr>
          <w:rtl/>
        </w:rPr>
        <w:t xml:space="preserve"> </w:t>
      </w:r>
      <w:r w:rsidRPr="001E4B09">
        <w:rPr>
          <w:rFonts w:hint="cs"/>
          <w:rtl/>
        </w:rPr>
        <w:t>אל</w:t>
      </w:r>
      <w:r w:rsidRPr="001E4B09">
        <w:rPr>
          <w:rtl/>
        </w:rPr>
        <w:t xml:space="preserve"> </w:t>
      </w:r>
      <w:r w:rsidRPr="001E4B09">
        <w:rPr>
          <w:rFonts w:hint="cs"/>
          <w:rtl/>
        </w:rPr>
        <w:t>הש</w:t>
      </w:r>
      <w:r w:rsidRPr="001E4B09">
        <w:rPr>
          <w:rtl/>
        </w:rPr>
        <w:t>"</w:t>
      </w:r>
      <w:r w:rsidRPr="001E4B09">
        <w:rPr>
          <w:rFonts w:hint="cs"/>
          <w:rtl/>
        </w:rPr>
        <w:t>ץ</w:t>
      </w:r>
      <w:r w:rsidRPr="001E4B09">
        <w:rPr>
          <w:rtl/>
        </w:rPr>
        <w:t xml:space="preserve"> </w:t>
      </w:r>
      <w:r w:rsidRPr="001E4B09">
        <w:rPr>
          <w:rFonts w:hint="cs"/>
          <w:rtl/>
        </w:rPr>
        <w:t>מכל</w:t>
      </w:r>
      <w:r w:rsidRPr="001E4B09">
        <w:rPr>
          <w:rtl/>
        </w:rPr>
        <w:t xml:space="preserve"> </w:t>
      </w:r>
      <w:r w:rsidRPr="001E4B09">
        <w:rPr>
          <w:rFonts w:hint="cs"/>
          <w:rtl/>
        </w:rPr>
        <w:t>מקום</w:t>
      </w:r>
      <w:r w:rsidRPr="001E4B09">
        <w:rPr>
          <w:rtl/>
        </w:rPr>
        <w:t xml:space="preserve"> </w:t>
      </w:r>
      <w:r w:rsidRPr="001E4B09">
        <w:rPr>
          <w:rFonts w:hint="cs"/>
          <w:rtl/>
        </w:rPr>
        <w:t>בבית</w:t>
      </w:r>
      <w:r w:rsidRPr="001E4B09">
        <w:rPr>
          <w:rtl/>
        </w:rPr>
        <w:t xml:space="preserve"> </w:t>
      </w:r>
      <w:r w:rsidRPr="001E4B09">
        <w:rPr>
          <w:rFonts w:hint="cs"/>
          <w:rtl/>
        </w:rPr>
        <w:t>הכנסת</w:t>
      </w:r>
      <w:r w:rsidRPr="001E4B09">
        <w:rPr>
          <w:rtl/>
        </w:rPr>
        <w:t xml:space="preserve">, </w:t>
      </w:r>
      <w:r w:rsidRPr="001E4B09">
        <w:rPr>
          <w:rFonts w:hint="cs"/>
          <w:rtl/>
        </w:rPr>
        <w:t>ולאו דווקא לראות את פני הש"ץ</w:t>
      </w:r>
      <w:r w:rsidRPr="001E4B09">
        <w:rPr>
          <w:rtl/>
        </w:rPr>
        <w:t>.</w:t>
      </w:r>
    </w:p>
    <w:p w:rsidR="00352A69" w:rsidRPr="001E4B09" w:rsidRDefault="00352A69" w:rsidP="00352A69">
      <w:pPr>
        <w:pStyle w:val="a3"/>
        <w:rPr>
          <w:rtl/>
        </w:rPr>
      </w:pPr>
      <w:r w:rsidRPr="001E4B09">
        <w:rPr>
          <w:rFonts w:hint="cs"/>
          <w:rtl/>
        </w:rPr>
        <w:t xml:space="preserve">אמנם, מקומם של רבותינו נשיאינו בבית הכנסת הוא בקרן דרומית מזרחית (כמ"ש בתורת מנחם תשמ"ב ח"א עמ' 393: </w:t>
      </w:r>
      <w:r>
        <w:rPr>
          <w:rFonts w:hint="cs"/>
          <w:rtl/>
        </w:rPr>
        <w:t>"</w:t>
      </w:r>
      <w:r w:rsidRPr="001E4B09">
        <w:rPr>
          <w:rFonts w:hint="cs"/>
          <w:rtl/>
        </w:rPr>
        <w:t xml:space="preserve">ידוע שאלו שישבו בבית הכנסת במקום מיוחד כו', דייקו שמקומם יהי' בקרן דרומית מזרחית כו' זאת אומרת שמקומם </w:t>
      </w:r>
      <w:r w:rsidRPr="001E4B09">
        <w:rPr>
          <w:rFonts w:hint="cs"/>
          <w:b/>
          <w:bCs/>
          <w:rtl/>
        </w:rPr>
        <w:t>הקבוע</w:t>
      </w:r>
      <w:r w:rsidRPr="001E4B09">
        <w:rPr>
          <w:rFonts w:hint="cs"/>
          <w:rtl/>
        </w:rPr>
        <w:t xml:space="preserve"> לתפילה הוא </w:t>
      </w:r>
      <w:r w:rsidRPr="001E4B09">
        <w:rPr>
          <w:rtl/>
        </w:rPr>
        <w:t>–</w:t>
      </w:r>
      <w:r w:rsidRPr="001E4B09">
        <w:rPr>
          <w:rFonts w:hint="cs"/>
          <w:rtl/>
        </w:rPr>
        <w:t xml:space="preserve"> </w:t>
      </w:r>
      <w:r w:rsidRPr="001E4B09">
        <w:rPr>
          <w:rFonts w:hint="cs"/>
          <w:rtl/>
        </w:rPr>
        <w:lastRenderedPageBreak/>
        <w:t>בקרן דרומית מזרחית</w:t>
      </w:r>
      <w:r>
        <w:rPr>
          <w:rFonts w:hint="cs"/>
          <w:rtl/>
        </w:rPr>
        <w:t>"</w:t>
      </w:r>
      <w:r w:rsidRPr="001E4B09">
        <w:rPr>
          <w:rFonts w:hint="cs"/>
          <w:rtl/>
        </w:rPr>
        <w:t xml:space="preserve">), כך שכאשר הפנו פניהם אל הש"ץ הרי ממילא היו פניהם נגד פניו.                                                  </w:t>
      </w:r>
    </w:p>
    <w:p w:rsidR="00352A69" w:rsidRPr="001E4B09" w:rsidRDefault="00352A69" w:rsidP="001C6EFC">
      <w:pPr>
        <w:pStyle w:val="a3"/>
        <w:rPr>
          <w:rtl/>
        </w:rPr>
      </w:pPr>
      <w:r w:rsidRPr="001E4B09">
        <w:rPr>
          <w:rFonts w:hint="cs"/>
          <w:rtl/>
        </w:rPr>
        <w:t>אבל לכאורה, בכל הנ"ל מדובר אודות ההנהגה בפועל (ואולי, גם כדי להורות כיצד צריך לנהוג למעשה). ודוחק לומר שנכתב בצורה סתמית וסמכו על הלומד ומעיין שיברר את</w:t>
      </w:r>
      <w:r>
        <w:rPr>
          <w:rFonts w:hint="cs"/>
          <w:rtl/>
        </w:rPr>
        <w:t xml:space="preserve"> פרטי</w:t>
      </w:r>
      <w:r w:rsidRPr="001E4B09">
        <w:rPr>
          <w:rFonts w:hint="cs"/>
          <w:rtl/>
        </w:rPr>
        <w:t xml:space="preserve"> ההנהגה בפועל על סמך סברות ומקורות נוספים.   </w:t>
      </w:r>
    </w:p>
    <w:p w:rsidR="001C6EFC" w:rsidRDefault="00352A69" w:rsidP="001C6EFC">
      <w:pPr>
        <w:pStyle w:val="11"/>
        <w:bidi/>
        <w:rPr>
          <w:rtl/>
        </w:rPr>
      </w:pPr>
      <w:r w:rsidRPr="001E4B09">
        <w:rPr>
          <w:rFonts w:hint="cs"/>
          <w:rtl/>
        </w:rPr>
        <w:t xml:space="preserve">ב                                  </w:t>
      </w:r>
    </w:p>
    <w:p w:rsidR="00352A69" w:rsidRPr="001C6EFC" w:rsidRDefault="00352A69" w:rsidP="001C6EFC">
      <w:pPr>
        <w:pStyle w:val="11"/>
        <w:bidi/>
        <w:rPr>
          <w:rtl/>
        </w:rPr>
      </w:pPr>
      <w:r w:rsidRPr="001E4B09">
        <w:rPr>
          <w:rFonts w:hint="cs"/>
          <w:rtl/>
        </w:rPr>
        <w:t xml:space="preserve">    התחלת שביעי בפרשת נשא </w:t>
      </w:r>
    </w:p>
    <w:p w:rsidR="00352A69" w:rsidRPr="001E4B09" w:rsidRDefault="00352A69" w:rsidP="00352A69">
      <w:pPr>
        <w:pStyle w:val="a3"/>
        <w:rPr>
          <w:rtl/>
        </w:rPr>
      </w:pPr>
      <w:r w:rsidRPr="001E4B09">
        <w:rPr>
          <w:rFonts w:hint="cs"/>
          <w:rtl/>
        </w:rPr>
        <w:t>בחומש</w:t>
      </w:r>
      <w:r w:rsidRPr="001E4B09">
        <w:rPr>
          <w:rtl/>
        </w:rPr>
        <w:t xml:space="preserve"> </w:t>
      </w:r>
      <w:r>
        <w:rPr>
          <w:rFonts w:hint="cs"/>
          <w:rtl/>
        </w:rPr>
        <w:t>הנ</w:t>
      </w:r>
      <w:r w:rsidRPr="001E4B09">
        <w:rPr>
          <w:rFonts w:hint="cs"/>
          <w:rtl/>
        </w:rPr>
        <w:t>דפס</w:t>
      </w:r>
      <w:r w:rsidRPr="001E4B09">
        <w:rPr>
          <w:rtl/>
        </w:rPr>
        <w:t xml:space="preserve"> </w:t>
      </w:r>
      <w:r w:rsidRPr="001E4B09">
        <w:rPr>
          <w:rFonts w:hint="cs"/>
          <w:rtl/>
        </w:rPr>
        <w:t>בספר</w:t>
      </w:r>
      <w:r w:rsidRPr="001E4B09">
        <w:rPr>
          <w:rtl/>
        </w:rPr>
        <w:t xml:space="preserve"> </w:t>
      </w:r>
      <w:r w:rsidRPr="001E4B09">
        <w:rPr>
          <w:rFonts w:hint="cs"/>
          <w:rtl/>
        </w:rPr>
        <w:t>ה</w:t>
      </w:r>
      <w:r w:rsidRPr="001E4B09">
        <w:rPr>
          <w:rtl/>
        </w:rPr>
        <w:t>"</w:t>
      </w:r>
      <w:r w:rsidRPr="001E4B09">
        <w:rPr>
          <w:rFonts w:hint="cs"/>
          <w:rtl/>
        </w:rPr>
        <w:t>חת</w:t>
      </w:r>
      <w:r w:rsidRPr="001E4B09">
        <w:rPr>
          <w:rtl/>
        </w:rPr>
        <w:t>"</w:t>
      </w:r>
      <w:r w:rsidRPr="001E4B09">
        <w:rPr>
          <w:rFonts w:hint="cs"/>
          <w:rtl/>
        </w:rPr>
        <w:t>ת</w:t>
      </w:r>
      <w:r w:rsidRPr="001E4B09">
        <w:rPr>
          <w:rtl/>
        </w:rPr>
        <w:t>" (</w:t>
      </w:r>
      <w:r w:rsidRPr="001E4B09">
        <w:rPr>
          <w:rFonts w:hint="cs"/>
          <w:rtl/>
        </w:rPr>
        <w:t>בעריכת</w:t>
      </w:r>
      <w:r w:rsidRPr="001E4B09">
        <w:rPr>
          <w:rtl/>
        </w:rPr>
        <w:t xml:space="preserve"> </w:t>
      </w:r>
      <w:r w:rsidRPr="001E4B09">
        <w:rPr>
          <w:rFonts w:hint="cs"/>
          <w:rtl/>
        </w:rPr>
        <w:t>הוצאת</w:t>
      </w:r>
      <w:r w:rsidRPr="001E4B09">
        <w:rPr>
          <w:rtl/>
        </w:rPr>
        <w:t xml:space="preserve"> </w:t>
      </w:r>
      <w:r w:rsidRPr="001E4B09">
        <w:rPr>
          <w:rFonts w:hint="cs"/>
          <w:rtl/>
        </w:rPr>
        <w:t>חזק</w:t>
      </w:r>
      <w:r w:rsidRPr="001E4B09">
        <w:rPr>
          <w:rtl/>
        </w:rPr>
        <w:t xml:space="preserve">), </w:t>
      </w:r>
      <w:r w:rsidRPr="001E4B09">
        <w:rPr>
          <w:rFonts w:hint="cs"/>
          <w:rtl/>
        </w:rPr>
        <w:t>ע</w:t>
      </w:r>
      <w:r w:rsidRPr="001E4B09">
        <w:rPr>
          <w:rtl/>
        </w:rPr>
        <w:t>"</w:t>
      </w:r>
      <w:r w:rsidRPr="001E4B09">
        <w:rPr>
          <w:rFonts w:hint="cs"/>
          <w:rtl/>
        </w:rPr>
        <w:t>פ</w:t>
      </w:r>
      <w:r w:rsidRPr="001E4B09">
        <w:rPr>
          <w:rtl/>
        </w:rPr>
        <w:t xml:space="preserve"> </w:t>
      </w:r>
      <w:r w:rsidRPr="001E4B09">
        <w:rPr>
          <w:rFonts w:hint="cs"/>
          <w:rtl/>
        </w:rPr>
        <w:t>חומש</w:t>
      </w:r>
      <w:r w:rsidRPr="001E4B09">
        <w:rPr>
          <w:rtl/>
        </w:rPr>
        <w:t xml:space="preserve"> "</w:t>
      </w:r>
      <w:r w:rsidRPr="001E4B09">
        <w:rPr>
          <w:rFonts w:hint="cs"/>
          <w:rtl/>
        </w:rPr>
        <w:t>תורה</w:t>
      </w:r>
      <w:r w:rsidRPr="001E4B09">
        <w:rPr>
          <w:rtl/>
        </w:rPr>
        <w:t xml:space="preserve"> </w:t>
      </w:r>
      <w:r w:rsidRPr="001E4B09">
        <w:rPr>
          <w:rFonts w:hint="cs"/>
          <w:rtl/>
        </w:rPr>
        <w:t>תמימה</w:t>
      </w:r>
      <w:r>
        <w:rPr>
          <w:rtl/>
        </w:rPr>
        <w:t>"</w:t>
      </w:r>
      <w:r>
        <w:rPr>
          <w:rFonts w:hint="cs"/>
          <w:rtl/>
        </w:rPr>
        <w:t xml:space="preserve">, </w:t>
      </w:r>
      <w:r w:rsidRPr="001E4B09">
        <w:rPr>
          <w:rFonts w:hint="cs"/>
          <w:rtl/>
        </w:rPr>
        <w:t>שהוא</w:t>
      </w:r>
      <w:r w:rsidRPr="001E4B09">
        <w:rPr>
          <w:rtl/>
        </w:rPr>
        <w:t xml:space="preserve"> </w:t>
      </w:r>
      <w:r w:rsidRPr="001E4B09">
        <w:rPr>
          <w:rFonts w:hint="cs"/>
          <w:rtl/>
        </w:rPr>
        <w:t>כמנהג</w:t>
      </w:r>
      <w:r w:rsidRPr="001E4B09">
        <w:rPr>
          <w:rtl/>
        </w:rPr>
        <w:t xml:space="preserve"> </w:t>
      </w:r>
      <w:r w:rsidRPr="001E4B09">
        <w:rPr>
          <w:rFonts w:hint="cs"/>
          <w:rtl/>
        </w:rPr>
        <w:t>רוסיא</w:t>
      </w:r>
      <w:r w:rsidRPr="001E4B09">
        <w:rPr>
          <w:rtl/>
        </w:rPr>
        <w:t xml:space="preserve"> </w:t>
      </w:r>
      <w:r w:rsidRPr="001E4B09">
        <w:rPr>
          <w:rFonts w:hint="cs"/>
          <w:rtl/>
        </w:rPr>
        <w:t>וגלילותי</w:t>
      </w:r>
      <w:r w:rsidRPr="001E4B09">
        <w:rPr>
          <w:rtl/>
        </w:rPr>
        <w:t>'</w:t>
      </w:r>
      <w:r>
        <w:rPr>
          <w:rFonts w:hint="cs"/>
          <w:rtl/>
        </w:rPr>
        <w:t>, ובו השתמש הרבי בעת קריאת התורה  (- התקשרות גליון א'שכ עמ' 25 ועוד)</w:t>
      </w:r>
      <w:r w:rsidRPr="001E4B09">
        <w:rPr>
          <w:rtl/>
        </w:rPr>
        <w:t xml:space="preserve">, </w:t>
      </w:r>
      <w:r w:rsidRPr="001E4B09">
        <w:rPr>
          <w:rFonts w:hint="cs"/>
          <w:rtl/>
        </w:rPr>
        <w:t>וכן הוא</w:t>
      </w:r>
      <w:r w:rsidRPr="001E4B09">
        <w:rPr>
          <w:rtl/>
        </w:rPr>
        <w:t xml:space="preserve"> </w:t>
      </w:r>
      <w:r w:rsidRPr="001E4B09">
        <w:rPr>
          <w:rFonts w:hint="cs"/>
          <w:rtl/>
        </w:rPr>
        <w:t>בחומש</w:t>
      </w:r>
      <w:r w:rsidRPr="001E4B09">
        <w:rPr>
          <w:rtl/>
        </w:rPr>
        <w:t xml:space="preserve"> </w:t>
      </w:r>
      <w:r w:rsidRPr="001E4B09">
        <w:rPr>
          <w:rFonts w:hint="cs"/>
          <w:rtl/>
        </w:rPr>
        <w:t>הנדפס</w:t>
      </w:r>
      <w:r w:rsidRPr="001E4B09">
        <w:rPr>
          <w:rtl/>
        </w:rPr>
        <w:t xml:space="preserve"> </w:t>
      </w:r>
      <w:r w:rsidRPr="001E4B09">
        <w:rPr>
          <w:rFonts w:hint="cs"/>
          <w:rtl/>
        </w:rPr>
        <w:t>בחוברות</w:t>
      </w:r>
      <w:r w:rsidRPr="001E4B09">
        <w:rPr>
          <w:rtl/>
        </w:rPr>
        <w:t xml:space="preserve"> </w:t>
      </w:r>
      <w:r w:rsidRPr="001E4B09">
        <w:rPr>
          <w:rFonts w:hint="cs"/>
          <w:rtl/>
        </w:rPr>
        <w:t>ה</w:t>
      </w:r>
      <w:r w:rsidRPr="001E4B09">
        <w:rPr>
          <w:rtl/>
        </w:rPr>
        <w:t>"</w:t>
      </w:r>
      <w:r w:rsidRPr="001E4B09">
        <w:rPr>
          <w:rFonts w:hint="cs"/>
          <w:rtl/>
        </w:rPr>
        <w:t>דבר</w:t>
      </w:r>
      <w:r w:rsidRPr="001E4B09">
        <w:rPr>
          <w:rtl/>
        </w:rPr>
        <w:t xml:space="preserve"> </w:t>
      </w:r>
      <w:r w:rsidRPr="001E4B09">
        <w:rPr>
          <w:rFonts w:hint="cs"/>
          <w:rtl/>
        </w:rPr>
        <w:t>מלכות</w:t>
      </w:r>
      <w:r w:rsidRPr="001E4B09">
        <w:rPr>
          <w:rtl/>
        </w:rPr>
        <w:t>"</w:t>
      </w:r>
      <w:r>
        <w:rPr>
          <w:rFonts w:hint="cs"/>
          <w:rtl/>
        </w:rPr>
        <w:t>,</w:t>
      </w:r>
      <w:r w:rsidRPr="001E4B09">
        <w:rPr>
          <w:rtl/>
        </w:rPr>
        <w:t xml:space="preserve"> </w:t>
      </w:r>
      <w:r w:rsidRPr="001E4B09">
        <w:rPr>
          <w:rFonts w:hint="cs"/>
          <w:rtl/>
        </w:rPr>
        <w:t>בפ</w:t>
      </w:r>
      <w:r w:rsidRPr="001E4B09">
        <w:rPr>
          <w:rtl/>
        </w:rPr>
        <w:t xml:space="preserve">' </w:t>
      </w:r>
      <w:r w:rsidRPr="001E4B09">
        <w:rPr>
          <w:rFonts w:hint="cs"/>
          <w:rtl/>
        </w:rPr>
        <w:t>נשא</w:t>
      </w:r>
      <w:r>
        <w:rPr>
          <w:rFonts w:hint="cs"/>
          <w:rtl/>
        </w:rPr>
        <w:t>.</w:t>
      </w:r>
      <w:r w:rsidRPr="001E4B09">
        <w:rPr>
          <w:rtl/>
        </w:rPr>
        <w:t xml:space="preserve"> </w:t>
      </w:r>
      <w:r w:rsidRPr="001E4B09">
        <w:rPr>
          <w:rFonts w:hint="cs"/>
          <w:rtl/>
        </w:rPr>
        <w:t>הקריאה</w:t>
      </w:r>
      <w:r w:rsidRPr="001E4B09">
        <w:rPr>
          <w:rtl/>
        </w:rPr>
        <w:t xml:space="preserve"> </w:t>
      </w:r>
      <w:r w:rsidRPr="001E4B09">
        <w:rPr>
          <w:rFonts w:hint="cs"/>
          <w:rtl/>
        </w:rPr>
        <w:t>לשביעי</w:t>
      </w:r>
      <w:r w:rsidRPr="001E4B09">
        <w:rPr>
          <w:rtl/>
        </w:rPr>
        <w:t xml:space="preserve"> </w:t>
      </w:r>
      <w:r w:rsidRPr="001E4B09">
        <w:rPr>
          <w:rFonts w:hint="cs"/>
          <w:rtl/>
        </w:rPr>
        <w:t>מתחילה</w:t>
      </w:r>
      <w:r w:rsidRPr="001E4B09">
        <w:rPr>
          <w:rtl/>
        </w:rPr>
        <w:t xml:space="preserve"> </w:t>
      </w:r>
      <w:r w:rsidRPr="001E4B09">
        <w:rPr>
          <w:rFonts w:hint="cs"/>
          <w:rtl/>
        </w:rPr>
        <w:t>בפרק</w:t>
      </w:r>
      <w:r w:rsidRPr="001E4B09">
        <w:rPr>
          <w:rtl/>
        </w:rPr>
        <w:t xml:space="preserve"> </w:t>
      </w:r>
      <w:r w:rsidRPr="001E4B09">
        <w:rPr>
          <w:rFonts w:hint="cs"/>
          <w:rtl/>
        </w:rPr>
        <w:t>ז</w:t>
      </w:r>
      <w:r w:rsidRPr="001E4B09">
        <w:rPr>
          <w:rtl/>
        </w:rPr>
        <w:t xml:space="preserve">' </w:t>
      </w:r>
      <w:r w:rsidRPr="001E4B09">
        <w:rPr>
          <w:rFonts w:hint="cs"/>
          <w:rtl/>
        </w:rPr>
        <w:t>פסוק</w:t>
      </w:r>
      <w:r w:rsidRPr="001E4B09">
        <w:rPr>
          <w:rtl/>
        </w:rPr>
        <w:t xml:space="preserve"> </w:t>
      </w:r>
      <w:r w:rsidRPr="001E4B09">
        <w:rPr>
          <w:rFonts w:hint="cs"/>
          <w:rtl/>
        </w:rPr>
        <w:t>פ"ד</w:t>
      </w:r>
      <w:r w:rsidRPr="001E4B09">
        <w:rPr>
          <w:rtl/>
        </w:rPr>
        <w:t xml:space="preserve"> "</w:t>
      </w:r>
      <w:r w:rsidRPr="001E4B09">
        <w:rPr>
          <w:rFonts w:hint="cs"/>
          <w:rtl/>
        </w:rPr>
        <w:t>זאת</w:t>
      </w:r>
      <w:r w:rsidRPr="001E4B09">
        <w:rPr>
          <w:rtl/>
        </w:rPr>
        <w:t xml:space="preserve"> </w:t>
      </w:r>
      <w:r w:rsidRPr="001E4B09">
        <w:rPr>
          <w:rFonts w:hint="cs"/>
          <w:rtl/>
        </w:rPr>
        <w:t>חנוכת</w:t>
      </w:r>
      <w:r w:rsidRPr="001E4B09">
        <w:rPr>
          <w:rtl/>
        </w:rPr>
        <w:t xml:space="preserve"> </w:t>
      </w:r>
      <w:r w:rsidRPr="001E4B09">
        <w:rPr>
          <w:rFonts w:hint="cs"/>
          <w:rtl/>
        </w:rPr>
        <w:t>המזבח</w:t>
      </w:r>
      <w:r w:rsidRPr="001E4B09">
        <w:rPr>
          <w:rtl/>
        </w:rPr>
        <w:t>"</w:t>
      </w:r>
      <w:r>
        <w:rPr>
          <w:rFonts w:hint="cs"/>
          <w:rtl/>
        </w:rPr>
        <w:t>,</w:t>
      </w:r>
      <w:r w:rsidRPr="001E4B09">
        <w:rPr>
          <w:rtl/>
        </w:rPr>
        <w:t xml:space="preserve"> </w:t>
      </w:r>
      <w:r w:rsidRPr="001E4B09">
        <w:rPr>
          <w:rFonts w:hint="cs"/>
          <w:rtl/>
        </w:rPr>
        <w:t>ולא</w:t>
      </w:r>
      <w:r w:rsidRPr="001E4B09">
        <w:rPr>
          <w:rtl/>
        </w:rPr>
        <w:t xml:space="preserve"> </w:t>
      </w:r>
      <w:r w:rsidRPr="001E4B09">
        <w:rPr>
          <w:rFonts w:hint="cs"/>
          <w:rtl/>
        </w:rPr>
        <w:t>כבחומשים אחרים, שהקריאה</w:t>
      </w:r>
      <w:r w:rsidRPr="001E4B09">
        <w:rPr>
          <w:rtl/>
        </w:rPr>
        <w:t xml:space="preserve"> </w:t>
      </w:r>
      <w:r w:rsidRPr="001E4B09">
        <w:rPr>
          <w:rFonts w:hint="cs"/>
          <w:rtl/>
        </w:rPr>
        <w:t>לשביעי</w:t>
      </w:r>
      <w:r w:rsidRPr="001E4B09">
        <w:rPr>
          <w:rtl/>
        </w:rPr>
        <w:t xml:space="preserve"> </w:t>
      </w:r>
      <w:r w:rsidRPr="001E4B09">
        <w:rPr>
          <w:rFonts w:hint="cs"/>
          <w:rtl/>
        </w:rPr>
        <w:t>מתחילה</w:t>
      </w:r>
      <w:r w:rsidRPr="001E4B09">
        <w:rPr>
          <w:rtl/>
        </w:rPr>
        <w:t xml:space="preserve"> </w:t>
      </w:r>
      <w:r w:rsidRPr="001E4B09">
        <w:rPr>
          <w:rFonts w:hint="cs"/>
          <w:rtl/>
        </w:rPr>
        <w:t>בפסוק</w:t>
      </w:r>
      <w:r w:rsidRPr="001E4B09">
        <w:rPr>
          <w:rtl/>
        </w:rPr>
        <w:t xml:space="preserve"> </w:t>
      </w:r>
      <w:r w:rsidRPr="001E4B09">
        <w:rPr>
          <w:rFonts w:hint="cs"/>
          <w:rtl/>
        </w:rPr>
        <w:t>ע"ב</w:t>
      </w:r>
      <w:r w:rsidRPr="001E4B09">
        <w:rPr>
          <w:rtl/>
        </w:rPr>
        <w:t xml:space="preserve"> "</w:t>
      </w:r>
      <w:r w:rsidRPr="001E4B09">
        <w:rPr>
          <w:rFonts w:hint="cs"/>
          <w:rtl/>
        </w:rPr>
        <w:t>ביום</w:t>
      </w:r>
      <w:r w:rsidRPr="001E4B09">
        <w:rPr>
          <w:rtl/>
        </w:rPr>
        <w:t xml:space="preserve"> </w:t>
      </w:r>
      <w:r w:rsidRPr="001E4B09">
        <w:rPr>
          <w:rFonts w:hint="cs"/>
          <w:rtl/>
        </w:rPr>
        <w:t>עשתי</w:t>
      </w:r>
      <w:r w:rsidRPr="001E4B09">
        <w:rPr>
          <w:rtl/>
        </w:rPr>
        <w:t xml:space="preserve"> </w:t>
      </w:r>
      <w:r w:rsidRPr="001E4B09">
        <w:rPr>
          <w:rFonts w:hint="cs"/>
          <w:rtl/>
        </w:rPr>
        <w:t>עשר</w:t>
      </w:r>
      <w:r w:rsidRPr="001E4B09">
        <w:rPr>
          <w:rtl/>
        </w:rPr>
        <w:t>".</w:t>
      </w:r>
    </w:p>
    <w:p w:rsidR="00352A69" w:rsidRPr="001E4B09" w:rsidRDefault="00352A69" w:rsidP="00352A69">
      <w:pPr>
        <w:pStyle w:val="a3"/>
        <w:rPr>
          <w:rtl/>
        </w:rPr>
      </w:pPr>
      <w:r w:rsidRPr="001E4B09">
        <w:rPr>
          <w:rFonts w:hint="cs"/>
          <w:rtl/>
        </w:rPr>
        <w:t>ו</w:t>
      </w:r>
      <w:r>
        <w:rPr>
          <w:rFonts w:hint="cs"/>
          <w:rtl/>
        </w:rPr>
        <w:t>להעיר מ</w:t>
      </w:r>
      <w:r w:rsidRPr="001E4B09">
        <w:rPr>
          <w:rFonts w:hint="cs"/>
          <w:rtl/>
        </w:rPr>
        <w:t>שיחת</w:t>
      </w:r>
      <w:r w:rsidRPr="001E4B09">
        <w:rPr>
          <w:rtl/>
        </w:rPr>
        <w:t xml:space="preserve"> </w:t>
      </w:r>
      <w:r w:rsidRPr="001E4B09">
        <w:rPr>
          <w:rFonts w:hint="cs"/>
          <w:rtl/>
        </w:rPr>
        <w:t>חג</w:t>
      </w:r>
      <w:r w:rsidRPr="001E4B09">
        <w:rPr>
          <w:rtl/>
        </w:rPr>
        <w:t xml:space="preserve"> </w:t>
      </w:r>
      <w:r w:rsidRPr="001E4B09">
        <w:rPr>
          <w:rFonts w:hint="cs"/>
          <w:rtl/>
        </w:rPr>
        <w:t>השבועות</w:t>
      </w:r>
      <w:r w:rsidRPr="001E4B09">
        <w:rPr>
          <w:rtl/>
        </w:rPr>
        <w:t xml:space="preserve"> - </w:t>
      </w:r>
      <w:r w:rsidRPr="001E4B09">
        <w:rPr>
          <w:rFonts w:hint="cs"/>
          <w:rtl/>
        </w:rPr>
        <w:t>שחל</w:t>
      </w:r>
      <w:r w:rsidRPr="001E4B09">
        <w:rPr>
          <w:rtl/>
        </w:rPr>
        <w:t xml:space="preserve"> </w:t>
      </w:r>
      <w:r w:rsidRPr="001E4B09">
        <w:rPr>
          <w:rFonts w:hint="cs"/>
          <w:rtl/>
        </w:rPr>
        <w:t>בשבת</w:t>
      </w:r>
      <w:r w:rsidRPr="001E4B09">
        <w:rPr>
          <w:rtl/>
        </w:rPr>
        <w:t xml:space="preserve"> - </w:t>
      </w:r>
      <w:r w:rsidRPr="001E4B09">
        <w:rPr>
          <w:rFonts w:hint="cs"/>
          <w:rtl/>
        </w:rPr>
        <w:t>תשמ</w:t>
      </w:r>
      <w:r w:rsidRPr="001E4B09">
        <w:rPr>
          <w:rtl/>
        </w:rPr>
        <w:t>"</w:t>
      </w:r>
      <w:r w:rsidRPr="001E4B09">
        <w:rPr>
          <w:rFonts w:hint="cs"/>
          <w:rtl/>
        </w:rPr>
        <w:t>ו</w:t>
      </w:r>
      <w:r w:rsidRPr="001E4B09">
        <w:rPr>
          <w:rtl/>
        </w:rPr>
        <w:t xml:space="preserve"> (</w:t>
      </w:r>
      <w:r w:rsidRPr="001E4B09">
        <w:rPr>
          <w:rFonts w:hint="cs"/>
          <w:rtl/>
        </w:rPr>
        <w:t>הקריאה</w:t>
      </w:r>
      <w:r w:rsidRPr="001E4B09">
        <w:rPr>
          <w:rtl/>
        </w:rPr>
        <w:t xml:space="preserve"> </w:t>
      </w:r>
      <w:r w:rsidRPr="001E4B09">
        <w:rPr>
          <w:rFonts w:hint="cs"/>
          <w:rtl/>
        </w:rPr>
        <w:t>בפ</w:t>
      </w:r>
      <w:r w:rsidRPr="001E4B09">
        <w:rPr>
          <w:rtl/>
        </w:rPr>
        <w:t xml:space="preserve">' </w:t>
      </w:r>
      <w:r w:rsidRPr="001E4B09">
        <w:rPr>
          <w:rFonts w:hint="cs"/>
          <w:rtl/>
        </w:rPr>
        <w:t>נשא</w:t>
      </w:r>
      <w:r w:rsidRPr="001E4B09">
        <w:rPr>
          <w:rtl/>
        </w:rPr>
        <w:t xml:space="preserve"> </w:t>
      </w:r>
      <w:r w:rsidRPr="001E4B09">
        <w:rPr>
          <w:rFonts w:hint="cs"/>
          <w:rtl/>
        </w:rPr>
        <w:t>הייתה</w:t>
      </w:r>
      <w:r w:rsidRPr="001E4B09">
        <w:rPr>
          <w:rtl/>
        </w:rPr>
        <w:t xml:space="preserve"> </w:t>
      </w:r>
      <w:r w:rsidRPr="001E4B09">
        <w:rPr>
          <w:rFonts w:hint="cs"/>
          <w:rtl/>
        </w:rPr>
        <w:t>בשבת</w:t>
      </w:r>
      <w:r w:rsidRPr="001E4B09">
        <w:rPr>
          <w:rtl/>
        </w:rPr>
        <w:t xml:space="preserve"> </w:t>
      </w:r>
      <w:r w:rsidRPr="001E4B09">
        <w:rPr>
          <w:rFonts w:hint="cs"/>
          <w:rtl/>
        </w:rPr>
        <w:t>הבאה</w:t>
      </w:r>
      <w:r w:rsidRPr="001E4B09">
        <w:rPr>
          <w:rtl/>
        </w:rPr>
        <w:t xml:space="preserve">, </w:t>
      </w:r>
      <w:r w:rsidRPr="001E4B09">
        <w:rPr>
          <w:rFonts w:hint="cs"/>
          <w:rtl/>
        </w:rPr>
        <w:t>אבל</w:t>
      </w:r>
      <w:r w:rsidRPr="001E4B09">
        <w:rPr>
          <w:rtl/>
        </w:rPr>
        <w:t xml:space="preserve"> </w:t>
      </w:r>
      <w:r w:rsidRPr="001E4B09">
        <w:rPr>
          <w:rFonts w:hint="cs"/>
          <w:rtl/>
        </w:rPr>
        <w:t>לגבי</w:t>
      </w:r>
      <w:r w:rsidRPr="001E4B09">
        <w:rPr>
          <w:rtl/>
        </w:rPr>
        <w:t xml:space="preserve"> </w:t>
      </w:r>
      <w:r w:rsidRPr="001E4B09">
        <w:rPr>
          <w:rFonts w:hint="cs"/>
          <w:rtl/>
        </w:rPr>
        <w:t>השיעור</w:t>
      </w:r>
      <w:r w:rsidRPr="001E4B09">
        <w:rPr>
          <w:rtl/>
        </w:rPr>
        <w:t xml:space="preserve"> </w:t>
      </w:r>
      <w:r w:rsidRPr="001E4B09">
        <w:rPr>
          <w:rFonts w:hint="cs"/>
          <w:rtl/>
        </w:rPr>
        <w:t>חומש בחת"ת</w:t>
      </w:r>
      <w:r w:rsidRPr="001E4B09">
        <w:rPr>
          <w:rtl/>
        </w:rPr>
        <w:t xml:space="preserve"> </w:t>
      </w:r>
      <w:r w:rsidRPr="001E4B09">
        <w:rPr>
          <w:rFonts w:hint="cs"/>
          <w:rtl/>
        </w:rPr>
        <w:t>הרי</w:t>
      </w:r>
      <w:r w:rsidRPr="001E4B09">
        <w:rPr>
          <w:rtl/>
        </w:rPr>
        <w:t xml:space="preserve"> </w:t>
      </w:r>
      <w:r w:rsidRPr="001E4B09">
        <w:rPr>
          <w:rFonts w:hint="cs"/>
          <w:rtl/>
        </w:rPr>
        <w:t>זה</w:t>
      </w:r>
      <w:r w:rsidRPr="001E4B09">
        <w:rPr>
          <w:rtl/>
        </w:rPr>
        <w:t xml:space="preserve"> </w:t>
      </w:r>
      <w:r w:rsidRPr="001E4B09">
        <w:rPr>
          <w:rFonts w:hint="cs"/>
          <w:rtl/>
        </w:rPr>
        <w:t>שביעי</w:t>
      </w:r>
      <w:r w:rsidRPr="001E4B09">
        <w:rPr>
          <w:rtl/>
        </w:rPr>
        <w:t xml:space="preserve"> </w:t>
      </w:r>
      <w:r w:rsidRPr="001E4B09">
        <w:rPr>
          <w:rFonts w:hint="cs"/>
          <w:rtl/>
        </w:rPr>
        <w:t>דפ</w:t>
      </w:r>
      <w:r w:rsidRPr="001E4B09">
        <w:rPr>
          <w:rtl/>
        </w:rPr>
        <w:t xml:space="preserve">' </w:t>
      </w:r>
      <w:r w:rsidRPr="001E4B09">
        <w:rPr>
          <w:rFonts w:hint="cs"/>
          <w:rtl/>
        </w:rPr>
        <w:t>נשא</w:t>
      </w:r>
      <w:r w:rsidRPr="001E4B09">
        <w:rPr>
          <w:rtl/>
        </w:rPr>
        <w:t>): "</w:t>
      </w:r>
      <w:r w:rsidRPr="001E4B09">
        <w:rPr>
          <w:rFonts w:hint="cs"/>
          <w:rtl/>
        </w:rPr>
        <w:t>ובנוגע</w:t>
      </w:r>
      <w:r w:rsidRPr="001E4B09">
        <w:rPr>
          <w:rtl/>
        </w:rPr>
        <w:t xml:space="preserve"> </w:t>
      </w:r>
      <w:r w:rsidRPr="001E4B09">
        <w:rPr>
          <w:rFonts w:hint="cs"/>
          <w:rtl/>
        </w:rPr>
        <w:t>לשיעור</w:t>
      </w:r>
      <w:r w:rsidRPr="001E4B09">
        <w:rPr>
          <w:rtl/>
        </w:rPr>
        <w:t xml:space="preserve"> </w:t>
      </w:r>
      <w:r w:rsidRPr="001E4B09">
        <w:rPr>
          <w:rFonts w:hint="cs"/>
          <w:rtl/>
        </w:rPr>
        <w:t>דיום</w:t>
      </w:r>
      <w:r w:rsidRPr="001E4B09">
        <w:rPr>
          <w:rtl/>
        </w:rPr>
        <w:t xml:space="preserve"> </w:t>
      </w:r>
      <w:r w:rsidRPr="001E4B09">
        <w:rPr>
          <w:rFonts w:hint="cs"/>
          <w:rtl/>
        </w:rPr>
        <w:t>השבת</w:t>
      </w:r>
      <w:r w:rsidRPr="001E4B09">
        <w:rPr>
          <w:rtl/>
        </w:rPr>
        <w:t xml:space="preserve">, </w:t>
      </w:r>
      <w:r w:rsidRPr="001E4B09">
        <w:rPr>
          <w:rFonts w:hint="cs"/>
          <w:rtl/>
        </w:rPr>
        <w:t>יום</w:t>
      </w:r>
      <w:r w:rsidRPr="001E4B09">
        <w:rPr>
          <w:rtl/>
        </w:rPr>
        <w:t xml:space="preserve"> </w:t>
      </w:r>
      <w:r w:rsidRPr="001E4B09">
        <w:rPr>
          <w:rFonts w:hint="cs"/>
          <w:rtl/>
        </w:rPr>
        <w:t>ב</w:t>
      </w:r>
      <w:r w:rsidRPr="001E4B09">
        <w:rPr>
          <w:rtl/>
        </w:rPr>
        <w:t xml:space="preserve">' </w:t>
      </w:r>
      <w:r w:rsidRPr="001E4B09">
        <w:rPr>
          <w:rFonts w:hint="cs"/>
          <w:rtl/>
        </w:rPr>
        <w:t>דחה</w:t>
      </w:r>
      <w:r w:rsidRPr="001E4B09">
        <w:rPr>
          <w:rtl/>
        </w:rPr>
        <w:t>"</w:t>
      </w:r>
      <w:r w:rsidRPr="001E4B09">
        <w:rPr>
          <w:rFonts w:hint="cs"/>
          <w:rtl/>
        </w:rPr>
        <w:t>ש</w:t>
      </w:r>
      <w:r w:rsidRPr="001E4B09">
        <w:rPr>
          <w:rtl/>
        </w:rPr>
        <w:t xml:space="preserve"> - </w:t>
      </w:r>
      <w:r w:rsidRPr="001E4B09">
        <w:rPr>
          <w:rFonts w:hint="cs"/>
          <w:rtl/>
        </w:rPr>
        <w:t>הרי</w:t>
      </w:r>
      <w:r w:rsidRPr="001E4B09">
        <w:rPr>
          <w:rtl/>
        </w:rPr>
        <w:t xml:space="preserve"> </w:t>
      </w:r>
      <w:r w:rsidRPr="001E4B09">
        <w:rPr>
          <w:rFonts w:hint="cs"/>
          <w:rtl/>
        </w:rPr>
        <w:t>לאחרי</w:t>
      </w:r>
      <w:r w:rsidRPr="001E4B09">
        <w:rPr>
          <w:rtl/>
        </w:rPr>
        <w:t xml:space="preserve"> </w:t>
      </w:r>
      <w:r w:rsidRPr="001E4B09">
        <w:rPr>
          <w:rFonts w:hint="cs"/>
          <w:rtl/>
        </w:rPr>
        <w:t>התחלת</w:t>
      </w:r>
      <w:r w:rsidRPr="001E4B09">
        <w:rPr>
          <w:rtl/>
        </w:rPr>
        <w:t xml:space="preserve"> </w:t>
      </w:r>
      <w:r w:rsidRPr="001E4B09">
        <w:rPr>
          <w:rFonts w:hint="cs"/>
          <w:rtl/>
        </w:rPr>
        <w:t>השיעור</w:t>
      </w:r>
      <w:r w:rsidRPr="001E4B09">
        <w:rPr>
          <w:rtl/>
        </w:rPr>
        <w:t xml:space="preserve"> "</w:t>
      </w:r>
      <w:r w:rsidRPr="001E4B09">
        <w:rPr>
          <w:rFonts w:hint="cs"/>
          <w:rtl/>
        </w:rPr>
        <w:t>ביום</w:t>
      </w:r>
      <w:r w:rsidRPr="001E4B09">
        <w:rPr>
          <w:rtl/>
        </w:rPr>
        <w:t xml:space="preserve"> </w:t>
      </w:r>
      <w:r w:rsidRPr="001E4B09">
        <w:rPr>
          <w:rFonts w:hint="cs"/>
          <w:rtl/>
        </w:rPr>
        <w:t>עשתי</w:t>
      </w:r>
      <w:r w:rsidRPr="001E4B09">
        <w:rPr>
          <w:rtl/>
        </w:rPr>
        <w:t xml:space="preserve"> </w:t>
      </w:r>
      <w:r w:rsidRPr="001E4B09">
        <w:rPr>
          <w:rFonts w:hint="cs"/>
          <w:rtl/>
        </w:rPr>
        <w:t>עשר</w:t>
      </w:r>
      <w:r w:rsidRPr="001E4B09">
        <w:rPr>
          <w:rtl/>
        </w:rPr>
        <w:t xml:space="preserve"> </w:t>
      </w:r>
      <w:r w:rsidRPr="001E4B09">
        <w:rPr>
          <w:rFonts w:hint="cs"/>
          <w:rtl/>
        </w:rPr>
        <w:t>יום</w:t>
      </w:r>
      <w:r w:rsidRPr="001E4B09">
        <w:rPr>
          <w:rtl/>
        </w:rPr>
        <w:t xml:space="preserve"> </w:t>
      </w:r>
      <w:r w:rsidRPr="001E4B09">
        <w:rPr>
          <w:rFonts w:hint="cs"/>
          <w:rtl/>
        </w:rPr>
        <w:t>נשיא</w:t>
      </w:r>
      <w:r w:rsidRPr="001E4B09">
        <w:rPr>
          <w:rtl/>
        </w:rPr>
        <w:t xml:space="preserve"> </w:t>
      </w:r>
      <w:r w:rsidRPr="001E4B09">
        <w:rPr>
          <w:rFonts w:hint="cs"/>
          <w:rtl/>
        </w:rPr>
        <w:t>לבני</w:t>
      </w:r>
      <w:r w:rsidRPr="001E4B09">
        <w:rPr>
          <w:rtl/>
        </w:rPr>
        <w:t xml:space="preserve"> </w:t>
      </w:r>
      <w:r w:rsidRPr="001E4B09">
        <w:rPr>
          <w:rFonts w:hint="cs"/>
          <w:rtl/>
        </w:rPr>
        <w:t>אשר</w:t>
      </w:r>
      <w:r w:rsidRPr="001E4B09">
        <w:rPr>
          <w:rtl/>
        </w:rPr>
        <w:t xml:space="preserve"> </w:t>
      </w:r>
      <w:r w:rsidRPr="001E4B09">
        <w:rPr>
          <w:rFonts w:hint="cs"/>
          <w:rtl/>
        </w:rPr>
        <w:t>גו</w:t>
      </w:r>
      <w:r w:rsidRPr="001E4B09">
        <w:rPr>
          <w:rtl/>
        </w:rPr>
        <w:t xml:space="preserve">', ... </w:t>
      </w:r>
      <w:r w:rsidRPr="001E4B09">
        <w:rPr>
          <w:rFonts w:hint="cs"/>
          <w:rtl/>
        </w:rPr>
        <w:t>ממשיך</w:t>
      </w:r>
      <w:r w:rsidRPr="001E4B09">
        <w:rPr>
          <w:rtl/>
        </w:rPr>
        <w:t xml:space="preserve"> </w:t>
      </w:r>
      <w:r w:rsidRPr="001E4B09">
        <w:rPr>
          <w:rFonts w:hint="cs"/>
          <w:rtl/>
        </w:rPr>
        <w:t>ומסיים</w:t>
      </w:r>
      <w:r w:rsidRPr="001E4B09">
        <w:rPr>
          <w:rtl/>
        </w:rPr>
        <w:t xml:space="preserve"> </w:t>
      </w:r>
      <w:r w:rsidRPr="001E4B09">
        <w:rPr>
          <w:rFonts w:hint="cs"/>
          <w:rtl/>
        </w:rPr>
        <w:t>אודות</w:t>
      </w:r>
      <w:r w:rsidRPr="001E4B09">
        <w:rPr>
          <w:rtl/>
        </w:rPr>
        <w:t xml:space="preserve"> </w:t>
      </w:r>
      <w:r w:rsidRPr="001E4B09">
        <w:rPr>
          <w:rFonts w:hint="cs"/>
          <w:rtl/>
        </w:rPr>
        <w:t>הסך</w:t>
      </w:r>
      <w:r w:rsidRPr="001E4B09">
        <w:rPr>
          <w:rtl/>
        </w:rPr>
        <w:t xml:space="preserve"> - </w:t>
      </w:r>
      <w:r w:rsidRPr="001E4B09">
        <w:rPr>
          <w:rFonts w:hint="cs"/>
          <w:rtl/>
        </w:rPr>
        <w:t>הכל</w:t>
      </w:r>
      <w:r w:rsidRPr="001E4B09">
        <w:rPr>
          <w:rtl/>
        </w:rPr>
        <w:t xml:space="preserve"> </w:t>
      </w:r>
      <w:r w:rsidRPr="001E4B09">
        <w:rPr>
          <w:rFonts w:hint="cs"/>
          <w:rtl/>
        </w:rPr>
        <w:t>דקרבנות</w:t>
      </w:r>
      <w:r w:rsidRPr="001E4B09">
        <w:rPr>
          <w:rtl/>
        </w:rPr>
        <w:t xml:space="preserve"> </w:t>
      </w:r>
      <w:r w:rsidRPr="001E4B09">
        <w:rPr>
          <w:rFonts w:hint="cs"/>
          <w:rtl/>
        </w:rPr>
        <w:t>הנשיאים</w:t>
      </w:r>
      <w:r w:rsidRPr="001E4B09">
        <w:rPr>
          <w:rtl/>
        </w:rPr>
        <w:t xml:space="preserve"> "</w:t>
      </w:r>
      <w:r w:rsidRPr="001E4B09">
        <w:rPr>
          <w:rFonts w:hint="cs"/>
          <w:rtl/>
        </w:rPr>
        <w:t>זאת</w:t>
      </w:r>
      <w:r w:rsidRPr="001E4B09">
        <w:rPr>
          <w:rtl/>
        </w:rPr>
        <w:t xml:space="preserve"> </w:t>
      </w:r>
      <w:r w:rsidRPr="001E4B09">
        <w:rPr>
          <w:rFonts w:hint="cs"/>
          <w:rtl/>
        </w:rPr>
        <w:t>חנוכת</w:t>
      </w:r>
      <w:r w:rsidRPr="001E4B09">
        <w:rPr>
          <w:rtl/>
        </w:rPr>
        <w:t xml:space="preserve"> </w:t>
      </w:r>
      <w:r w:rsidRPr="001E4B09">
        <w:rPr>
          <w:rFonts w:hint="cs"/>
          <w:rtl/>
        </w:rPr>
        <w:t>המזבח</w:t>
      </w:r>
      <w:r w:rsidRPr="001E4B09">
        <w:rPr>
          <w:rtl/>
        </w:rPr>
        <w:t xml:space="preserve">" </w:t>
      </w:r>
      <w:r w:rsidRPr="001E4B09">
        <w:rPr>
          <w:rFonts w:hint="cs"/>
          <w:rtl/>
        </w:rPr>
        <w:t>וכו</w:t>
      </w:r>
      <w:r w:rsidRPr="001E4B09">
        <w:rPr>
          <w:rtl/>
        </w:rPr>
        <w:t>'</w:t>
      </w:r>
      <w:r>
        <w:rPr>
          <w:rFonts w:hint="cs"/>
          <w:rtl/>
        </w:rPr>
        <w:t xml:space="preserve"> ".</w:t>
      </w:r>
      <w:r w:rsidRPr="001E4B09">
        <w:rPr>
          <w:rtl/>
        </w:rPr>
        <w:t xml:space="preserve"> (</w:t>
      </w:r>
      <w:r w:rsidRPr="001E4B09">
        <w:rPr>
          <w:rFonts w:hint="cs"/>
          <w:rtl/>
        </w:rPr>
        <w:t>תורת</w:t>
      </w:r>
      <w:r w:rsidRPr="001E4B09">
        <w:rPr>
          <w:rtl/>
        </w:rPr>
        <w:t xml:space="preserve"> </w:t>
      </w:r>
      <w:r w:rsidRPr="001E4B09">
        <w:rPr>
          <w:rFonts w:hint="cs"/>
          <w:rtl/>
        </w:rPr>
        <w:t>מנחם</w:t>
      </w:r>
      <w:r w:rsidRPr="001E4B09">
        <w:rPr>
          <w:rtl/>
        </w:rPr>
        <w:t xml:space="preserve"> </w:t>
      </w:r>
      <w:r w:rsidRPr="001E4B09">
        <w:rPr>
          <w:rFonts w:hint="cs"/>
          <w:rtl/>
        </w:rPr>
        <w:t>תשמ</w:t>
      </w:r>
      <w:r w:rsidRPr="001E4B09">
        <w:rPr>
          <w:rtl/>
        </w:rPr>
        <w:t>"</w:t>
      </w:r>
      <w:r w:rsidRPr="001E4B09">
        <w:rPr>
          <w:rFonts w:hint="cs"/>
          <w:rtl/>
        </w:rPr>
        <w:t>ו</w:t>
      </w:r>
      <w:r w:rsidRPr="001E4B09">
        <w:rPr>
          <w:rtl/>
        </w:rPr>
        <w:t xml:space="preserve"> </w:t>
      </w:r>
      <w:r w:rsidRPr="001E4B09">
        <w:rPr>
          <w:rFonts w:hint="cs"/>
          <w:rtl/>
        </w:rPr>
        <w:t>ח</w:t>
      </w:r>
      <w:r w:rsidRPr="001E4B09">
        <w:rPr>
          <w:rtl/>
        </w:rPr>
        <w:t>"</w:t>
      </w:r>
      <w:r w:rsidRPr="001E4B09">
        <w:rPr>
          <w:rFonts w:hint="cs"/>
          <w:rtl/>
        </w:rPr>
        <w:t>ג</w:t>
      </w:r>
      <w:r w:rsidRPr="001E4B09">
        <w:rPr>
          <w:rtl/>
        </w:rPr>
        <w:t xml:space="preserve"> </w:t>
      </w:r>
      <w:r w:rsidRPr="001E4B09">
        <w:rPr>
          <w:rFonts w:hint="cs"/>
          <w:rtl/>
        </w:rPr>
        <w:t>עמ</w:t>
      </w:r>
      <w:r w:rsidRPr="001E4B09">
        <w:rPr>
          <w:rtl/>
        </w:rPr>
        <w:t xml:space="preserve">' 505).  </w:t>
      </w:r>
    </w:p>
    <w:p w:rsidR="00352A69" w:rsidRPr="001E4B09" w:rsidRDefault="00352A69" w:rsidP="00233D5E">
      <w:pPr>
        <w:pStyle w:val="a3"/>
        <w:rPr>
          <w:rtl/>
        </w:rPr>
      </w:pPr>
      <w:r w:rsidRPr="001E4B09">
        <w:rPr>
          <w:rFonts w:hint="cs"/>
          <w:rtl/>
        </w:rPr>
        <w:t>הרי</w:t>
      </w:r>
      <w:r w:rsidRPr="001E4B09">
        <w:rPr>
          <w:rtl/>
        </w:rPr>
        <w:t xml:space="preserve"> </w:t>
      </w:r>
      <w:r w:rsidRPr="001E4B09">
        <w:rPr>
          <w:rFonts w:hint="cs"/>
          <w:rtl/>
        </w:rPr>
        <w:t>שהרבי</w:t>
      </w:r>
      <w:r w:rsidRPr="001E4B09">
        <w:rPr>
          <w:rtl/>
        </w:rPr>
        <w:t xml:space="preserve"> </w:t>
      </w:r>
      <w:r w:rsidRPr="001E4B09">
        <w:rPr>
          <w:rFonts w:hint="cs"/>
          <w:rtl/>
        </w:rPr>
        <w:t>נקט</w:t>
      </w:r>
      <w:r w:rsidRPr="001E4B09">
        <w:rPr>
          <w:rtl/>
        </w:rPr>
        <w:t xml:space="preserve"> </w:t>
      </w:r>
      <w:r w:rsidRPr="001E4B09">
        <w:rPr>
          <w:rFonts w:hint="cs"/>
          <w:rtl/>
        </w:rPr>
        <w:t>בזה</w:t>
      </w:r>
      <w:r w:rsidRPr="001E4B09">
        <w:rPr>
          <w:rtl/>
        </w:rPr>
        <w:t xml:space="preserve"> </w:t>
      </w:r>
      <w:r w:rsidRPr="001E4B09">
        <w:rPr>
          <w:rFonts w:hint="cs"/>
          <w:rtl/>
        </w:rPr>
        <w:t>לא</w:t>
      </w:r>
      <w:r w:rsidRPr="001E4B09">
        <w:rPr>
          <w:rtl/>
        </w:rPr>
        <w:t xml:space="preserve"> </w:t>
      </w:r>
      <w:r w:rsidRPr="001E4B09">
        <w:rPr>
          <w:rFonts w:hint="cs"/>
          <w:rtl/>
        </w:rPr>
        <w:t>כבחומש</w:t>
      </w:r>
      <w:r w:rsidRPr="001E4B09">
        <w:rPr>
          <w:rtl/>
        </w:rPr>
        <w:t xml:space="preserve"> "</w:t>
      </w:r>
      <w:r w:rsidRPr="001E4B09">
        <w:rPr>
          <w:rFonts w:hint="cs"/>
          <w:rtl/>
        </w:rPr>
        <w:t>תורה</w:t>
      </w:r>
      <w:r w:rsidRPr="001E4B09">
        <w:rPr>
          <w:rtl/>
        </w:rPr>
        <w:t xml:space="preserve"> </w:t>
      </w:r>
      <w:r w:rsidRPr="001E4B09">
        <w:rPr>
          <w:rFonts w:hint="cs"/>
          <w:rtl/>
        </w:rPr>
        <w:t>תמימה</w:t>
      </w:r>
      <w:r w:rsidRPr="001E4B09">
        <w:rPr>
          <w:rtl/>
        </w:rPr>
        <w:t xml:space="preserve">" </w:t>
      </w:r>
      <w:r w:rsidRPr="001E4B09">
        <w:rPr>
          <w:rFonts w:hint="cs"/>
          <w:rtl/>
        </w:rPr>
        <w:t>אלא</w:t>
      </w:r>
      <w:r w:rsidRPr="001E4B09">
        <w:rPr>
          <w:rtl/>
        </w:rPr>
        <w:t xml:space="preserve"> </w:t>
      </w:r>
      <w:r w:rsidRPr="001E4B09">
        <w:rPr>
          <w:rFonts w:hint="cs"/>
          <w:rtl/>
        </w:rPr>
        <w:t>כשאר</w:t>
      </w:r>
      <w:r w:rsidRPr="001E4B09">
        <w:rPr>
          <w:rtl/>
        </w:rPr>
        <w:t xml:space="preserve"> </w:t>
      </w:r>
      <w:r w:rsidRPr="001E4B09">
        <w:rPr>
          <w:rFonts w:hint="cs"/>
          <w:rtl/>
        </w:rPr>
        <w:t>ההוצאות</w:t>
      </w:r>
      <w:r w:rsidRPr="001E4B09">
        <w:rPr>
          <w:rtl/>
        </w:rPr>
        <w:t xml:space="preserve"> </w:t>
      </w:r>
      <w:r w:rsidRPr="001E4B09">
        <w:rPr>
          <w:rFonts w:hint="cs"/>
          <w:rtl/>
        </w:rPr>
        <w:t>של</w:t>
      </w:r>
      <w:r w:rsidRPr="001E4B09">
        <w:rPr>
          <w:rtl/>
        </w:rPr>
        <w:t xml:space="preserve"> </w:t>
      </w:r>
      <w:r w:rsidRPr="001E4B09">
        <w:rPr>
          <w:rFonts w:hint="cs"/>
          <w:rtl/>
        </w:rPr>
        <w:t>החומש</w:t>
      </w:r>
      <w:r w:rsidR="00233D5E">
        <w:rPr>
          <w:rtl/>
        </w:rPr>
        <w:t>.</w:t>
      </w:r>
    </w:p>
    <w:p w:rsidR="001C6EFC" w:rsidRDefault="001C6EFC" w:rsidP="001C6EFC">
      <w:pPr>
        <w:pStyle w:val="11"/>
        <w:bidi/>
        <w:rPr>
          <w:rtl/>
        </w:rPr>
      </w:pPr>
      <w:r>
        <w:rPr>
          <w:rFonts w:hint="cs"/>
          <w:rtl/>
        </w:rPr>
        <w:t xml:space="preserve">ג    </w:t>
      </w:r>
    </w:p>
    <w:p w:rsidR="00352A69" w:rsidRPr="001E4B09" w:rsidRDefault="00352A69" w:rsidP="001C6EFC">
      <w:pPr>
        <w:pStyle w:val="11"/>
        <w:bidi/>
        <w:rPr>
          <w:rtl/>
        </w:rPr>
      </w:pPr>
      <w:r>
        <w:rPr>
          <w:rFonts w:hint="cs"/>
          <w:rtl/>
        </w:rPr>
        <w:t xml:space="preserve"> </w:t>
      </w:r>
      <w:r w:rsidRPr="001E4B09">
        <w:rPr>
          <w:rFonts w:hint="cs"/>
          <w:rtl/>
        </w:rPr>
        <w:t xml:space="preserve">אמירת משניות כל ישראל ורבי חנניא בן עקשיא כשאומרים ב' פרקים בשבת אחת </w:t>
      </w:r>
    </w:p>
    <w:p w:rsidR="00352A69" w:rsidRPr="001E4B09" w:rsidRDefault="00352A69" w:rsidP="00352A69">
      <w:pPr>
        <w:pStyle w:val="a3"/>
        <w:rPr>
          <w:rtl/>
        </w:rPr>
      </w:pPr>
    </w:p>
    <w:p w:rsidR="00352A69" w:rsidRDefault="00352A69" w:rsidP="00352A69">
      <w:pPr>
        <w:pStyle w:val="a3"/>
        <w:rPr>
          <w:rtl/>
        </w:rPr>
      </w:pPr>
      <w:r w:rsidRPr="001E4B09">
        <w:rPr>
          <w:rFonts w:hint="cs"/>
          <w:rtl/>
        </w:rPr>
        <w:t>בנוגע</w:t>
      </w:r>
      <w:r w:rsidRPr="001E4B09">
        <w:rPr>
          <w:rtl/>
        </w:rPr>
        <w:t xml:space="preserve"> </w:t>
      </w:r>
      <w:r w:rsidRPr="001E4B09">
        <w:rPr>
          <w:rFonts w:hint="cs"/>
          <w:rtl/>
        </w:rPr>
        <w:t>לאמירת</w:t>
      </w:r>
      <w:r w:rsidRPr="001E4B09">
        <w:rPr>
          <w:rtl/>
        </w:rPr>
        <w:t xml:space="preserve"> </w:t>
      </w:r>
      <w:r>
        <w:rPr>
          <w:rFonts w:hint="cs"/>
          <w:rtl/>
        </w:rPr>
        <w:t>ה</w:t>
      </w:r>
      <w:r w:rsidRPr="001E4B09">
        <w:rPr>
          <w:rFonts w:hint="cs"/>
          <w:rtl/>
        </w:rPr>
        <w:t>משניות</w:t>
      </w:r>
      <w:r w:rsidRPr="001E4B09">
        <w:rPr>
          <w:rtl/>
        </w:rPr>
        <w:t xml:space="preserve"> "</w:t>
      </w:r>
      <w:r w:rsidRPr="001E4B09">
        <w:rPr>
          <w:rFonts w:hint="cs"/>
          <w:rtl/>
        </w:rPr>
        <w:t>כל</w:t>
      </w:r>
      <w:r w:rsidRPr="001E4B09">
        <w:rPr>
          <w:rtl/>
        </w:rPr>
        <w:t xml:space="preserve"> </w:t>
      </w:r>
      <w:r w:rsidRPr="001E4B09">
        <w:rPr>
          <w:rFonts w:hint="cs"/>
          <w:rtl/>
        </w:rPr>
        <w:t>ישראל</w:t>
      </w:r>
      <w:r w:rsidRPr="001E4B09">
        <w:rPr>
          <w:rtl/>
        </w:rPr>
        <w:t xml:space="preserve">" </w:t>
      </w:r>
      <w:r w:rsidRPr="001E4B09">
        <w:rPr>
          <w:rFonts w:hint="cs"/>
          <w:rtl/>
        </w:rPr>
        <w:t>ו</w:t>
      </w:r>
      <w:r w:rsidRPr="001E4B09">
        <w:rPr>
          <w:rtl/>
        </w:rPr>
        <w:t>"</w:t>
      </w:r>
      <w:r w:rsidRPr="001E4B09">
        <w:rPr>
          <w:rFonts w:hint="cs"/>
          <w:rtl/>
        </w:rPr>
        <w:t>רבי</w:t>
      </w:r>
      <w:r w:rsidRPr="001E4B09">
        <w:rPr>
          <w:rtl/>
        </w:rPr>
        <w:t xml:space="preserve"> </w:t>
      </w:r>
      <w:r w:rsidRPr="001E4B09">
        <w:rPr>
          <w:rFonts w:hint="cs"/>
          <w:rtl/>
        </w:rPr>
        <w:t>חנניא</w:t>
      </w:r>
      <w:r w:rsidRPr="001E4B09">
        <w:rPr>
          <w:rtl/>
        </w:rPr>
        <w:t>"</w:t>
      </w:r>
      <w:r>
        <w:rPr>
          <w:rFonts w:hint="cs"/>
          <w:rtl/>
        </w:rPr>
        <w:t xml:space="preserve"> שאומרים לפני ואחרי הפרק השבועי </w:t>
      </w:r>
      <w:r w:rsidRPr="001E4B09">
        <w:rPr>
          <w:rtl/>
        </w:rPr>
        <w:t xml:space="preserve"> </w:t>
      </w:r>
      <w:r>
        <w:rPr>
          <w:rFonts w:hint="cs"/>
          <w:rtl/>
        </w:rPr>
        <w:t xml:space="preserve">בפרקי אבות בשבתות הקיץ.                                                                                 </w:t>
      </w:r>
    </w:p>
    <w:p w:rsidR="00352A69" w:rsidRPr="001E4B09" w:rsidRDefault="00352A69" w:rsidP="00352A69">
      <w:pPr>
        <w:pStyle w:val="a3"/>
        <w:rPr>
          <w:rtl/>
        </w:rPr>
      </w:pPr>
      <w:r>
        <w:rPr>
          <w:rFonts w:hint="cs"/>
          <w:rtl/>
        </w:rPr>
        <w:t xml:space="preserve">הרבי התייחס כמה פעמים לשאלה, כיצד לנהוג </w:t>
      </w:r>
      <w:r w:rsidRPr="001E4B09">
        <w:rPr>
          <w:rFonts w:hint="cs"/>
          <w:rtl/>
        </w:rPr>
        <w:t>בשבתות</w:t>
      </w:r>
      <w:r w:rsidRPr="001E4B09">
        <w:rPr>
          <w:rtl/>
        </w:rPr>
        <w:t xml:space="preserve"> </w:t>
      </w:r>
      <w:r w:rsidRPr="001E4B09">
        <w:rPr>
          <w:rFonts w:hint="cs"/>
          <w:rtl/>
        </w:rPr>
        <w:t>שאומרים</w:t>
      </w:r>
      <w:r w:rsidRPr="001E4B09">
        <w:rPr>
          <w:rtl/>
        </w:rPr>
        <w:t xml:space="preserve"> </w:t>
      </w:r>
      <w:r w:rsidRPr="001E4B09">
        <w:rPr>
          <w:rFonts w:hint="cs"/>
          <w:rtl/>
        </w:rPr>
        <w:t>בהם</w:t>
      </w:r>
      <w:r w:rsidRPr="001E4B09">
        <w:rPr>
          <w:rtl/>
        </w:rPr>
        <w:t xml:space="preserve"> </w:t>
      </w:r>
      <w:r>
        <w:rPr>
          <w:rFonts w:hint="cs"/>
          <w:rtl/>
        </w:rPr>
        <w:t>שני</w:t>
      </w:r>
      <w:r w:rsidRPr="001E4B09">
        <w:rPr>
          <w:rtl/>
        </w:rPr>
        <w:t xml:space="preserve"> </w:t>
      </w:r>
      <w:r w:rsidRPr="001E4B09">
        <w:rPr>
          <w:rFonts w:hint="cs"/>
          <w:rtl/>
        </w:rPr>
        <w:t>פרקים</w:t>
      </w:r>
      <w:r w:rsidRPr="001E4B09">
        <w:rPr>
          <w:rtl/>
        </w:rPr>
        <w:t xml:space="preserve"> </w:t>
      </w:r>
      <w:r w:rsidRPr="001E4B09">
        <w:rPr>
          <w:rFonts w:hint="cs"/>
          <w:rtl/>
        </w:rPr>
        <w:t>ב</w:t>
      </w:r>
      <w:r>
        <w:rPr>
          <w:rFonts w:hint="cs"/>
          <w:rtl/>
        </w:rPr>
        <w:t>שבת אחת</w:t>
      </w:r>
      <w:r w:rsidRPr="001E4B09">
        <w:rPr>
          <w:rFonts w:hint="cs"/>
          <w:rtl/>
        </w:rPr>
        <w:t xml:space="preserve"> (בסוף הקיץ)</w:t>
      </w:r>
      <w:r w:rsidRPr="001E4B09">
        <w:rPr>
          <w:rtl/>
        </w:rPr>
        <w:t xml:space="preserve">. </w:t>
      </w:r>
      <w:r w:rsidRPr="001E4B09">
        <w:rPr>
          <w:rFonts w:hint="cs"/>
          <w:rtl/>
        </w:rPr>
        <w:t>האם אומרים</w:t>
      </w:r>
      <w:r>
        <w:rPr>
          <w:rFonts w:hint="cs"/>
          <w:rtl/>
        </w:rPr>
        <w:t xml:space="preserve"> גם</w:t>
      </w:r>
      <w:r w:rsidRPr="001E4B09">
        <w:rPr>
          <w:rFonts w:hint="cs"/>
          <w:rtl/>
        </w:rPr>
        <w:t xml:space="preserve"> בין</w:t>
      </w:r>
      <w:r>
        <w:rPr>
          <w:rFonts w:hint="cs"/>
          <w:rtl/>
        </w:rPr>
        <w:t xml:space="preserve"> שני</w:t>
      </w:r>
      <w:r w:rsidRPr="001E4B09">
        <w:rPr>
          <w:rFonts w:hint="cs"/>
          <w:rtl/>
        </w:rPr>
        <w:t xml:space="preserve"> הפרקים את המשניות הנ"ל, או שמסתפקים באמירה  אחת לפני ואחרי </w:t>
      </w:r>
      <w:r>
        <w:rPr>
          <w:rFonts w:hint="cs"/>
          <w:rtl/>
        </w:rPr>
        <w:t>שני</w:t>
      </w:r>
      <w:r w:rsidRPr="001E4B09">
        <w:rPr>
          <w:rFonts w:hint="cs"/>
          <w:rtl/>
        </w:rPr>
        <w:t xml:space="preserve"> הפרקים.</w:t>
      </w:r>
      <w:r w:rsidRPr="001E4B09">
        <w:rPr>
          <w:rtl/>
        </w:rPr>
        <w:t xml:space="preserve"> </w:t>
      </w:r>
    </w:p>
    <w:p w:rsidR="00352A69" w:rsidRPr="001E4B09" w:rsidRDefault="00352A69" w:rsidP="00352A69">
      <w:pPr>
        <w:pStyle w:val="a3"/>
        <w:rPr>
          <w:rtl/>
        </w:rPr>
      </w:pPr>
      <w:r w:rsidRPr="001E4B09">
        <w:rPr>
          <w:rFonts w:hint="cs"/>
          <w:rtl/>
        </w:rPr>
        <w:t>בשבת פ' תצא תשמ"ה (בה אמרו את הפרקים א</w:t>
      </w:r>
      <w:r>
        <w:rPr>
          <w:rFonts w:hint="cs"/>
          <w:rtl/>
        </w:rPr>
        <w:t>' ו</w:t>
      </w:r>
      <w:r w:rsidRPr="001E4B09">
        <w:rPr>
          <w:rFonts w:hint="cs"/>
          <w:rtl/>
        </w:rPr>
        <w:t>ב</w:t>
      </w:r>
      <w:r>
        <w:rPr>
          <w:rFonts w:hint="cs"/>
          <w:rtl/>
        </w:rPr>
        <w:t>'</w:t>
      </w:r>
      <w:r w:rsidRPr="001E4B09">
        <w:rPr>
          <w:rFonts w:hint="cs"/>
          <w:rtl/>
        </w:rPr>
        <w:t xml:space="preserve">) דיבר באריכות בנושא, השווה את זה לשתי פרשיות מחוברות שלמנהגינו נחשבות כפרשה אחת, הוסיף שהוא לא שמע כיצד נוהגים בזה (למרות שידוע </w:t>
      </w:r>
      <w:r>
        <w:rPr>
          <w:rFonts w:hint="cs"/>
          <w:rtl/>
        </w:rPr>
        <w:t>מנהגינו בשתי</w:t>
      </w:r>
      <w:r w:rsidRPr="001E4B09">
        <w:rPr>
          <w:rFonts w:hint="cs"/>
          <w:rtl/>
        </w:rPr>
        <w:t xml:space="preserve"> פרשיות מחוברות), הורה לשאול אצל רב כיצד לנהוג, והוסיף, שמסתמא יהיו חילוקי דעות בין הרבנים ואז יצטרכו לרב שלישי שיכריע, וסיים, שלכאורה אפשר לומר פעמיים את המשניות הנ"ל מספק, אבל מ"מ בירור מנהג ישראל הוא חלק מהתורה. (תורת מנחם תשמ"ה ח"ה עמ' 2887-8).</w:t>
      </w:r>
    </w:p>
    <w:p w:rsidR="00352A69" w:rsidRPr="001E4B09" w:rsidRDefault="00352A69" w:rsidP="00352A69">
      <w:pPr>
        <w:pStyle w:val="a3"/>
        <w:rPr>
          <w:rtl/>
        </w:rPr>
      </w:pPr>
      <w:r w:rsidRPr="001E4B09">
        <w:rPr>
          <w:rFonts w:hint="cs"/>
          <w:rtl/>
        </w:rPr>
        <w:t>בשבת פ' נצבים וילך תשמ"ו (בה אמרו את הפרקים ה</w:t>
      </w:r>
      <w:r>
        <w:rPr>
          <w:rFonts w:hint="cs"/>
          <w:rtl/>
        </w:rPr>
        <w:t>'</w:t>
      </w:r>
      <w:r w:rsidRPr="001E4B09">
        <w:rPr>
          <w:rFonts w:hint="cs"/>
          <w:rtl/>
        </w:rPr>
        <w:t xml:space="preserve"> </w:t>
      </w:r>
      <w:r>
        <w:rPr>
          <w:rFonts w:hint="cs"/>
          <w:rtl/>
        </w:rPr>
        <w:t>ו</w:t>
      </w:r>
      <w:r w:rsidRPr="001E4B09">
        <w:rPr>
          <w:rFonts w:hint="cs"/>
          <w:rtl/>
        </w:rPr>
        <w:t>ו</w:t>
      </w:r>
      <w:r>
        <w:rPr>
          <w:rFonts w:hint="cs"/>
          <w:rtl/>
        </w:rPr>
        <w:t>'</w:t>
      </w:r>
      <w:r w:rsidRPr="001E4B09">
        <w:rPr>
          <w:rFonts w:hint="cs"/>
          <w:rtl/>
        </w:rPr>
        <w:t xml:space="preserve">) שוב דיבר על כך, ואמר שמסתבר לומר, שכשלומדים </w:t>
      </w:r>
      <w:r>
        <w:rPr>
          <w:rFonts w:hint="cs"/>
          <w:rtl/>
        </w:rPr>
        <w:t>שתי</w:t>
      </w:r>
      <w:r w:rsidRPr="001E4B09">
        <w:rPr>
          <w:rFonts w:hint="cs"/>
          <w:rtl/>
        </w:rPr>
        <w:t xml:space="preserve"> פרקים בשבת אחת הרי הם מצטרפים לפרק אחד, ולכן </w:t>
      </w:r>
      <w:r w:rsidRPr="001E4B09">
        <w:rPr>
          <w:rFonts w:hint="cs"/>
          <w:rtl/>
        </w:rPr>
        <w:lastRenderedPageBreak/>
        <w:t>אומרים את המשניות הנ"ל פעם אחת. אבל כש</w:t>
      </w:r>
      <w:r>
        <w:rPr>
          <w:rFonts w:hint="cs"/>
          <w:rtl/>
        </w:rPr>
        <w:t>לומדים</w:t>
      </w:r>
      <w:r w:rsidRPr="001E4B09">
        <w:rPr>
          <w:rFonts w:hint="cs"/>
          <w:rtl/>
        </w:rPr>
        <w:t xml:space="preserve"> את </w:t>
      </w:r>
      <w:r>
        <w:rPr>
          <w:rFonts w:hint="cs"/>
          <w:rtl/>
        </w:rPr>
        <w:t>ה</w:t>
      </w:r>
      <w:r w:rsidRPr="001E4B09">
        <w:rPr>
          <w:rFonts w:hint="cs"/>
          <w:rtl/>
        </w:rPr>
        <w:t>פרק</w:t>
      </w:r>
      <w:r>
        <w:rPr>
          <w:rFonts w:hint="cs"/>
          <w:rtl/>
        </w:rPr>
        <w:t xml:space="preserve">ים ה' וו' בשבת אחת, </w:t>
      </w:r>
      <w:r w:rsidRPr="001E4B09">
        <w:rPr>
          <w:rFonts w:hint="cs"/>
          <w:rtl/>
        </w:rPr>
        <w:t xml:space="preserve"> א"א לומר כן, היות ופרק </w:t>
      </w:r>
      <w:r>
        <w:rPr>
          <w:rFonts w:hint="cs"/>
          <w:rtl/>
        </w:rPr>
        <w:t xml:space="preserve">ה' </w:t>
      </w:r>
      <w:r w:rsidRPr="001E4B09">
        <w:rPr>
          <w:rFonts w:hint="cs"/>
          <w:rtl/>
        </w:rPr>
        <w:t xml:space="preserve">הוא משנה ופרק </w:t>
      </w:r>
      <w:r>
        <w:rPr>
          <w:rFonts w:hint="cs"/>
          <w:rtl/>
        </w:rPr>
        <w:t>ו'</w:t>
      </w:r>
      <w:r w:rsidRPr="001E4B09">
        <w:rPr>
          <w:rFonts w:hint="cs"/>
          <w:rtl/>
        </w:rPr>
        <w:t xml:space="preserve"> הוא ברייתא, וא"כ א"א לחבר אותם לפרק אחד.  (תורת מנחם תשמ"ו ח"ד עמ' 443-4).</w:t>
      </w:r>
    </w:p>
    <w:p w:rsidR="00352A69" w:rsidRPr="001E4B09" w:rsidRDefault="00352A69" w:rsidP="00352A69">
      <w:pPr>
        <w:pStyle w:val="a3"/>
        <w:rPr>
          <w:rtl/>
        </w:rPr>
      </w:pPr>
      <w:r w:rsidRPr="001E4B09">
        <w:rPr>
          <w:rFonts w:hint="cs"/>
          <w:rtl/>
        </w:rPr>
        <w:t>בשבת פ' תבוא תשמ"ז (בה אמרו את הפרקים ג</w:t>
      </w:r>
      <w:r>
        <w:rPr>
          <w:rFonts w:hint="cs"/>
          <w:rtl/>
        </w:rPr>
        <w:t>'</w:t>
      </w:r>
      <w:r w:rsidRPr="001E4B09">
        <w:rPr>
          <w:rFonts w:hint="cs"/>
          <w:rtl/>
        </w:rPr>
        <w:t xml:space="preserve"> </w:t>
      </w:r>
      <w:r>
        <w:rPr>
          <w:rFonts w:hint="cs"/>
          <w:rtl/>
        </w:rPr>
        <w:t>ו</w:t>
      </w:r>
      <w:r w:rsidRPr="001E4B09">
        <w:rPr>
          <w:rFonts w:hint="cs"/>
          <w:rtl/>
        </w:rPr>
        <w:t>ד</w:t>
      </w:r>
      <w:r>
        <w:rPr>
          <w:rFonts w:hint="cs"/>
          <w:rtl/>
        </w:rPr>
        <w:t>'</w:t>
      </w:r>
      <w:r w:rsidRPr="001E4B09">
        <w:rPr>
          <w:rFonts w:hint="cs"/>
          <w:rtl/>
        </w:rPr>
        <w:t xml:space="preserve">) שוב דיבר על כך, הביא את צדדי הספק, האריך בחשיבות בירור המנהג, ושלל את הסברא לומר </w:t>
      </w:r>
      <w:r>
        <w:rPr>
          <w:rFonts w:hint="cs"/>
          <w:rtl/>
        </w:rPr>
        <w:t xml:space="preserve"> את המשניות הנ"ל </w:t>
      </w:r>
      <w:r w:rsidRPr="001E4B09">
        <w:rPr>
          <w:rFonts w:hint="cs"/>
          <w:rtl/>
        </w:rPr>
        <w:t>פעמ</w:t>
      </w:r>
      <w:r>
        <w:rPr>
          <w:rFonts w:hint="cs"/>
          <w:rtl/>
        </w:rPr>
        <w:t>י</w:t>
      </w:r>
      <w:r w:rsidRPr="001E4B09">
        <w:rPr>
          <w:rFonts w:hint="cs"/>
          <w:rtl/>
        </w:rPr>
        <w:t>ים לחומרא מפני הספק</w:t>
      </w:r>
      <w:r>
        <w:rPr>
          <w:rFonts w:hint="cs"/>
          <w:rtl/>
        </w:rPr>
        <w:t>,</w:t>
      </w:r>
      <w:r w:rsidRPr="001E4B09">
        <w:rPr>
          <w:rFonts w:hint="cs"/>
          <w:rtl/>
        </w:rPr>
        <w:t xml:space="preserve"> במקום לברר את המנהג הנכון, אבל לא הגיע למסקנא.  (תורת מנחם תשמ"ז ח"ד עמ' 352-3).</w:t>
      </w:r>
    </w:p>
    <w:p w:rsidR="00352A69" w:rsidRPr="001E4B09" w:rsidRDefault="00352A69" w:rsidP="00352A69">
      <w:pPr>
        <w:pStyle w:val="a3"/>
        <w:rPr>
          <w:rtl/>
        </w:rPr>
      </w:pPr>
      <w:r w:rsidRPr="001E4B09">
        <w:rPr>
          <w:rFonts w:hint="cs"/>
          <w:rtl/>
        </w:rPr>
        <w:t>בשבת הבאה ש"פ נצבים וילך (בה אמרו את הפרקים ה</w:t>
      </w:r>
      <w:r>
        <w:rPr>
          <w:rFonts w:hint="cs"/>
          <w:rtl/>
        </w:rPr>
        <w:t>'</w:t>
      </w:r>
      <w:r w:rsidRPr="001E4B09">
        <w:rPr>
          <w:rFonts w:hint="cs"/>
          <w:rtl/>
        </w:rPr>
        <w:t xml:space="preserve"> </w:t>
      </w:r>
      <w:r>
        <w:rPr>
          <w:rFonts w:hint="cs"/>
          <w:rtl/>
        </w:rPr>
        <w:t>ו</w:t>
      </w:r>
      <w:r w:rsidRPr="001E4B09">
        <w:rPr>
          <w:rFonts w:hint="cs"/>
          <w:rtl/>
        </w:rPr>
        <w:t>ו</w:t>
      </w:r>
      <w:r>
        <w:rPr>
          <w:rFonts w:hint="cs"/>
          <w:rtl/>
        </w:rPr>
        <w:t>'</w:t>
      </w:r>
      <w:r w:rsidRPr="001E4B09">
        <w:rPr>
          <w:rFonts w:hint="cs"/>
          <w:rtl/>
        </w:rPr>
        <w:t>) שוב חזר לדון בנושא, האריך מאוד, הגיע למסקנא שצ"ל פעם אחת את המשניות הנ"ל, הוסיף שכ"ז הוא בפרקים ג' וד', אבל בפרקים ה' וו' שהם משנה וברייתא, צריך להפסיק ביניהם, וסיים, שא"כ</w:t>
      </w:r>
      <w:r>
        <w:rPr>
          <w:rFonts w:hint="cs"/>
          <w:rtl/>
        </w:rPr>
        <w:t>,</w:t>
      </w:r>
      <w:r w:rsidRPr="001E4B09">
        <w:rPr>
          <w:rFonts w:hint="cs"/>
          <w:rtl/>
        </w:rPr>
        <w:t xml:space="preserve"> גם בין פרקים ג' וד' צריך לעשות הפסק ע"י המשניות הנ"ל. (שם עמ' 396-401).</w:t>
      </w:r>
    </w:p>
    <w:p w:rsidR="00352A69" w:rsidRPr="001E4B09" w:rsidRDefault="00352A69" w:rsidP="00352A69">
      <w:pPr>
        <w:pStyle w:val="a3"/>
        <w:rPr>
          <w:rtl/>
        </w:rPr>
      </w:pPr>
      <w:r w:rsidRPr="001E4B09">
        <w:rPr>
          <w:rFonts w:hint="cs"/>
          <w:rtl/>
        </w:rPr>
        <w:t>בשבת פ' תצא תשמ"ט (בה אמרו את הפרקים א</w:t>
      </w:r>
      <w:r>
        <w:rPr>
          <w:rFonts w:hint="cs"/>
          <w:rtl/>
        </w:rPr>
        <w:t>'</w:t>
      </w:r>
      <w:r w:rsidRPr="001E4B09">
        <w:rPr>
          <w:rFonts w:hint="cs"/>
          <w:rtl/>
        </w:rPr>
        <w:t xml:space="preserve"> </w:t>
      </w:r>
      <w:r>
        <w:rPr>
          <w:rFonts w:hint="cs"/>
          <w:rtl/>
        </w:rPr>
        <w:t>ו</w:t>
      </w:r>
      <w:r w:rsidRPr="001E4B09">
        <w:rPr>
          <w:rFonts w:hint="cs"/>
          <w:rtl/>
        </w:rPr>
        <w:t>ב</w:t>
      </w:r>
      <w:r>
        <w:rPr>
          <w:rFonts w:hint="cs"/>
          <w:rtl/>
        </w:rPr>
        <w:t>'</w:t>
      </w:r>
      <w:r w:rsidRPr="001E4B09">
        <w:rPr>
          <w:rFonts w:hint="cs"/>
          <w:rtl/>
        </w:rPr>
        <w:t>) חזר בקיצור על השקו"ט הנ"ל ללא מסקנא. (תורת מנחם תשמ"ט ח"ד עמ' 279).</w:t>
      </w:r>
    </w:p>
    <w:p w:rsidR="00352A69" w:rsidRPr="001E4B09" w:rsidRDefault="00352A69" w:rsidP="00352A69">
      <w:pPr>
        <w:pStyle w:val="a3"/>
        <w:rPr>
          <w:rtl/>
        </w:rPr>
      </w:pPr>
      <w:r w:rsidRPr="001E4B09">
        <w:rPr>
          <w:rFonts w:hint="cs"/>
          <w:rtl/>
        </w:rPr>
        <w:t>בשבת פ' תבוא תש"נ (בה אמרו את הפרקים ג</w:t>
      </w:r>
      <w:r>
        <w:rPr>
          <w:rFonts w:hint="cs"/>
          <w:rtl/>
        </w:rPr>
        <w:t>'</w:t>
      </w:r>
      <w:r w:rsidRPr="001E4B09">
        <w:rPr>
          <w:rFonts w:hint="cs"/>
          <w:rtl/>
        </w:rPr>
        <w:t xml:space="preserve"> </w:t>
      </w:r>
      <w:r>
        <w:rPr>
          <w:rFonts w:hint="cs"/>
          <w:rtl/>
        </w:rPr>
        <w:t>ו</w:t>
      </w:r>
      <w:r w:rsidRPr="001E4B09">
        <w:rPr>
          <w:rFonts w:hint="cs"/>
          <w:rtl/>
        </w:rPr>
        <w:t>ד</w:t>
      </w:r>
      <w:r>
        <w:rPr>
          <w:rFonts w:hint="cs"/>
          <w:rtl/>
        </w:rPr>
        <w:t>'</w:t>
      </w:r>
      <w:r w:rsidRPr="001E4B09">
        <w:rPr>
          <w:rFonts w:hint="cs"/>
          <w:rtl/>
        </w:rPr>
        <w:t>) הזכיר בקיצור את הסברא לומר את המשניות הנ"ל פעם אחת. (תורת מנחם תש"נ ח"ד עמ' 259).</w:t>
      </w:r>
    </w:p>
    <w:p w:rsidR="00352A69" w:rsidRPr="001E4B09" w:rsidRDefault="00352A69" w:rsidP="00352A69">
      <w:pPr>
        <w:pStyle w:val="a3"/>
        <w:rPr>
          <w:rtl/>
        </w:rPr>
      </w:pPr>
      <w:r w:rsidRPr="001E4B09">
        <w:rPr>
          <w:rFonts w:hint="cs"/>
          <w:rtl/>
        </w:rPr>
        <w:t>בשבת פ' תצא תנש"א (בה אמרו את הפרקים א</w:t>
      </w:r>
      <w:r>
        <w:rPr>
          <w:rFonts w:hint="cs"/>
          <w:rtl/>
        </w:rPr>
        <w:t>'</w:t>
      </w:r>
      <w:r w:rsidRPr="001E4B09">
        <w:rPr>
          <w:rFonts w:hint="cs"/>
          <w:rtl/>
        </w:rPr>
        <w:t xml:space="preserve"> </w:t>
      </w:r>
      <w:r>
        <w:rPr>
          <w:rFonts w:hint="cs"/>
          <w:rtl/>
        </w:rPr>
        <w:t>ו</w:t>
      </w:r>
      <w:r w:rsidRPr="001E4B09">
        <w:rPr>
          <w:rFonts w:hint="cs"/>
          <w:rtl/>
        </w:rPr>
        <w:t>ב</w:t>
      </w:r>
      <w:r>
        <w:rPr>
          <w:rFonts w:hint="cs"/>
          <w:rtl/>
        </w:rPr>
        <w:t>'</w:t>
      </w:r>
      <w:r w:rsidRPr="001E4B09">
        <w:rPr>
          <w:rFonts w:hint="cs"/>
          <w:rtl/>
        </w:rPr>
        <w:t xml:space="preserve">) </w:t>
      </w:r>
      <w:r>
        <w:rPr>
          <w:rFonts w:hint="cs"/>
          <w:rtl/>
        </w:rPr>
        <w:t xml:space="preserve">אמר שסברא לומר פעם אחת את </w:t>
      </w:r>
      <w:r w:rsidRPr="001E4B09">
        <w:rPr>
          <w:rFonts w:hint="cs"/>
          <w:rtl/>
        </w:rPr>
        <w:t xml:space="preserve">המשניות הנ"ל, והוסיף שצריך עיון ובירור בזה. (תורת מנחם תנש"א ח"ד עמ' 228). </w:t>
      </w:r>
    </w:p>
    <w:p w:rsidR="00352A69" w:rsidRPr="001E4B09" w:rsidRDefault="00352A69" w:rsidP="00352A69">
      <w:pPr>
        <w:pStyle w:val="a3"/>
        <w:rPr>
          <w:rtl/>
        </w:rPr>
      </w:pPr>
      <w:r w:rsidRPr="001E4B09">
        <w:rPr>
          <w:rFonts w:hint="cs"/>
          <w:rtl/>
        </w:rPr>
        <w:t>מכל הנ"ל נראה, שהרבי לא הכריע בספק זה</w:t>
      </w:r>
      <w:r>
        <w:rPr>
          <w:rFonts w:hint="cs"/>
          <w:rtl/>
        </w:rPr>
        <w:t>, לגבי פרקים א' וב' או ג' וד'</w:t>
      </w:r>
      <w:r w:rsidRPr="001E4B09">
        <w:rPr>
          <w:rFonts w:hint="cs"/>
          <w:rtl/>
        </w:rPr>
        <w:t xml:space="preserve">. וגם כשאמר </w:t>
      </w:r>
      <w:r>
        <w:rPr>
          <w:rFonts w:hint="cs"/>
          <w:rtl/>
        </w:rPr>
        <w:t>ב</w:t>
      </w:r>
      <w:r w:rsidRPr="001E4B09">
        <w:rPr>
          <w:rFonts w:hint="cs"/>
          <w:rtl/>
        </w:rPr>
        <w:t>שנת תנש"א (שזוהי משנה אחרונה) שסברא לומר פעם אחת, הרי הוסיף שצ"ע ובירור בזה.</w:t>
      </w:r>
    </w:p>
    <w:p w:rsidR="00352A69" w:rsidRPr="001E4B09" w:rsidRDefault="00352A69" w:rsidP="00352A69">
      <w:pPr>
        <w:pStyle w:val="a3"/>
        <w:rPr>
          <w:rtl/>
        </w:rPr>
      </w:pPr>
      <w:r w:rsidRPr="001E4B09">
        <w:rPr>
          <w:rFonts w:hint="cs"/>
          <w:rtl/>
        </w:rPr>
        <w:t xml:space="preserve"> </w:t>
      </w:r>
      <w:r w:rsidRPr="001E4B09">
        <w:rPr>
          <w:rtl/>
        </w:rPr>
        <w:t>(</w:t>
      </w:r>
      <w:r w:rsidRPr="001E4B09">
        <w:rPr>
          <w:rFonts w:hint="cs"/>
          <w:rtl/>
        </w:rPr>
        <w:t>לכאורה</w:t>
      </w:r>
      <w:r w:rsidRPr="001E4B09">
        <w:rPr>
          <w:rtl/>
        </w:rPr>
        <w:t xml:space="preserve"> </w:t>
      </w:r>
      <w:r w:rsidRPr="001E4B09">
        <w:rPr>
          <w:rFonts w:hint="cs"/>
          <w:rtl/>
        </w:rPr>
        <w:t>אינו</w:t>
      </w:r>
      <w:r w:rsidRPr="001E4B09">
        <w:rPr>
          <w:rtl/>
        </w:rPr>
        <w:t xml:space="preserve"> </w:t>
      </w:r>
      <w:r w:rsidRPr="001E4B09">
        <w:rPr>
          <w:rFonts w:hint="cs"/>
          <w:rtl/>
        </w:rPr>
        <w:t>דומה</w:t>
      </w:r>
      <w:r w:rsidRPr="001E4B09">
        <w:rPr>
          <w:rtl/>
        </w:rPr>
        <w:t xml:space="preserve"> </w:t>
      </w:r>
      <w:r w:rsidRPr="001E4B09">
        <w:rPr>
          <w:rFonts w:hint="cs"/>
          <w:rtl/>
        </w:rPr>
        <w:t>למ</w:t>
      </w:r>
      <w:r w:rsidRPr="001E4B09">
        <w:rPr>
          <w:rtl/>
        </w:rPr>
        <w:t>"</w:t>
      </w:r>
      <w:r w:rsidRPr="001E4B09">
        <w:rPr>
          <w:rFonts w:hint="cs"/>
          <w:rtl/>
        </w:rPr>
        <w:t>ש</w:t>
      </w:r>
      <w:r w:rsidRPr="001E4B09">
        <w:rPr>
          <w:rtl/>
        </w:rPr>
        <w:t xml:space="preserve"> </w:t>
      </w:r>
      <w:r w:rsidRPr="001E4B09">
        <w:rPr>
          <w:rFonts w:hint="cs"/>
          <w:rtl/>
        </w:rPr>
        <w:t>בספר</w:t>
      </w:r>
      <w:r w:rsidRPr="001E4B09">
        <w:rPr>
          <w:rtl/>
        </w:rPr>
        <w:t xml:space="preserve"> </w:t>
      </w:r>
      <w:r w:rsidRPr="001E4B09">
        <w:rPr>
          <w:rFonts w:hint="cs"/>
          <w:rtl/>
        </w:rPr>
        <w:t>המאמרים</w:t>
      </w:r>
      <w:r w:rsidRPr="001E4B09">
        <w:rPr>
          <w:rtl/>
        </w:rPr>
        <w:t xml:space="preserve"> </w:t>
      </w:r>
      <w:r w:rsidRPr="001E4B09">
        <w:rPr>
          <w:rFonts w:hint="cs"/>
          <w:rtl/>
        </w:rPr>
        <w:t>מלוקט</w:t>
      </w:r>
      <w:r w:rsidRPr="001E4B09">
        <w:rPr>
          <w:rtl/>
        </w:rPr>
        <w:t xml:space="preserve"> </w:t>
      </w:r>
      <w:r w:rsidRPr="001E4B09">
        <w:rPr>
          <w:rFonts w:hint="cs"/>
          <w:rtl/>
        </w:rPr>
        <w:t>אלול</w:t>
      </w:r>
      <w:r w:rsidRPr="001E4B09">
        <w:rPr>
          <w:rtl/>
        </w:rPr>
        <w:t xml:space="preserve"> </w:t>
      </w:r>
      <w:r w:rsidRPr="001E4B09">
        <w:rPr>
          <w:rFonts w:hint="cs"/>
          <w:rtl/>
        </w:rPr>
        <w:t>עמ</w:t>
      </w:r>
      <w:r w:rsidRPr="001E4B09">
        <w:rPr>
          <w:rtl/>
        </w:rPr>
        <w:t xml:space="preserve">' </w:t>
      </w:r>
      <w:r w:rsidRPr="001E4B09">
        <w:rPr>
          <w:rFonts w:hint="cs"/>
          <w:rtl/>
        </w:rPr>
        <w:t xml:space="preserve">רלו: </w:t>
      </w:r>
      <w:r>
        <w:rPr>
          <w:rFonts w:hint="cs"/>
          <w:rtl/>
        </w:rPr>
        <w:t>"</w:t>
      </w:r>
      <w:r w:rsidRPr="001E4B09">
        <w:rPr>
          <w:rFonts w:hint="cs"/>
          <w:rtl/>
        </w:rPr>
        <w:t>שבאחד המאמרים שאמר כ"ק אדמו"ר (מוהרש"ב) נ"ע ביחידות לבנו כ"ק מו"ח אדמו"ר אמר ענין ... בדרך אפשר, ואח"כ הי' כ"ק אדמו"ר אצל חותנו ... וחזר את המאמר הנ"ל וגם ענין הנ"ל בפשטות ...ושאלהו כ"ק אדמו"ר (מוהרש"ב) נ"ע, הא</w:t>
      </w:r>
      <w:r w:rsidRPr="001E4B09">
        <w:rPr>
          <w:rtl/>
        </w:rPr>
        <w:t xml:space="preserve"> </w:t>
      </w:r>
      <w:r w:rsidRPr="001E4B09">
        <w:rPr>
          <w:rFonts w:hint="cs"/>
          <w:rtl/>
        </w:rPr>
        <w:t>מניין</w:t>
      </w:r>
      <w:r w:rsidRPr="001E4B09">
        <w:rPr>
          <w:rtl/>
        </w:rPr>
        <w:t xml:space="preserve"> </w:t>
      </w:r>
      <w:r w:rsidRPr="001E4B09">
        <w:rPr>
          <w:rFonts w:hint="cs"/>
          <w:rtl/>
        </w:rPr>
        <w:t xml:space="preserve">לך </w:t>
      </w:r>
      <w:r w:rsidRPr="001E4B09">
        <w:rPr>
          <w:rtl/>
        </w:rPr>
        <w:t xml:space="preserve">? </w:t>
      </w:r>
      <w:r w:rsidRPr="001E4B09">
        <w:rPr>
          <w:rFonts w:hint="cs"/>
          <w:rtl/>
        </w:rPr>
        <w:t>הרי</w:t>
      </w:r>
      <w:r w:rsidRPr="001E4B09">
        <w:rPr>
          <w:rtl/>
        </w:rPr>
        <w:t xml:space="preserve"> </w:t>
      </w:r>
      <w:r w:rsidRPr="001E4B09">
        <w:rPr>
          <w:rFonts w:hint="cs"/>
          <w:rtl/>
        </w:rPr>
        <w:t>אמרתי</w:t>
      </w:r>
      <w:r w:rsidRPr="001E4B09">
        <w:rPr>
          <w:rtl/>
        </w:rPr>
        <w:t xml:space="preserve"> </w:t>
      </w:r>
      <w:r w:rsidRPr="001E4B09">
        <w:rPr>
          <w:rFonts w:hint="cs"/>
          <w:rtl/>
        </w:rPr>
        <w:t>רק</w:t>
      </w:r>
      <w:r w:rsidRPr="001E4B09">
        <w:rPr>
          <w:rtl/>
        </w:rPr>
        <w:t xml:space="preserve"> </w:t>
      </w:r>
      <w:r w:rsidRPr="001E4B09">
        <w:rPr>
          <w:rFonts w:hint="cs"/>
          <w:rtl/>
        </w:rPr>
        <w:t>בדרך</w:t>
      </w:r>
      <w:r w:rsidRPr="001E4B09">
        <w:rPr>
          <w:rtl/>
        </w:rPr>
        <w:t xml:space="preserve"> </w:t>
      </w:r>
      <w:r w:rsidRPr="001E4B09">
        <w:rPr>
          <w:rFonts w:hint="cs"/>
          <w:rtl/>
        </w:rPr>
        <w:t xml:space="preserve">אפשר </w:t>
      </w:r>
      <w:r w:rsidRPr="001E4B09">
        <w:rPr>
          <w:rtl/>
        </w:rPr>
        <w:t xml:space="preserve">? </w:t>
      </w:r>
      <w:r w:rsidRPr="001E4B09">
        <w:rPr>
          <w:rFonts w:hint="cs"/>
          <w:rtl/>
        </w:rPr>
        <w:t>וענה</w:t>
      </w:r>
      <w:r w:rsidRPr="001E4B09">
        <w:rPr>
          <w:rtl/>
        </w:rPr>
        <w:t xml:space="preserve"> </w:t>
      </w:r>
      <w:r w:rsidRPr="001E4B09">
        <w:rPr>
          <w:rFonts w:hint="cs"/>
          <w:rtl/>
        </w:rPr>
        <w:t>לו</w:t>
      </w:r>
      <w:r w:rsidRPr="001E4B09">
        <w:rPr>
          <w:rtl/>
        </w:rPr>
        <w:t xml:space="preserve">: </w:t>
      </w:r>
      <w:r w:rsidRPr="001E4B09">
        <w:rPr>
          <w:rFonts w:hint="cs"/>
          <w:rtl/>
        </w:rPr>
        <w:t>מה</w:t>
      </w:r>
      <w:r w:rsidRPr="001E4B09">
        <w:rPr>
          <w:rtl/>
        </w:rPr>
        <w:t xml:space="preserve"> </w:t>
      </w:r>
      <w:r w:rsidRPr="001E4B09">
        <w:rPr>
          <w:rFonts w:hint="cs"/>
          <w:rtl/>
        </w:rPr>
        <w:t>שאצלך</w:t>
      </w:r>
      <w:r w:rsidRPr="001E4B09">
        <w:rPr>
          <w:rtl/>
        </w:rPr>
        <w:t xml:space="preserve"> </w:t>
      </w:r>
      <w:r w:rsidRPr="001E4B09">
        <w:rPr>
          <w:rFonts w:hint="cs"/>
          <w:rtl/>
        </w:rPr>
        <w:t>בדרך</w:t>
      </w:r>
      <w:r w:rsidRPr="001E4B09">
        <w:rPr>
          <w:rtl/>
        </w:rPr>
        <w:t xml:space="preserve"> </w:t>
      </w:r>
      <w:r w:rsidRPr="001E4B09">
        <w:rPr>
          <w:rFonts w:hint="cs"/>
          <w:rtl/>
        </w:rPr>
        <w:t>אפשר</w:t>
      </w:r>
      <w:r w:rsidRPr="001E4B09">
        <w:rPr>
          <w:rtl/>
        </w:rPr>
        <w:t xml:space="preserve"> </w:t>
      </w:r>
      <w:r w:rsidRPr="001E4B09">
        <w:rPr>
          <w:rFonts w:hint="cs"/>
          <w:rtl/>
        </w:rPr>
        <w:t>נעשה</w:t>
      </w:r>
      <w:r w:rsidRPr="001E4B09">
        <w:rPr>
          <w:rtl/>
        </w:rPr>
        <w:t xml:space="preserve"> </w:t>
      </w:r>
      <w:r w:rsidRPr="001E4B09">
        <w:rPr>
          <w:rFonts w:hint="cs"/>
          <w:rtl/>
        </w:rPr>
        <w:t>אצלי</w:t>
      </w:r>
      <w:r w:rsidRPr="001E4B09">
        <w:rPr>
          <w:rtl/>
        </w:rPr>
        <w:t xml:space="preserve"> </w:t>
      </w:r>
      <w:r w:rsidRPr="001E4B09">
        <w:rPr>
          <w:rFonts w:hint="cs"/>
          <w:rtl/>
        </w:rPr>
        <w:t>דבר</w:t>
      </w:r>
      <w:r w:rsidRPr="001E4B09">
        <w:rPr>
          <w:rtl/>
        </w:rPr>
        <w:t xml:space="preserve"> </w:t>
      </w:r>
      <w:r w:rsidRPr="001E4B09">
        <w:rPr>
          <w:rFonts w:hint="cs"/>
          <w:rtl/>
        </w:rPr>
        <w:t>ודאי</w:t>
      </w:r>
      <w:r>
        <w:rPr>
          <w:rFonts w:hint="cs"/>
          <w:rtl/>
        </w:rPr>
        <w:t>"</w:t>
      </w:r>
      <w:r w:rsidRPr="001E4B09">
        <w:rPr>
          <w:rFonts w:hint="cs"/>
          <w:rtl/>
        </w:rPr>
        <w:t xml:space="preserve">. שהרי יש הבדל בין אמירת </w:t>
      </w:r>
      <w:r>
        <w:rPr>
          <w:rFonts w:hint="cs"/>
          <w:rtl/>
        </w:rPr>
        <w:t>"</w:t>
      </w:r>
      <w:r w:rsidRPr="001E4B09">
        <w:rPr>
          <w:rFonts w:hint="cs"/>
          <w:rtl/>
        </w:rPr>
        <w:t>ענין בדרך אפשר</w:t>
      </w:r>
      <w:r>
        <w:rPr>
          <w:rFonts w:hint="cs"/>
          <w:rtl/>
        </w:rPr>
        <w:t>"</w:t>
      </w:r>
      <w:r w:rsidRPr="001E4B09">
        <w:rPr>
          <w:rFonts w:hint="cs"/>
          <w:rtl/>
        </w:rPr>
        <w:t xml:space="preserve"> לבין אמירת סברא בהסתייגות </w:t>
      </w:r>
      <w:r>
        <w:rPr>
          <w:rFonts w:hint="cs"/>
          <w:rtl/>
        </w:rPr>
        <w:t>"</w:t>
      </w:r>
      <w:r w:rsidRPr="001E4B09">
        <w:rPr>
          <w:rFonts w:hint="cs"/>
          <w:rtl/>
        </w:rPr>
        <w:t>שצ"ע ובירור</w:t>
      </w:r>
      <w:r>
        <w:rPr>
          <w:rFonts w:hint="cs"/>
          <w:rtl/>
        </w:rPr>
        <w:t>"</w:t>
      </w:r>
      <w:r w:rsidRPr="001E4B09">
        <w:rPr>
          <w:rFonts w:hint="cs"/>
          <w:rtl/>
        </w:rPr>
        <w:t xml:space="preserve"> בה</w:t>
      </w:r>
      <w:r w:rsidRPr="001E4B09">
        <w:rPr>
          <w:rtl/>
        </w:rPr>
        <w:t>).</w:t>
      </w:r>
    </w:p>
    <w:p w:rsidR="00352A69" w:rsidRPr="001E4B09" w:rsidRDefault="00352A69" w:rsidP="00352A69">
      <w:pPr>
        <w:pStyle w:val="a3"/>
        <w:rPr>
          <w:rtl/>
        </w:rPr>
      </w:pPr>
      <w:r w:rsidRPr="001E4B09">
        <w:rPr>
          <w:rFonts w:hint="cs"/>
          <w:rtl/>
        </w:rPr>
        <w:t>וא"כ, לפלא הוא,</w:t>
      </w:r>
      <w:r w:rsidRPr="001E4B09">
        <w:rPr>
          <w:rtl/>
        </w:rPr>
        <w:t xml:space="preserve"> </w:t>
      </w:r>
      <w:r w:rsidRPr="001E4B09">
        <w:rPr>
          <w:rFonts w:hint="cs"/>
          <w:rtl/>
        </w:rPr>
        <w:t>שבסידור</w:t>
      </w:r>
      <w:r w:rsidRPr="001E4B09">
        <w:rPr>
          <w:rtl/>
        </w:rPr>
        <w:t xml:space="preserve"> </w:t>
      </w:r>
      <w:r w:rsidRPr="001E4B09">
        <w:rPr>
          <w:rFonts w:hint="cs"/>
          <w:rtl/>
        </w:rPr>
        <w:t>תהלת</w:t>
      </w:r>
      <w:r w:rsidRPr="001E4B09">
        <w:rPr>
          <w:rtl/>
        </w:rPr>
        <w:t xml:space="preserve"> </w:t>
      </w:r>
      <w:r w:rsidRPr="001E4B09">
        <w:rPr>
          <w:rFonts w:hint="cs"/>
          <w:rtl/>
        </w:rPr>
        <w:t>ה</w:t>
      </w:r>
      <w:r w:rsidRPr="001E4B09">
        <w:rPr>
          <w:rtl/>
        </w:rPr>
        <w:t xml:space="preserve">' </w:t>
      </w:r>
      <w:r w:rsidRPr="001E4B09">
        <w:rPr>
          <w:rFonts w:hint="cs"/>
          <w:rtl/>
        </w:rPr>
        <w:t>בהוצאה</w:t>
      </w:r>
      <w:r w:rsidRPr="001E4B09">
        <w:rPr>
          <w:rtl/>
        </w:rPr>
        <w:t xml:space="preserve"> </w:t>
      </w:r>
      <w:r w:rsidRPr="001E4B09">
        <w:rPr>
          <w:rFonts w:hint="cs"/>
          <w:rtl/>
        </w:rPr>
        <w:t>החדשה</w:t>
      </w:r>
      <w:r w:rsidRPr="001E4B09">
        <w:rPr>
          <w:rtl/>
        </w:rPr>
        <w:t xml:space="preserve">, </w:t>
      </w:r>
      <w:r w:rsidRPr="001E4B09">
        <w:rPr>
          <w:rFonts w:hint="cs"/>
          <w:rtl/>
        </w:rPr>
        <w:t>נכתב</w:t>
      </w:r>
      <w:r w:rsidRPr="001E4B09">
        <w:rPr>
          <w:rtl/>
        </w:rPr>
        <w:t xml:space="preserve"> </w:t>
      </w:r>
      <w:r>
        <w:rPr>
          <w:rFonts w:hint="cs"/>
          <w:rtl/>
        </w:rPr>
        <w:t xml:space="preserve"> (בשוה"ג) </w:t>
      </w:r>
      <w:r w:rsidRPr="001E4B09">
        <w:rPr>
          <w:rFonts w:hint="cs"/>
          <w:rtl/>
        </w:rPr>
        <w:t>בהנהגות</w:t>
      </w:r>
      <w:r w:rsidRPr="001E4B09">
        <w:rPr>
          <w:rtl/>
        </w:rPr>
        <w:t xml:space="preserve"> </w:t>
      </w:r>
      <w:r>
        <w:rPr>
          <w:rFonts w:hint="cs"/>
          <w:rtl/>
        </w:rPr>
        <w:t>ל</w:t>
      </w:r>
      <w:r w:rsidRPr="001E4B09">
        <w:rPr>
          <w:rFonts w:hint="cs"/>
          <w:rtl/>
        </w:rPr>
        <w:t>פרקי</w:t>
      </w:r>
      <w:r w:rsidRPr="001E4B09">
        <w:rPr>
          <w:rtl/>
        </w:rPr>
        <w:t xml:space="preserve"> </w:t>
      </w:r>
      <w:r w:rsidRPr="001E4B09">
        <w:rPr>
          <w:rFonts w:hint="cs"/>
          <w:rtl/>
        </w:rPr>
        <w:t>אבות</w:t>
      </w:r>
      <w:r>
        <w:rPr>
          <w:rFonts w:hint="cs"/>
          <w:rtl/>
        </w:rPr>
        <w:t>,</w:t>
      </w:r>
      <w:r w:rsidRPr="001E4B09">
        <w:rPr>
          <w:rtl/>
        </w:rPr>
        <w:t xml:space="preserve"> </w:t>
      </w:r>
      <w:r w:rsidRPr="001E4B09">
        <w:rPr>
          <w:rFonts w:hint="cs"/>
          <w:rtl/>
        </w:rPr>
        <w:t>שכאשר</w:t>
      </w:r>
      <w:r w:rsidRPr="001E4B09">
        <w:rPr>
          <w:rtl/>
        </w:rPr>
        <w:t xml:space="preserve"> </w:t>
      </w:r>
      <w:r w:rsidRPr="001E4B09">
        <w:rPr>
          <w:rFonts w:hint="cs"/>
          <w:rtl/>
        </w:rPr>
        <w:t>אומרים</w:t>
      </w:r>
      <w:r w:rsidRPr="001E4B09">
        <w:rPr>
          <w:rtl/>
        </w:rPr>
        <w:t xml:space="preserve"> </w:t>
      </w:r>
      <w:r w:rsidRPr="001E4B09">
        <w:rPr>
          <w:rFonts w:hint="cs"/>
          <w:rtl/>
        </w:rPr>
        <w:t>את</w:t>
      </w:r>
      <w:r w:rsidRPr="001E4B09">
        <w:rPr>
          <w:rtl/>
        </w:rPr>
        <w:t xml:space="preserve"> </w:t>
      </w:r>
      <w:r w:rsidRPr="001E4B09">
        <w:rPr>
          <w:rFonts w:hint="cs"/>
          <w:rtl/>
        </w:rPr>
        <w:t>פרקי</w:t>
      </w:r>
      <w:r w:rsidRPr="001E4B09">
        <w:rPr>
          <w:rtl/>
        </w:rPr>
        <w:t xml:space="preserve"> </w:t>
      </w:r>
      <w:r w:rsidRPr="001E4B09">
        <w:rPr>
          <w:rFonts w:hint="cs"/>
          <w:rtl/>
        </w:rPr>
        <w:t>א</w:t>
      </w:r>
      <w:r w:rsidRPr="001E4B09">
        <w:rPr>
          <w:rtl/>
        </w:rPr>
        <w:t xml:space="preserve">' </w:t>
      </w:r>
      <w:r w:rsidRPr="001E4B09">
        <w:rPr>
          <w:rFonts w:hint="cs"/>
          <w:rtl/>
        </w:rPr>
        <w:t>וב</w:t>
      </w:r>
      <w:r w:rsidRPr="001E4B09">
        <w:rPr>
          <w:rtl/>
        </w:rPr>
        <w:t xml:space="preserve">' </w:t>
      </w:r>
      <w:r w:rsidRPr="001E4B09">
        <w:rPr>
          <w:rFonts w:hint="cs"/>
          <w:rtl/>
        </w:rPr>
        <w:t>או</w:t>
      </w:r>
      <w:r w:rsidRPr="001E4B09">
        <w:rPr>
          <w:rtl/>
        </w:rPr>
        <w:t xml:space="preserve"> </w:t>
      </w:r>
      <w:r w:rsidRPr="001E4B09">
        <w:rPr>
          <w:rFonts w:hint="cs"/>
          <w:rtl/>
        </w:rPr>
        <w:t>את</w:t>
      </w:r>
      <w:r w:rsidRPr="001E4B09">
        <w:rPr>
          <w:rtl/>
        </w:rPr>
        <w:t xml:space="preserve"> </w:t>
      </w:r>
      <w:r w:rsidRPr="001E4B09">
        <w:rPr>
          <w:rFonts w:hint="cs"/>
          <w:rtl/>
        </w:rPr>
        <w:t>פרקי</w:t>
      </w:r>
      <w:r w:rsidRPr="001E4B09">
        <w:rPr>
          <w:rtl/>
        </w:rPr>
        <w:t xml:space="preserve"> </w:t>
      </w:r>
      <w:r w:rsidRPr="001E4B09">
        <w:rPr>
          <w:rFonts w:hint="cs"/>
          <w:rtl/>
        </w:rPr>
        <w:t>ג</w:t>
      </w:r>
      <w:r w:rsidRPr="001E4B09">
        <w:rPr>
          <w:rtl/>
        </w:rPr>
        <w:t xml:space="preserve">' </w:t>
      </w:r>
      <w:r w:rsidRPr="001E4B09">
        <w:rPr>
          <w:rFonts w:hint="cs"/>
          <w:rtl/>
        </w:rPr>
        <w:t>וד</w:t>
      </w:r>
      <w:r w:rsidRPr="001E4B09">
        <w:rPr>
          <w:rtl/>
        </w:rPr>
        <w:t xml:space="preserve">' </w:t>
      </w:r>
      <w:r w:rsidRPr="001E4B09">
        <w:rPr>
          <w:rFonts w:hint="cs"/>
          <w:rtl/>
        </w:rPr>
        <w:t>ב</w:t>
      </w:r>
      <w:r>
        <w:rPr>
          <w:rFonts w:hint="cs"/>
          <w:rtl/>
        </w:rPr>
        <w:t>שבת אחת</w:t>
      </w:r>
      <w:r w:rsidRPr="001E4B09">
        <w:rPr>
          <w:rtl/>
        </w:rPr>
        <w:t xml:space="preserve">, </w:t>
      </w:r>
      <w:r w:rsidRPr="001E4B09">
        <w:rPr>
          <w:rFonts w:hint="cs"/>
          <w:rtl/>
        </w:rPr>
        <w:t>לומר</w:t>
      </w:r>
      <w:r w:rsidRPr="001E4B09">
        <w:rPr>
          <w:rtl/>
        </w:rPr>
        <w:t xml:space="preserve"> </w:t>
      </w:r>
      <w:r w:rsidRPr="001E4B09">
        <w:rPr>
          <w:rFonts w:hint="cs"/>
          <w:rtl/>
        </w:rPr>
        <w:t>את</w:t>
      </w:r>
      <w:r w:rsidRPr="001E4B09">
        <w:rPr>
          <w:rtl/>
        </w:rPr>
        <w:t xml:space="preserve"> </w:t>
      </w:r>
      <w:r w:rsidRPr="001E4B09">
        <w:rPr>
          <w:rFonts w:hint="cs"/>
          <w:rtl/>
        </w:rPr>
        <w:t>המשניות</w:t>
      </w:r>
      <w:r w:rsidRPr="001E4B09">
        <w:rPr>
          <w:rtl/>
        </w:rPr>
        <w:t xml:space="preserve"> </w:t>
      </w:r>
      <w:r w:rsidRPr="001E4B09">
        <w:rPr>
          <w:rFonts w:hint="cs"/>
          <w:rtl/>
        </w:rPr>
        <w:t>הנ</w:t>
      </w:r>
      <w:r w:rsidRPr="001E4B09">
        <w:rPr>
          <w:rtl/>
        </w:rPr>
        <w:t>"</w:t>
      </w:r>
      <w:r w:rsidRPr="001E4B09">
        <w:rPr>
          <w:rFonts w:hint="cs"/>
          <w:rtl/>
        </w:rPr>
        <w:t>ל</w:t>
      </w:r>
      <w:r w:rsidRPr="001E4B09">
        <w:rPr>
          <w:rtl/>
        </w:rPr>
        <w:t xml:space="preserve"> </w:t>
      </w:r>
      <w:r w:rsidRPr="001E4B09">
        <w:rPr>
          <w:rFonts w:hint="cs"/>
          <w:rtl/>
        </w:rPr>
        <w:t>פעם</w:t>
      </w:r>
      <w:r w:rsidRPr="001E4B09">
        <w:rPr>
          <w:rtl/>
        </w:rPr>
        <w:t xml:space="preserve"> </w:t>
      </w:r>
      <w:r w:rsidRPr="001E4B09">
        <w:rPr>
          <w:rFonts w:hint="cs"/>
          <w:rtl/>
        </w:rPr>
        <w:t>אחת</w:t>
      </w:r>
      <w:r>
        <w:rPr>
          <w:rFonts w:hint="cs"/>
          <w:rtl/>
        </w:rPr>
        <w:t xml:space="preserve"> בלבד.</w:t>
      </w:r>
      <w:r w:rsidRPr="001E4B09">
        <w:rPr>
          <w:rtl/>
        </w:rPr>
        <w:t xml:space="preserve"> </w:t>
      </w:r>
      <w:r w:rsidRPr="001E4B09">
        <w:rPr>
          <w:rFonts w:hint="cs"/>
          <w:rtl/>
        </w:rPr>
        <w:t>כהוראה ברורה, וללא כל הסתייגות.</w:t>
      </w:r>
    </w:p>
    <w:p w:rsidR="001C6EFC" w:rsidRDefault="00352A69" w:rsidP="001C6EFC">
      <w:pPr>
        <w:pStyle w:val="11"/>
        <w:bidi/>
        <w:rPr>
          <w:rtl/>
        </w:rPr>
      </w:pPr>
      <w:r w:rsidRPr="001E4B09">
        <w:rPr>
          <w:rFonts w:hint="cs"/>
          <w:rtl/>
        </w:rPr>
        <w:t xml:space="preserve">ד                                           </w:t>
      </w:r>
    </w:p>
    <w:p w:rsidR="00352A69" w:rsidRPr="001E4B09" w:rsidRDefault="00352A69" w:rsidP="001C6EFC">
      <w:pPr>
        <w:pStyle w:val="11"/>
        <w:bidi/>
        <w:rPr>
          <w:rtl/>
        </w:rPr>
      </w:pPr>
      <w:r w:rsidRPr="001E4B09">
        <w:rPr>
          <w:rFonts w:hint="cs"/>
          <w:rtl/>
        </w:rPr>
        <w:t>המנהגים בלוח "היום יום"</w:t>
      </w:r>
    </w:p>
    <w:p w:rsidR="00352A69" w:rsidRPr="001E4B09" w:rsidRDefault="00352A69" w:rsidP="00352A69">
      <w:pPr>
        <w:pStyle w:val="a3"/>
        <w:rPr>
          <w:rtl/>
        </w:rPr>
      </w:pPr>
      <w:r w:rsidRPr="001E4B09">
        <w:rPr>
          <w:rFonts w:hint="cs"/>
          <w:rtl/>
        </w:rPr>
        <w:t>בלוח</w:t>
      </w:r>
      <w:r w:rsidRPr="001E4B09">
        <w:rPr>
          <w:rtl/>
        </w:rPr>
        <w:t xml:space="preserve"> "</w:t>
      </w:r>
      <w:r w:rsidRPr="001E4B09">
        <w:rPr>
          <w:rFonts w:hint="cs"/>
          <w:rtl/>
        </w:rPr>
        <w:t>היום</w:t>
      </w:r>
      <w:r w:rsidRPr="001E4B09">
        <w:rPr>
          <w:rtl/>
        </w:rPr>
        <w:t xml:space="preserve"> </w:t>
      </w:r>
      <w:r w:rsidRPr="001E4B09">
        <w:rPr>
          <w:rFonts w:hint="cs"/>
          <w:rtl/>
        </w:rPr>
        <w:t>יום</w:t>
      </w:r>
      <w:r w:rsidRPr="001E4B09">
        <w:rPr>
          <w:rtl/>
        </w:rPr>
        <w:t xml:space="preserve">" </w:t>
      </w:r>
      <w:r>
        <w:rPr>
          <w:rFonts w:hint="cs"/>
          <w:rtl/>
        </w:rPr>
        <w:t>כתב</w:t>
      </w:r>
      <w:r w:rsidRPr="001E4B09">
        <w:rPr>
          <w:rtl/>
        </w:rPr>
        <w:t xml:space="preserve"> </w:t>
      </w:r>
      <w:r w:rsidRPr="001E4B09">
        <w:rPr>
          <w:rFonts w:hint="cs"/>
          <w:rtl/>
        </w:rPr>
        <w:t>הרבי</w:t>
      </w:r>
      <w:r w:rsidRPr="001E4B09">
        <w:rPr>
          <w:rtl/>
        </w:rPr>
        <w:t xml:space="preserve"> </w:t>
      </w:r>
      <w:r w:rsidRPr="001E4B09">
        <w:rPr>
          <w:rFonts w:hint="cs"/>
          <w:rtl/>
        </w:rPr>
        <w:t>מנהגים</w:t>
      </w:r>
      <w:r>
        <w:rPr>
          <w:rFonts w:hint="cs"/>
          <w:rtl/>
        </w:rPr>
        <w:t xml:space="preserve"> רבים</w:t>
      </w:r>
      <w:r w:rsidRPr="001E4B09">
        <w:rPr>
          <w:rtl/>
        </w:rPr>
        <w:t xml:space="preserve">. </w:t>
      </w:r>
      <w:r w:rsidRPr="001E4B09">
        <w:rPr>
          <w:rFonts w:hint="cs"/>
          <w:rtl/>
        </w:rPr>
        <w:t>המנהגים</w:t>
      </w:r>
      <w:r w:rsidRPr="001E4B09">
        <w:rPr>
          <w:rtl/>
        </w:rPr>
        <w:t xml:space="preserve"> </w:t>
      </w:r>
      <w:r w:rsidRPr="001E4B09">
        <w:rPr>
          <w:rFonts w:hint="cs"/>
          <w:rtl/>
        </w:rPr>
        <w:t>כתובים</w:t>
      </w:r>
      <w:r w:rsidRPr="001E4B09">
        <w:rPr>
          <w:rtl/>
        </w:rPr>
        <w:t xml:space="preserve"> </w:t>
      </w:r>
      <w:r w:rsidRPr="001E4B09">
        <w:rPr>
          <w:rFonts w:hint="cs"/>
          <w:rtl/>
        </w:rPr>
        <w:t>כל</w:t>
      </w:r>
      <w:r w:rsidRPr="001E4B09">
        <w:rPr>
          <w:rtl/>
        </w:rPr>
        <w:t xml:space="preserve"> </w:t>
      </w:r>
      <w:r w:rsidRPr="001E4B09">
        <w:rPr>
          <w:rFonts w:hint="cs"/>
          <w:rtl/>
        </w:rPr>
        <w:t>מנהג</w:t>
      </w:r>
      <w:r w:rsidRPr="001E4B09">
        <w:rPr>
          <w:rtl/>
        </w:rPr>
        <w:t xml:space="preserve"> </w:t>
      </w:r>
      <w:r w:rsidRPr="001E4B09">
        <w:rPr>
          <w:rFonts w:hint="cs"/>
          <w:rtl/>
        </w:rPr>
        <w:t>ביום</w:t>
      </w:r>
      <w:r w:rsidRPr="001E4B09">
        <w:rPr>
          <w:rtl/>
        </w:rPr>
        <w:t xml:space="preserve"> </w:t>
      </w:r>
      <w:r w:rsidRPr="001E4B09">
        <w:rPr>
          <w:rFonts w:hint="cs"/>
          <w:rtl/>
        </w:rPr>
        <w:t>המתאים</w:t>
      </w:r>
      <w:r w:rsidRPr="001E4B09">
        <w:rPr>
          <w:rtl/>
        </w:rPr>
        <w:t xml:space="preserve"> </w:t>
      </w:r>
      <w:r w:rsidRPr="001E4B09">
        <w:rPr>
          <w:rFonts w:hint="cs"/>
          <w:rtl/>
        </w:rPr>
        <w:t>לו</w:t>
      </w:r>
      <w:r w:rsidRPr="001E4B09">
        <w:rPr>
          <w:rtl/>
        </w:rPr>
        <w:t xml:space="preserve"> </w:t>
      </w:r>
      <w:r w:rsidRPr="001E4B09">
        <w:rPr>
          <w:rFonts w:hint="cs"/>
          <w:rtl/>
        </w:rPr>
        <w:t>לפי</w:t>
      </w:r>
      <w:r w:rsidRPr="001E4B09">
        <w:rPr>
          <w:rtl/>
        </w:rPr>
        <w:t xml:space="preserve"> </w:t>
      </w:r>
      <w:r w:rsidRPr="001E4B09">
        <w:rPr>
          <w:rFonts w:hint="cs"/>
          <w:rtl/>
        </w:rPr>
        <w:t>קביעות</w:t>
      </w:r>
      <w:r w:rsidRPr="001E4B09">
        <w:rPr>
          <w:rtl/>
        </w:rPr>
        <w:t xml:space="preserve"> </w:t>
      </w:r>
      <w:r w:rsidRPr="001E4B09">
        <w:rPr>
          <w:rFonts w:hint="cs"/>
          <w:rtl/>
        </w:rPr>
        <w:t>השנה</w:t>
      </w:r>
      <w:r w:rsidRPr="001E4B09">
        <w:rPr>
          <w:rtl/>
        </w:rPr>
        <w:t xml:space="preserve"> </w:t>
      </w:r>
      <w:r w:rsidRPr="001E4B09">
        <w:rPr>
          <w:rFonts w:hint="cs"/>
          <w:rtl/>
        </w:rPr>
        <w:t>ההיא</w:t>
      </w:r>
      <w:r w:rsidRPr="001E4B09">
        <w:rPr>
          <w:rtl/>
        </w:rPr>
        <w:t xml:space="preserve">, </w:t>
      </w:r>
      <w:r w:rsidRPr="001E4B09">
        <w:rPr>
          <w:rFonts w:hint="cs"/>
          <w:rtl/>
        </w:rPr>
        <w:t>ה</w:t>
      </w:r>
      <w:r w:rsidRPr="001E4B09">
        <w:rPr>
          <w:rtl/>
        </w:rPr>
        <w:t>'</w:t>
      </w:r>
      <w:r w:rsidRPr="001E4B09">
        <w:rPr>
          <w:rFonts w:hint="cs"/>
          <w:rtl/>
        </w:rPr>
        <w:t>תש</w:t>
      </w:r>
      <w:r w:rsidRPr="001E4B09">
        <w:rPr>
          <w:rtl/>
        </w:rPr>
        <w:t>"</w:t>
      </w:r>
      <w:r w:rsidRPr="001E4B09">
        <w:rPr>
          <w:rFonts w:hint="cs"/>
          <w:rtl/>
        </w:rPr>
        <w:t>ג</w:t>
      </w:r>
      <w:r w:rsidRPr="001E4B09">
        <w:rPr>
          <w:rtl/>
        </w:rPr>
        <w:t xml:space="preserve">. </w:t>
      </w:r>
      <w:r w:rsidRPr="001E4B09">
        <w:rPr>
          <w:rFonts w:hint="cs"/>
          <w:rtl/>
        </w:rPr>
        <w:t>ומנהגים</w:t>
      </w:r>
      <w:r w:rsidRPr="001E4B09">
        <w:rPr>
          <w:rtl/>
        </w:rPr>
        <w:t xml:space="preserve"> </w:t>
      </w:r>
      <w:r w:rsidRPr="001E4B09">
        <w:rPr>
          <w:rFonts w:hint="cs"/>
          <w:rtl/>
        </w:rPr>
        <w:t>שלא</w:t>
      </w:r>
      <w:r w:rsidRPr="001E4B09">
        <w:rPr>
          <w:rtl/>
        </w:rPr>
        <w:t xml:space="preserve"> </w:t>
      </w:r>
      <w:r w:rsidRPr="001E4B09">
        <w:rPr>
          <w:rFonts w:hint="cs"/>
          <w:rtl/>
        </w:rPr>
        <w:t>התאימו</w:t>
      </w:r>
      <w:r w:rsidRPr="001E4B09">
        <w:rPr>
          <w:rtl/>
        </w:rPr>
        <w:t xml:space="preserve"> </w:t>
      </w:r>
      <w:r w:rsidRPr="001E4B09">
        <w:rPr>
          <w:rFonts w:hint="cs"/>
          <w:rtl/>
        </w:rPr>
        <w:t>לשנה</w:t>
      </w:r>
      <w:r w:rsidRPr="001E4B09">
        <w:rPr>
          <w:rtl/>
        </w:rPr>
        <w:t xml:space="preserve"> </w:t>
      </w:r>
      <w:r w:rsidRPr="001E4B09">
        <w:rPr>
          <w:rFonts w:hint="cs"/>
          <w:rtl/>
        </w:rPr>
        <w:t>ההיא</w:t>
      </w:r>
      <w:r w:rsidRPr="001E4B09">
        <w:rPr>
          <w:rtl/>
        </w:rPr>
        <w:t xml:space="preserve"> </w:t>
      </w:r>
      <w:r w:rsidRPr="001E4B09">
        <w:rPr>
          <w:rFonts w:hint="cs"/>
          <w:rtl/>
        </w:rPr>
        <w:t>לא</w:t>
      </w:r>
      <w:r w:rsidRPr="001E4B09">
        <w:rPr>
          <w:rtl/>
        </w:rPr>
        <w:t xml:space="preserve"> </w:t>
      </w:r>
      <w:r w:rsidRPr="001E4B09">
        <w:rPr>
          <w:rFonts w:hint="cs"/>
          <w:rtl/>
        </w:rPr>
        <w:t>נכנסו</w:t>
      </w:r>
      <w:r w:rsidRPr="001E4B09">
        <w:rPr>
          <w:rtl/>
        </w:rPr>
        <w:t xml:space="preserve"> </w:t>
      </w:r>
      <w:r w:rsidRPr="001E4B09">
        <w:rPr>
          <w:rFonts w:hint="cs"/>
          <w:rtl/>
        </w:rPr>
        <w:t>ללוח</w:t>
      </w:r>
      <w:r w:rsidRPr="001E4B09">
        <w:rPr>
          <w:rtl/>
        </w:rPr>
        <w:t xml:space="preserve">. </w:t>
      </w:r>
      <w:r w:rsidRPr="001E4B09">
        <w:rPr>
          <w:rFonts w:hint="cs"/>
          <w:rtl/>
        </w:rPr>
        <w:t xml:space="preserve">                               לדוגמא</w:t>
      </w:r>
      <w:r w:rsidRPr="001E4B09">
        <w:rPr>
          <w:rtl/>
        </w:rPr>
        <w:t xml:space="preserve">, </w:t>
      </w:r>
      <w:r w:rsidRPr="001E4B09">
        <w:rPr>
          <w:rFonts w:hint="cs"/>
          <w:rtl/>
        </w:rPr>
        <w:t>אין</w:t>
      </w:r>
      <w:r w:rsidRPr="001E4B09">
        <w:rPr>
          <w:rtl/>
        </w:rPr>
        <w:t xml:space="preserve"> </w:t>
      </w:r>
      <w:r w:rsidRPr="001E4B09">
        <w:rPr>
          <w:rFonts w:hint="cs"/>
          <w:rtl/>
        </w:rPr>
        <w:t>התייחסות</w:t>
      </w:r>
      <w:r w:rsidRPr="001E4B09">
        <w:rPr>
          <w:rtl/>
        </w:rPr>
        <w:t xml:space="preserve"> </w:t>
      </w:r>
      <w:r w:rsidRPr="001E4B09">
        <w:rPr>
          <w:rFonts w:hint="cs"/>
          <w:rtl/>
        </w:rPr>
        <w:t>למנהגינו</w:t>
      </w:r>
      <w:r w:rsidRPr="001E4B09">
        <w:rPr>
          <w:rtl/>
        </w:rPr>
        <w:t xml:space="preserve"> </w:t>
      </w:r>
      <w:r w:rsidRPr="001E4B09">
        <w:rPr>
          <w:rFonts w:hint="cs"/>
          <w:rtl/>
        </w:rPr>
        <w:t>בקריאת</w:t>
      </w:r>
      <w:r w:rsidRPr="001E4B09">
        <w:rPr>
          <w:rtl/>
        </w:rPr>
        <w:t xml:space="preserve"> </w:t>
      </w:r>
      <w:r w:rsidRPr="001E4B09">
        <w:rPr>
          <w:rFonts w:hint="cs"/>
          <w:rtl/>
        </w:rPr>
        <w:t>ההפטרה</w:t>
      </w:r>
      <w:r w:rsidRPr="001E4B09">
        <w:rPr>
          <w:rtl/>
        </w:rPr>
        <w:t xml:space="preserve"> </w:t>
      </w:r>
      <w:r w:rsidRPr="001E4B09">
        <w:rPr>
          <w:rFonts w:hint="cs"/>
          <w:rtl/>
        </w:rPr>
        <w:t>בר</w:t>
      </w:r>
      <w:r w:rsidRPr="001E4B09">
        <w:rPr>
          <w:rtl/>
        </w:rPr>
        <w:t>"</w:t>
      </w:r>
      <w:r w:rsidRPr="001E4B09">
        <w:rPr>
          <w:rFonts w:hint="cs"/>
          <w:rtl/>
        </w:rPr>
        <w:t>ח:</w:t>
      </w:r>
      <w:r w:rsidRPr="001E4B09">
        <w:rPr>
          <w:rtl/>
        </w:rPr>
        <w:t xml:space="preserve"> </w:t>
      </w:r>
      <w:r w:rsidRPr="001E4B09">
        <w:rPr>
          <w:rFonts w:hint="cs"/>
          <w:rtl/>
        </w:rPr>
        <w:t>טבת</w:t>
      </w:r>
      <w:r w:rsidRPr="001E4B09">
        <w:rPr>
          <w:rtl/>
        </w:rPr>
        <w:t xml:space="preserve">, </w:t>
      </w:r>
      <w:r w:rsidRPr="001E4B09">
        <w:rPr>
          <w:rFonts w:hint="cs"/>
          <w:rtl/>
        </w:rPr>
        <w:t>מנחם</w:t>
      </w:r>
      <w:r w:rsidRPr="001E4B09">
        <w:rPr>
          <w:rtl/>
        </w:rPr>
        <w:t xml:space="preserve"> </w:t>
      </w:r>
      <w:r w:rsidRPr="001E4B09">
        <w:rPr>
          <w:rFonts w:hint="cs"/>
          <w:rtl/>
        </w:rPr>
        <w:t>אב</w:t>
      </w:r>
      <w:r w:rsidRPr="001E4B09">
        <w:rPr>
          <w:rtl/>
        </w:rPr>
        <w:t xml:space="preserve"> </w:t>
      </w:r>
      <w:r w:rsidRPr="001E4B09">
        <w:rPr>
          <w:rFonts w:hint="cs"/>
          <w:rtl/>
        </w:rPr>
        <w:t>ואלול</w:t>
      </w:r>
      <w:r w:rsidRPr="001E4B09">
        <w:rPr>
          <w:rtl/>
        </w:rPr>
        <w:t xml:space="preserve"> </w:t>
      </w:r>
      <w:r w:rsidRPr="001E4B09">
        <w:rPr>
          <w:rFonts w:hint="cs"/>
          <w:rtl/>
        </w:rPr>
        <w:t>שחלים</w:t>
      </w:r>
      <w:r w:rsidRPr="001E4B09">
        <w:rPr>
          <w:rtl/>
        </w:rPr>
        <w:t xml:space="preserve"> </w:t>
      </w:r>
      <w:r w:rsidRPr="001E4B09">
        <w:rPr>
          <w:rFonts w:hint="cs"/>
          <w:rtl/>
        </w:rPr>
        <w:t>בשבת</w:t>
      </w:r>
      <w:r>
        <w:rPr>
          <w:rFonts w:hint="cs"/>
          <w:rtl/>
        </w:rPr>
        <w:t xml:space="preserve">, </w:t>
      </w:r>
      <w:r w:rsidRPr="001E4B09">
        <w:rPr>
          <w:rFonts w:hint="cs"/>
          <w:rtl/>
        </w:rPr>
        <w:t xml:space="preserve">שיש מחלוקת בפוסקים </w:t>
      </w:r>
      <w:r>
        <w:rPr>
          <w:rFonts w:hint="cs"/>
          <w:rtl/>
        </w:rPr>
        <w:t xml:space="preserve">איזה הפטרה קוראים בשבת זו (ראה לקו"ש חל"ה עמ' 187 </w:t>
      </w:r>
      <w:r>
        <w:rPr>
          <w:rFonts w:hint="cs"/>
          <w:rtl/>
        </w:rPr>
        <w:lastRenderedPageBreak/>
        <w:t>ואילך, ספר המנהגים עמ' 33)</w:t>
      </w:r>
      <w:r w:rsidRPr="001E4B09">
        <w:rPr>
          <w:rtl/>
        </w:rPr>
        <w:t xml:space="preserve">, </w:t>
      </w:r>
      <w:r w:rsidRPr="001E4B09">
        <w:rPr>
          <w:rFonts w:hint="cs"/>
          <w:rtl/>
        </w:rPr>
        <w:t>ש</w:t>
      </w:r>
      <w:r>
        <w:rPr>
          <w:rFonts w:hint="cs"/>
          <w:rtl/>
        </w:rPr>
        <w:t>בשנה ההיא חלו בימי החול</w:t>
      </w:r>
      <w:r w:rsidRPr="001E4B09">
        <w:rPr>
          <w:rtl/>
        </w:rPr>
        <w:t>.</w:t>
      </w:r>
    </w:p>
    <w:p w:rsidR="00352A69" w:rsidRPr="001E4B09" w:rsidRDefault="00352A69" w:rsidP="00352A69">
      <w:pPr>
        <w:pStyle w:val="a3"/>
        <w:rPr>
          <w:rtl/>
        </w:rPr>
      </w:pPr>
      <w:r w:rsidRPr="001E4B09">
        <w:rPr>
          <w:rFonts w:hint="cs"/>
          <w:rtl/>
        </w:rPr>
        <w:t>אמנם</w:t>
      </w:r>
      <w:r w:rsidRPr="001E4B09">
        <w:rPr>
          <w:rtl/>
        </w:rPr>
        <w:t xml:space="preserve"> </w:t>
      </w:r>
      <w:r w:rsidRPr="001E4B09">
        <w:rPr>
          <w:rFonts w:hint="cs"/>
          <w:rtl/>
        </w:rPr>
        <w:t>יש</w:t>
      </w:r>
      <w:r w:rsidRPr="001E4B09">
        <w:rPr>
          <w:rtl/>
        </w:rPr>
        <w:t xml:space="preserve"> </w:t>
      </w:r>
      <w:r w:rsidRPr="001E4B09">
        <w:rPr>
          <w:rFonts w:hint="cs"/>
          <w:rtl/>
        </w:rPr>
        <w:t>מנהגים</w:t>
      </w:r>
      <w:r w:rsidRPr="001E4B09">
        <w:rPr>
          <w:rtl/>
        </w:rPr>
        <w:t xml:space="preserve"> </w:t>
      </w:r>
      <w:r w:rsidRPr="001E4B09">
        <w:rPr>
          <w:rFonts w:hint="cs"/>
          <w:rtl/>
        </w:rPr>
        <w:t>שמתאימים</w:t>
      </w:r>
      <w:r w:rsidRPr="001E4B09">
        <w:rPr>
          <w:rtl/>
        </w:rPr>
        <w:t xml:space="preserve"> </w:t>
      </w:r>
      <w:r w:rsidRPr="001E4B09">
        <w:rPr>
          <w:rFonts w:hint="cs"/>
          <w:rtl/>
        </w:rPr>
        <w:t>גם</w:t>
      </w:r>
      <w:r w:rsidRPr="001E4B09">
        <w:rPr>
          <w:rtl/>
        </w:rPr>
        <w:t xml:space="preserve"> </w:t>
      </w:r>
      <w:r w:rsidRPr="001E4B09">
        <w:rPr>
          <w:rFonts w:hint="cs"/>
          <w:rtl/>
        </w:rPr>
        <w:t>לימים</w:t>
      </w:r>
      <w:r w:rsidRPr="001E4B09">
        <w:rPr>
          <w:rtl/>
        </w:rPr>
        <w:t xml:space="preserve"> </w:t>
      </w:r>
      <w:r w:rsidRPr="001E4B09">
        <w:rPr>
          <w:rFonts w:hint="cs"/>
          <w:rtl/>
        </w:rPr>
        <w:t>שלפני</w:t>
      </w:r>
      <w:r w:rsidRPr="001E4B09">
        <w:rPr>
          <w:rtl/>
        </w:rPr>
        <w:t xml:space="preserve"> </w:t>
      </w:r>
      <w:r w:rsidRPr="001E4B09">
        <w:rPr>
          <w:rFonts w:hint="cs"/>
          <w:rtl/>
        </w:rPr>
        <w:t>או</w:t>
      </w:r>
      <w:r w:rsidRPr="001E4B09">
        <w:rPr>
          <w:rtl/>
        </w:rPr>
        <w:t xml:space="preserve"> </w:t>
      </w:r>
      <w:r w:rsidRPr="001E4B09">
        <w:rPr>
          <w:rFonts w:hint="cs"/>
          <w:rtl/>
        </w:rPr>
        <w:t>אחרי</w:t>
      </w:r>
      <w:r w:rsidRPr="001E4B09">
        <w:rPr>
          <w:rtl/>
        </w:rPr>
        <w:t xml:space="preserve"> </w:t>
      </w:r>
      <w:r w:rsidRPr="001E4B09">
        <w:rPr>
          <w:rFonts w:hint="cs"/>
          <w:rtl/>
        </w:rPr>
        <w:t>יום</w:t>
      </w:r>
      <w:r w:rsidRPr="001E4B09">
        <w:rPr>
          <w:rtl/>
        </w:rPr>
        <w:t xml:space="preserve"> </w:t>
      </w:r>
      <w:r w:rsidRPr="001E4B09">
        <w:rPr>
          <w:rFonts w:hint="cs"/>
          <w:rtl/>
        </w:rPr>
        <w:t>הופעתם</w:t>
      </w:r>
      <w:r w:rsidRPr="001E4B09">
        <w:rPr>
          <w:rtl/>
        </w:rPr>
        <w:t xml:space="preserve"> </w:t>
      </w:r>
      <w:r w:rsidRPr="001E4B09">
        <w:rPr>
          <w:rFonts w:hint="cs"/>
          <w:rtl/>
        </w:rPr>
        <w:t>בלוח</w:t>
      </w:r>
      <w:r w:rsidRPr="001E4B09">
        <w:rPr>
          <w:rtl/>
        </w:rPr>
        <w:t xml:space="preserve">, </w:t>
      </w:r>
      <w:r w:rsidRPr="001E4B09">
        <w:rPr>
          <w:rFonts w:hint="cs"/>
          <w:rtl/>
        </w:rPr>
        <w:t>אבל</w:t>
      </w:r>
      <w:r w:rsidRPr="001E4B09">
        <w:rPr>
          <w:rtl/>
        </w:rPr>
        <w:t xml:space="preserve"> </w:t>
      </w:r>
      <w:r w:rsidRPr="001E4B09">
        <w:rPr>
          <w:rFonts w:hint="cs"/>
          <w:rtl/>
        </w:rPr>
        <w:t>הם</w:t>
      </w:r>
      <w:r w:rsidRPr="001E4B09">
        <w:rPr>
          <w:rtl/>
        </w:rPr>
        <w:t xml:space="preserve"> </w:t>
      </w:r>
      <w:r w:rsidRPr="001E4B09">
        <w:rPr>
          <w:rFonts w:hint="cs"/>
          <w:rtl/>
        </w:rPr>
        <w:t>מתאימים</w:t>
      </w:r>
      <w:r w:rsidRPr="001E4B09">
        <w:rPr>
          <w:rtl/>
        </w:rPr>
        <w:t xml:space="preserve"> </w:t>
      </w:r>
      <w:r>
        <w:rPr>
          <w:rFonts w:hint="cs"/>
          <w:rtl/>
        </w:rPr>
        <w:t xml:space="preserve">גם </w:t>
      </w:r>
      <w:r w:rsidRPr="001E4B09">
        <w:rPr>
          <w:rFonts w:hint="cs"/>
          <w:rtl/>
        </w:rPr>
        <w:t>ליום</w:t>
      </w:r>
      <w:r w:rsidRPr="001E4B09">
        <w:rPr>
          <w:rtl/>
        </w:rPr>
        <w:t xml:space="preserve"> </w:t>
      </w:r>
      <w:r w:rsidRPr="001E4B09">
        <w:rPr>
          <w:rFonts w:hint="cs"/>
          <w:rtl/>
        </w:rPr>
        <w:t>בו</w:t>
      </w:r>
      <w:r w:rsidRPr="001E4B09">
        <w:rPr>
          <w:rtl/>
        </w:rPr>
        <w:t xml:space="preserve"> </w:t>
      </w:r>
      <w:r w:rsidRPr="001E4B09">
        <w:rPr>
          <w:rFonts w:hint="cs"/>
          <w:rtl/>
        </w:rPr>
        <w:t>הופיעו</w:t>
      </w:r>
      <w:r w:rsidRPr="001E4B09">
        <w:rPr>
          <w:rtl/>
        </w:rPr>
        <w:t>.</w:t>
      </w:r>
    </w:p>
    <w:p w:rsidR="00352A69" w:rsidRDefault="00352A69" w:rsidP="00352A69">
      <w:pPr>
        <w:pStyle w:val="a3"/>
        <w:rPr>
          <w:rtl/>
        </w:rPr>
      </w:pPr>
      <w:r>
        <w:rPr>
          <w:rFonts w:hint="cs"/>
          <w:rtl/>
        </w:rPr>
        <w:t>[</w:t>
      </w:r>
      <w:r w:rsidRPr="001E4B09">
        <w:rPr>
          <w:rFonts w:hint="cs"/>
          <w:rtl/>
        </w:rPr>
        <w:t>גם</w:t>
      </w:r>
      <w:r w:rsidRPr="001E4B09">
        <w:rPr>
          <w:rtl/>
        </w:rPr>
        <w:t xml:space="preserve"> </w:t>
      </w:r>
      <w:r w:rsidRPr="001E4B09">
        <w:rPr>
          <w:rFonts w:hint="cs"/>
          <w:rtl/>
        </w:rPr>
        <w:t>המנהגים</w:t>
      </w:r>
      <w:r w:rsidRPr="001E4B09">
        <w:rPr>
          <w:rtl/>
        </w:rPr>
        <w:t xml:space="preserve"> </w:t>
      </w:r>
      <w:r w:rsidRPr="001E4B09">
        <w:rPr>
          <w:rFonts w:hint="cs"/>
          <w:rtl/>
        </w:rPr>
        <w:t>שכתובים</w:t>
      </w:r>
      <w:r w:rsidRPr="001E4B09">
        <w:rPr>
          <w:rtl/>
        </w:rPr>
        <w:t xml:space="preserve"> </w:t>
      </w:r>
      <w:r w:rsidRPr="001E4B09">
        <w:rPr>
          <w:rFonts w:hint="cs"/>
          <w:rtl/>
        </w:rPr>
        <w:t>בכ</w:t>
      </w:r>
      <w:r w:rsidRPr="001E4B09">
        <w:rPr>
          <w:rtl/>
        </w:rPr>
        <w:t>"</w:t>
      </w:r>
      <w:r w:rsidRPr="001E4B09">
        <w:rPr>
          <w:rFonts w:hint="cs"/>
          <w:rtl/>
        </w:rPr>
        <w:t>ב</w:t>
      </w:r>
      <w:r w:rsidRPr="001E4B09">
        <w:rPr>
          <w:rtl/>
        </w:rPr>
        <w:t xml:space="preserve"> </w:t>
      </w:r>
      <w:r w:rsidRPr="001E4B09">
        <w:rPr>
          <w:rFonts w:hint="cs"/>
          <w:rtl/>
        </w:rPr>
        <w:t>כסלו</w:t>
      </w:r>
      <w:r w:rsidRPr="001E4B09">
        <w:rPr>
          <w:rtl/>
        </w:rPr>
        <w:t xml:space="preserve"> "</w:t>
      </w:r>
      <w:r w:rsidRPr="001E4B09">
        <w:rPr>
          <w:rFonts w:hint="cs"/>
          <w:rtl/>
        </w:rPr>
        <w:t>בחודש</w:t>
      </w:r>
      <w:r w:rsidRPr="001E4B09">
        <w:rPr>
          <w:rtl/>
        </w:rPr>
        <w:t xml:space="preserve"> </w:t>
      </w:r>
      <w:r w:rsidRPr="001E4B09">
        <w:rPr>
          <w:rFonts w:hint="cs"/>
          <w:rtl/>
        </w:rPr>
        <w:t>של</w:t>
      </w:r>
      <w:r w:rsidRPr="001E4B09">
        <w:rPr>
          <w:rtl/>
        </w:rPr>
        <w:t xml:space="preserve"> </w:t>
      </w:r>
      <w:r w:rsidRPr="001E4B09">
        <w:rPr>
          <w:rFonts w:hint="cs"/>
          <w:rtl/>
        </w:rPr>
        <w:t>כט</w:t>
      </w:r>
      <w:r w:rsidRPr="001E4B09">
        <w:rPr>
          <w:rtl/>
        </w:rPr>
        <w:t xml:space="preserve"> </w:t>
      </w:r>
      <w:r w:rsidRPr="001E4B09">
        <w:rPr>
          <w:rFonts w:hint="cs"/>
          <w:rtl/>
        </w:rPr>
        <w:t>יום</w:t>
      </w:r>
      <w:r w:rsidRPr="001E4B09">
        <w:rPr>
          <w:rtl/>
        </w:rPr>
        <w:t xml:space="preserve"> </w:t>
      </w:r>
      <w:r w:rsidRPr="001E4B09">
        <w:rPr>
          <w:rFonts w:hint="cs"/>
          <w:rtl/>
        </w:rPr>
        <w:t>אומרים</w:t>
      </w:r>
      <w:r w:rsidRPr="001E4B09">
        <w:rPr>
          <w:rtl/>
        </w:rPr>
        <w:t xml:space="preserve"> </w:t>
      </w:r>
      <w:r w:rsidRPr="001E4B09">
        <w:rPr>
          <w:rFonts w:hint="cs"/>
          <w:rtl/>
        </w:rPr>
        <w:t>ביום</w:t>
      </w:r>
      <w:r w:rsidRPr="001E4B09">
        <w:rPr>
          <w:rtl/>
        </w:rPr>
        <w:t xml:space="preserve"> </w:t>
      </w:r>
      <w:r w:rsidRPr="001E4B09">
        <w:rPr>
          <w:rFonts w:hint="cs"/>
          <w:rtl/>
        </w:rPr>
        <w:t>כט</w:t>
      </w:r>
      <w:r w:rsidRPr="001E4B09">
        <w:rPr>
          <w:rtl/>
        </w:rPr>
        <w:t xml:space="preserve"> </w:t>
      </w:r>
      <w:r w:rsidRPr="001E4B09">
        <w:rPr>
          <w:rFonts w:hint="cs"/>
          <w:rtl/>
        </w:rPr>
        <w:t>השיעור</w:t>
      </w:r>
      <w:r w:rsidRPr="001E4B09">
        <w:rPr>
          <w:rtl/>
        </w:rPr>
        <w:t xml:space="preserve"> </w:t>
      </w:r>
      <w:r w:rsidRPr="001E4B09">
        <w:rPr>
          <w:rFonts w:hint="cs"/>
          <w:rtl/>
        </w:rPr>
        <w:t>דשני</w:t>
      </w:r>
      <w:r w:rsidRPr="001E4B09">
        <w:rPr>
          <w:rtl/>
        </w:rPr>
        <w:t xml:space="preserve"> </w:t>
      </w:r>
      <w:r w:rsidRPr="001E4B09">
        <w:rPr>
          <w:rFonts w:hint="cs"/>
          <w:rtl/>
        </w:rPr>
        <w:t>הימים</w:t>
      </w:r>
      <w:r w:rsidRPr="001E4B09">
        <w:rPr>
          <w:rtl/>
        </w:rPr>
        <w:t xml:space="preserve">", </w:t>
      </w:r>
      <w:r w:rsidRPr="001E4B09">
        <w:rPr>
          <w:rFonts w:hint="cs"/>
          <w:rtl/>
        </w:rPr>
        <w:t>ובא</w:t>
      </w:r>
      <w:r w:rsidRPr="001E4B09">
        <w:rPr>
          <w:rtl/>
        </w:rPr>
        <w:t xml:space="preserve">' </w:t>
      </w:r>
      <w:r w:rsidRPr="001E4B09">
        <w:rPr>
          <w:rFonts w:hint="cs"/>
          <w:rtl/>
        </w:rPr>
        <w:t>טבת</w:t>
      </w:r>
      <w:r w:rsidRPr="001E4B09">
        <w:rPr>
          <w:rtl/>
        </w:rPr>
        <w:t xml:space="preserve"> "</w:t>
      </w:r>
      <w:r w:rsidRPr="001E4B09">
        <w:rPr>
          <w:rFonts w:hint="cs"/>
          <w:rtl/>
        </w:rPr>
        <w:t>נוהגים</w:t>
      </w:r>
      <w:r w:rsidRPr="001E4B09">
        <w:rPr>
          <w:rtl/>
        </w:rPr>
        <w:t xml:space="preserve"> </w:t>
      </w:r>
      <w:r w:rsidRPr="001E4B09">
        <w:rPr>
          <w:rFonts w:hint="cs"/>
          <w:rtl/>
        </w:rPr>
        <w:t>אשר</w:t>
      </w:r>
      <w:r w:rsidRPr="001E4B09">
        <w:rPr>
          <w:rtl/>
        </w:rPr>
        <w:t xml:space="preserve"> </w:t>
      </w:r>
      <w:r w:rsidRPr="001E4B09">
        <w:rPr>
          <w:rFonts w:hint="cs"/>
          <w:rtl/>
        </w:rPr>
        <w:t>היחיד</w:t>
      </w:r>
      <w:r w:rsidRPr="001E4B09">
        <w:rPr>
          <w:rtl/>
        </w:rPr>
        <w:t xml:space="preserve"> </w:t>
      </w:r>
      <w:r w:rsidRPr="001E4B09">
        <w:rPr>
          <w:rFonts w:hint="cs"/>
          <w:rtl/>
        </w:rPr>
        <w:t>מברך</w:t>
      </w:r>
      <w:r w:rsidRPr="001E4B09">
        <w:rPr>
          <w:rtl/>
        </w:rPr>
        <w:t xml:space="preserve"> - </w:t>
      </w:r>
      <w:r w:rsidRPr="001E4B09">
        <w:rPr>
          <w:rFonts w:hint="cs"/>
          <w:rtl/>
        </w:rPr>
        <w:t>בהלל</w:t>
      </w:r>
      <w:r w:rsidRPr="001E4B09">
        <w:rPr>
          <w:rtl/>
        </w:rPr>
        <w:t xml:space="preserve"> -</w:t>
      </w:r>
      <w:r w:rsidRPr="001E4B09">
        <w:rPr>
          <w:rFonts w:hint="cs"/>
          <w:rtl/>
        </w:rPr>
        <w:t xml:space="preserve"> תחלה</w:t>
      </w:r>
      <w:r w:rsidRPr="001E4B09">
        <w:rPr>
          <w:rtl/>
        </w:rPr>
        <w:t xml:space="preserve"> </w:t>
      </w:r>
      <w:r w:rsidRPr="001E4B09">
        <w:rPr>
          <w:rFonts w:hint="cs"/>
          <w:rtl/>
        </w:rPr>
        <w:t>וסוף</w:t>
      </w:r>
      <w:r w:rsidRPr="001E4B09">
        <w:rPr>
          <w:rtl/>
        </w:rPr>
        <w:t xml:space="preserve"> </w:t>
      </w:r>
      <w:r w:rsidRPr="001E4B09">
        <w:rPr>
          <w:rFonts w:hint="cs"/>
          <w:rtl/>
        </w:rPr>
        <w:t>גם</w:t>
      </w:r>
      <w:r w:rsidRPr="001E4B09">
        <w:rPr>
          <w:rtl/>
        </w:rPr>
        <w:t xml:space="preserve"> </w:t>
      </w:r>
      <w:r w:rsidRPr="001E4B09">
        <w:rPr>
          <w:rFonts w:hint="cs"/>
          <w:rtl/>
        </w:rPr>
        <w:t>בימים</w:t>
      </w:r>
      <w:r w:rsidRPr="001E4B09">
        <w:rPr>
          <w:rtl/>
        </w:rPr>
        <w:t xml:space="preserve"> </w:t>
      </w:r>
      <w:r w:rsidRPr="001E4B09">
        <w:rPr>
          <w:rFonts w:hint="cs"/>
          <w:rtl/>
        </w:rPr>
        <w:t>שאין</w:t>
      </w:r>
      <w:r w:rsidRPr="001E4B09">
        <w:rPr>
          <w:rtl/>
        </w:rPr>
        <w:t xml:space="preserve"> </w:t>
      </w:r>
      <w:r w:rsidRPr="001E4B09">
        <w:rPr>
          <w:rFonts w:hint="cs"/>
          <w:rtl/>
        </w:rPr>
        <w:t>גומרים</w:t>
      </w:r>
      <w:r w:rsidRPr="001E4B09">
        <w:rPr>
          <w:rtl/>
        </w:rPr>
        <w:t xml:space="preserve"> </w:t>
      </w:r>
      <w:r w:rsidRPr="001E4B09">
        <w:rPr>
          <w:rFonts w:hint="cs"/>
          <w:rtl/>
        </w:rPr>
        <w:t>בהם</w:t>
      </w:r>
      <w:r w:rsidRPr="001E4B09">
        <w:rPr>
          <w:rtl/>
        </w:rPr>
        <w:t xml:space="preserve"> </w:t>
      </w:r>
      <w:r w:rsidRPr="001E4B09">
        <w:rPr>
          <w:rFonts w:hint="cs"/>
          <w:rtl/>
        </w:rPr>
        <w:t>את</w:t>
      </w:r>
      <w:r w:rsidRPr="001E4B09">
        <w:rPr>
          <w:rtl/>
        </w:rPr>
        <w:t xml:space="preserve"> </w:t>
      </w:r>
      <w:r w:rsidRPr="001E4B09">
        <w:rPr>
          <w:rFonts w:hint="cs"/>
          <w:rtl/>
        </w:rPr>
        <w:t>ההלל</w:t>
      </w:r>
      <w:r w:rsidRPr="001E4B09">
        <w:rPr>
          <w:rtl/>
        </w:rPr>
        <w:t xml:space="preserve">", </w:t>
      </w:r>
      <w:r w:rsidRPr="001E4B09">
        <w:rPr>
          <w:rFonts w:hint="cs"/>
          <w:rtl/>
        </w:rPr>
        <w:t>שלא</w:t>
      </w:r>
      <w:r w:rsidRPr="001E4B09">
        <w:rPr>
          <w:rtl/>
        </w:rPr>
        <w:t xml:space="preserve"> </w:t>
      </w:r>
      <w:r w:rsidRPr="001E4B09">
        <w:rPr>
          <w:rFonts w:hint="cs"/>
          <w:rtl/>
        </w:rPr>
        <w:t>שייכים</w:t>
      </w:r>
      <w:r w:rsidRPr="001E4B09">
        <w:rPr>
          <w:rtl/>
        </w:rPr>
        <w:t xml:space="preserve"> </w:t>
      </w:r>
      <w:r w:rsidRPr="001E4B09">
        <w:rPr>
          <w:rFonts w:hint="cs"/>
          <w:rtl/>
        </w:rPr>
        <w:t>ליום</w:t>
      </w:r>
      <w:r w:rsidRPr="001E4B09">
        <w:rPr>
          <w:rtl/>
        </w:rPr>
        <w:t xml:space="preserve"> </w:t>
      </w:r>
      <w:r w:rsidRPr="001E4B09">
        <w:rPr>
          <w:rFonts w:hint="cs"/>
          <w:rtl/>
        </w:rPr>
        <w:t>הופעתם</w:t>
      </w:r>
      <w:r w:rsidRPr="001E4B09">
        <w:rPr>
          <w:rtl/>
        </w:rPr>
        <w:t xml:space="preserve"> </w:t>
      </w:r>
      <w:r w:rsidRPr="001E4B09">
        <w:rPr>
          <w:rFonts w:hint="cs"/>
          <w:rtl/>
        </w:rPr>
        <w:t>בלוח</w:t>
      </w:r>
      <w:r w:rsidRPr="001E4B09">
        <w:rPr>
          <w:rtl/>
        </w:rPr>
        <w:t xml:space="preserve">. </w:t>
      </w:r>
      <w:r w:rsidRPr="001E4B09">
        <w:rPr>
          <w:rFonts w:hint="cs"/>
          <w:rtl/>
        </w:rPr>
        <w:t>הרי</w:t>
      </w:r>
      <w:r w:rsidRPr="001E4B09">
        <w:rPr>
          <w:rtl/>
        </w:rPr>
        <w:t xml:space="preserve"> </w:t>
      </w:r>
      <w:r w:rsidRPr="001E4B09">
        <w:rPr>
          <w:rFonts w:hint="cs"/>
          <w:rtl/>
        </w:rPr>
        <w:t>הם</w:t>
      </w:r>
      <w:r w:rsidRPr="001E4B09">
        <w:rPr>
          <w:rtl/>
        </w:rPr>
        <w:t xml:space="preserve"> </w:t>
      </w:r>
      <w:r w:rsidRPr="001E4B09">
        <w:rPr>
          <w:rFonts w:hint="cs"/>
          <w:rtl/>
        </w:rPr>
        <w:t>פרט</w:t>
      </w:r>
      <w:r w:rsidRPr="001E4B09">
        <w:rPr>
          <w:rtl/>
        </w:rPr>
        <w:t xml:space="preserve"> </w:t>
      </w:r>
      <w:r w:rsidRPr="001E4B09">
        <w:rPr>
          <w:rFonts w:hint="cs"/>
          <w:rtl/>
        </w:rPr>
        <w:t>מהוראה</w:t>
      </w:r>
      <w:r w:rsidRPr="001E4B09">
        <w:rPr>
          <w:rtl/>
        </w:rPr>
        <w:t xml:space="preserve"> </w:t>
      </w:r>
      <w:r w:rsidRPr="001E4B09">
        <w:rPr>
          <w:rFonts w:hint="cs"/>
          <w:rtl/>
        </w:rPr>
        <w:t>כוללת</w:t>
      </w:r>
      <w:r w:rsidRPr="001E4B09">
        <w:rPr>
          <w:rtl/>
        </w:rPr>
        <w:t xml:space="preserve"> </w:t>
      </w:r>
      <w:r>
        <w:rPr>
          <w:rFonts w:hint="cs"/>
          <w:rtl/>
        </w:rPr>
        <w:t xml:space="preserve"> הכתובה בימים אלו, </w:t>
      </w:r>
      <w:r w:rsidRPr="001E4B09">
        <w:rPr>
          <w:rFonts w:hint="cs"/>
          <w:rtl/>
        </w:rPr>
        <w:t>לגבי</w:t>
      </w:r>
      <w:r w:rsidRPr="001E4B09">
        <w:rPr>
          <w:rtl/>
        </w:rPr>
        <w:t xml:space="preserve"> </w:t>
      </w:r>
      <w:r w:rsidRPr="001E4B09">
        <w:rPr>
          <w:rFonts w:hint="cs"/>
          <w:rtl/>
        </w:rPr>
        <w:t>תקנת</w:t>
      </w:r>
      <w:r w:rsidRPr="001E4B09">
        <w:rPr>
          <w:rtl/>
        </w:rPr>
        <w:t xml:space="preserve"> </w:t>
      </w:r>
      <w:r w:rsidRPr="001E4B09">
        <w:rPr>
          <w:rFonts w:hint="cs"/>
          <w:rtl/>
        </w:rPr>
        <w:t>אמירת</w:t>
      </w:r>
      <w:r w:rsidRPr="001E4B09">
        <w:rPr>
          <w:rtl/>
        </w:rPr>
        <w:t xml:space="preserve"> </w:t>
      </w:r>
      <w:r w:rsidRPr="001E4B09">
        <w:rPr>
          <w:rFonts w:hint="cs"/>
          <w:rtl/>
        </w:rPr>
        <w:t>תהילים</w:t>
      </w:r>
      <w:r w:rsidRPr="001E4B09">
        <w:rPr>
          <w:rtl/>
        </w:rPr>
        <w:t xml:space="preserve"> </w:t>
      </w:r>
      <w:r w:rsidRPr="001E4B09">
        <w:rPr>
          <w:rFonts w:hint="cs"/>
          <w:rtl/>
        </w:rPr>
        <w:t>וסדר</w:t>
      </w:r>
      <w:r w:rsidRPr="001E4B09">
        <w:rPr>
          <w:rtl/>
        </w:rPr>
        <w:t xml:space="preserve"> </w:t>
      </w:r>
      <w:r w:rsidRPr="001E4B09">
        <w:rPr>
          <w:rFonts w:hint="cs"/>
          <w:rtl/>
        </w:rPr>
        <w:t>אמירת</w:t>
      </w:r>
      <w:r w:rsidRPr="001E4B09">
        <w:rPr>
          <w:rtl/>
        </w:rPr>
        <w:t xml:space="preserve"> </w:t>
      </w:r>
      <w:r w:rsidRPr="001E4B09">
        <w:rPr>
          <w:rFonts w:hint="cs"/>
          <w:rtl/>
        </w:rPr>
        <w:t>הלל</w:t>
      </w:r>
      <w:r>
        <w:rPr>
          <w:rFonts w:hint="cs"/>
          <w:rtl/>
        </w:rPr>
        <w:t>.</w:t>
      </w:r>
      <w:r w:rsidRPr="001E4B09">
        <w:rPr>
          <w:rtl/>
        </w:rPr>
        <w:t xml:space="preserve"> </w:t>
      </w:r>
      <w:r w:rsidRPr="001E4B09">
        <w:rPr>
          <w:rFonts w:hint="cs"/>
          <w:rtl/>
        </w:rPr>
        <w:t>וכן</w:t>
      </w:r>
      <w:r>
        <w:rPr>
          <w:rFonts w:hint="cs"/>
          <w:rtl/>
        </w:rPr>
        <w:t>,</w:t>
      </w:r>
      <w:r w:rsidRPr="001E4B09">
        <w:rPr>
          <w:rtl/>
        </w:rPr>
        <w:t xml:space="preserve"> </w:t>
      </w:r>
      <w:r w:rsidRPr="001E4B09">
        <w:rPr>
          <w:rFonts w:hint="cs"/>
          <w:rtl/>
        </w:rPr>
        <w:t>הם</w:t>
      </w:r>
      <w:r w:rsidRPr="001E4B09">
        <w:rPr>
          <w:rtl/>
        </w:rPr>
        <w:t xml:space="preserve"> </w:t>
      </w:r>
      <w:r w:rsidRPr="001E4B09">
        <w:rPr>
          <w:rFonts w:hint="cs"/>
          <w:rtl/>
        </w:rPr>
        <w:t>מתאימים</w:t>
      </w:r>
      <w:r w:rsidRPr="001E4B09">
        <w:rPr>
          <w:rtl/>
        </w:rPr>
        <w:t xml:space="preserve"> </w:t>
      </w:r>
      <w:r w:rsidRPr="001E4B09">
        <w:rPr>
          <w:rFonts w:hint="cs"/>
          <w:rtl/>
        </w:rPr>
        <w:t>לקביעות</w:t>
      </w:r>
      <w:r w:rsidRPr="001E4B09">
        <w:rPr>
          <w:rtl/>
        </w:rPr>
        <w:t xml:space="preserve"> </w:t>
      </w:r>
      <w:r w:rsidRPr="001E4B09">
        <w:rPr>
          <w:rFonts w:hint="cs"/>
          <w:rtl/>
        </w:rPr>
        <w:t>השנה</w:t>
      </w:r>
      <w:r w:rsidRPr="001E4B09">
        <w:rPr>
          <w:rtl/>
        </w:rPr>
        <w:t xml:space="preserve"> </w:t>
      </w:r>
      <w:r w:rsidRPr="001E4B09">
        <w:rPr>
          <w:rFonts w:hint="cs"/>
          <w:rtl/>
        </w:rPr>
        <w:t>ההיא</w:t>
      </w:r>
      <w:r w:rsidRPr="001E4B09">
        <w:rPr>
          <w:rtl/>
        </w:rPr>
        <w:t xml:space="preserve"> </w:t>
      </w:r>
      <w:r w:rsidRPr="001E4B09">
        <w:rPr>
          <w:rFonts w:hint="cs"/>
          <w:rtl/>
        </w:rPr>
        <w:t>כו</w:t>
      </w:r>
      <w:r w:rsidRPr="001E4B09">
        <w:rPr>
          <w:rtl/>
        </w:rPr>
        <w:t>"</w:t>
      </w:r>
      <w:r w:rsidRPr="001E4B09">
        <w:rPr>
          <w:rFonts w:hint="cs"/>
          <w:rtl/>
        </w:rPr>
        <w:t>כ</w:t>
      </w:r>
      <w:r w:rsidRPr="001E4B09">
        <w:rPr>
          <w:rtl/>
        </w:rPr>
        <w:t xml:space="preserve"> </w:t>
      </w:r>
      <w:r w:rsidRPr="001E4B09">
        <w:rPr>
          <w:rFonts w:hint="cs"/>
          <w:rtl/>
        </w:rPr>
        <w:t>פעמים</w:t>
      </w:r>
      <w:r>
        <w:rPr>
          <w:rFonts w:hint="cs"/>
          <w:rtl/>
        </w:rPr>
        <w:t>.</w:t>
      </w:r>
    </w:p>
    <w:p w:rsidR="00352A69" w:rsidRPr="001E4B09" w:rsidRDefault="00352A69" w:rsidP="00352A69">
      <w:pPr>
        <w:pStyle w:val="a3"/>
        <w:rPr>
          <w:rtl/>
        </w:rPr>
      </w:pPr>
      <w:r>
        <w:rPr>
          <w:rFonts w:hint="cs"/>
          <w:rtl/>
        </w:rPr>
        <w:t>וצ"ע לגבי המנהג הכתוב בז' ניסן "נוסח ויהי בנסוע: וכרצון כל עמך בית ישראל", השייך להוצאת ס"ת בשבת ויו"ט ב"על הכל יתגדל" ולא לימות החול (כולל יום זה שחל בשנת תש"ג ביום שני שבו קוראים בתורה), וביום זה לא כתובים מנהגים נוספים בסדר התפילה והוצאת ס"ת, אבל מ"מ מנהג זה נוגע למעשה למשך השנה]</w:t>
      </w:r>
      <w:r w:rsidRPr="001E4B09">
        <w:rPr>
          <w:rtl/>
        </w:rPr>
        <w:t>.</w:t>
      </w:r>
    </w:p>
    <w:p w:rsidR="00352A69" w:rsidRPr="001E4B09" w:rsidRDefault="00352A69" w:rsidP="00352A69">
      <w:pPr>
        <w:pStyle w:val="a3"/>
        <w:rPr>
          <w:rtl/>
        </w:rPr>
      </w:pPr>
      <w:r w:rsidRPr="001E4B09">
        <w:rPr>
          <w:rFonts w:hint="cs"/>
          <w:rtl/>
        </w:rPr>
        <w:t>יוצא</w:t>
      </w:r>
      <w:r>
        <w:rPr>
          <w:rFonts w:hint="cs"/>
          <w:rtl/>
        </w:rPr>
        <w:t>ים</w:t>
      </w:r>
      <w:r w:rsidRPr="001E4B09">
        <w:rPr>
          <w:rtl/>
        </w:rPr>
        <w:t xml:space="preserve"> </w:t>
      </w:r>
      <w:r w:rsidRPr="001E4B09">
        <w:rPr>
          <w:rFonts w:hint="cs"/>
          <w:rtl/>
        </w:rPr>
        <w:t>מן</w:t>
      </w:r>
      <w:r w:rsidRPr="001E4B09">
        <w:rPr>
          <w:rtl/>
        </w:rPr>
        <w:t xml:space="preserve"> </w:t>
      </w:r>
      <w:r w:rsidRPr="001E4B09">
        <w:rPr>
          <w:rFonts w:hint="cs"/>
          <w:rtl/>
        </w:rPr>
        <w:t>הכלל</w:t>
      </w:r>
      <w:r w:rsidRPr="001E4B09">
        <w:rPr>
          <w:rtl/>
        </w:rPr>
        <w:t xml:space="preserve"> </w:t>
      </w:r>
      <w:r w:rsidRPr="001E4B09">
        <w:rPr>
          <w:rFonts w:hint="cs"/>
          <w:rtl/>
        </w:rPr>
        <w:t>הם</w:t>
      </w:r>
      <w:r w:rsidRPr="001E4B09">
        <w:rPr>
          <w:rtl/>
        </w:rPr>
        <w:t xml:space="preserve"> </w:t>
      </w:r>
      <w:r w:rsidRPr="001E4B09">
        <w:rPr>
          <w:rFonts w:hint="cs"/>
          <w:rtl/>
        </w:rPr>
        <w:t>שתי</w:t>
      </w:r>
      <w:r w:rsidRPr="001E4B09">
        <w:rPr>
          <w:rtl/>
        </w:rPr>
        <w:t xml:space="preserve"> </w:t>
      </w:r>
      <w:r w:rsidRPr="001E4B09">
        <w:rPr>
          <w:rFonts w:hint="cs"/>
          <w:rtl/>
        </w:rPr>
        <w:t>ההוראות</w:t>
      </w:r>
      <w:r w:rsidRPr="001E4B09">
        <w:rPr>
          <w:rtl/>
        </w:rPr>
        <w:t xml:space="preserve"> - </w:t>
      </w:r>
      <w:r w:rsidRPr="001E4B09">
        <w:rPr>
          <w:rFonts w:hint="cs"/>
          <w:rtl/>
        </w:rPr>
        <w:t>מנהגים</w:t>
      </w:r>
      <w:r w:rsidRPr="001E4B09">
        <w:rPr>
          <w:rtl/>
        </w:rPr>
        <w:t xml:space="preserve">: </w:t>
      </w:r>
      <w:r w:rsidRPr="001E4B09">
        <w:rPr>
          <w:rFonts w:hint="cs"/>
          <w:rtl/>
        </w:rPr>
        <w:t>בכ</w:t>
      </w:r>
      <w:r w:rsidRPr="001E4B09">
        <w:rPr>
          <w:rtl/>
        </w:rPr>
        <w:t>"</w:t>
      </w:r>
      <w:r w:rsidRPr="001E4B09">
        <w:rPr>
          <w:rFonts w:hint="cs"/>
          <w:rtl/>
        </w:rPr>
        <w:t>ג</w:t>
      </w:r>
      <w:r w:rsidRPr="001E4B09">
        <w:rPr>
          <w:rtl/>
        </w:rPr>
        <w:t xml:space="preserve"> </w:t>
      </w:r>
      <w:r w:rsidRPr="001E4B09">
        <w:rPr>
          <w:rFonts w:hint="cs"/>
          <w:rtl/>
        </w:rPr>
        <w:t>תמוז</w:t>
      </w:r>
      <w:r w:rsidRPr="001E4B09">
        <w:rPr>
          <w:rtl/>
        </w:rPr>
        <w:t xml:space="preserve"> "</w:t>
      </w:r>
      <w:r w:rsidRPr="001E4B09">
        <w:rPr>
          <w:rFonts w:hint="cs"/>
          <w:rtl/>
        </w:rPr>
        <w:t>כאשר</w:t>
      </w:r>
      <w:r w:rsidRPr="001E4B09">
        <w:rPr>
          <w:rtl/>
        </w:rPr>
        <w:t xml:space="preserve"> </w:t>
      </w:r>
      <w:r w:rsidRPr="001E4B09">
        <w:rPr>
          <w:rFonts w:hint="cs"/>
          <w:rtl/>
        </w:rPr>
        <w:t>מטות</w:t>
      </w:r>
      <w:r w:rsidRPr="001E4B09">
        <w:rPr>
          <w:rtl/>
        </w:rPr>
        <w:t xml:space="preserve"> </w:t>
      </w:r>
      <w:r w:rsidRPr="001E4B09">
        <w:rPr>
          <w:rFonts w:hint="cs"/>
          <w:rtl/>
        </w:rPr>
        <w:t>ומסעי</w:t>
      </w:r>
      <w:r w:rsidRPr="001E4B09">
        <w:rPr>
          <w:rtl/>
        </w:rPr>
        <w:t xml:space="preserve"> </w:t>
      </w:r>
      <w:r w:rsidRPr="001E4B09">
        <w:rPr>
          <w:rFonts w:hint="cs"/>
          <w:rtl/>
        </w:rPr>
        <w:t>נפרדות</w:t>
      </w:r>
      <w:r w:rsidRPr="001E4B09">
        <w:rPr>
          <w:rtl/>
        </w:rPr>
        <w:t xml:space="preserve">, </w:t>
      </w:r>
      <w:r w:rsidRPr="001E4B09">
        <w:rPr>
          <w:rFonts w:hint="cs"/>
          <w:rtl/>
        </w:rPr>
        <w:t>קורין</w:t>
      </w:r>
      <w:r w:rsidRPr="001E4B09">
        <w:rPr>
          <w:rtl/>
        </w:rPr>
        <w:t xml:space="preserve"> - </w:t>
      </w:r>
      <w:r w:rsidRPr="001E4B09">
        <w:rPr>
          <w:rFonts w:hint="cs"/>
          <w:rtl/>
        </w:rPr>
        <w:t>במנחת</w:t>
      </w:r>
      <w:r w:rsidRPr="001E4B09">
        <w:rPr>
          <w:rtl/>
        </w:rPr>
        <w:t xml:space="preserve"> </w:t>
      </w:r>
      <w:r w:rsidRPr="001E4B09">
        <w:rPr>
          <w:rFonts w:hint="cs"/>
          <w:rtl/>
        </w:rPr>
        <w:t>שבת</w:t>
      </w:r>
      <w:r w:rsidRPr="001E4B09">
        <w:rPr>
          <w:rtl/>
        </w:rPr>
        <w:t xml:space="preserve">, </w:t>
      </w:r>
      <w:r w:rsidRPr="001E4B09">
        <w:rPr>
          <w:rFonts w:hint="cs"/>
          <w:rtl/>
        </w:rPr>
        <w:t>ב</w:t>
      </w:r>
      <w:r w:rsidRPr="001E4B09">
        <w:rPr>
          <w:rtl/>
        </w:rPr>
        <w:t xml:space="preserve">', </w:t>
      </w:r>
      <w:r w:rsidRPr="001E4B09">
        <w:rPr>
          <w:rFonts w:hint="cs"/>
          <w:rtl/>
        </w:rPr>
        <w:t>ה</w:t>
      </w:r>
      <w:r w:rsidRPr="001E4B09">
        <w:rPr>
          <w:rtl/>
        </w:rPr>
        <w:t xml:space="preserve">'. - </w:t>
      </w:r>
      <w:r w:rsidRPr="001E4B09">
        <w:rPr>
          <w:rFonts w:hint="cs"/>
          <w:rtl/>
        </w:rPr>
        <w:t>ללוי</w:t>
      </w:r>
      <w:r w:rsidRPr="001E4B09">
        <w:rPr>
          <w:rtl/>
        </w:rPr>
        <w:t xml:space="preserve"> </w:t>
      </w:r>
      <w:r w:rsidRPr="001E4B09">
        <w:rPr>
          <w:rFonts w:hint="cs"/>
          <w:rtl/>
        </w:rPr>
        <w:t>עד</w:t>
      </w:r>
      <w:r w:rsidRPr="001E4B09">
        <w:rPr>
          <w:rtl/>
        </w:rPr>
        <w:t xml:space="preserve"> </w:t>
      </w:r>
      <w:r w:rsidRPr="001E4B09">
        <w:rPr>
          <w:rFonts w:hint="cs"/>
          <w:rtl/>
        </w:rPr>
        <w:t>סוף</w:t>
      </w:r>
      <w:r w:rsidRPr="001E4B09">
        <w:rPr>
          <w:rtl/>
        </w:rPr>
        <w:t xml:space="preserve"> </w:t>
      </w:r>
      <w:r w:rsidRPr="001E4B09">
        <w:rPr>
          <w:rFonts w:hint="cs"/>
          <w:rtl/>
        </w:rPr>
        <w:t>כל</w:t>
      </w:r>
      <w:r w:rsidRPr="001E4B09">
        <w:rPr>
          <w:rtl/>
        </w:rPr>
        <w:t xml:space="preserve"> </w:t>
      </w:r>
      <w:r w:rsidRPr="001E4B09">
        <w:rPr>
          <w:rFonts w:hint="cs"/>
          <w:rtl/>
        </w:rPr>
        <w:t>המסעות</w:t>
      </w:r>
      <w:r w:rsidRPr="001E4B09">
        <w:rPr>
          <w:rtl/>
        </w:rPr>
        <w:t xml:space="preserve">". </w:t>
      </w:r>
      <w:r w:rsidRPr="001E4B09">
        <w:rPr>
          <w:rFonts w:hint="cs"/>
          <w:rtl/>
        </w:rPr>
        <w:t>ובכ</w:t>
      </w:r>
      <w:r w:rsidRPr="001E4B09">
        <w:rPr>
          <w:rtl/>
        </w:rPr>
        <w:t>"</w:t>
      </w:r>
      <w:r w:rsidRPr="001E4B09">
        <w:rPr>
          <w:rFonts w:hint="cs"/>
          <w:rtl/>
        </w:rPr>
        <w:t>ה</w:t>
      </w:r>
      <w:r w:rsidRPr="001E4B09">
        <w:rPr>
          <w:rtl/>
        </w:rPr>
        <w:t xml:space="preserve"> </w:t>
      </w:r>
      <w:r w:rsidRPr="001E4B09">
        <w:rPr>
          <w:rFonts w:hint="cs"/>
          <w:rtl/>
        </w:rPr>
        <w:t>אלול</w:t>
      </w:r>
      <w:r w:rsidRPr="001E4B09">
        <w:rPr>
          <w:rtl/>
        </w:rPr>
        <w:t xml:space="preserve"> "</w:t>
      </w:r>
      <w:r w:rsidRPr="001E4B09">
        <w:rPr>
          <w:rFonts w:hint="cs"/>
          <w:rtl/>
        </w:rPr>
        <w:t>כאשר</w:t>
      </w:r>
      <w:r w:rsidRPr="001E4B09">
        <w:rPr>
          <w:rtl/>
        </w:rPr>
        <w:t xml:space="preserve"> </w:t>
      </w:r>
      <w:r w:rsidRPr="001E4B09">
        <w:rPr>
          <w:rFonts w:hint="cs"/>
          <w:rtl/>
        </w:rPr>
        <w:t>נצבים</w:t>
      </w:r>
      <w:r w:rsidRPr="001E4B09">
        <w:rPr>
          <w:rtl/>
        </w:rPr>
        <w:t xml:space="preserve"> </w:t>
      </w:r>
      <w:r w:rsidRPr="001E4B09">
        <w:rPr>
          <w:rFonts w:hint="cs"/>
          <w:rtl/>
        </w:rPr>
        <w:t>וילך</w:t>
      </w:r>
      <w:r w:rsidRPr="001E4B09">
        <w:rPr>
          <w:rtl/>
        </w:rPr>
        <w:t xml:space="preserve"> </w:t>
      </w:r>
      <w:r w:rsidRPr="001E4B09">
        <w:rPr>
          <w:rFonts w:hint="cs"/>
          <w:rtl/>
        </w:rPr>
        <w:t>נפרדות</w:t>
      </w:r>
      <w:r w:rsidRPr="001E4B09">
        <w:rPr>
          <w:rtl/>
        </w:rPr>
        <w:t xml:space="preserve"> </w:t>
      </w:r>
      <w:r w:rsidRPr="001E4B09">
        <w:rPr>
          <w:rFonts w:hint="cs"/>
          <w:rtl/>
        </w:rPr>
        <w:t>מתחילין</w:t>
      </w:r>
      <w:r w:rsidRPr="001E4B09">
        <w:rPr>
          <w:rtl/>
        </w:rPr>
        <w:t xml:space="preserve"> </w:t>
      </w:r>
      <w:r w:rsidRPr="001E4B09">
        <w:rPr>
          <w:rFonts w:hint="cs"/>
          <w:rtl/>
        </w:rPr>
        <w:t>למפטיר</w:t>
      </w:r>
      <w:r w:rsidRPr="001E4B09">
        <w:rPr>
          <w:rtl/>
        </w:rPr>
        <w:t xml:space="preserve"> </w:t>
      </w:r>
      <w:r w:rsidRPr="001E4B09">
        <w:rPr>
          <w:rFonts w:hint="cs"/>
          <w:rtl/>
        </w:rPr>
        <w:t>וכן</w:t>
      </w:r>
      <w:r w:rsidRPr="001E4B09">
        <w:rPr>
          <w:rtl/>
        </w:rPr>
        <w:t xml:space="preserve"> </w:t>
      </w:r>
      <w:r w:rsidRPr="001E4B09">
        <w:rPr>
          <w:rFonts w:hint="cs"/>
          <w:rtl/>
        </w:rPr>
        <w:t>לשביעי</w:t>
      </w:r>
      <w:r w:rsidRPr="001E4B09">
        <w:rPr>
          <w:rtl/>
        </w:rPr>
        <w:t xml:space="preserve"> - </w:t>
      </w:r>
      <w:r w:rsidRPr="001E4B09">
        <w:rPr>
          <w:rFonts w:hint="cs"/>
          <w:rtl/>
        </w:rPr>
        <w:t>ש</w:t>
      </w:r>
      <w:r w:rsidRPr="001E4B09">
        <w:rPr>
          <w:rtl/>
        </w:rPr>
        <w:t>"</w:t>
      </w:r>
      <w:r w:rsidRPr="001E4B09">
        <w:rPr>
          <w:rFonts w:hint="cs"/>
          <w:rtl/>
        </w:rPr>
        <w:t>פ</w:t>
      </w:r>
      <w:r w:rsidRPr="001E4B09">
        <w:rPr>
          <w:rtl/>
        </w:rPr>
        <w:t xml:space="preserve"> </w:t>
      </w:r>
      <w:r w:rsidRPr="001E4B09">
        <w:rPr>
          <w:rFonts w:hint="cs"/>
          <w:rtl/>
        </w:rPr>
        <w:t>נצבים</w:t>
      </w:r>
      <w:r w:rsidRPr="001E4B09">
        <w:rPr>
          <w:rtl/>
        </w:rPr>
        <w:t xml:space="preserve"> - </w:t>
      </w:r>
      <w:r w:rsidRPr="001E4B09">
        <w:rPr>
          <w:rFonts w:hint="cs"/>
          <w:rtl/>
        </w:rPr>
        <w:t>ראה</w:t>
      </w:r>
      <w:r w:rsidRPr="001E4B09">
        <w:rPr>
          <w:rtl/>
        </w:rPr>
        <w:t xml:space="preserve"> </w:t>
      </w:r>
      <w:r w:rsidRPr="001E4B09">
        <w:rPr>
          <w:rFonts w:hint="cs"/>
          <w:rtl/>
        </w:rPr>
        <w:t>נתתי</w:t>
      </w:r>
      <w:r w:rsidRPr="001E4B09">
        <w:rPr>
          <w:rtl/>
        </w:rPr>
        <w:t xml:space="preserve"> </w:t>
      </w:r>
      <w:r w:rsidRPr="001E4B09">
        <w:rPr>
          <w:rFonts w:hint="cs"/>
          <w:rtl/>
        </w:rPr>
        <w:t>לפניך</w:t>
      </w:r>
      <w:r w:rsidRPr="001E4B09">
        <w:rPr>
          <w:rtl/>
        </w:rPr>
        <w:t xml:space="preserve"> </w:t>
      </w:r>
      <w:r w:rsidRPr="001E4B09">
        <w:rPr>
          <w:rFonts w:hint="cs"/>
          <w:rtl/>
        </w:rPr>
        <w:t>גו</w:t>
      </w:r>
      <w:r w:rsidRPr="001E4B09">
        <w:rPr>
          <w:rtl/>
        </w:rPr>
        <w:t>' ".</w:t>
      </w:r>
    </w:p>
    <w:p w:rsidR="00352A69" w:rsidRPr="001E4B09" w:rsidRDefault="00352A69" w:rsidP="00352A69">
      <w:pPr>
        <w:pStyle w:val="a3"/>
        <w:rPr>
          <w:rtl/>
        </w:rPr>
      </w:pPr>
      <w:r w:rsidRPr="001E4B09">
        <w:rPr>
          <w:rFonts w:hint="cs"/>
          <w:rtl/>
        </w:rPr>
        <w:t>הוראות</w:t>
      </w:r>
      <w:r w:rsidRPr="001E4B09">
        <w:rPr>
          <w:rtl/>
        </w:rPr>
        <w:t xml:space="preserve"> </w:t>
      </w:r>
      <w:r w:rsidRPr="001E4B09">
        <w:rPr>
          <w:rFonts w:hint="cs"/>
          <w:rtl/>
        </w:rPr>
        <w:t>אלו</w:t>
      </w:r>
      <w:r w:rsidRPr="001E4B09">
        <w:rPr>
          <w:rtl/>
        </w:rPr>
        <w:t xml:space="preserve"> </w:t>
      </w:r>
      <w:r w:rsidRPr="001E4B09">
        <w:rPr>
          <w:rFonts w:hint="cs"/>
          <w:rtl/>
        </w:rPr>
        <w:t>לא</w:t>
      </w:r>
      <w:r w:rsidRPr="001E4B09">
        <w:rPr>
          <w:rtl/>
        </w:rPr>
        <w:t xml:space="preserve"> </w:t>
      </w:r>
      <w:r w:rsidRPr="001E4B09">
        <w:rPr>
          <w:rFonts w:hint="cs"/>
          <w:rtl/>
        </w:rPr>
        <w:t>התאימו</w:t>
      </w:r>
      <w:r w:rsidRPr="001E4B09">
        <w:rPr>
          <w:rtl/>
        </w:rPr>
        <w:t xml:space="preserve"> </w:t>
      </w:r>
      <w:r w:rsidRPr="001E4B09">
        <w:rPr>
          <w:rFonts w:hint="cs"/>
          <w:rtl/>
        </w:rPr>
        <w:t>לשנת</w:t>
      </w:r>
      <w:r w:rsidRPr="001E4B09">
        <w:rPr>
          <w:rtl/>
        </w:rPr>
        <w:t xml:space="preserve"> </w:t>
      </w:r>
      <w:r w:rsidRPr="001E4B09">
        <w:rPr>
          <w:rFonts w:hint="cs"/>
          <w:rtl/>
        </w:rPr>
        <w:t>ה</w:t>
      </w:r>
      <w:r w:rsidRPr="001E4B09">
        <w:rPr>
          <w:rtl/>
        </w:rPr>
        <w:t xml:space="preserve">' </w:t>
      </w:r>
      <w:r w:rsidRPr="001E4B09">
        <w:rPr>
          <w:rFonts w:hint="cs"/>
          <w:rtl/>
        </w:rPr>
        <w:t>תש</w:t>
      </w:r>
      <w:r w:rsidRPr="001E4B09">
        <w:rPr>
          <w:rtl/>
        </w:rPr>
        <w:t>"</w:t>
      </w:r>
      <w:r w:rsidRPr="001E4B09">
        <w:rPr>
          <w:rFonts w:hint="cs"/>
          <w:rtl/>
        </w:rPr>
        <w:t>ג</w:t>
      </w:r>
      <w:r w:rsidRPr="001E4B09">
        <w:rPr>
          <w:rtl/>
        </w:rPr>
        <w:t xml:space="preserve"> </w:t>
      </w:r>
      <w:r w:rsidRPr="001E4B09">
        <w:rPr>
          <w:rFonts w:hint="cs"/>
          <w:rtl/>
        </w:rPr>
        <w:t>לפי</w:t>
      </w:r>
      <w:r w:rsidRPr="001E4B09">
        <w:rPr>
          <w:rtl/>
        </w:rPr>
        <w:t xml:space="preserve"> </w:t>
      </w:r>
      <w:r w:rsidRPr="001E4B09">
        <w:rPr>
          <w:rFonts w:hint="cs"/>
          <w:rtl/>
        </w:rPr>
        <w:t>קביעות</w:t>
      </w:r>
      <w:r w:rsidRPr="001E4B09">
        <w:rPr>
          <w:rtl/>
        </w:rPr>
        <w:t xml:space="preserve"> </w:t>
      </w:r>
      <w:r w:rsidRPr="001E4B09">
        <w:rPr>
          <w:rFonts w:hint="cs"/>
          <w:rtl/>
        </w:rPr>
        <w:t>השנה</w:t>
      </w:r>
      <w:r w:rsidRPr="001E4B09">
        <w:rPr>
          <w:rtl/>
        </w:rPr>
        <w:t xml:space="preserve">, </w:t>
      </w:r>
      <w:r w:rsidRPr="001E4B09">
        <w:rPr>
          <w:rFonts w:hint="cs"/>
          <w:rtl/>
        </w:rPr>
        <w:t>ולא</w:t>
      </w:r>
      <w:r w:rsidRPr="001E4B09">
        <w:rPr>
          <w:rtl/>
        </w:rPr>
        <w:t xml:space="preserve"> </w:t>
      </w:r>
      <w:r w:rsidRPr="001E4B09">
        <w:rPr>
          <w:rFonts w:hint="cs"/>
          <w:rtl/>
        </w:rPr>
        <w:t>היו</w:t>
      </w:r>
      <w:r w:rsidRPr="001E4B09">
        <w:rPr>
          <w:rtl/>
        </w:rPr>
        <w:t xml:space="preserve"> </w:t>
      </w:r>
      <w:r w:rsidRPr="001E4B09">
        <w:rPr>
          <w:rFonts w:hint="cs"/>
          <w:rtl/>
        </w:rPr>
        <w:t>נוגעות</w:t>
      </w:r>
      <w:r w:rsidRPr="001E4B09">
        <w:rPr>
          <w:rtl/>
        </w:rPr>
        <w:t xml:space="preserve"> </w:t>
      </w:r>
      <w:r w:rsidRPr="001E4B09">
        <w:rPr>
          <w:rFonts w:hint="cs"/>
          <w:rtl/>
        </w:rPr>
        <w:t>למעשה</w:t>
      </w:r>
      <w:r w:rsidRPr="001E4B09">
        <w:rPr>
          <w:rtl/>
        </w:rPr>
        <w:t xml:space="preserve"> </w:t>
      </w:r>
      <w:r w:rsidRPr="001E4B09">
        <w:rPr>
          <w:rFonts w:hint="cs"/>
          <w:rtl/>
        </w:rPr>
        <w:t>לשנת</w:t>
      </w:r>
      <w:r w:rsidRPr="001E4B09">
        <w:rPr>
          <w:rtl/>
        </w:rPr>
        <w:t xml:space="preserve"> </w:t>
      </w:r>
      <w:r w:rsidRPr="001E4B09">
        <w:rPr>
          <w:rFonts w:hint="cs"/>
          <w:rtl/>
        </w:rPr>
        <w:t>הופעת</w:t>
      </w:r>
      <w:r w:rsidRPr="001E4B09">
        <w:rPr>
          <w:rtl/>
        </w:rPr>
        <w:t xml:space="preserve"> </w:t>
      </w:r>
      <w:r w:rsidRPr="001E4B09">
        <w:rPr>
          <w:rFonts w:hint="cs"/>
          <w:rtl/>
        </w:rPr>
        <w:t>הלוח</w:t>
      </w:r>
      <w:r w:rsidRPr="001E4B09">
        <w:rPr>
          <w:rtl/>
        </w:rPr>
        <w:t xml:space="preserve">, </w:t>
      </w:r>
      <w:r w:rsidRPr="001E4B09">
        <w:rPr>
          <w:rFonts w:hint="cs"/>
          <w:rtl/>
        </w:rPr>
        <w:t>ומ</w:t>
      </w:r>
      <w:r w:rsidRPr="001E4B09">
        <w:rPr>
          <w:rtl/>
        </w:rPr>
        <w:t>"</w:t>
      </w:r>
      <w:r w:rsidRPr="001E4B09">
        <w:rPr>
          <w:rFonts w:hint="cs"/>
          <w:rtl/>
        </w:rPr>
        <w:t>מ</w:t>
      </w:r>
      <w:r w:rsidRPr="001E4B09">
        <w:rPr>
          <w:rtl/>
        </w:rPr>
        <w:t xml:space="preserve"> </w:t>
      </w:r>
      <w:r w:rsidRPr="001E4B09">
        <w:rPr>
          <w:rFonts w:hint="cs"/>
          <w:rtl/>
        </w:rPr>
        <w:t>כתבם</w:t>
      </w:r>
      <w:r w:rsidRPr="001E4B09">
        <w:rPr>
          <w:rtl/>
        </w:rPr>
        <w:t xml:space="preserve"> </w:t>
      </w:r>
      <w:r w:rsidRPr="001E4B09">
        <w:rPr>
          <w:rFonts w:hint="cs"/>
          <w:rtl/>
        </w:rPr>
        <w:t>הרבי</w:t>
      </w:r>
      <w:r w:rsidRPr="001E4B09">
        <w:rPr>
          <w:rtl/>
        </w:rPr>
        <w:t xml:space="preserve"> </w:t>
      </w:r>
      <w:r w:rsidRPr="001E4B09">
        <w:rPr>
          <w:rFonts w:hint="cs"/>
          <w:rtl/>
        </w:rPr>
        <w:t>בלוח</w:t>
      </w:r>
      <w:r w:rsidRPr="001E4B09">
        <w:rPr>
          <w:rtl/>
        </w:rPr>
        <w:t>.</w:t>
      </w:r>
    </w:p>
    <w:p w:rsidR="00352A69" w:rsidRPr="001E4B09" w:rsidRDefault="00352A69" w:rsidP="00352A69">
      <w:pPr>
        <w:pStyle w:val="a3"/>
        <w:rPr>
          <w:rtl/>
        </w:rPr>
      </w:pPr>
      <w:r w:rsidRPr="001E4B09">
        <w:rPr>
          <w:rFonts w:hint="cs"/>
          <w:rtl/>
        </w:rPr>
        <w:t>ולהוסיף</w:t>
      </w:r>
      <w:r w:rsidRPr="001E4B09">
        <w:rPr>
          <w:rtl/>
        </w:rPr>
        <w:t xml:space="preserve">, </w:t>
      </w:r>
      <w:r w:rsidRPr="001E4B09">
        <w:rPr>
          <w:rFonts w:hint="cs"/>
          <w:rtl/>
        </w:rPr>
        <w:t>בעוד</w:t>
      </w:r>
      <w:r w:rsidRPr="001E4B09">
        <w:rPr>
          <w:rtl/>
        </w:rPr>
        <w:t xml:space="preserve"> </w:t>
      </w:r>
      <w:r w:rsidRPr="001E4B09">
        <w:rPr>
          <w:rFonts w:hint="cs"/>
          <w:rtl/>
        </w:rPr>
        <w:t>שההוראה</w:t>
      </w:r>
      <w:r w:rsidRPr="001E4B09">
        <w:rPr>
          <w:rtl/>
        </w:rPr>
        <w:t xml:space="preserve"> </w:t>
      </w:r>
      <w:r w:rsidRPr="001E4B09">
        <w:rPr>
          <w:rFonts w:hint="cs"/>
          <w:rtl/>
        </w:rPr>
        <w:t>בכ</w:t>
      </w:r>
      <w:r w:rsidRPr="001E4B09">
        <w:rPr>
          <w:rtl/>
        </w:rPr>
        <w:t>"</w:t>
      </w:r>
      <w:r w:rsidRPr="001E4B09">
        <w:rPr>
          <w:rFonts w:hint="cs"/>
          <w:rtl/>
        </w:rPr>
        <w:t>ה</w:t>
      </w:r>
      <w:r w:rsidRPr="001E4B09">
        <w:rPr>
          <w:rtl/>
        </w:rPr>
        <w:t xml:space="preserve"> </w:t>
      </w:r>
      <w:r w:rsidRPr="001E4B09">
        <w:rPr>
          <w:rFonts w:hint="cs"/>
          <w:rtl/>
        </w:rPr>
        <w:t>אלול</w:t>
      </w:r>
      <w:r w:rsidRPr="001E4B09">
        <w:rPr>
          <w:rtl/>
        </w:rPr>
        <w:t xml:space="preserve"> </w:t>
      </w:r>
      <w:r w:rsidRPr="001E4B09">
        <w:rPr>
          <w:rFonts w:hint="cs"/>
          <w:rtl/>
        </w:rPr>
        <w:t>היא</w:t>
      </w:r>
      <w:r w:rsidRPr="001E4B09">
        <w:rPr>
          <w:rtl/>
        </w:rPr>
        <w:t xml:space="preserve"> </w:t>
      </w:r>
      <w:r w:rsidRPr="001E4B09">
        <w:rPr>
          <w:rFonts w:hint="cs"/>
          <w:rtl/>
        </w:rPr>
        <w:t>נוגעת</w:t>
      </w:r>
      <w:r w:rsidRPr="001E4B09">
        <w:rPr>
          <w:rtl/>
        </w:rPr>
        <w:t xml:space="preserve"> </w:t>
      </w:r>
      <w:r w:rsidRPr="001E4B09">
        <w:rPr>
          <w:rFonts w:hint="cs"/>
          <w:rtl/>
        </w:rPr>
        <w:t>למעשה</w:t>
      </w:r>
      <w:r w:rsidRPr="001E4B09">
        <w:rPr>
          <w:rtl/>
        </w:rPr>
        <w:t xml:space="preserve"> </w:t>
      </w:r>
      <w:r w:rsidRPr="001E4B09">
        <w:rPr>
          <w:rFonts w:hint="cs"/>
          <w:rtl/>
        </w:rPr>
        <w:t>לכו</w:t>
      </w:r>
      <w:r w:rsidRPr="001E4B09">
        <w:rPr>
          <w:rtl/>
        </w:rPr>
        <w:t>"</w:t>
      </w:r>
      <w:r w:rsidRPr="001E4B09">
        <w:rPr>
          <w:rFonts w:hint="cs"/>
          <w:rtl/>
        </w:rPr>
        <w:t>כ</w:t>
      </w:r>
      <w:r w:rsidRPr="001E4B09">
        <w:rPr>
          <w:rtl/>
        </w:rPr>
        <w:t xml:space="preserve"> </w:t>
      </w:r>
      <w:r w:rsidRPr="001E4B09">
        <w:rPr>
          <w:rFonts w:hint="cs"/>
          <w:rtl/>
        </w:rPr>
        <w:t>שנים</w:t>
      </w:r>
      <w:r w:rsidRPr="001E4B09">
        <w:rPr>
          <w:rtl/>
        </w:rPr>
        <w:t xml:space="preserve">. </w:t>
      </w:r>
      <w:r w:rsidRPr="001E4B09">
        <w:rPr>
          <w:rFonts w:hint="cs"/>
          <w:rtl/>
        </w:rPr>
        <w:t>כידוע</w:t>
      </w:r>
      <w:r w:rsidRPr="001E4B09">
        <w:rPr>
          <w:rtl/>
        </w:rPr>
        <w:t xml:space="preserve"> </w:t>
      </w:r>
      <w:r w:rsidRPr="001E4B09">
        <w:rPr>
          <w:rFonts w:hint="cs"/>
          <w:rtl/>
        </w:rPr>
        <w:t>ה</w:t>
      </w:r>
      <w:r>
        <w:rPr>
          <w:rFonts w:hint="cs"/>
          <w:rtl/>
        </w:rPr>
        <w:t xml:space="preserve">סימן </w:t>
      </w:r>
      <w:r w:rsidRPr="001E4B09">
        <w:rPr>
          <w:rFonts w:hint="cs"/>
          <w:rtl/>
        </w:rPr>
        <w:t>המופיע</w:t>
      </w:r>
      <w:r w:rsidRPr="001E4B09">
        <w:rPr>
          <w:rtl/>
        </w:rPr>
        <w:t xml:space="preserve"> </w:t>
      </w:r>
      <w:r w:rsidRPr="001E4B09">
        <w:rPr>
          <w:rFonts w:hint="cs"/>
          <w:rtl/>
        </w:rPr>
        <w:t>ב</w:t>
      </w:r>
      <w:r>
        <w:rPr>
          <w:rFonts w:hint="cs"/>
          <w:rtl/>
        </w:rPr>
        <w:t>טור ושו"ע או"ח סתכ"ח ס"ד</w:t>
      </w:r>
      <w:r w:rsidRPr="001E4B09">
        <w:rPr>
          <w:rtl/>
        </w:rPr>
        <w:t xml:space="preserve"> </w:t>
      </w:r>
      <w:r>
        <w:rPr>
          <w:rFonts w:hint="cs"/>
          <w:rtl/>
        </w:rPr>
        <w:t>"</w:t>
      </w:r>
      <w:r w:rsidRPr="001E4B09">
        <w:rPr>
          <w:rFonts w:hint="cs"/>
          <w:rtl/>
        </w:rPr>
        <w:t>ב</w:t>
      </w:r>
      <w:r w:rsidRPr="001E4B09">
        <w:rPr>
          <w:rtl/>
        </w:rPr>
        <w:t>''</w:t>
      </w:r>
      <w:r w:rsidRPr="001E4B09">
        <w:rPr>
          <w:rFonts w:hint="cs"/>
          <w:rtl/>
        </w:rPr>
        <w:t>ג</w:t>
      </w:r>
      <w:r w:rsidRPr="001E4B09">
        <w:rPr>
          <w:rtl/>
        </w:rPr>
        <w:t xml:space="preserve"> </w:t>
      </w:r>
      <w:r w:rsidRPr="001E4B09">
        <w:rPr>
          <w:rFonts w:hint="cs"/>
          <w:rtl/>
        </w:rPr>
        <w:t>המלך</w:t>
      </w:r>
      <w:r w:rsidRPr="001E4B09">
        <w:rPr>
          <w:rtl/>
        </w:rPr>
        <w:t xml:space="preserve"> </w:t>
      </w:r>
      <w:r w:rsidRPr="001E4B09">
        <w:rPr>
          <w:rFonts w:hint="cs"/>
          <w:rtl/>
        </w:rPr>
        <w:t>פת</w:t>
      </w:r>
      <w:r w:rsidRPr="001E4B09">
        <w:rPr>
          <w:rtl/>
        </w:rPr>
        <w:t xml:space="preserve"> </w:t>
      </w:r>
      <w:r w:rsidRPr="001E4B09">
        <w:rPr>
          <w:rFonts w:hint="cs"/>
          <w:rtl/>
        </w:rPr>
        <w:t>וילך</w:t>
      </w:r>
      <w:r w:rsidRPr="001E4B09">
        <w:rPr>
          <w:rtl/>
        </w:rPr>
        <w:t>",</w:t>
      </w:r>
      <w:r>
        <w:rPr>
          <w:rFonts w:hint="cs"/>
          <w:rtl/>
        </w:rPr>
        <w:t xml:space="preserve"> "שכשחל</w:t>
      </w:r>
      <w:r w:rsidRPr="001E4B09">
        <w:rPr>
          <w:rtl/>
        </w:rPr>
        <w:t xml:space="preserve"> </w:t>
      </w:r>
      <w:r w:rsidRPr="001E4B09">
        <w:rPr>
          <w:rFonts w:hint="cs"/>
          <w:rtl/>
        </w:rPr>
        <w:t>ראש</w:t>
      </w:r>
      <w:r w:rsidRPr="001E4B09">
        <w:rPr>
          <w:rtl/>
        </w:rPr>
        <w:t xml:space="preserve"> </w:t>
      </w:r>
      <w:r w:rsidRPr="001E4B09">
        <w:rPr>
          <w:rFonts w:hint="cs"/>
          <w:rtl/>
        </w:rPr>
        <w:t>השנה</w:t>
      </w:r>
      <w:r w:rsidRPr="001E4B09">
        <w:rPr>
          <w:rtl/>
        </w:rPr>
        <w:t xml:space="preserve"> </w:t>
      </w:r>
      <w:r>
        <w:rPr>
          <w:rFonts w:hint="cs"/>
          <w:rtl/>
        </w:rPr>
        <w:t xml:space="preserve">(שעניינו  "תמליכוני עליכם" "המלך") </w:t>
      </w:r>
      <w:r w:rsidRPr="001E4B09">
        <w:rPr>
          <w:rFonts w:hint="cs"/>
          <w:rtl/>
        </w:rPr>
        <w:t>ביום</w:t>
      </w:r>
      <w:r w:rsidRPr="001E4B09">
        <w:rPr>
          <w:rtl/>
        </w:rPr>
        <w:t xml:space="preserve"> </w:t>
      </w:r>
      <w:r w:rsidRPr="001E4B09">
        <w:rPr>
          <w:rFonts w:hint="cs"/>
          <w:rtl/>
        </w:rPr>
        <w:t>ב</w:t>
      </w:r>
      <w:r w:rsidRPr="001E4B09">
        <w:rPr>
          <w:rtl/>
        </w:rPr>
        <w:t xml:space="preserve">' </w:t>
      </w:r>
      <w:r w:rsidRPr="001E4B09">
        <w:rPr>
          <w:rFonts w:hint="cs"/>
          <w:rtl/>
        </w:rPr>
        <w:t>או</w:t>
      </w:r>
      <w:r w:rsidRPr="001E4B09">
        <w:rPr>
          <w:rtl/>
        </w:rPr>
        <w:t xml:space="preserve"> </w:t>
      </w:r>
      <w:r w:rsidRPr="001E4B09">
        <w:rPr>
          <w:rFonts w:hint="cs"/>
          <w:rtl/>
        </w:rPr>
        <w:t>ביום</w:t>
      </w:r>
      <w:r w:rsidRPr="001E4B09">
        <w:rPr>
          <w:rtl/>
        </w:rPr>
        <w:t xml:space="preserve"> </w:t>
      </w:r>
      <w:r w:rsidRPr="001E4B09">
        <w:rPr>
          <w:rFonts w:hint="cs"/>
          <w:rtl/>
        </w:rPr>
        <w:t>ג</w:t>
      </w:r>
      <w:r w:rsidRPr="001E4B09">
        <w:rPr>
          <w:rtl/>
        </w:rPr>
        <w:t xml:space="preserve">', </w:t>
      </w:r>
      <w:r>
        <w:rPr>
          <w:rFonts w:hint="cs"/>
          <w:rtl/>
        </w:rPr>
        <w:t>"פת מלשון פתות אותה פתים", ש</w:t>
      </w:r>
      <w:r w:rsidRPr="001E4B09">
        <w:rPr>
          <w:rFonts w:hint="cs"/>
          <w:rtl/>
        </w:rPr>
        <w:t>מחלקים</w:t>
      </w:r>
      <w:r w:rsidRPr="001E4B09">
        <w:rPr>
          <w:rtl/>
        </w:rPr>
        <w:t xml:space="preserve"> </w:t>
      </w:r>
      <w:r w:rsidRPr="001E4B09">
        <w:rPr>
          <w:rFonts w:hint="cs"/>
          <w:rtl/>
        </w:rPr>
        <w:t>נצבים</w:t>
      </w:r>
      <w:r w:rsidRPr="001E4B09">
        <w:rPr>
          <w:rtl/>
        </w:rPr>
        <w:t xml:space="preserve">  </w:t>
      </w:r>
      <w:r w:rsidRPr="001E4B09">
        <w:rPr>
          <w:rFonts w:hint="cs"/>
          <w:rtl/>
        </w:rPr>
        <w:t>וילך</w:t>
      </w:r>
      <w:r>
        <w:rPr>
          <w:rFonts w:hint="cs"/>
          <w:rtl/>
        </w:rPr>
        <w:t xml:space="preserve"> לשתיים"</w:t>
      </w:r>
      <w:r w:rsidRPr="001E4B09">
        <w:rPr>
          <w:rtl/>
        </w:rPr>
        <w:t xml:space="preserve"> (</w:t>
      </w:r>
      <w:r>
        <w:rPr>
          <w:rFonts w:hint="cs"/>
          <w:rtl/>
        </w:rPr>
        <w:t>תורת מנחם תשנ"ב ח"א עמ' 10</w:t>
      </w:r>
      <w:r w:rsidRPr="001E4B09">
        <w:rPr>
          <w:rtl/>
        </w:rPr>
        <w:t xml:space="preserve">). </w:t>
      </w:r>
      <w:r>
        <w:rPr>
          <w:rFonts w:hint="cs"/>
          <w:rtl/>
        </w:rPr>
        <w:t xml:space="preserve">                                                   </w:t>
      </w:r>
      <w:r w:rsidRPr="001E4B09">
        <w:rPr>
          <w:rFonts w:hint="cs"/>
          <w:rtl/>
        </w:rPr>
        <w:t>הרי</w:t>
      </w:r>
      <w:r w:rsidRPr="001E4B09">
        <w:rPr>
          <w:rtl/>
        </w:rPr>
        <w:t xml:space="preserve"> </w:t>
      </w:r>
      <w:r w:rsidRPr="001E4B09">
        <w:rPr>
          <w:rFonts w:hint="cs"/>
          <w:rtl/>
        </w:rPr>
        <w:t>ההוראה</w:t>
      </w:r>
      <w:r w:rsidRPr="001E4B09">
        <w:rPr>
          <w:rtl/>
        </w:rPr>
        <w:t xml:space="preserve"> </w:t>
      </w:r>
      <w:r w:rsidRPr="001E4B09">
        <w:rPr>
          <w:rFonts w:hint="cs"/>
          <w:rtl/>
        </w:rPr>
        <w:t>מכ</w:t>
      </w:r>
      <w:r w:rsidRPr="001E4B09">
        <w:rPr>
          <w:rtl/>
        </w:rPr>
        <w:t>"</w:t>
      </w:r>
      <w:r w:rsidRPr="001E4B09">
        <w:rPr>
          <w:rFonts w:hint="cs"/>
          <w:rtl/>
        </w:rPr>
        <w:t>ג</w:t>
      </w:r>
      <w:r w:rsidRPr="001E4B09">
        <w:rPr>
          <w:rtl/>
        </w:rPr>
        <w:t xml:space="preserve"> </w:t>
      </w:r>
      <w:r w:rsidRPr="001E4B09">
        <w:rPr>
          <w:rFonts w:hint="cs"/>
          <w:rtl/>
        </w:rPr>
        <w:t>תמוז</w:t>
      </w:r>
      <w:r w:rsidRPr="001E4B09">
        <w:rPr>
          <w:rtl/>
        </w:rPr>
        <w:t xml:space="preserve"> </w:t>
      </w:r>
      <w:r w:rsidRPr="001E4B09">
        <w:rPr>
          <w:rFonts w:hint="cs"/>
          <w:rtl/>
        </w:rPr>
        <w:t>היא</w:t>
      </w:r>
      <w:r w:rsidRPr="001E4B09">
        <w:rPr>
          <w:rtl/>
        </w:rPr>
        <w:t xml:space="preserve"> </w:t>
      </w:r>
      <w:r w:rsidRPr="001E4B09">
        <w:rPr>
          <w:rFonts w:hint="cs"/>
          <w:rtl/>
        </w:rPr>
        <w:t>די</w:t>
      </w:r>
      <w:r w:rsidRPr="001E4B09">
        <w:rPr>
          <w:rtl/>
        </w:rPr>
        <w:t xml:space="preserve"> </w:t>
      </w:r>
      <w:r w:rsidRPr="001E4B09">
        <w:rPr>
          <w:rFonts w:hint="cs"/>
          <w:rtl/>
        </w:rPr>
        <w:t>נדירה</w:t>
      </w:r>
      <w:r w:rsidRPr="001E4B09">
        <w:rPr>
          <w:rtl/>
        </w:rPr>
        <w:t xml:space="preserve"> </w:t>
      </w:r>
      <w:r w:rsidRPr="001E4B09">
        <w:rPr>
          <w:rFonts w:hint="cs"/>
          <w:rtl/>
        </w:rPr>
        <w:t>למעשה</w:t>
      </w:r>
      <w:r w:rsidRPr="001E4B09">
        <w:rPr>
          <w:rtl/>
        </w:rPr>
        <w:t xml:space="preserve"> , </w:t>
      </w:r>
      <w:r w:rsidRPr="001E4B09">
        <w:rPr>
          <w:rFonts w:hint="cs"/>
          <w:rtl/>
        </w:rPr>
        <w:t>שהרי</w:t>
      </w:r>
      <w:r w:rsidRPr="001E4B09">
        <w:rPr>
          <w:rtl/>
        </w:rPr>
        <w:t xml:space="preserve"> "</w:t>
      </w:r>
      <w:r w:rsidRPr="001E4B09">
        <w:rPr>
          <w:rFonts w:hint="cs"/>
          <w:rtl/>
        </w:rPr>
        <w:t>פ</w:t>
      </w:r>
      <w:r w:rsidRPr="001E4B09">
        <w:rPr>
          <w:rtl/>
        </w:rPr>
        <w:t xml:space="preserve">' </w:t>
      </w:r>
      <w:r w:rsidRPr="001E4B09">
        <w:rPr>
          <w:rFonts w:hint="cs"/>
          <w:rtl/>
        </w:rPr>
        <w:t>מטות</w:t>
      </w:r>
      <w:r w:rsidRPr="001E4B09">
        <w:rPr>
          <w:rtl/>
        </w:rPr>
        <w:t xml:space="preserve"> </w:t>
      </w:r>
      <w:r w:rsidRPr="001E4B09">
        <w:rPr>
          <w:rFonts w:hint="cs"/>
          <w:rtl/>
        </w:rPr>
        <w:t>מסעי</w:t>
      </w:r>
      <w:r w:rsidRPr="001E4B09">
        <w:rPr>
          <w:rtl/>
        </w:rPr>
        <w:t xml:space="preserve"> - </w:t>
      </w:r>
      <w:r w:rsidRPr="001E4B09">
        <w:rPr>
          <w:rFonts w:hint="cs"/>
          <w:rtl/>
        </w:rPr>
        <w:t>שברוב</w:t>
      </w:r>
      <w:r w:rsidRPr="001E4B09">
        <w:rPr>
          <w:rtl/>
        </w:rPr>
        <w:t xml:space="preserve"> </w:t>
      </w:r>
      <w:r w:rsidRPr="001E4B09">
        <w:rPr>
          <w:rFonts w:hint="cs"/>
          <w:rtl/>
        </w:rPr>
        <w:t>השנים</w:t>
      </w:r>
      <w:r w:rsidRPr="001E4B09">
        <w:rPr>
          <w:rtl/>
        </w:rPr>
        <w:t xml:space="preserve"> </w:t>
      </w:r>
      <w:r w:rsidRPr="001E4B09">
        <w:rPr>
          <w:rFonts w:hint="cs"/>
          <w:rtl/>
        </w:rPr>
        <w:t>הן</w:t>
      </w:r>
      <w:r w:rsidRPr="001E4B09">
        <w:rPr>
          <w:rtl/>
        </w:rPr>
        <w:t xml:space="preserve"> </w:t>
      </w:r>
      <w:r w:rsidRPr="001E4B09">
        <w:rPr>
          <w:rFonts w:hint="cs"/>
          <w:rtl/>
        </w:rPr>
        <w:t>מחוברות</w:t>
      </w:r>
      <w:r w:rsidRPr="001E4B09">
        <w:rPr>
          <w:rtl/>
        </w:rPr>
        <w:t xml:space="preserve">, </w:t>
      </w:r>
      <w:r w:rsidRPr="001E4B09">
        <w:rPr>
          <w:rFonts w:hint="cs"/>
          <w:rtl/>
        </w:rPr>
        <w:t>ורק</w:t>
      </w:r>
      <w:r w:rsidRPr="001E4B09">
        <w:rPr>
          <w:rtl/>
        </w:rPr>
        <w:t xml:space="preserve"> </w:t>
      </w:r>
      <w:r w:rsidRPr="001E4B09">
        <w:rPr>
          <w:rFonts w:hint="cs"/>
          <w:rtl/>
        </w:rPr>
        <w:t>בב</w:t>
      </w:r>
      <w:r w:rsidRPr="001E4B09">
        <w:rPr>
          <w:rtl/>
        </w:rPr>
        <w:t xml:space="preserve">' </w:t>
      </w:r>
      <w:r w:rsidRPr="001E4B09">
        <w:rPr>
          <w:rFonts w:hint="cs"/>
          <w:rtl/>
        </w:rPr>
        <w:t>קביעות</w:t>
      </w:r>
      <w:r w:rsidRPr="001E4B09">
        <w:rPr>
          <w:rtl/>
        </w:rPr>
        <w:t xml:space="preserve"> </w:t>
      </w:r>
      <w:r w:rsidRPr="001E4B09">
        <w:rPr>
          <w:rFonts w:hint="cs"/>
          <w:rtl/>
        </w:rPr>
        <w:t>בלבד</w:t>
      </w:r>
      <w:r w:rsidRPr="001E4B09">
        <w:rPr>
          <w:rtl/>
        </w:rPr>
        <w:t xml:space="preserve"> (</w:t>
      </w:r>
      <w:r w:rsidRPr="001E4B09">
        <w:rPr>
          <w:rFonts w:hint="cs"/>
          <w:rtl/>
        </w:rPr>
        <w:t>ודמעוברות</w:t>
      </w:r>
      <w:r w:rsidRPr="001E4B09">
        <w:rPr>
          <w:rtl/>
        </w:rPr>
        <w:t xml:space="preserve">) </w:t>
      </w:r>
      <w:r w:rsidRPr="001E4B09">
        <w:rPr>
          <w:rFonts w:hint="cs"/>
          <w:rtl/>
        </w:rPr>
        <w:t>הוי</w:t>
      </w:r>
      <w:r w:rsidRPr="001E4B09">
        <w:rPr>
          <w:rtl/>
        </w:rPr>
        <w:t xml:space="preserve"> </w:t>
      </w:r>
      <w:r w:rsidRPr="001E4B09">
        <w:rPr>
          <w:rFonts w:hint="cs"/>
          <w:rtl/>
        </w:rPr>
        <w:t>נפרדות</w:t>
      </w:r>
      <w:r w:rsidRPr="001E4B09">
        <w:rPr>
          <w:rtl/>
        </w:rPr>
        <w:t>" (</w:t>
      </w:r>
      <w:r w:rsidRPr="001E4B09">
        <w:rPr>
          <w:rFonts w:hint="cs"/>
          <w:rtl/>
        </w:rPr>
        <w:t>לקו</w:t>
      </w:r>
      <w:r w:rsidRPr="001E4B09">
        <w:rPr>
          <w:rtl/>
        </w:rPr>
        <w:t>"</w:t>
      </w:r>
      <w:r w:rsidRPr="001E4B09">
        <w:rPr>
          <w:rFonts w:hint="cs"/>
          <w:rtl/>
        </w:rPr>
        <w:t>ש</w:t>
      </w:r>
      <w:r w:rsidRPr="001E4B09">
        <w:rPr>
          <w:rtl/>
        </w:rPr>
        <w:t xml:space="preserve"> </w:t>
      </w:r>
      <w:r w:rsidRPr="001E4B09">
        <w:rPr>
          <w:rFonts w:hint="cs"/>
          <w:rtl/>
        </w:rPr>
        <w:t>חי</w:t>
      </w:r>
      <w:r w:rsidRPr="001E4B09">
        <w:rPr>
          <w:rtl/>
        </w:rPr>
        <w:t>"</w:t>
      </w:r>
      <w:r w:rsidRPr="001E4B09">
        <w:rPr>
          <w:rFonts w:hint="cs"/>
          <w:rtl/>
        </w:rPr>
        <w:t>ח</w:t>
      </w:r>
      <w:r w:rsidRPr="001E4B09">
        <w:rPr>
          <w:rtl/>
        </w:rPr>
        <w:t xml:space="preserve"> </w:t>
      </w:r>
      <w:r w:rsidRPr="001E4B09">
        <w:rPr>
          <w:rFonts w:hint="cs"/>
          <w:rtl/>
        </w:rPr>
        <w:t>עמ</w:t>
      </w:r>
      <w:r w:rsidRPr="001E4B09">
        <w:rPr>
          <w:rtl/>
        </w:rPr>
        <w:t xml:space="preserve">' 381 </w:t>
      </w:r>
      <w:r w:rsidRPr="001E4B09">
        <w:rPr>
          <w:rFonts w:hint="cs"/>
          <w:rtl/>
        </w:rPr>
        <w:t>הע</w:t>
      </w:r>
      <w:r w:rsidRPr="001E4B09">
        <w:rPr>
          <w:rtl/>
        </w:rPr>
        <w:t>' 29).</w:t>
      </w:r>
    </w:p>
    <w:p w:rsidR="00352A69" w:rsidRPr="001E4B09" w:rsidRDefault="00352A69" w:rsidP="00352A69">
      <w:pPr>
        <w:pStyle w:val="a3"/>
        <w:rPr>
          <w:rtl/>
        </w:rPr>
      </w:pPr>
      <w:r w:rsidRPr="001E4B09">
        <w:rPr>
          <w:rFonts w:hint="cs"/>
          <w:rtl/>
        </w:rPr>
        <w:t>ועוד</w:t>
      </w:r>
      <w:r w:rsidRPr="001E4B09">
        <w:rPr>
          <w:rtl/>
        </w:rPr>
        <w:t xml:space="preserve">, </w:t>
      </w:r>
      <w:r w:rsidRPr="001E4B09">
        <w:rPr>
          <w:rFonts w:hint="cs"/>
          <w:rtl/>
        </w:rPr>
        <w:t>לפעמים</w:t>
      </w:r>
      <w:r w:rsidRPr="001E4B09">
        <w:rPr>
          <w:rtl/>
        </w:rPr>
        <w:t xml:space="preserve"> </w:t>
      </w:r>
      <w:r w:rsidRPr="001E4B09">
        <w:rPr>
          <w:rFonts w:hint="cs"/>
          <w:rtl/>
        </w:rPr>
        <w:t>הוסיף</w:t>
      </w:r>
      <w:r w:rsidRPr="001E4B09">
        <w:rPr>
          <w:rtl/>
        </w:rPr>
        <w:t xml:space="preserve"> </w:t>
      </w:r>
      <w:r w:rsidRPr="001E4B09">
        <w:rPr>
          <w:rFonts w:hint="cs"/>
          <w:rtl/>
        </w:rPr>
        <w:t>הרבי</w:t>
      </w:r>
      <w:r w:rsidRPr="001E4B09">
        <w:rPr>
          <w:rtl/>
        </w:rPr>
        <w:t xml:space="preserve"> </w:t>
      </w:r>
      <w:r w:rsidRPr="001E4B09">
        <w:rPr>
          <w:rFonts w:hint="cs"/>
          <w:rtl/>
        </w:rPr>
        <w:t>למנהגים</w:t>
      </w:r>
      <w:r w:rsidRPr="001E4B09">
        <w:rPr>
          <w:rtl/>
        </w:rPr>
        <w:t xml:space="preserve"> </w:t>
      </w:r>
      <w:r w:rsidRPr="001E4B09">
        <w:rPr>
          <w:rFonts w:hint="cs"/>
          <w:rtl/>
        </w:rPr>
        <w:t>שכתבם</w:t>
      </w:r>
      <w:r w:rsidRPr="001E4B09">
        <w:rPr>
          <w:rtl/>
        </w:rPr>
        <w:t xml:space="preserve"> </w:t>
      </w:r>
      <w:r w:rsidRPr="001E4B09">
        <w:rPr>
          <w:rFonts w:hint="cs"/>
          <w:rtl/>
        </w:rPr>
        <w:t>בימים</w:t>
      </w:r>
      <w:r w:rsidRPr="001E4B09">
        <w:rPr>
          <w:rtl/>
        </w:rPr>
        <w:t xml:space="preserve"> </w:t>
      </w:r>
      <w:r w:rsidRPr="001E4B09">
        <w:rPr>
          <w:rFonts w:hint="cs"/>
          <w:rtl/>
        </w:rPr>
        <w:t>מסוימים</w:t>
      </w:r>
      <w:r w:rsidRPr="001E4B09">
        <w:rPr>
          <w:rtl/>
        </w:rPr>
        <w:t xml:space="preserve"> </w:t>
      </w:r>
      <w:r w:rsidRPr="001E4B09">
        <w:rPr>
          <w:rFonts w:hint="cs"/>
          <w:rtl/>
        </w:rPr>
        <w:t>סיפור</w:t>
      </w:r>
      <w:r w:rsidRPr="001E4B09">
        <w:rPr>
          <w:rtl/>
        </w:rPr>
        <w:t xml:space="preserve"> </w:t>
      </w:r>
      <w:r w:rsidRPr="001E4B09">
        <w:rPr>
          <w:rFonts w:hint="cs"/>
          <w:rtl/>
        </w:rPr>
        <w:t>או</w:t>
      </w:r>
      <w:r w:rsidRPr="001E4B09">
        <w:rPr>
          <w:rtl/>
        </w:rPr>
        <w:t xml:space="preserve"> </w:t>
      </w:r>
      <w:r w:rsidRPr="001E4B09">
        <w:rPr>
          <w:rFonts w:hint="cs"/>
          <w:rtl/>
        </w:rPr>
        <w:t>פתגם</w:t>
      </w:r>
      <w:r w:rsidRPr="001E4B09">
        <w:rPr>
          <w:rtl/>
        </w:rPr>
        <w:t xml:space="preserve"> (</w:t>
      </w:r>
      <w:r>
        <w:rPr>
          <w:rFonts w:hint="cs"/>
          <w:rtl/>
        </w:rPr>
        <w:t>וכן הוא</w:t>
      </w:r>
      <w:r w:rsidRPr="001E4B09">
        <w:rPr>
          <w:rtl/>
        </w:rPr>
        <w:t xml:space="preserve"> </w:t>
      </w:r>
      <w:r w:rsidRPr="001E4B09">
        <w:rPr>
          <w:rFonts w:hint="cs"/>
          <w:rtl/>
        </w:rPr>
        <w:t>בכ</w:t>
      </w:r>
      <w:r w:rsidRPr="001E4B09">
        <w:rPr>
          <w:rtl/>
        </w:rPr>
        <w:t>"</w:t>
      </w:r>
      <w:r w:rsidRPr="001E4B09">
        <w:rPr>
          <w:rFonts w:hint="cs"/>
          <w:rtl/>
        </w:rPr>
        <w:t>ה</w:t>
      </w:r>
      <w:r w:rsidRPr="001E4B09">
        <w:rPr>
          <w:rtl/>
        </w:rPr>
        <w:t xml:space="preserve"> </w:t>
      </w:r>
      <w:r w:rsidRPr="001E4B09">
        <w:rPr>
          <w:rFonts w:hint="cs"/>
          <w:rtl/>
        </w:rPr>
        <w:t>אלול</w:t>
      </w:r>
      <w:r w:rsidRPr="001E4B09">
        <w:rPr>
          <w:rtl/>
        </w:rPr>
        <w:t xml:space="preserve">), </w:t>
      </w:r>
      <w:r w:rsidRPr="001E4B09">
        <w:rPr>
          <w:rFonts w:hint="cs"/>
          <w:rtl/>
        </w:rPr>
        <w:t>הרי</w:t>
      </w:r>
      <w:r w:rsidRPr="001E4B09">
        <w:rPr>
          <w:rtl/>
        </w:rPr>
        <w:t xml:space="preserve"> </w:t>
      </w:r>
      <w:r w:rsidRPr="001E4B09">
        <w:rPr>
          <w:rFonts w:hint="cs"/>
          <w:rtl/>
        </w:rPr>
        <w:t>בכ</w:t>
      </w:r>
      <w:r w:rsidRPr="001E4B09">
        <w:rPr>
          <w:rtl/>
        </w:rPr>
        <w:t>"</w:t>
      </w:r>
      <w:r w:rsidRPr="001E4B09">
        <w:rPr>
          <w:rFonts w:hint="cs"/>
          <w:rtl/>
        </w:rPr>
        <w:t>ג</w:t>
      </w:r>
      <w:r w:rsidRPr="001E4B09">
        <w:rPr>
          <w:rtl/>
        </w:rPr>
        <w:t xml:space="preserve"> </w:t>
      </w:r>
      <w:r w:rsidRPr="001E4B09">
        <w:rPr>
          <w:rFonts w:hint="cs"/>
          <w:rtl/>
        </w:rPr>
        <w:t>תמוז</w:t>
      </w:r>
      <w:r w:rsidRPr="001E4B09">
        <w:rPr>
          <w:rtl/>
        </w:rPr>
        <w:t xml:space="preserve"> </w:t>
      </w:r>
      <w:r w:rsidRPr="001E4B09">
        <w:rPr>
          <w:rFonts w:hint="cs"/>
          <w:rtl/>
        </w:rPr>
        <w:t>כתב</w:t>
      </w:r>
      <w:r w:rsidRPr="001E4B09">
        <w:rPr>
          <w:rtl/>
        </w:rPr>
        <w:t xml:space="preserve"> </w:t>
      </w:r>
      <w:r w:rsidRPr="001E4B09">
        <w:rPr>
          <w:rFonts w:hint="cs"/>
          <w:rtl/>
        </w:rPr>
        <w:t>הרבי</w:t>
      </w:r>
      <w:r w:rsidRPr="001E4B09">
        <w:rPr>
          <w:rtl/>
        </w:rPr>
        <w:t xml:space="preserve"> </w:t>
      </w:r>
      <w:r w:rsidRPr="001E4B09">
        <w:rPr>
          <w:rFonts w:hint="cs"/>
          <w:rtl/>
        </w:rPr>
        <w:t>ביום</w:t>
      </w:r>
      <w:r w:rsidRPr="001E4B09">
        <w:rPr>
          <w:rtl/>
        </w:rPr>
        <w:t xml:space="preserve"> </w:t>
      </w:r>
      <w:r w:rsidRPr="001E4B09">
        <w:rPr>
          <w:rFonts w:hint="cs"/>
          <w:rtl/>
        </w:rPr>
        <w:t>זה</w:t>
      </w:r>
      <w:r w:rsidRPr="001E4B09">
        <w:rPr>
          <w:rtl/>
        </w:rPr>
        <w:t xml:space="preserve"> </w:t>
      </w:r>
      <w:r w:rsidRPr="001E4B09">
        <w:rPr>
          <w:rFonts w:hint="cs"/>
          <w:rtl/>
        </w:rPr>
        <w:t>רק</w:t>
      </w:r>
      <w:r w:rsidRPr="001E4B09">
        <w:rPr>
          <w:rtl/>
        </w:rPr>
        <w:t xml:space="preserve"> </w:t>
      </w:r>
      <w:r w:rsidRPr="001E4B09">
        <w:rPr>
          <w:rFonts w:hint="cs"/>
          <w:rtl/>
        </w:rPr>
        <w:t>את</w:t>
      </w:r>
      <w:r w:rsidRPr="001E4B09">
        <w:rPr>
          <w:rtl/>
        </w:rPr>
        <w:t xml:space="preserve"> </w:t>
      </w:r>
      <w:r w:rsidRPr="001E4B09">
        <w:rPr>
          <w:rFonts w:hint="cs"/>
          <w:rtl/>
        </w:rPr>
        <w:t>ההוראה</w:t>
      </w:r>
      <w:r w:rsidRPr="001E4B09">
        <w:rPr>
          <w:rtl/>
        </w:rPr>
        <w:t xml:space="preserve"> </w:t>
      </w:r>
      <w:r w:rsidRPr="001E4B09">
        <w:rPr>
          <w:rFonts w:hint="cs"/>
          <w:rtl/>
        </w:rPr>
        <w:t>הנ</w:t>
      </w:r>
      <w:r w:rsidRPr="001E4B09">
        <w:rPr>
          <w:rtl/>
        </w:rPr>
        <w:t>"</w:t>
      </w:r>
      <w:r w:rsidRPr="001E4B09">
        <w:rPr>
          <w:rFonts w:hint="cs"/>
          <w:rtl/>
        </w:rPr>
        <w:t>ל</w:t>
      </w:r>
      <w:r w:rsidRPr="001E4B09">
        <w:rPr>
          <w:rtl/>
        </w:rPr>
        <w:t xml:space="preserve">. </w:t>
      </w:r>
    </w:p>
    <w:p w:rsidR="001C6EFC" w:rsidRDefault="00352A69" w:rsidP="001C6EFC">
      <w:pPr>
        <w:pStyle w:val="11"/>
        <w:bidi/>
        <w:rPr>
          <w:rtl/>
        </w:rPr>
      </w:pPr>
      <w:r w:rsidRPr="001E4B09">
        <w:rPr>
          <w:rFonts w:hint="cs"/>
          <w:rtl/>
        </w:rPr>
        <w:t xml:space="preserve">ה                                   </w:t>
      </w:r>
    </w:p>
    <w:p w:rsidR="00352A69" w:rsidRPr="001E4B09" w:rsidRDefault="00352A69" w:rsidP="001C6EFC">
      <w:pPr>
        <w:pStyle w:val="11"/>
        <w:bidi/>
        <w:rPr>
          <w:rtl/>
        </w:rPr>
      </w:pPr>
      <w:r w:rsidRPr="001E4B09">
        <w:rPr>
          <w:rFonts w:hint="cs"/>
          <w:rtl/>
        </w:rPr>
        <w:t xml:space="preserve"> אכילת הסימנים בליל ראש השנה</w:t>
      </w:r>
    </w:p>
    <w:p w:rsidR="00352A69" w:rsidRDefault="00352A69" w:rsidP="00352A69">
      <w:pPr>
        <w:pStyle w:val="a3"/>
        <w:rPr>
          <w:rtl/>
        </w:rPr>
      </w:pPr>
      <w:r w:rsidRPr="001E4B09">
        <w:rPr>
          <w:rFonts w:hint="cs"/>
          <w:rtl/>
        </w:rPr>
        <w:t>בשו</w:t>
      </w:r>
      <w:r w:rsidRPr="001E4B09">
        <w:rPr>
          <w:rtl/>
        </w:rPr>
        <w:t>"</w:t>
      </w:r>
      <w:r w:rsidRPr="001E4B09">
        <w:rPr>
          <w:rFonts w:hint="cs"/>
          <w:rtl/>
        </w:rPr>
        <w:t>ע</w:t>
      </w:r>
      <w:r w:rsidRPr="001E4B09">
        <w:rPr>
          <w:rtl/>
        </w:rPr>
        <w:t xml:space="preserve"> </w:t>
      </w:r>
      <w:r w:rsidRPr="001E4B09">
        <w:rPr>
          <w:rFonts w:hint="cs"/>
          <w:rtl/>
        </w:rPr>
        <w:t>אדה</w:t>
      </w:r>
      <w:r w:rsidRPr="001E4B09">
        <w:rPr>
          <w:rtl/>
        </w:rPr>
        <w:t>"</w:t>
      </w:r>
      <w:r w:rsidRPr="001E4B09">
        <w:rPr>
          <w:rFonts w:hint="cs"/>
          <w:rtl/>
        </w:rPr>
        <w:t>ז</w:t>
      </w:r>
      <w:r w:rsidRPr="001E4B09">
        <w:rPr>
          <w:rtl/>
        </w:rPr>
        <w:t xml:space="preserve"> (</w:t>
      </w:r>
      <w:r w:rsidRPr="001E4B09">
        <w:rPr>
          <w:rFonts w:hint="cs"/>
          <w:rtl/>
        </w:rPr>
        <w:t>ומקורו</w:t>
      </w:r>
      <w:r w:rsidRPr="001E4B09">
        <w:rPr>
          <w:rtl/>
        </w:rPr>
        <w:t xml:space="preserve"> </w:t>
      </w:r>
      <w:r w:rsidRPr="001E4B09">
        <w:rPr>
          <w:rFonts w:hint="cs"/>
          <w:rtl/>
        </w:rPr>
        <w:t>בגמ</w:t>
      </w:r>
      <w:r w:rsidRPr="001E4B09">
        <w:rPr>
          <w:rtl/>
        </w:rPr>
        <w:t xml:space="preserve">' </w:t>
      </w:r>
      <w:r w:rsidRPr="001E4B09">
        <w:rPr>
          <w:rFonts w:hint="cs"/>
          <w:rtl/>
        </w:rPr>
        <w:t>ובטוש</w:t>
      </w:r>
      <w:r w:rsidRPr="001E4B09">
        <w:rPr>
          <w:rtl/>
        </w:rPr>
        <w:t>"</w:t>
      </w:r>
      <w:r w:rsidRPr="001E4B09">
        <w:rPr>
          <w:rFonts w:hint="cs"/>
          <w:rtl/>
        </w:rPr>
        <w:t>ע</w:t>
      </w:r>
      <w:r w:rsidRPr="001E4B09">
        <w:rPr>
          <w:rtl/>
        </w:rPr>
        <w:t xml:space="preserve">) </w:t>
      </w:r>
      <w:r>
        <w:rPr>
          <w:rFonts w:hint="cs"/>
          <w:rtl/>
        </w:rPr>
        <w:t xml:space="preserve">או"ח </w:t>
      </w:r>
      <w:r w:rsidRPr="001E4B09">
        <w:rPr>
          <w:rFonts w:hint="cs"/>
          <w:rtl/>
        </w:rPr>
        <w:t>תקפ</w:t>
      </w:r>
      <w:r w:rsidRPr="001E4B09">
        <w:rPr>
          <w:rtl/>
        </w:rPr>
        <w:t>"</w:t>
      </w:r>
      <w:r w:rsidRPr="001E4B09">
        <w:rPr>
          <w:rFonts w:hint="cs"/>
          <w:rtl/>
        </w:rPr>
        <w:t>ג</w:t>
      </w:r>
      <w:r w:rsidRPr="001E4B09">
        <w:rPr>
          <w:rtl/>
        </w:rPr>
        <w:t xml:space="preserve"> </w:t>
      </w:r>
      <w:r w:rsidRPr="001E4B09">
        <w:rPr>
          <w:rFonts w:hint="cs"/>
          <w:rtl/>
        </w:rPr>
        <w:t>ס</w:t>
      </w:r>
      <w:r w:rsidRPr="001E4B09">
        <w:rPr>
          <w:rtl/>
        </w:rPr>
        <w:t>"</w:t>
      </w:r>
      <w:r w:rsidRPr="001E4B09">
        <w:rPr>
          <w:rFonts w:hint="cs"/>
          <w:rtl/>
        </w:rPr>
        <w:t>א</w:t>
      </w:r>
      <w:r w:rsidRPr="001E4B09">
        <w:rPr>
          <w:rtl/>
        </w:rPr>
        <w:t>: "</w:t>
      </w:r>
      <w:r w:rsidRPr="001E4B09">
        <w:rPr>
          <w:rFonts w:hint="cs"/>
          <w:rtl/>
        </w:rPr>
        <w:t>יהא</w:t>
      </w:r>
      <w:r w:rsidRPr="001E4B09">
        <w:rPr>
          <w:rtl/>
        </w:rPr>
        <w:t xml:space="preserve"> </w:t>
      </w:r>
      <w:r w:rsidRPr="001E4B09">
        <w:rPr>
          <w:rFonts w:hint="cs"/>
          <w:rtl/>
        </w:rPr>
        <w:t>אדם</w:t>
      </w:r>
      <w:r w:rsidRPr="001E4B09">
        <w:rPr>
          <w:rtl/>
        </w:rPr>
        <w:t xml:space="preserve"> </w:t>
      </w:r>
      <w:r w:rsidRPr="001E4B09">
        <w:rPr>
          <w:rFonts w:hint="cs"/>
          <w:rtl/>
        </w:rPr>
        <w:t>רגיל</w:t>
      </w:r>
      <w:r w:rsidRPr="001E4B09">
        <w:rPr>
          <w:rtl/>
        </w:rPr>
        <w:t xml:space="preserve"> </w:t>
      </w:r>
      <w:r w:rsidRPr="001E4B09">
        <w:rPr>
          <w:rFonts w:hint="cs"/>
          <w:rtl/>
        </w:rPr>
        <w:t>לאכול</w:t>
      </w:r>
      <w:r w:rsidRPr="001E4B09">
        <w:rPr>
          <w:rtl/>
        </w:rPr>
        <w:t xml:space="preserve"> </w:t>
      </w:r>
      <w:r w:rsidRPr="001E4B09">
        <w:rPr>
          <w:rFonts w:hint="cs"/>
          <w:rtl/>
        </w:rPr>
        <w:t>בראש</w:t>
      </w:r>
      <w:r w:rsidRPr="001E4B09">
        <w:rPr>
          <w:rtl/>
        </w:rPr>
        <w:t xml:space="preserve"> </w:t>
      </w:r>
      <w:r w:rsidRPr="001E4B09">
        <w:rPr>
          <w:rFonts w:hint="cs"/>
          <w:rtl/>
        </w:rPr>
        <w:t>השנה</w:t>
      </w:r>
      <w:r w:rsidRPr="001E4B09">
        <w:rPr>
          <w:rtl/>
        </w:rPr>
        <w:t xml:space="preserve"> </w:t>
      </w:r>
      <w:r w:rsidRPr="001E4B09">
        <w:rPr>
          <w:rFonts w:hint="cs"/>
          <w:rtl/>
        </w:rPr>
        <w:t>כרתי</w:t>
      </w:r>
      <w:r w:rsidRPr="001E4B09">
        <w:rPr>
          <w:rtl/>
        </w:rPr>
        <w:t xml:space="preserve"> </w:t>
      </w:r>
      <w:r w:rsidRPr="001E4B09">
        <w:rPr>
          <w:rFonts w:hint="cs"/>
          <w:rtl/>
        </w:rPr>
        <w:t>סילקא</w:t>
      </w:r>
      <w:r w:rsidRPr="001E4B09">
        <w:rPr>
          <w:rtl/>
        </w:rPr>
        <w:t xml:space="preserve"> </w:t>
      </w:r>
      <w:r>
        <w:rPr>
          <w:rFonts w:hint="cs"/>
          <w:rtl/>
        </w:rPr>
        <w:t>דהיינו תרדין</w:t>
      </w:r>
      <w:r w:rsidRPr="001E4B09">
        <w:rPr>
          <w:rtl/>
        </w:rPr>
        <w:t xml:space="preserve"> </w:t>
      </w:r>
      <w:r w:rsidRPr="001E4B09">
        <w:rPr>
          <w:rFonts w:hint="cs"/>
          <w:rtl/>
        </w:rPr>
        <w:t>תמרי</w:t>
      </w:r>
      <w:r w:rsidRPr="001E4B09">
        <w:rPr>
          <w:rtl/>
        </w:rPr>
        <w:t xml:space="preserve"> </w:t>
      </w:r>
      <w:r w:rsidRPr="001E4B09">
        <w:rPr>
          <w:rFonts w:hint="cs"/>
          <w:rtl/>
        </w:rPr>
        <w:t>קרא</w:t>
      </w:r>
      <w:r w:rsidRPr="001E4B09">
        <w:rPr>
          <w:rtl/>
        </w:rPr>
        <w:t xml:space="preserve">  </w:t>
      </w:r>
      <w:r w:rsidRPr="001E4B09">
        <w:rPr>
          <w:rFonts w:hint="cs"/>
          <w:rtl/>
        </w:rPr>
        <w:t>רוביא</w:t>
      </w:r>
      <w:r w:rsidRPr="001E4B09">
        <w:rPr>
          <w:rtl/>
        </w:rPr>
        <w:t xml:space="preserve"> </w:t>
      </w:r>
      <w:r>
        <w:rPr>
          <w:rFonts w:hint="cs"/>
          <w:rtl/>
        </w:rPr>
        <w:t>דהיינו תלתן</w:t>
      </w:r>
      <w:r w:rsidRPr="001E4B09">
        <w:rPr>
          <w:rtl/>
        </w:rPr>
        <w:t xml:space="preserve"> </w:t>
      </w:r>
      <w:r w:rsidRPr="001E4B09">
        <w:rPr>
          <w:rFonts w:hint="cs"/>
          <w:rtl/>
        </w:rPr>
        <w:t>והוא</w:t>
      </w:r>
      <w:r w:rsidRPr="001E4B09">
        <w:rPr>
          <w:rtl/>
        </w:rPr>
        <w:t xml:space="preserve"> </w:t>
      </w:r>
      <w:r w:rsidRPr="001E4B09">
        <w:rPr>
          <w:rFonts w:hint="cs"/>
          <w:rtl/>
        </w:rPr>
        <w:t>הדין</w:t>
      </w:r>
      <w:r w:rsidRPr="001E4B09">
        <w:rPr>
          <w:rtl/>
        </w:rPr>
        <w:t xml:space="preserve"> </w:t>
      </w:r>
      <w:r w:rsidRPr="001E4B09">
        <w:rPr>
          <w:rFonts w:hint="cs"/>
          <w:rtl/>
        </w:rPr>
        <w:t>מה</w:t>
      </w:r>
      <w:r w:rsidRPr="001E4B09">
        <w:rPr>
          <w:rtl/>
        </w:rPr>
        <w:t xml:space="preserve"> </w:t>
      </w:r>
      <w:r w:rsidRPr="001E4B09">
        <w:rPr>
          <w:rFonts w:hint="cs"/>
          <w:rtl/>
        </w:rPr>
        <w:t>שנקרא</w:t>
      </w:r>
      <w:r w:rsidRPr="001E4B09">
        <w:rPr>
          <w:rtl/>
        </w:rPr>
        <w:t xml:space="preserve"> </w:t>
      </w:r>
      <w:r w:rsidRPr="001E4B09">
        <w:rPr>
          <w:rFonts w:hint="cs"/>
          <w:rtl/>
        </w:rPr>
        <w:t>בלשונות</w:t>
      </w:r>
      <w:r w:rsidRPr="001E4B09">
        <w:rPr>
          <w:rtl/>
        </w:rPr>
        <w:t xml:space="preserve"> </w:t>
      </w:r>
      <w:r w:rsidRPr="001E4B09">
        <w:rPr>
          <w:rFonts w:hint="cs"/>
          <w:rtl/>
        </w:rPr>
        <w:t>אחרים</w:t>
      </w:r>
      <w:r w:rsidRPr="001E4B09">
        <w:rPr>
          <w:rtl/>
        </w:rPr>
        <w:t xml:space="preserve"> </w:t>
      </w:r>
      <w:r w:rsidRPr="001E4B09">
        <w:rPr>
          <w:rFonts w:hint="cs"/>
          <w:rtl/>
        </w:rPr>
        <w:t>לשון</w:t>
      </w:r>
      <w:r w:rsidRPr="001E4B09">
        <w:rPr>
          <w:rtl/>
        </w:rPr>
        <w:t xml:space="preserve"> </w:t>
      </w:r>
      <w:r w:rsidRPr="001E4B09">
        <w:rPr>
          <w:rFonts w:hint="cs"/>
          <w:rtl/>
        </w:rPr>
        <w:t xml:space="preserve">ריבוי </w:t>
      </w:r>
      <w:r>
        <w:rPr>
          <w:rFonts w:hint="cs"/>
          <w:rtl/>
        </w:rPr>
        <w:t>יאכלו כל אנשי מדינה ומדינה כלשונם</w:t>
      </w:r>
      <w:r w:rsidRPr="001E4B09">
        <w:rPr>
          <w:rtl/>
        </w:rPr>
        <w:t xml:space="preserve">". </w:t>
      </w:r>
      <w:r w:rsidRPr="001E4B09">
        <w:rPr>
          <w:rFonts w:hint="cs"/>
          <w:rtl/>
        </w:rPr>
        <w:t xml:space="preserve">  </w:t>
      </w:r>
      <w:r>
        <w:rPr>
          <w:rFonts w:hint="cs"/>
          <w:rtl/>
        </w:rPr>
        <w:t xml:space="preserve">                        </w:t>
      </w:r>
      <w:r w:rsidRPr="001E4B09">
        <w:rPr>
          <w:rFonts w:hint="cs"/>
          <w:rtl/>
        </w:rPr>
        <w:t xml:space="preserve">                </w:t>
      </w:r>
    </w:p>
    <w:p w:rsidR="00352A69" w:rsidRPr="001E4B09" w:rsidRDefault="00352A69" w:rsidP="00352A69">
      <w:pPr>
        <w:pStyle w:val="a3"/>
        <w:rPr>
          <w:rtl/>
        </w:rPr>
      </w:pPr>
      <w:r w:rsidRPr="001E4B09">
        <w:rPr>
          <w:rFonts w:hint="cs"/>
          <w:rtl/>
        </w:rPr>
        <w:t>מנהג</w:t>
      </w:r>
      <w:r w:rsidRPr="001E4B09">
        <w:rPr>
          <w:rtl/>
        </w:rPr>
        <w:t xml:space="preserve"> </w:t>
      </w:r>
      <w:r w:rsidRPr="001E4B09">
        <w:rPr>
          <w:rFonts w:hint="cs"/>
          <w:rtl/>
        </w:rPr>
        <w:t>זה</w:t>
      </w:r>
      <w:r w:rsidRPr="001E4B09">
        <w:rPr>
          <w:rtl/>
        </w:rPr>
        <w:t xml:space="preserve"> </w:t>
      </w:r>
      <w:r w:rsidRPr="001E4B09">
        <w:rPr>
          <w:rFonts w:hint="cs"/>
          <w:rtl/>
        </w:rPr>
        <w:t>נפוץ</w:t>
      </w:r>
      <w:r w:rsidRPr="001E4B09">
        <w:rPr>
          <w:rtl/>
        </w:rPr>
        <w:t xml:space="preserve"> </w:t>
      </w:r>
      <w:r w:rsidRPr="001E4B09">
        <w:rPr>
          <w:rFonts w:hint="cs"/>
          <w:rtl/>
        </w:rPr>
        <w:t>בכל</w:t>
      </w:r>
      <w:r w:rsidRPr="001E4B09">
        <w:rPr>
          <w:rtl/>
        </w:rPr>
        <w:t xml:space="preserve"> </w:t>
      </w:r>
      <w:r w:rsidRPr="001E4B09">
        <w:rPr>
          <w:rFonts w:hint="cs"/>
          <w:rtl/>
        </w:rPr>
        <w:t>תפוצות</w:t>
      </w:r>
      <w:r w:rsidRPr="001E4B09">
        <w:rPr>
          <w:rtl/>
        </w:rPr>
        <w:t xml:space="preserve"> </w:t>
      </w:r>
      <w:r w:rsidRPr="001E4B09">
        <w:rPr>
          <w:rFonts w:hint="cs"/>
          <w:rtl/>
        </w:rPr>
        <w:t>ישראל</w:t>
      </w:r>
      <w:r w:rsidRPr="001E4B09">
        <w:rPr>
          <w:rtl/>
        </w:rPr>
        <w:t xml:space="preserve"> </w:t>
      </w:r>
      <w:r w:rsidRPr="001E4B09">
        <w:rPr>
          <w:rFonts w:hint="cs"/>
          <w:rtl/>
        </w:rPr>
        <w:t>כידוע</w:t>
      </w:r>
      <w:r w:rsidRPr="001E4B09">
        <w:rPr>
          <w:rtl/>
        </w:rPr>
        <w:t xml:space="preserve">, </w:t>
      </w:r>
      <w:r>
        <w:rPr>
          <w:rFonts w:hint="cs"/>
          <w:rtl/>
        </w:rPr>
        <w:t xml:space="preserve">אבל </w:t>
      </w:r>
      <w:r w:rsidRPr="001E4B09">
        <w:rPr>
          <w:rFonts w:hint="cs"/>
          <w:rtl/>
        </w:rPr>
        <w:t>רבים ממלקטי מנהגי חב"ד (בספרים, קובצים, עלונים וכו') השמיטוהו, ולכאורה צריך להבין מדוע ?</w:t>
      </w:r>
    </w:p>
    <w:p w:rsidR="00352A69" w:rsidRPr="001E4B09" w:rsidRDefault="00352A69" w:rsidP="00352A69">
      <w:pPr>
        <w:pStyle w:val="a3"/>
        <w:rPr>
          <w:rtl/>
        </w:rPr>
      </w:pPr>
      <w:r w:rsidRPr="001E4B09">
        <w:rPr>
          <w:rtl/>
        </w:rPr>
        <w:t xml:space="preserve"> </w:t>
      </w:r>
      <w:r w:rsidRPr="001E4B09">
        <w:rPr>
          <w:rFonts w:hint="cs"/>
          <w:rtl/>
        </w:rPr>
        <w:t>אמנם</w:t>
      </w:r>
      <w:r w:rsidRPr="001E4B09">
        <w:rPr>
          <w:rtl/>
        </w:rPr>
        <w:t xml:space="preserve"> </w:t>
      </w:r>
      <w:r w:rsidRPr="001E4B09">
        <w:rPr>
          <w:rFonts w:hint="cs"/>
          <w:rtl/>
        </w:rPr>
        <w:t>אמירת</w:t>
      </w:r>
      <w:r w:rsidRPr="001E4B09">
        <w:rPr>
          <w:rtl/>
        </w:rPr>
        <w:t xml:space="preserve"> </w:t>
      </w:r>
      <w:r w:rsidRPr="001E4B09">
        <w:rPr>
          <w:rFonts w:hint="cs"/>
          <w:rtl/>
        </w:rPr>
        <w:t>ה"יהי</w:t>
      </w:r>
      <w:r w:rsidRPr="001E4B09">
        <w:rPr>
          <w:rtl/>
        </w:rPr>
        <w:t xml:space="preserve"> </w:t>
      </w:r>
      <w:r w:rsidRPr="001E4B09">
        <w:rPr>
          <w:rFonts w:hint="cs"/>
          <w:rtl/>
        </w:rPr>
        <w:t>רצון"</w:t>
      </w:r>
      <w:r w:rsidRPr="001E4B09">
        <w:rPr>
          <w:rtl/>
        </w:rPr>
        <w:t xml:space="preserve"> </w:t>
      </w:r>
      <w:r w:rsidRPr="001E4B09">
        <w:rPr>
          <w:rFonts w:hint="cs"/>
          <w:rtl/>
        </w:rPr>
        <w:t>ש</w:t>
      </w:r>
      <w:r>
        <w:rPr>
          <w:rFonts w:hint="cs"/>
          <w:rtl/>
        </w:rPr>
        <w:t>כתוב</w:t>
      </w:r>
      <w:r w:rsidRPr="001E4B09">
        <w:rPr>
          <w:rtl/>
        </w:rPr>
        <w:t xml:space="preserve"> </w:t>
      </w:r>
      <w:r w:rsidRPr="001E4B09">
        <w:rPr>
          <w:rFonts w:hint="cs"/>
          <w:rtl/>
        </w:rPr>
        <w:t>בשו</w:t>
      </w:r>
      <w:r w:rsidRPr="001E4B09">
        <w:rPr>
          <w:rtl/>
        </w:rPr>
        <w:t>"</w:t>
      </w:r>
      <w:r w:rsidRPr="001E4B09">
        <w:rPr>
          <w:rFonts w:hint="cs"/>
          <w:rtl/>
        </w:rPr>
        <w:t>ע</w:t>
      </w:r>
      <w:r w:rsidRPr="001E4B09">
        <w:rPr>
          <w:rtl/>
        </w:rPr>
        <w:t xml:space="preserve"> </w:t>
      </w:r>
      <w:r w:rsidRPr="001E4B09">
        <w:rPr>
          <w:rFonts w:hint="cs"/>
          <w:rtl/>
        </w:rPr>
        <w:t>(שם) אין</w:t>
      </w:r>
      <w:r w:rsidRPr="001E4B09">
        <w:rPr>
          <w:rtl/>
        </w:rPr>
        <w:t xml:space="preserve"> </w:t>
      </w:r>
      <w:r w:rsidRPr="001E4B09">
        <w:rPr>
          <w:rFonts w:hint="cs"/>
          <w:rtl/>
        </w:rPr>
        <w:t>אומרים למנהגינו</w:t>
      </w:r>
      <w:r w:rsidRPr="001E4B09">
        <w:rPr>
          <w:rtl/>
        </w:rPr>
        <w:t xml:space="preserve">, </w:t>
      </w:r>
      <w:r w:rsidRPr="001E4B09">
        <w:rPr>
          <w:rFonts w:hint="cs"/>
          <w:rtl/>
        </w:rPr>
        <w:t>כמפורש</w:t>
      </w:r>
      <w:r w:rsidRPr="001E4B09">
        <w:rPr>
          <w:rtl/>
        </w:rPr>
        <w:t xml:space="preserve"> </w:t>
      </w:r>
      <w:r w:rsidRPr="001E4B09">
        <w:rPr>
          <w:rFonts w:hint="cs"/>
          <w:rtl/>
        </w:rPr>
        <w:t>ב</w:t>
      </w:r>
      <w:r w:rsidRPr="001E4B09">
        <w:rPr>
          <w:rtl/>
        </w:rPr>
        <w:t>"</w:t>
      </w:r>
      <w:r w:rsidRPr="001E4B09">
        <w:rPr>
          <w:rFonts w:hint="cs"/>
          <w:rtl/>
        </w:rPr>
        <w:t>היום</w:t>
      </w:r>
      <w:r w:rsidRPr="001E4B09">
        <w:rPr>
          <w:rtl/>
        </w:rPr>
        <w:t xml:space="preserve"> </w:t>
      </w:r>
      <w:r w:rsidRPr="001E4B09">
        <w:rPr>
          <w:rFonts w:hint="cs"/>
          <w:rtl/>
        </w:rPr>
        <w:t>יום</w:t>
      </w:r>
      <w:r w:rsidRPr="001E4B09">
        <w:rPr>
          <w:rtl/>
        </w:rPr>
        <w:t xml:space="preserve">" </w:t>
      </w:r>
      <w:r w:rsidRPr="001E4B09">
        <w:rPr>
          <w:rFonts w:hint="cs"/>
          <w:rtl/>
        </w:rPr>
        <w:t>א</w:t>
      </w:r>
      <w:r w:rsidRPr="001E4B09">
        <w:rPr>
          <w:rtl/>
        </w:rPr>
        <w:t xml:space="preserve">' </w:t>
      </w:r>
      <w:r w:rsidRPr="001E4B09">
        <w:rPr>
          <w:rFonts w:hint="cs"/>
          <w:rtl/>
        </w:rPr>
        <w:t>תשרי</w:t>
      </w:r>
      <w:r w:rsidRPr="001E4B09">
        <w:rPr>
          <w:rtl/>
        </w:rPr>
        <w:t>, "</w:t>
      </w:r>
      <w:r w:rsidRPr="001E4B09">
        <w:rPr>
          <w:rFonts w:hint="cs"/>
          <w:rtl/>
        </w:rPr>
        <w:t>אין</w:t>
      </w:r>
      <w:r w:rsidRPr="001E4B09">
        <w:rPr>
          <w:rtl/>
        </w:rPr>
        <w:t xml:space="preserve"> </w:t>
      </w:r>
      <w:r w:rsidRPr="001E4B09">
        <w:rPr>
          <w:rFonts w:hint="cs"/>
          <w:rtl/>
        </w:rPr>
        <w:t>אומרים</w:t>
      </w:r>
      <w:r w:rsidRPr="001E4B09">
        <w:rPr>
          <w:rtl/>
        </w:rPr>
        <w:t xml:space="preserve"> </w:t>
      </w:r>
      <w:r w:rsidRPr="001E4B09">
        <w:rPr>
          <w:rFonts w:hint="cs"/>
          <w:rtl/>
        </w:rPr>
        <w:t>יהי</w:t>
      </w:r>
      <w:r w:rsidRPr="001E4B09">
        <w:rPr>
          <w:rtl/>
        </w:rPr>
        <w:t xml:space="preserve"> </w:t>
      </w:r>
      <w:r w:rsidRPr="001E4B09">
        <w:rPr>
          <w:rFonts w:hint="cs"/>
          <w:rtl/>
        </w:rPr>
        <w:t>רצון</w:t>
      </w:r>
      <w:r w:rsidRPr="001E4B09">
        <w:rPr>
          <w:rtl/>
        </w:rPr>
        <w:t xml:space="preserve"> </w:t>
      </w:r>
      <w:r w:rsidRPr="001E4B09">
        <w:rPr>
          <w:rFonts w:hint="cs"/>
          <w:rtl/>
        </w:rPr>
        <w:t>כי</w:t>
      </w:r>
      <w:r w:rsidRPr="001E4B09">
        <w:rPr>
          <w:rtl/>
        </w:rPr>
        <w:t xml:space="preserve"> </w:t>
      </w:r>
      <w:r w:rsidRPr="001E4B09">
        <w:rPr>
          <w:rFonts w:hint="cs"/>
          <w:rtl/>
        </w:rPr>
        <w:t>אם</w:t>
      </w:r>
      <w:r w:rsidRPr="001E4B09">
        <w:rPr>
          <w:rtl/>
        </w:rPr>
        <w:t xml:space="preserve"> </w:t>
      </w:r>
      <w:r w:rsidRPr="001E4B09">
        <w:rPr>
          <w:rFonts w:hint="cs"/>
          <w:rtl/>
        </w:rPr>
        <w:t>על</w:t>
      </w:r>
      <w:r w:rsidRPr="001E4B09">
        <w:rPr>
          <w:rtl/>
        </w:rPr>
        <w:t xml:space="preserve"> </w:t>
      </w:r>
      <w:r w:rsidRPr="001E4B09">
        <w:rPr>
          <w:rFonts w:hint="cs"/>
          <w:rtl/>
        </w:rPr>
        <w:t>התפוח</w:t>
      </w:r>
      <w:r w:rsidRPr="001E4B09">
        <w:rPr>
          <w:rtl/>
        </w:rPr>
        <w:t xml:space="preserve">". </w:t>
      </w:r>
      <w:r w:rsidRPr="001E4B09">
        <w:rPr>
          <w:rFonts w:hint="cs"/>
          <w:rtl/>
        </w:rPr>
        <w:t>אבל</w:t>
      </w:r>
      <w:r w:rsidRPr="001E4B09">
        <w:rPr>
          <w:rtl/>
        </w:rPr>
        <w:t xml:space="preserve"> </w:t>
      </w:r>
      <w:r w:rsidRPr="001E4B09">
        <w:rPr>
          <w:rFonts w:hint="cs"/>
          <w:rtl/>
        </w:rPr>
        <w:t>לכאורה</w:t>
      </w:r>
      <w:r w:rsidRPr="001E4B09">
        <w:rPr>
          <w:rtl/>
        </w:rPr>
        <w:t xml:space="preserve"> </w:t>
      </w:r>
      <w:r w:rsidRPr="001E4B09">
        <w:rPr>
          <w:rFonts w:hint="cs"/>
          <w:rtl/>
        </w:rPr>
        <w:t>אין</w:t>
      </w:r>
      <w:r w:rsidRPr="001E4B09">
        <w:rPr>
          <w:rtl/>
        </w:rPr>
        <w:t xml:space="preserve"> </w:t>
      </w:r>
      <w:r w:rsidRPr="001E4B09">
        <w:rPr>
          <w:rFonts w:hint="cs"/>
          <w:rtl/>
        </w:rPr>
        <w:t>זה</w:t>
      </w:r>
      <w:r w:rsidRPr="001E4B09">
        <w:rPr>
          <w:rtl/>
        </w:rPr>
        <w:t xml:space="preserve"> </w:t>
      </w:r>
      <w:r w:rsidRPr="001E4B09">
        <w:rPr>
          <w:rFonts w:hint="cs"/>
          <w:rtl/>
        </w:rPr>
        <w:t>שולל</w:t>
      </w:r>
      <w:r w:rsidRPr="001E4B09">
        <w:rPr>
          <w:rtl/>
        </w:rPr>
        <w:t xml:space="preserve"> </w:t>
      </w:r>
      <w:r w:rsidRPr="001E4B09">
        <w:rPr>
          <w:rFonts w:hint="cs"/>
          <w:rtl/>
        </w:rPr>
        <w:t>אכילת</w:t>
      </w:r>
      <w:r w:rsidRPr="001E4B09">
        <w:rPr>
          <w:rtl/>
        </w:rPr>
        <w:t xml:space="preserve"> </w:t>
      </w:r>
      <w:r w:rsidRPr="001E4B09">
        <w:rPr>
          <w:rFonts w:hint="cs"/>
          <w:rtl/>
        </w:rPr>
        <w:lastRenderedPageBreak/>
        <w:t>הסימנים</w:t>
      </w:r>
      <w:r w:rsidRPr="001E4B09">
        <w:rPr>
          <w:rtl/>
        </w:rPr>
        <w:t xml:space="preserve"> </w:t>
      </w:r>
      <w:r w:rsidRPr="001E4B09">
        <w:rPr>
          <w:rFonts w:hint="cs"/>
          <w:rtl/>
        </w:rPr>
        <w:t>הנ</w:t>
      </w:r>
      <w:r w:rsidRPr="001E4B09">
        <w:rPr>
          <w:rtl/>
        </w:rPr>
        <w:t>"</w:t>
      </w:r>
      <w:r w:rsidRPr="001E4B09">
        <w:rPr>
          <w:rFonts w:hint="cs"/>
          <w:rtl/>
        </w:rPr>
        <w:t>ל</w:t>
      </w:r>
      <w:r w:rsidRPr="001E4B09">
        <w:rPr>
          <w:rtl/>
        </w:rPr>
        <w:t>.</w:t>
      </w:r>
    </w:p>
    <w:p w:rsidR="00352A69" w:rsidRDefault="00352A69" w:rsidP="001C6EFC">
      <w:pPr>
        <w:pStyle w:val="a3"/>
        <w:rPr>
          <w:rtl/>
        </w:rPr>
      </w:pPr>
      <w:r w:rsidRPr="001E4B09">
        <w:rPr>
          <w:rFonts w:hint="cs"/>
          <w:rtl/>
        </w:rPr>
        <w:t>ומה</w:t>
      </w:r>
      <w:r w:rsidRPr="001E4B09">
        <w:rPr>
          <w:rtl/>
        </w:rPr>
        <w:t xml:space="preserve"> </w:t>
      </w:r>
      <w:r w:rsidRPr="001E4B09">
        <w:rPr>
          <w:rFonts w:hint="cs"/>
          <w:rtl/>
        </w:rPr>
        <w:t>ש</w:t>
      </w:r>
      <w:r>
        <w:rPr>
          <w:rFonts w:hint="cs"/>
          <w:rtl/>
        </w:rPr>
        <w:t xml:space="preserve">כתוב </w:t>
      </w:r>
      <w:r w:rsidRPr="001E4B09">
        <w:rPr>
          <w:rFonts w:hint="cs"/>
          <w:rtl/>
        </w:rPr>
        <w:t>בלקוטי</w:t>
      </w:r>
      <w:r w:rsidRPr="001E4B09">
        <w:rPr>
          <w:rtl/>
        </w:rPr>
        <w:t xml:space="preserve"> </w:t>
      </w:r>
      <w:r w:rsidRPr="001E4B09">
        <w:rPr>
          <w:rFonts w:hint="cs"/>
          <w:rtl/>
        </w:rPr>
        <w:t>מנהגים</w:t>
      </w:r>
      <w:r w:rsidRPr="001E4B09">
        <w:rPr>
          <w:rtl/>
        </w:rPr>
        <w:t xml:space="preserve"> </w:t>
      </w:r>
      <w:r w:rsidRPr="001E4B09">
        <w:rPr>
          <w:rFonts w:hint="cs"/>
          <w:rtl/>
        </w:rPr>
        <w:t>שערך</w:t>
      </w:r>
      <w:r w:rsidRPr="001E4B09">
        <w:rPr>
          <w:rtl/>
        </w:rPr>
        <w:t xml:space="preserve"> </w:t>
      </w:r>
      <w:r w:rsidRPr="001E4B09">
        <w:rPr>
          <w:rFonts w:hint="cs"/>
          <w:rtl/>
        </w:rPr>
        <w:t>הרבי</w:t>
      </w:r>
      <w:r w:rsidRPr="001E4B09">
        <w:rPr>
          <w:rtl/>
        </w:rPr>
        <w:t xml:space="preserve"> </w:t>
      </w:r>
      <w:r w:rsidRPr="001E4B09">
        <w:rPr>
          <w:rFonts w:hint="cs"/>
          <w:rtl/>
        </w:rPr>
        <w:t xml:space="preserve"> (נדפס בספר המנהגים</w:t>
      </w:r>
      <w:r>
        <w:rPr>
          <w:rFonts w:hint="cs"/>
          <w:rtl/>
        </w:rPr>
        <w:t xml:space="preserve"> עמ' 56</w:t>
      </w:r>
      <w:r w:rsidRPr="001E4B09">
        <w:rPr>
          <w:rFonts w:hint="cs"/>
          <w:rtl/>
        </w:rPr>
        <w:t xml:space="preserve">, ובהוספה למחזור השלם הוצאת קה"ת) </w:t>
      </w:r>
      <w:r w:rsidRPr="001E4B09">
        <w:rPr>
          <w:rtl/>
        </w:rPr>
        <w:t>"</w:t>
      </w:r>
      <w:r w:rsidRPr="001E4B09">
        <w:rPr>
          <w:rFonts w:hint="cs"/>
          <w:rtl/>
        </w:rPr>
        <w:t>אוכלים</w:t>
      </w:r>
      <w:r w:rsidRPr="001E4B09">
        <w:rPr>
          <w:rtl/>
        </w:rPr>
        <w:t xml:space="preserve"> </w:t>
      </w:r>
      <w:r w:rsidRPr="001E4B09">
        <w:rPr>
          <w:rFonts w:hint="cs"/>
          <w:rtl/>
        </w:rPr>
        <w:t>רימון</w:t>
      </w:r>
      <w:r w:rsidRPr="001E4B09">
        <w:rPr>
          <w:rtl/>
        </w:rPr>
        <w:t xml:space="preserve"> </w:t>
      </w:r>
      <w:r w:rsidRPr="001E4B09">
        <w:rPr>
          <w:rFonts w:hint="cs"/>
          <w:rtl/>
        </w:rPr>
        <w:t>וראש</w:t>
      </w:r>
      <w:r w:rsidRPr="001E4B09">
        <w:rPr>
          <w:rtl/>
        </w:rPr>
        <w:t xml:space="preserve"> </w:t>
      </w:r>
      <w:r w:rsidRPr="001E4B09">
        <w:rPr>
          <w:rFonts w:hint="cs"/>
          <w:rtl/>
        </w:rPr>
        <w:t>איל</w:t>
      </w:r>
      <w:r w:rsidRPr="001E4B09">
        <w:rPr>
          <w:rtl/>
        </w:rPr>
        <w:t xml:space="preserve">", </w:t>
      </w:r>
      <w:r w:rsidRPr="001E4B09">
        <w:rPr>
          <w:rFonts w:hint="cs"/>
          <w:rtl/>
        </w:rPr>
        <w:t>לכאורה</w:t>
      </w:r>
      <w:r w:rsidRPr="001E4B09">
        <w:rPr>
          <w:rtl/>
        </w:rPr>
        <w:t xml:space="preserve"> </w:t>
      </w:r>
      <w:r w:rsidRPr="001E4B09">
        <w:rPr>
          <w:rFonts w:hint="cs"/>
          <w:rtl/>
        </w:rPr>
        <w:t>אינו</w:t>
      </w:r>
      <w:r w:rsidRPr="001E4B09">
        <w:rPr>
          <w:rtl/>
        </w:rPr>
        <w:t xml:space="preserve"> </w:t>
      </w:r>
      <w:r w:rsidRPr="001E4B09">
        <w:rPr>
          <w:rFonts w:hint="cs"/>
          <w:rtl/>
        </w:rPr>
        <w:t>שולל</w:t>
      </w:r>
      <w:r w:rsidRPr="001E4B09">
        <w:rPr>
          <w:rtl/>
        </w:rPr>
        <w:t xml:space="preserve"> </w:t>
      </w:r>
      <w:r w:rsidRPr="001E4B09">
        <w:rPr>
          <w:rFonts w:hint="cs"/>
          <w:rtl/>
        </w:rPr>
        <w:t>אכילת</w:t>
      </w:r>
      <w:r w:rsidRPr="001E4B09">
        <w:rPr>
          <w:rtl/>
        </w:rPr>
        <w:t xml:space="preserve"> </w:t>
      </w:r>
      <w:r w:rsidRPr="001E4B09">
        <w:rPr>
          <w:rFonts w:hint="cs"/>
          <w:rtl/>
        </w:rPr>
        <w:t>דברים</w:t>
      </w:r>
      <w:r w:rsidRPr="001E4B09">
        <w:rPr>
          <w:rtl/>
        </w:rPr>
        <w:t xml:space="preserve"> </w:t>
      </w:r>
      <w:r w:rsidRPr="001E4B09">
        <w:rPr>
          <w:rFonts w:hint="cs"/>
          <w:rtl/>
        </w:rPr>
        <w:t>אחרים</w:t>
      </w:r>
      <w:r>
        <w:rPr>
          <w:rFonts w:hint="cs"/>
          <w:rtl/>
        </w:rPr>
        <w:t>.</w:t>
      </w:r>
      <w:r w:rsidRPr="001E4B09">
        <w:rPr>
          <w:rtl/>
        </w:rPr>
        <w:t xml:space="preserve"> </w:t>
      </w:r>
      <w:r>
        <w:rPr>
          <w:rFonts w:hint="cs"/>
          <w:rtl/>
        </w:rPr>
        <w:t xml:space="preserve">                     שהרי לא כתב "אוכלים רק רימון וראש איל", ע"ד שכתב "אין אומרים יהי רצון כי אם על התפוח". אלא </w:t>
      </w:r>
      <w:r w:rsidRPr="001E4B09">
        <w:rPr>
          <w:rFonts w:hint="cs"/>
          <w:rtl/>
        </w:rPr>
        <w:t>נכתב</w:t>
      </w:r>
      <w:r w:rsidRPr="001E4B09">
        <w:rPr>
          <w:rtl/>
        </w:rPr>
        <w:t xml:space="preserve"> </w:t>
      </w:r>
      <w:r w:rsidRPr="001E4B09">
        <w:rPr>
          <w:rFonts w:hint="cs"/>
          <w:rtl/>
        </w:rPr>
        <w:t>כדוגמא</w:t>
      </w:r>
      <w:r w:rsidRPr="001E4B09">
        <w:rPr>
          <w:rtl/>
        </w:rPr>
        <w:t xml:space="preserve"> </w:t>
      </w:r>
      <w:r>
        <w:rPr>
          <w:rFonts w:hint="cs"/>
          <w:rtl/>
        </w:rPr>
        <w:t>לאכילת דברים שיש בהם סימן טוב, שהרי בכל מדינה אוכלים מה שנקרא בלשונם לשון ריבוי (כנ"ל משו"ע)</w:t>
      </w:r>
      <w:r w:rsidRPr="001E4B09">
        <w:rPr>
          <w:rtl/>
        </w:rPr>
        <w:t>.</w:t>
      </w:r>
      <w:r>
        <w:rPr>
          <w:rFonts w:hint="cs"/>
          <w:rtl/>
        </w:rPr>
        <w:t xml:space="preserve"> </w:t>
      </w:r>
      <w:r w:rsidRPr="001E4B09">
        <w:rPr>
          <w:rFonts w:hint="cs"/>
          <w:rtl/>
        </w:rPr>
        <w:t>וי</w:t>
      </w:r>
      <w:r w:rsidRPr="001E4B09">
        <w:rPr>
          <w:rtl/>
        </w:rPr>
        <w:t>"</w:t>
      </w:r>
      <w:r w:rsidRPr="001E4B09">
        <w:rPr>
          <w:rFonts w:hint="cs"/>
          <w:rtl/>
        </w:rPr>
        <w:t>ל</w:t>
      </w:r>
      <w:r w:rsidRPr="001E4B09">
        <w:rPr>
          <w:rtl/>
        </w:rPr>
        <w:t xml:space="preserve">, </w:t>
      </w:r>
      <w:r w:rsidRPr="001E4B09">
        <w:rPr>
          <w:rFonts w:hint="cs"/>
          <w:rtl/>
        </w:rPr>
        <w:t>שרימון</w:t>
      </w:r>
      <w:r w:rsidRPr="001E4B09">
        <w:rPr>
          <w:rtl/>
        </w:rPr>
        <w:t xml:space="preserve"> </w:t>
      </w:r>
      <w:r w:rsidRPr="001E4B09">
        <w:rPr>
          <w:rFonts w:hint="cs"/>
          <w:rtl/>
        </w:rPr>
        <w:t>נכתב</w:t>
      </w:r>
      <w:r w:rsidRPr="001E4B09">
        <w:rPr>
          <w:rtl/>
        </w:rPr>
        <w:t xml:space="preserve"> </w:t>
      </w:r>
      <w:r w:rsidRPr="001E4B09">
        <w:rPr>
          <w:rFonts w:hint="cs"/>
          <w:rtl/>
        </w:rPr>
        <w:t>כדוגמא</w:t>
      </w:r>
      <w:r w:rsidRPr="001E4B09">
        <w:rPr>
          <w:rtl/>
        </w:rPr>
        <w:t xml:space="preserve"> </w:t>
      </w:r>
      <w:r w:rsidRPr="001E4B09">
        <w:rPr>
          <w:rFonts w:hint="cs"/>
          <w:rtl/>
        </w:rPr>
        <w:t>למאכלים</w:t>
      </w:r>
      <w:r w:rsidRPr="001E4B09">
        <w:rPr>
          <w:rtl/>
        </w:rPr>
        <w:t xml:space="preserve"> </w:t>
      </w:r>
      <w:r w:rsidRPr="001E4B09">
        <w:rPr>
          <w:rFonts w:hint="cs"/>
          <w:rtl/>
        </w:rPr>
        <w:t>שתוכן</w:t>
      </w:r>
      <w:r w:rsidRPr="001E4B09">
        <w:rPr>
          <w:rtl/>
        </w:rPr>
        <w:t xml:space="preserve"> </w:t>
      </w:r>
      <w:r w:rsidRPr="001E4B09">
        <w:rPr>
          <w:rFonts w:hint="cs"/>
          <w:rtl/>
        </w:rPr>
        <w:t>שמם</w:t>
      </w:r>
      <w:r w:rsidRPr="001E4B09">
        <w:rPr>
          <w:rtl/>
        </w:rPr>
        <w:t xml:space="preserve"> </w:t>
      </w:r>
      <w:r w:rsidRPr="001E4B09">
        <w:rPr>
          <w:rFonts w:hint="cs"/>
          <w:rtl/>
        </w:rPr>
        <w:t>הוא</w:t>
      </w:r>
      <w:r w:rsidRPr="001E4B09">
        <w:rPr>
          <w:rtl/>
        </w:rPr>
        <w:t xml:space="preserve"> </w:t>
      </w:r>
      <w:r w:rsidRPr="001E4B09">
        <w:rPr>
          <w:rFonts w:hint="cs"/>
          <w:rtl/>
        </w:rPr>
        <w:t>ריבוי</w:t>
      </w:r>
      <w:r>
        <w:rPr>
          <w:rFonts w:hint="cs"/>
          <w:rtl/>
        </w:rPr>
        <w:t xml:space="preserve"> (כמ"ש בשו"ע שם ס"ד)</w:t>
      </w:r>
      <w:r w:rsidRPr="001E4B09">
        <w:rPr>
          <w:rtl/>
        </w:rPr>
        <w:t xml:space="preserve">, </w:t>
      </w:r>
      <w:r w:rsidRPr="001E4B09">
        <w:rPr>
          <w:rFonts w:hint="cs"/>
          <w:rtl/>
        </w:rPr>
        <w:t>ונקט</w:t>
      </w:r>
      <w:r w:rsidRPr="001E4B09">
        <w:rPr>
          <w:rtl/>
        </w:rPr>
        <w:t xml:space="preserve"> </w:t>
      </w:r>
      <w:r w:rsidRPr="001E4B09">
        <w:rPr>
          <w:rFonts w:hint="cs"/>
          <w:rtl/>
        </w:rPr>
        <w:t>רימון</w:t>
      </w:r>
      <w:r w:rsidRPr="001E4B09">
        <w:rPr>
          <w:rtl/>
        </w:rPr>
        <w:t xml:space="preserve"> </w:t>
      </w:r>
      <w:r w:rsidRPr="001E4B09">
        <w:rPr>
          <w:rFonts w:hint="cs"/>
          <w:rtl/>
        </w:rPr>
        <w:t>שהוא</w:t>
      </w:r>
      <w:r w:rsidRPr="001E4B09">
        <w:rPr>
          <w:rtl/>
        </w:rPr>
        <w:t xml:space="preserve"> </w:t>
      </w:r>
      <w:r w:rsidRPr="001E4B09">
        <w:rPr>
          <w:rFonts w:hint="cs"/>
          <w:rtl/>
        </w:rPr>
        <w:t>משבעת</w:t>
      </w:r>
      <w:r w:rsidRPr="001E4B09">
        <w:rPr>
          <w:rtl/>
        </w:rPr>
        <w:t xml:space="preserve"> </w:t>
      </w:r>
      <w:r w:rsidRPr="001E4B09">
        <w:rPr>
          <w:rFonts w:hint="cs"/>
          <w:rtl/>
        </w:rPr>
        <w:t>המינים</w:t>
      </w:r>
      <w:r w:rsidRPr="001E4B09">
        <w:rPr>
          <w:rtl/>
        </w:rPr>
        <w:t xml:space="preserve"> (</w:t>
      </w:r>
      <w:r w:rsidRPr="001E4B09">
        <w:rPr>
          <w:rFonts w:hint="cs"/>
          <w:rtl/>
        </w:rPr>
        <w:t>אע</w:t>
      </w:r>
      <w:r w:rsidRPr="001E4B09">
        <w:rPr>
          <w:rtl/>
        </w:rPr>
        <w:t>"</w:t>
      </w:r>
      <w:r w:rsidRPr="001E4B09">
        <w:rPr>
          <w:rFonts w:hint="cs"/>
          <w:rtl/>
        </w:rPr>
        <w:t>פ</w:t>
      </w:r>
      <w:r w:rsidRPr="001E4B09">
        <w:rPr>
          <w:rtl/>
        </w:rPr>
        <w:t xml:space="preserve"> </w:t>
      </w:r>
      <w:r w:rsidRPr="001E4B09">
        <w:rPr>
          <w:rFonts w:hint="cs"/>
          <w:rtl/>
        </w:rPr>
        <w:t>שלגבי</w:t>
      </w:r>
      <w:r w:rsidRPr="001E4B09">
        <w:rPr>
          <w:rtl/>
        </w:rPr>
        <w:t xml:space="preserve"> </w:t>
      </w:r>
      <w:r w:rsidRPr="001E4B09">
        <w:rPr>
          <w:rFonts w:hint="cs"/>
          <w:rtl/>
        </w:rPr>
        <w:t>דין</w:t>
      </w:r>
      <w:r w:rsidRPr="001E4B09">
        <w:rPr>
          <w:rtl/>
        </w:rPr>
        <w:t xml:space="preserve"> </w:t>
      </w:r>
      <w:r w:rsidRPr="001E4B09">
        <w:rPr>
          <w:rFonts w:hint="cs"/>
          <w:rtl/>
        </w:rPr>
        <w:t>קדימה</w:t>
      </w:r>
      <w:r w:rsidRPr="001E4B09">
        <w:rPr>
          <w:rtl/>
        </w:rPr>
        <w:t xml:space="preserve"> </w:t>
      </w:r>
      <w:r w:rsidRPr="001E4B09">
        <w:rPr>
          <w:rFonts w:hint="cs"/>
          <w:rtl/>
        </w:rPr>
        <w:t>בברכות</w:t>
      </w:r>
      <w:r w:rsidRPr="001E4B09">
        <w:rPr>
          <w:rtl/>
        </w:rPr>
        <w:t xml:space="preserve">, </w:t>
      </w:r>
      <w:r w:rsidRPr="001E4B09">
        <w:rPr>
          <w:rFonts w:hint="cs"/>
          <w:rtl/>
        </w:rPr>
        <w:t>תמר</w:t>
      </w:r>
      <w:r w:rsidRPr="001E4B09">
        <w:rPr>
          <w:rtl/>
        </w:rPr>
        <w:t xml:space="preserve"> </w:t>
      </w:r>
      <w:r w:rsidRPr="001E4B09">
        <w:rPr>
          <w:rFonts w:hint="cs"/>
          <w:rtl/>
        </w:rPr>
        <w:t>קודם</w:t>
      </w:r>
      <w:r w:rsidRPr="001E4B09">
        <w:rPr>
          <w:rtl/>
        </w:rPr>
        <w:t xml:space="preserve"> </w:t>
      </w:r>
      <w:r w:rsidRPr="001E4B09">
        <w:rPr>
          <w:rFonts w:hint="cs"/>
          <w:rtl/>
        </w:rPr>
        <w:t>לרימון,</w:t>
      </w:r>
      <w:r w:rsidRPr="001E4B09">
        <w:rPr>
          <w:rtl/>
        </w:rPr>
        <w:t xml:space="preserve"> </w:t>
      </w:r>
      <w:r w:rsidRPr="001E4B09">
        <w:rPr>
          <w:rFonts w:hint="cs"/>
          <w:rtl/>
        </w:rPr>
        <w:t>היות</w:t>
      </w:r>
      <w:r w:rsidRPr="001E4B09">
        <w:rPr>
          <w:rtl/>
        </w:rPr>
        <w:t xml:space="preserve"> </w:t>
      </w:r>
      <w:r w:rsidRPr="001E4B09">
        <w:rPr>
          <w:rFonts w:hint="cs"/>
          <w:rtl/>
        </w:rPr>
        <w:t>והוא</w:t>
      </w:r>
      <w:r w:rsidRPr="001E4B09">
        <w:rPr>
          <w:rtl/>
        </w:rPr>
        <w:t xml:space="preserve"> </w:t>
      </w:r>
      <w:r w:rsidRPr="001E4B09">
        <w:rPr>
          <w:rFonts w:hint="cs"/>
          <w:rtl/>
        </w:rPr>
        <w:t>שני</w:t>
      </w:r>
      <w:r w:rsidRPr="001E4B09">
        <w:rPr>
          <w:rtl/>
        </w:rPr>
        <w:t xml:space="preserve"> </w:t>
      </w:r>
      <w:r w:rsidRPr="001E4B09">
        <w:rPr>
          <w:rFonts w:hint="cs"/>
          <w:rtl/>
        </w:rPr>
        <w:t>לארץ</w:t>
      </w:r>
      <w:r w:rsidRPr="001E4B09">
        <w:rPr>
          <w:rtl/>
        </w:rPr>
        <w:t xml:space="preserve"> </w:t>
      </w:r>
      <w:r w:rsidRPr="001E4B09">
        <w:rPr>
          <w:rFonts w:hint="cs"/>
          <w:rtl/>
        </w:rPr>
        <w:t>הב</w:t>
      </w:r>
      <w:r w:rsidRPr="001E4B09">
        <w:rPr>
          <w:rtl/>
        </w:rPr>
        <w:t xml:space="preserve">' - </w:t>
      </w:r>
      <w:r w:rsidRPr="001E4B09">
        <w:rPr>
          <w:rFonts w:hint="cs"/>
          <w:rtl/>
        </w:rPr>
        <w:t>שו</w:t>
      </w:r>
      <w:r w:rsidRPr="001E4B09">
        <w:rPr>
          <w:rtl/>
        </w:rPr>
        <w:t>"</w:t>
      </w:r>
      <w:r w:rsidRPr="001E4B09">
        <w:rPr>
          <w:rFonts w:hint="cs"/>
          <w:rtl/>
        </w:rPr>
        <w:t>ע</w:t>
      </w:r>
      <w:r w:rsidRPr="001E4B09">
        <w:rPr>
          <w:rtl/>
        </w:rPr>
        <w:t xml:space="preserve"> </w:t>
      </w:r>
      <w:r w:rsidRPr="001E4B09">
        <w:rPr>
          <w:rFonts w:hint="cs"/>
          <w:rtl/>
        </w:rPr>
        <w:t>או</w:t>
      </w:r>
      <w:r w:rsidRPr="001E4B09">
        <w:rPr>
          <w:rtl/>
        </w:rPr>
        <w:t>"</w:t>
      </w:r>
      <w:r w:rsidRPr="001E4B09">
        <w:rPr>
          <w:rFonts w:hint="cs"/>
          <w:rtl/>
        </w:rPr>
        <w:t>ח</w:t>
      </w:r>
      <w:r w:rsidRPr="001E4B09">
        <w:rPr>
          <w:rtl/>
        </w:rPr>
        <w:t xml:space="preserve"> </w:t>
      </w:r>
      <w:r w:rsidRPr="001E4B09">
        <w:rPr>
          <w:rFonts w:hint="cs"/>
          <w:rtl/>
        </w:rPr>
        <w:t>סרי</w:t>
      </w:r>
      <w:r w:rsidRPr="001E4B09">
        <w:rPr>
          <w:rtl/>
        </w:rPr>
        <w:t>"</w:t>
      </w:r>
      <w:r w:rsidRPr="001E4B09">
        <w:rPr>
          <w:rFonts w:hint="cs"/>
          <w:rtl/>
        </w:rPr>
        <w:t>א</w:t>
      </w:r>
      <w:r w:rsidRPr="001E4B09">
        <w:rPr>
          <w:rtl/>
        </w:rPr>
        <w:t xml:space="preserve"> </w:t>
      </w:r>
      <w:r w:rsidRPr="001E4B09">
        <w:rPr>
          <w:rFonts w:hint="cs"/>
          <w:rtl/>
        </w:rPr>
        <w:t>ס</w:t>
      </w:r>
      <w:r w:rsidRPr="001E4B09">
        <w:rPr>
          <w:rtl/>
        </w:rPr>
        <w:t>"</w:t>
      </w:r>
      <w:r w:rsidRPr="001E4B09">
        <w:rPr>
          <w:rFonts w:hint="cs"/>
          <w:rtl/>
        </w:rPr>
        <w:t>ד</w:t>
      </w:r>
      <w:r w:rsidRPr="001E4B09">
        <w:rPr>
          <w:rtl/>
        </w:rPr>
        <w:t>)</w:t>
      </w:r>
      <w:r>
        <w:rPr>
          <w:rFonts w:hint="cs"/>
          <w:rtl/>
        </w:rPr>
        <w:t>.</w:t>
      </w:r>
      <w:r w:rsidRPr="001E4B09">
        <w:rPr>
          <w:rtl/>
        </w:rPr>
        <w:t xml:space="preserve"> </w:t>
      </w:r>
      <w:r w:rsidRPr="001E4B09">
        <w:rPr>
          <w:rFonts w:hint="cs"/>
          <w:rtl/>
        </w:rPr>
        <w:t>וראש</w:t>
      </w:r>
      <w:r w:rsidRPr="001E4B09">
        <w:rPr>
          <w:rtl/>
        </w:rPr>
        <w:t xml:space="preserve"> </w:t>
      </w:r>
      <w:r w:rsidRPr="001E4B09">
        <w:rPr>
          <w:rFonts w:hint="cs"/>
          <w:rtl/>
        </w:rPr>
        <w:t>איל</w:t>
      </w:r>
      <w:r w:rsidRPr="001E4B09">
        <w:rPr>
          <w:rtl/>
        </w:rPr>
        <w:t xml:space="preserve"> </w:t>
      </w:r>
      <w:r w:rsidRPr="001E4B09">
        <w:rPr>
          <w:rFonts w:hint="cs"/>
          <w:rtl/>
        </w:rPr>
        <w:t>נקט</w:t>
      </w:r>
      <w:r>
        <w:rPr>
          <w:rFonts w:hint="cs"/>
          <w:rtl/>
        </w:rPr>
        <w:t>,</w:t>
      </w:r>
      <w:r w:rsidRPr="001E4B09">
        <w:rPr>
          <w:rtl/>
        </w:rPr>
        <w:t xml:space="preserve"> </w:t>
      </w:r>
      <w:r w:rsidRPr="001E4B09">
        <w:rPr>
          <w:rFonts w:hint="cs"/>
          <w:rtl/>
        </w:rPr>
        <w:t>היות</w:t>
      </w:r>
      <w:r w:rsidRPr="001E4B09">
        <w:rPr>
          <w:rtl/>
        </w:rPr>
        <w:t xml:space="preserve"> </w:t>
      </w:r>
      <w:r w:rsidRPr="001E4B09">
        <w:rPr>
          <w:rFonts w:hint="cs"/>
          <w:rtl/>
        </w:rPr>
        <w:t>והוא</w:t>
      </w:r>
      <w:r w:rsidRPr="001E4B09">
        <w:rPr>
          <w:rtl/>
        </w:rPr>
        <w:t xml:space="preserve"> </w:t>
      </w:r>
      <w:r w:rsidRPr="001E4B09">
        <w:rPr>
          <w:rFonts w:hint="cs"/>
          <w:rtl/>
        </w:rPr>
        <w:t>זכר</w:t>
      </w:r>
      <w:r w:rsidRPr="001E4B09">
        <w:rPr>
          <w:rtl/>
        </w:rPr>
        <w:t xml:space="preserve"> </w:t>
      </w:r>
      <w:r w:rsidRPr="001E4B09">
        <w:rPr>
          <w:rFonts w:hint="cs"/>
          <w:rtl/>
        </w:rPr>
        <w:t>לאילו</w:t>
      </w:r>
      <w:r w:rsidRPr="001E4B09">
        <w:rPr>
          <w:rtl/>
        </w:rPr>
        <w:t xml:space="preserve"> </w:t>
      </w:r>
      <w:r w:rsidRPr="001E4B09">
        <w:rPr>
          <w:rFonts w:hint="cs"/>
          <w:rtl/>
        </w:rPr>
        <w:t>של</w:t>
      </w:r>
      <w:r w:rsidRPr="001E4B09">
        <w:rPr>
          <w:rtl/>
        </w:rPr>
        <w:t xml:space="preserve"> </w:t>
      </w:r>
      <w:r w:rsidRPr="001E4B09">
        <w:rPr>
          <w:rFonts w:hint="cs"/>
          <w:rtl/>
        </w:rPr>
        <w:t>יצחק</w:t>
      </w:r>
      <w:r w:rsidRPr="001E4B09">
        <w:rPr>
          <w:rtl/>
        </w:rPr>
        <w:t xml:space="preserve"> </w:t>
      </w:r>
      <w:r w:rsidRPr="001E4B09">
        <w:rPr>
          <w:rFonts w:hint="cs"/>
          <w:rtl/>
        </w:rPr>
        <w:t>בנוסף</w:t>
      </w:r>
      <w:r w:rsidRPr="001E4B09">
        <w:rPr>
          <w:rtl/>
        </w:rPr>
        <w:t xml:space="preserve"> </w:t>
      </w:r>
      <w:r w:rsidRPr="001E4B09">
        <w:rPr>
          <w:rFonts w:hint="cs"/>
          <w:rtl/>
        </w:rPr>
        <w:t>על</w:t>
      </w:r>
      <w:r w:rsidRPr="001E4B09">
        <w:rPr>
          <w:rtl/>
        </w:rPr>
        <w:t xml:space="preserve"> </w:t>
      </w:r>
      <w:r w:rsidRPr="001E4B09">
        <w:rPr>
          <w:rFonts w:hint="cs"/>
          <w:rtl/>
        </w:rPr>
        <w:t>התוכן</w:t>
      </w:r>
      <w:r w:rsidRPr="001E4B09">
        <w:rPr>
          <w:rtl/>
        </w:rPr>
        <w:t xml:space="preserve"> </w:t>
      </w:r>
      <w:r>
        <w:rPr>
          <w:rFonts w:hint="cs"/>
          <w:rtl/>
        </w:rPr>
        <w:t xml:space="preserve">של </w:t>
      </w:r>
      <w:r w:rsidRPr="001E4B09">
        <w:rPr>
          <w:rFonts w:hint="cs"/>
          <w:rtl/>
        </w:rPr>
        <w:t>שנהי</w:t>
      </w:r>
      <w:r w:rsidRPr="001E4B09">
        <w:rPr>
          <w:rtl/>
        </w:rPr>
        <w:t xml:space="preserve">' </w:t>
      </w:r>
      <w:r w:rsidRPr="001E4B09">
        <w:rPr>
          <w:rFonts w:hint="cs"/>
          <w:rtl/>
        </w:rPr>
        <w:t>לראש</w:t>
      </w:r>
      <w:r w:rsidRPr="001E4B09">
        <w:rPr>
          <w:rtl/>
        </w:rPr>
        <w:t xml:space="preserve"> </w:t>
      </w:r>
      <w:r w:rsidRPr="001E4B09">
        <w:rPr>
          <w:rFonts w:hint="cs"/>
          <w:rtl/>
        </w:rPr>
        <w:t>ולא</w:t>
      </w:r>
      <w:r w:rsidRPr="001E4B09">
        <w:rPr>
          <w:rtl/>
        </w:rPr>
        <w:t xml:space="preserve"> </w:t>
      </w:r>
      <w:r w:rsidRPr="001E4B09">
        <w:rPr>
          <w:rFonts w:hint="cs"/>
          <w:rtl/>
        </w:rPr>
        <w:t>לזנב</w:t>
      </w:r>
      <w:r>
        <w:rPr>
          <w:rFonts w:hint="cs"/>
          <w:rtl/>
        </w:rPr>
        <w:t xml:space="preserve"> (כמ"ש בשו"ע שם ס"ה)</w:t>
      </w:r>
      <w:r w:rsidRPr="001E4B09">
        <w:rPr>
          <w:rtl/>
        </w:rPr>
        <w:t xml:space="preserve">. </w:t>
      </w:r>
      <w:r w:rsidRPr="001E4B09">
        <w:rPr>
          <w:rFonts w:hint="cs"/>
          <w:rtl/>
        </w:rPr>
        <w:t xml:space="preserve">                                                                                               </w:t>
      </w:r>
    </w:p>
    <w:p w:rsidR="00352A69" w:rsidRDefault="00352A69" w:rsidP="00352A69">
      <w:pPr>
        <w:pStyle w:val="a3"/>
        <w:rPr>
          <w:rtl/>
        </w:rPr>
      </w:pPr>
      <w:r w:rsidRPr="001E4B09">
        <w:rPr>
          <w:rFonts w:hint="cs"/>
          <w:rtl/>
        </w:rPr>
        <w:t>ולהוסיף</w:t>
      </w:r>
      <w:r w:rsidRPr="001E4B09">
        <w:rPr>
          <w:rtl/>
        </w:rPr>
        <w:t xml:space="preserve"> </w:t>
      </w:r>
      <w:r w:rsidRPr="001E4B09">
        <w:rPr>
          <w:rFonts w:hint="cs"/>
          <w:rtl/>
        </w:rPr>
        <w:t>שב</w:t>
      </w:r>
      <w:r w:rsidRPr="001E4B09">
        <w:rPr>
          <w:rtl/>
        </w:rPr>
        <w:t>"</w:t>
      </w:r>
      <w:r w:rsidRPr="001E4B09">
        <w:rPr>
          <w:rFonts w:hint="cs"/>
          <w:rtl/>
        </w:rPr>
        <w:t>היום</w:t>
      </w:r>
      <w:r w:rsidRPr="001E4B09">
        <w:rPr>
          <w:rtl/>
        </w:rPr>
        <w:t xml:space="preserve"> </w:t>
      </w:r>
      <w:r w:rsidRPr="001E4B09">
        <w:rPr>
          <w:rFonts w:hint="cs"/>
          <w:rtl/>
        </w:rPr>
        <w:t>יום</w:t>
      </w:r>
      <w:r w:rsidRPr="001E4B09">
        <w:rPr>
          <w:rtl/>
        </w:rPr>
        <w:t>"</w:t>
      </w:r>
      <w:r w:rsidRPr="001E4B09">
        <w:rPr>
          <w:rFonts w:hint="cs"/>
          <w:rtl/>
        </w:rPr>
        <w:t xml:space="preserve"> (הנ"ל)</w:t>
      </w:r>
      <w:r w:rsidRPr="001E4B09">
        <w:rPr>
          <w:rtl/>
        </w:rPr>
        <w:t xml:space="preserve"> </w:t>
      </w:r>
      <w:r w:rsidRPr="001E4B09">
        <w:rPr>
          <w:rFonts w:hint="cs"/>
          <w:rtl/>
        </w:rPr>
        <w:t>כתב</w:t>
      </w:r>
      <w:r w:rsidRPr="001E4B09">
        <w:rPr>
          <w:rtl/>
        </w:rPr>
        <w:t xml:space="preserve"> "</w:t>
      </w:r>
      <w:r w:rsidRPr="001E4B09">
        <w:rPr>
          <w:rFonts w:hint="cs"/>
          <w:rtl/>
        </w:rPr>
        <w:t>אוכלים</w:t>
      </w:r>
      <w:r w:rsidRPr="001E4B09">
        <w:rPr>
          <w:rtl/>
        </w:rPr>
        <w:t xml:space="preserve"> </w:t>
      </w:r>
      <w:r w:rsidRPr="001E4B09">
        <w:rPr>
          <w:rFonts w:hint="cs"/>
          <w:rtl/>
        </w:rPr>
        <w:t>ראש</w:t>
      </w:r>
      <w:r w:rsidRPr="001E4B09">
        <w:rPr>
          <w:rtl/>
        </w:rPr>
        <w:t xml:space="preserve"> </w:t>
      </w:r>
      <w:r w:rsidRPr="001E4B09">
        <w:rPr>
          <w:rFonts w:hint="cs"/>
          <w:rtl/>
        </w:rPr>
        <w:t>איל</w:t>
      </w:r>
      <w:r w:rsidRPr="001E4B09">
        <w:rPr>
          <w:rtl/>
        </w:rPr>
        <w:t xml:space="preserve">" </w:t>
      </w:r>
      <w:r w:rsidRPr="001E4B09">
        <w:rPr>
          <w:rFonts w:hint="cs"/>
          <w:rtl/>
        </w:rPr>
        <w:t>ולא</w:t>
      </w:r>
      <w:r w:rsidRPr="001E4B09">
        <w:rPr>
          <w:rtl/>
        </w:rPr>
        <w:t xml:space="preserve"> </w:t>
      </w:r>
      <w:r w:rsidRPr="001E4B09">
        <w:rPr>
          <w:rFonts w:hint="cs"/>
          <w:rtl/>
        </w:rPr>
        <w:t>הזכיר</w:t>
      </w:r>
      <w:r w:rsidRPr="001E4B09">
        <w:rPr>
          <w:rtl/>
        </w:rPr>
        <w:t xml:space="preserve"> </w:t>
      </w:r>
      <w:r w:rsidRPr="001E4B09">
        <w:rPr>
          <w:rFonts w:hint="cs"/>
          <w:rtl/>
        </w:rPr>
        <w:t>רימון</w:t>
      </w:r>
      <w:r w:rsidRPr="001E4B09">
        <w:rPr>
          <w:rtl/>
        </w:rPr>
        <w:t>.</w:t>
      </w:r>
    </w:p>
    <w:p w:rsidR="001C6EFC" w:rsidRDefault="00352A69" w:rsidP="001C6EFC">
      <w:pPr>
        <w:pStyle w:val="11"/>
        <w:bidi/>
        <w:rPr>
          <w:rtl/>
        </w:rPr>
      </w:pPr>
      <w:r w:rsidRPr="005B47E4">
        <w:rPr>
          <w:rFonts w:hint="cs"/>
          <w:rtl/>
        </w:rPr>
        <w:t xml:space="preserve">ו                             </w:t>
      </w:r>
    </w:p>
    <w:p w:rsidR="00352A69" w:rsidRPr="005B47E4" w:rsidRDefault="00352A69" w:rsidP="001C6EFC">
      <w:pPr>
        <w:pStyle w:val="11"/>
        <w:bidi/>
        <w:rPr>
          <w:rtl/>
        </w:rPr>
      </w:pPr>
      <w:r w:rsidRPr="005B47E4">
        <w:rPr>
          <w:rFonts w:hint="cs"/>
          <w:rtl/>
        </w:rPr>
        <w:t xml:space="preserve">     האם יש קצבה בהוצאות החתונה</w:t>
      </w:r>
    </w:p>
    <w:p w:rsidR="00352A69" w:rsidRPr="001E4B09" w:rsidRDefault="00352A69" w:rsidP="00352A69">
      <w:pPr>
        <w:pStyle w:val="a3"/>
        <w:rPr>
          <w:rtl/>
        </w:rPr>
      </w:pPr>
      <w:r w:rsidRPr="001E4B09">
        <w:rPr>
          <w:rFonts w:hint="cs"/>
          <w:rtl/>
        </w:rPr>
        <w:t>באג</w:t>
      </w:r>
      <w:r>
        <w:rPr>
          <w:rFonts w:hint="cs"/>
          <w:rtl/>
        </w:rPr>
        <w:t>רות קודש</w:t>
      </w:r>
      <w:r w:rsidRPr="001E4B09">
        <w:rPr>
          <w:rtl/>
        </w:rPr>
        <w:t xml:space="preserve"> </w:t>
      </w:r>
      <w:r w:rsidRPr="001E4B09">
        <w:rPr>
          <w:rFonts w:hint="cs"/>
          <w:rtl/>
        </w:rPr>
        <w:t>ח</w:t>
      </w:r>
      <w:r w:rsidRPr="001E4B09">
        <w:rPr>
          <w:rtl/>
        </w:rPr>
        <w:t>"</w:t>
      </w:r>
      <w:r w:rsidRPr="001E4B09">
        <w:rPr>
          <w:rFonts w:hint="cs"/>
          <w:rtl/>
        </w:rPr>
        <w:t>ח</w:t>
      </w:r>
      <w:r w:rsidRPr="001E4B09">
        <w:rPr>
          <w:rtl/>
        </w:rPr>
        <w:t xml:space="preserve"> </w:t>
      </w:r>
      <w:r w:rsidRPr="001E4B09">
        <w:rPr>
          <w:rFonts w:hint="cs"/>
          <w:rtl/>
        </w:rPr>
        <w:t>עמ</w:t>
      </w:r>
      <w:r w:rsidRPr="001E4B09">
        <w:rPr>
          <w:rtl/>
        </w:rPr>
        <w:t xml:space="preserve">' </w:t>
      </w:r>
      <w:r w:rsidRPr="001E4B09">
        <w:rPr>
          <w:rFonts w:hint="cs"/>
          <w:rtl/>
        </w:rPr>
        <w:t>קז</w:t>
      </w:r>
      <w:r w:rsidRPr="001E4B09">
        <w:rPr>
          <w:rtl/>
        </w:rPr>
        <w:t xml:space="preserve">: </w:t>
      </w:r>
      <w:r>
        <w:rPr>
          <w:rFonts w:hint="cs"/>
          <w:rtl/>
        </w:rPr>
        <w:t>"</w:t>
      </w:r>
      <w:r w:rsidRPr="001E4B09">
        <w:rPr>
          <w:rFonts w:hint="cs"/>
          <w:rtl/>
        </w:rPr>
        <w:t>מאשר</w:t>
      </w:r>
      <w:r w:rsidRPr="001E4B09">
        <w:rPr>
          <w:rtl/>
        </w:rPr>
        <w:t xml:space="preserve"> </w:t>
      </w:r>
      <w:r w:rsidRPr="001E4B09">
        <w:rPr>
          <w:rFonts w:hint="cs"/>
          <w:rtl/>
        </w:rPr>
        <w:t>הנני</w:t>
      </w:r>
      <w:r w:rsidRPr="001E4B09">
        <w:rPr>
          <w:rtl/>
        </w:rPr>
        <w:t xml:space="preserve"> </w:t>
      </w:r>
      <w:r w:rsidRPr="001E4B09">
        <w:rPr>
          <w:rFonts w:hint="cs"/>
          <w:rtl/>
        </w:rPr>
        <w:t>קבלת</w:t>
      </w:r>
      <w:r w:rsidRPr="001E4B09">
        <w:rPr>
          <w:rtl/>
        </w:rPr>
        <w:t xml:space="preserve"> </w:t>
      </w:r>
      <w:r w:rsidRPr="001E4B09">
        <w:rPr>
          <w:rFonts w:hint="cs"/>
          <w:rtl/>
        </w:rPr>
        <w:t>מכתבו</w:t>
      </w:r>
      <w:r w:rsidRPr="001E4B09">
        <w:rPr>
          <w:rtl/>
        </w:rPr>
        <w:t xml:space="preserve"> ... </w:t>
      </w:r>
      <w:r w:rsidRPr="001E4B09">
        <w:rPr>
          <w:rFonts w:hint="cs"/>
          <w:rtl/>
        </w:rPr>
        <w:t>ונהניתי</w:t>
      </w:r>
      <w:r w:rsidRPr="001E4B09">
        <w:rPr>
          <w:rtl/>
        </w:rPr>
        <w:t xml:space="preserve"> </w:t>
      </w:r>
      <w:r w:rsidRPr="001E4B09">
        <w:rPr>
          <w:rFonts w:hint="cs"/>
          <w:rtl/>
        </w:rPr>
        <w:t>לקרות</w:t>
      </w:r>
      <w:r w:rsidRPr="001E4B09">
        <w:rPr>
          <w:rtl/>
        </w:rPr>
        <w:t xml:space="preserve"> </w:t>
      </w:r>
      <w:r w:rsidRPr="001E4B09">
        <w:rPr>
          <w:rFonts w:hint="cs"/>
          <w:rtl/>
        </w:rPr>
        <w:t>בו</w:t>
      </w:r>
      <w:r w:rsidRPr="001E4B09">
        <w:rPr>
          <w:rtl/>
        </w:rPr>
        <w:t xml:space="preserve"> </w:t>
      </w:r>
      <w:r w:rsidRPr="001E4B09">
        <w:rPr>
          <w:rFonts w:hint="cs"/>
          <w:rtl/>
        </w:rPr>
        <w:t>שבדעתו</w:t>
      </w:r>
      <w:r w:rsidRPr="001E4B09">
        <w:rPr>
          <w:rtl/>
        </w:rPr>
        <w:t xml:space="preserve"> </w:t>
      </w:r>
      <w:r w:rsidRPr="001E4B09">
        <w:rPr>
          <w:rFonts w:hint="cs"/>
          <w:rtl/>
        </w:rPr>
        <w:t>לבוא</w:t>
      </w:r>
      <w:r w:rsidRPr="001E4B09">
        <w:rPr>
          <w:rtl/>
        </w:rPr>
        <w:t xml:space="preserve"> </w:t>
      </w:r>
      <w:r w:rsidRPr="001E4B09">
        <w:rPr>
          <w:rFonts w:hint="cs"/>
          <w:rtl/>
        </w:rPr>
        <w:t>לחתונת</w:t>
      </w:r>
      <w:r w:rsidRPr="001E4B09">
        <w:rPr>
          <w:rtl/>
        </w:rPr>
        <w:t xml:space="preserve"> </w:t>
      </w:r>
      <w:r w:rsidRPr="001E4B09">
        <w:rPr>
          <w:rFonts w:hint="cs"/>
          <w:rtl/>
        </w:rPr>
        <w:t>בנו</w:t>
      </w:r>
      <w:r w:rsidRPr="001E4B09">
        <w:rPr>
          <w:rtl/>
        </w:rPr>
        <w:t xml:space="preserve"> ... </w:t>
      </w:r>
      <w:r w:rsidRPr="001E4B09">
        <w:rPr>
          <w:rFonts w:hint="cs"/>
          <w:rtl/>
        </w:rPr>
        <w:t>ומה</w:t>
      </w:r>
      <w:r w:rsidRPr="001E4B09">
        <w:rPr>
          <w:rtl/>
        </w:rPr>
        <w:t xml:space="preserve"> </w:t>
      </w:r>
      <w:r w:rsidRPr="001E4B09">
        <w:rPr>
          <w:rFonts w:hint="cs"/>
          <w:rtl/>
        </w:rPr>
        <w:t>שכותב</w:t>
      </w:r>
      <w:r w:rsidRPr="001E4B09">
        <w:rPr>
          <w:rtl/>
        </w:rPr>
        <w:t xml:space="preserve"> </w:t>
      </w:r>
      <w:r w:rsidRPr="001E4B09">
        <w:rPr>
          <w:rFonts w:hint="cs"/>
          <w:rtl/>
        </w:rPr>
        <w:t>שקשה</w:t>
      </w:r>
      <w:r w:rsidRPr="001E4B09">
        <w:rPr>
          <w:rtl/>
        </w:rPr>
        <w:t xml:space="preserve"> </w:t>
      </w:r>
      <w:r w:rsidRPr="001E4B09">
        <w:rPr>
          <w:rFonts w:hint="cs"/>
          <w:rtl/>
        </w:rPr>
        <w:t>להסתדר</w:t>
      </w:r>
      <w:r w:rsidRPr="001E4B09">
        <w:rPr>
          <w:rtl/>
        </w:rPr>
        <w:t xml:space="preserve"> </w:t>
      </w:r>
      <w:r w:rsidRPr="001E4B09">
        <w:rPr>
          <w:rFonts w:hint="cs"/>
          <w:rtl/>
        </w:rPr>
        <w:t>מפני</w:t>
      </w:r>
      <w:r w:rsidRPr="001E4B09">
        <w:rPr>
          <w:rtl/>
        </w:rPr>
        <w:t xml:space="preserve"> </w:t>
      </w:r>
      <w:r w:rsidRPr="001E4B09">
        <w:rPr>
          <w:rFonts w:hint="cs"/>
          <w:rtl/>
        </w:rPr>
        <w:t>ריבוי</w:t>
      </w:r>
      <w:r w:rsidRPr="001E4B09">
        <w:rPr>
          <w:rtl/>
        </w:rPr>
        <w:t xml:space="preserve"> </w:t>
      </w:r>
      <w:r w:rsidRPr="001E4B09">
        <w:rPr>
          <w:rFonts w:hint="cs"/>
          <w:rtl/>
        </w:rPr>
        <w:t>ההוצאות</w:t>
      </w:r>
      <w:r w:rsidRPr="001E4B09">
        <w:rPr>
          <w:rtl/>
        </w:rPr>
        <w:t xml:space="preserve">, </w:t>
      </w:r>
      <w:r w:rsidRPr="001E4B09">
        <w:rPr>
          <w:rFonts w:hint="cs"/>
          <w:rtl/>
        </w:rPr>
        <w:t>הנה</w:t>
      </w:r>
      <w:r w:rsidRPr="001E4B09">
        <w:rPr>
          <w:rtl/>
        </w:rPr>
        <w:t xml:space="preserve"> </w:t>
      </w:r>
      <w:r w:rsidRPr="001E4B09">
        <w:rPr>
          <w:rFonts w:hint="cs"/>
          <w:rtl/>
        </w:rPr>
        <w:t>מובן</w:t>
      </w:r>
      <w:r w:rsidRPr="001E4B09">
        <w:rPr>
          <w:rtl/>
        </w:rPr>
        <w:t xml:space="preserve"> </w:t>
      </w:r>
      <w:r w:rsidRPr="001E4B09">
        <w:rPr>
          <w:rFonts w:hint="cs"/>
          <w:rtl/>
        </w:rPr>
        <w:t>וגם</w:t>
      </w:r>
      <w:r w:rsidRPr="001E4B09">
        <w:rPr>
          <w:rtl/>
        </w:rPr>
        <w:t xml:space="preserve"> </w:t>
      </w:r>
      <w:r w:rsidRPr="001E4B09">
        <w:rPr>
          <w:rFonts w:hint="cs"/>
          <w:rtl/>
        </w:rPr>
        <w:t>בשכל</w:t>
      </w:r>
      <w:r w:rsidRPr="001E4B09">
        <w:rPr>
          <w:rtl/>
        </w:rPr>
        <w:t xml:space="preserve"> </w:t>
      </w:r>
      <w:r w:rsidRPr="001E4B09">
        <w:rPr>
          <w:rFonts w:hint="cs"/>
          <w:rtl/>
        </w:rPr>
        <w:t>אנושי</w:t>
      </w:r>
      <w:r w:rsidRPr="001E4B09">
        <w:rPr>
          <w:rtl/>
        </w:rPr>
        <w:t xml:space="preserve"> </w:t>
      </w:r>
      <w:r w:rsidRPr="001E4B09">
        <w:rPr>
          <w:rFonts w:hint="cs"/>
          <w:rtl/>
        </w:rPr>
        <w:t>שהכסף</w:t>
      </w:r>
      <w:r w:rsidRPr="001E4B09">
        <w:rPr>
          <w:rtl/>
        </w:rPr>
        <w:t xml:space="preserve"> </w:t>
      </w:r>
      <w:r w:rsidRPr="001E4B09">
        <w:rPr>
          <w:rFonts w:hint="cs"/>
          <w:rtl/>
        </w:rPr>
        <w:t>לעצמו</w:t>
      </w:r>
      <w:r w:rsidRPr="001E4B09">
        <w:rPr>
          <w:rtl/>
        </w:rPr>
        <w:t xml:space="preserve"> </w:t>
      </w:r>
      <w:r w:rsidRPr="001E4B09">
        <w:rPr>
          <w:rFonts w:hint="cs"/>
          <w:rtl/>
        </w:rPr>
        <w:t>אינו</w:t>
      </w:r>
      <w:r w:rsidRPr="001E4B09">
        <w:rPr>
          <w:rtl/>
        </w:rPr>
        <w:t xml:space="preserve"> </w:t>
      </w:r>
      <w:r w:rsidRPr="001E4B09">
        <w:rPr>
          <w:rFonts w:hint="cs"/>
          <w:rtl/>
        </w:rPr>
        <w:t>ענין</w:t>
      </w:r>
      <w:r w:rsidRPr="001E4B09">
        <w:rPr>
          <w:rtl/>
        </w:rPr>
        <w:t xml:space="preserve"> </w:t>
      </w:r>
      <w:r w:rsidRPr="001E4B09">
        <w:rPr>
          <w:rFonts w:hint="cs"/>
          <w:rtl/>
        </w:rPr>
        <w:t>כ</w:t>
      </w:r>
      <w:r w:rsidRPr="001E4B09">
        <w:rPr>
          <w:rtl/>
        </w:rPr>
        <w:t>"</w:t>
      </w:r>
      <w:r w:rsidRPr="001E4B09">
        <w:rPr>
          <w:rFonts w:hint="cs"/>
          <w:rtl/>
        </w:rPr>
        <w:t>א</w:t>
      </w:r>
      <w:r w:rsidRPr="001E4B09">
        <w:rPr>
          <w:rtl/>
        </w:rPr>
        <w:t xml:space="preserve"> </w:t>
      </w:r>
      <w:r w:rsidRPr="001E4B09">
        <w:rPr>
          <w:rFonts w:hint="cs"/>
          <w:rtl/>
        </w:rPr>
        <w:t>בתור</w:t>
      </w:r>
      <w:r w:rsidRPr="001E4B09">
        <w:rPr>
          <w:rtl/>
        </w:rPr>
        <w:t xml:space="preserve"> </w:t>
      </w:r>
      <w:r w:rsidRPr="001E4B09">
        <w:rPr>
          <w:rFonts w:hint="cs"/>
          <w:rtl/>
        </w:rPr>
        <w:t>אמצעי</w:t>
      </w:r>
      <w:r w:rsidRPr="001E4B09">
        <w:rPr>
          <w:rtl/>
        </w:rPr>
        <w:t xml:space="preserve"> </w:t>
      </w:r>
      <w:r w:rsidRPr="001E4B09">
        <w:rPr>
          <w:rFonts w:hint="cs"/>
          <w:rtl/>
        </w:rPr>
        <w:t>למה</w:t>
      </w:r>
      <w:r w:rsidRPr="001E4B09">
        <w:rPr>
          <w:rtl/>
        </w:rPr>
        <w:t xml:space="preserve"> </w:t>
      </w:r>
      <w:r w:rsidRPr="001E4B09">
        <w:rPr>
          <w:rFonts w:hint="cs"/>
          <w:rtl/>
        </w:rPr>
        <w:t>שצריכים</w:t>
      </w:r>
      <w:r w:rsidRPr="001E4B09">
        <w:rPr>
          <w:rtl/>
        </w:rPr>
        <w:t xml:space="preserve"> ... </w:t>
      </w:r>
      <w:r w:rsidRPr="001E4B09">
        <w:rPr>
          <w:rFonts w:hint="cs"/>
          <w:rtl/>
        </w:rPr>
        <w:t>וכיון</w:t>
      </w:r>
      <w:r w:rsidRPr="001E4B09">
        <w:rPr>
          <w:rtl/>
        </w:rPr>
        <w:t xml:space="preserve"> </w:t>
      </w:r>
      <w:r w:rsidRPr="001E4B09">
        <w:rPr>
          <w:rFonts w:hint="cs"/>
          <w:rtl/>
        </w:rPr>
        <w:t>שהרצון</w:t>
      </w:r>
      <w:r w:rsidRPr="001E4B09">
        <w:rPr>
          <w:rtl/>
        </w:rPr>
        <w:t xml:space="preserve"> </w:t>
      </w:r>
      <w:r w:rsidRPr="001E4B09">
        <w:rPr>
          <w:rFonts w:hint="cs"/>
          <w:rtl/>
        </w:rPr>
        <w:t>להיות</w:t>
      </w:r>
      <w:r w:rsidRPr="001E4B09">
        <w:rPr>
          <w:rtl/>
        </w:rPr>
        <w:t xml:space="preserve"> </w:t>
      </w:r>
      <w:r w:rsidRPr="001E4B09">
        <w:rPr>
          <w:rFonts w:hint="cs"/>
          <w:rtl/>
        </w:rPr>
        <w:t>נוכח</w:t>
      </w:r>
      <w:r w:rsidRPr="001E4B09">
        <w:rPr>
          <w:rtl/>
        </w:rPr>
        <w:t xml:space="preserve"> </w:t>
      </w:r>
      <w:r w:rsidRPr="001E4B09">
        <w:rPr>
          <w:rFonts w:hint="cs"/>
          <w:rtl/>
        </w:rPr>
        <w:t>בהחתונה</w:t>
      </w:r>
      <w:r w:rsidRPr="001E4B09">
        <w:rPr>
          <w:rtl/>
        </w:rPr>
        <w:t xml:space="preserve"> </w:t>
      </w:r>
      <w:r w:rsidRPr="001E4B09">
        <w:rPr>
          <w:rFonts w:hint="cs"/>
          <w:rtl/>
        </w:rPr>
        <w:t>רצון</w:t>
      </w:r>
      <w:r w:rsidRPr="001E4B09">
        <w:rPr>
          <w:rtl/>
        </w:rPr>
        <w:t xml:space="preserve"> </w:t>
      </w:r>
      <w:r w:rsidRPr="001E4B09">
        <w:rPr>
          <w:rFonts w:hint="cs"/>
          <w:rtl/>
        </w:rPr>
        <w:t>טוב</w:t>
      </w:r>
      <w:r w:rsidRPr="001E4B09">
        <w:rPr>
          <w:rtl/>
        </w:rPr>
        <w:t xml:space="preserve"> </w:t>
      </w:r>
      <w:r w:rsidRPr="001E4B09">
        <w:rPr>
          <w:rFonts w:hint="cs"/>
          <w:rtl/>
        </w:rPr>
        <w:t>הוא</w:t>
      </w:r>
      <w:r w:rsidRPr="001E4B09">
        <w:rPr>
          <w:rtl/>
        </w:rPr>
        <w:t xml:space="preserve"> </w:t>
      </w:r>
      <w:r w:rsidRPr="001E4B09">
        <w:rPr>
          <w:rFonts w:hint="cs"/>
          <w:rtl/>
        </w:rPr>
        <w:t>ע</w:t>
      </w:r>
      <w:r w:rsidRPr="001E4B09">
        <w:rPr>
          <w:rtl/>
        </w:rPr>
        <w:t>"</w:t>
      </w:r>
      <w:r w:rsidRPr="001E4B09">
        <w:rPr>
          <w:rFonts w:hint="cs"/>
          <w:rtl/>
        </w:rPr>
        <w:t>פ</w:t>
      </w:r>
      <w:r w:rsidRPr="001E4B09">
        <w:rPr>
          <w:rtl/>
        </w:rPr>
        <w:t xml:space="preserve"> </w:t>
      </w:r>
      <w:r w:rsidRPr="001E4B09">
        <w:rPr>
          <w:rFonts w:hint="cs"/>
          <w:rtl/>
        </w:rPr>
        <w:t>תורה</w:t>
      </w:r>
      <w:r w:rsidRPr="001E4B09">
        <w:rPr>
          <w:rtl/>
        </w:rPr>
        <w:t xml:space="preserve"> </w:t>
      </w:r>
      <w:r w:rsidRPr="001E4B09">
        <w:rPr>
          <w:rFonts w:hint="cs"/>
          <w:rtl/>
        </w:rPr>
        <w:t>ושו</w:t>
      </w:r>
      <w:r w:rsidRPr="001E4B09">
        <w:rPr>
          <w:rtl/>
        </w:rPr>
        <w:t>"</w:t>
      </w:r>
      <w:r w:rsidRPr="001E4B09">
        <w:rPr>
          <w:rFonts w:hint="cs"/>
          <w:rtl/>
        </w:rPr>
        <w:t>ע</w:t>
      </w:r>
      <w:r w:rsidRPr="001E4B09">
        <w:rPr>
          <w:rtl/>
        </w:rPr>
        <w:t xml:space="preserve"> </w:t>
      </w:r>
      <w:r w:rsidRPr="001E4B09">
        <w:rPr>
          <w:rFonts w:hint="cs"/>
          <w:rtl/>
        </w:rPr>
        <w:t>הרי</w:t>
      </w:r>
      <w:r w:rsidRPr="001E4B09">
        <w:rPr>
          <w:rtl/>
        </w:rPr>
        <w:t xml:space="preserve"> </w:t>
      </w:r>
      <w:r w:rsidRPr="001E4B09">
        <w:rPr>
          <w:rFonts w:hint="cs"/>
          <w:rtl/>
        </w:rPr>
        <w:t>בטח</w:t>
      </w:r>
      <w:r w:rsidRPr="001E4B09">
        <w:rPr>
          <w:rtl/>
        </w:rPr>
        <w:t xml:space="preserve"> </w:t>
      </w:r>
      <w:r w:rsidRPr="001E4B09">
        <w:rPr>
          <w:rFonts w:hint="cs"/>
          <w:rtl/>
        </w:rPr>
        <w:t>יזמין</w:t>
      </w:r>
      <w:r w:rsidRPr="001E4B09">
        <w:rPr>
          <w:rtl/>
        </w:rPr>
        <w:t xml:space="preserve"> </w:t>
      </w:r>
      <w:r w:rsidRPr="001E4B09">
        <w:rPr>
          <w:rFonts w:hint="cs"/>
          <w:rtl/>
        </w:rPr>
        <w:t>לו</w:t>
      </w:r>
      <w:r w:rsidRPr="001E4B09">
        <w:rPr>
          <w:rtl/>
        </w:rPr>
        <w:t xml:space="preserve"> </w:t>
      </w:r>
      <w:r w:rsidRPr="001E4B09">
        <w:rPr>
          <w:rFonts w:hint="cs"/>
          <w:rtl/>
        </w:rPr>
        <w:t>השי</w:t>
      </w:r>
      <w:r w:rsidRPr="001E4B09">
        <w:rPr>
          <w:rtl/>
        </w:rPr>
        <w:t>"</w:t>
      </w:r>
      <w:r w:rsidRPr="001E4B09">
        <w:rPr>
          <w:rFonts w:hint="cs"/>
          <w:rtl/>
        </w:rPr>
        <w:t>ת</w:t>
      </w:r>
      <w:r w:rsidRPr="001E4B09">
        <w:rPr>
          <w:rtl/>
        </w:rPr>
        <w:t xml:space="preserve"> </w:t>
      </w:r>
      <w:r w:rsidRPr="001E4B09">
        <w:rPr>
          <w:rFonts w:hint="cs"/>
          <w:rtl/>
        </w:rPr>
        <w:t>גם</w:t>
      </w:r>
      <w:r w:rsidRPr="001E4B09">
        <w:rPr>
          <w:rtl/>
        </w:rPr>
        <w:t xml:space="preserve"> </w:t>
      </w:r>
      <w:r w:rsidRPr="001E4B09">
        <w:rPr>
          <w:rFonts w:hint="cs"/>
          <w:rtl/>
        </w:rPr>
        <w:t>להוצאות</w:t>
      </w:r>
      <w:r w:rsidRPr="001E4B09">
        <w:rPr>
          <w:rtl/>
        </w:rPr>
        <w:t xml:space="preserve"> </w:t>
      </w:r>
      <w:r w:rsidRPr="001E4B09">
        <w:rPr>
          <w:rFonts w:hint="cs"/>
          <w:rtl/>
        </w:rPr>
        <w:t>הנסיעה</w:t>
      </w:r>
      <w:r w:rsidRPr="001E4B09">
        <w:rPr>
          <w:rtl/>
        </w:rPr>
        <w:t xml:space="preserve"> </w:t>
      </w:r>
      <w:r w:rsidRPr="001E4B09">
        <w:rPr>
          <w:rFonts w:hint="cs"/>
          <w:rtl/>
        </w:rPr>
        <w:t>ובמילא</w:t>
      </w:r>
      <w:r w:rsidRPr="001E4B09">
        <w:rPr>
          <w:rtl/>
        </w:rPr>
        <w:t xml:space="preserve"> </w:t>
      </w:r>
      <w:r w:rsidRPr="001E4B09">
        <w:rPr>
          <w:rFonts w:hint="cs"/>
          <w:rtl/>
        </w:rPr>
        <w:t>עליו</w:t>
      </w:r>
      <w:r w:rsidRPr="001E4B09">
        <w:rPr>
          <w:rtl/>
        </w:rPr>
        <w:t xml:space="preserve"> </w:t>
      </w:r>
      <w:r w:rsidRPr="001E4B09">
        <w:rPr>
          <w:rFonts w:hint="cs"/>
          <w:rtl/>
        </w:rPr>
        <w:t>רק</w:t>
      </w:r>
      <w:r w:rsidRPr="001E4B09">
        <w:rPr>
          <w:rtl/>
        </w:rPr>
        <w:t xml:space="preserve"> </w:t>
      </w:r>
      <w:r w:rsidRPr="001E4B09">
        <w:rPr>
          <w:rFonts w:hint="cs"/>
          <w:rtl/>
        </w:rPr>
        <w:t>לבטל</w:t>
      </w:r>
      <w:r w:rsidRPr="001E4B09">
        <w:rPr>
          <w:rtl/>
        </w:rPr>
        <w:t xml:space="preserve"> </w:t>
      </w:r>
      <w:r w:rsidRPr="001E4B09">
        <w:rPr>
          <w:rFonts w:hint="cs"/>
          <w:rtl/>
        </w:rPr>
        <w:t>המחשבה</w:t>
      </w:r>
      <w:r w:rsidRPr="001E4B09">
        <w:rPr>
          <w:rtl/>
        </w:rPr>
        <w:t xml:space="preserve"> </w:t>
      </w:r>
      <w:r w:rsidRPr="001E4B09">
        <w:rPr>
          <w:rFonts w:hint="cs"/>
          <w:rtl/>
        </w:rPr>
        <w:t>שאם</w:t>
      </w:r>
      <w:r w:rsidRPr="001E4B09">
        <w:rPr>
          <w:rtl/>
        </w:rPr>
        <w:t xml:space="preserve"> </w:t>
      </w:r>
      <w:r w:rsidRPr="001E4B09">
        <w:rPr>
          <w:rFonts w:hint="cs"/>
          <w:rtl/>
        </w:rPr>
        <w:t>לא</w:t>
      </w:r>
      <w:r w:rsidRPr="001E4B09">
        <w:rPr>
          <w:rtl/>
        </w:rPr>
        <w:t xml:space="preserve"> </w:t>
      </w:r>
      <w:r w:rsidRPr="001E4B09">
        <w:rPr>
          <w:rFonts w:hint="cs"/>
          <w:rtl/>
        </w:rPr>
        <w:t>הי</w:t>
      </w:r>
      <w:r w:rsidRPr="001E4B09">
        <w:rPr>
          <w:rtl/>
        </w:rPr>
        <w:t xml:space="preserve">' </w:t>
      </w:r>
      <w:r w:rsidRPr="001E4B09">
        <w:rPr>
          <w:rFonts w:hint="cs"/>
          <w:rtl/>
        </w:rPr>
        <w:t>נוסע</w:t>
      </w:r>
      <w:r w:rsidRPr="001E4B09">
        <w:rPr>
          <w:rtl/>
        </w:rPr>
        <w:t xml:space="preserve"> </w:t>
      </w:r>
      <w:r w:rsidRPr="001E4B09">
        <w:rPr>
          <w:rFonts w:hint="cs"/>
          <w:rtl/>
        </w:rPr>
        <w:t>היו</w:t>
      </w:r>
      <w:r w:rsidRPr="001E4B09">
        <w:rPr>
          <w:rtl/>
        </w:rPr>
        <w:t xml:space="preserve"> </w:t>
      </w:r>
      <w:r w:rsidRPr="001E4B09">
        <w:rPr>
          <w:rFonts w:hint="cs"/>
          <w:rtl/>
        </w:rPr>
        <w:t>נשארים</w:t>
      </w:r>
      <w:r w:rsidRPr="001E4B09">
        <w:rPr>
          <w:rtl/>
        </w:rPr>
        <w:t xml:space="preserve"> </w:t>
      </w:r>
      <w:r w:rsidRPr="001E4B09">
        <w:rPr>
          <w:rFonts w:hint="cs"/>
          <w:rtl/>
        </w:rPr>
        <w:t>מעות</w:t>
      </w:r>
      <w:r w:rsidRPr="001E4B09">
        <w:rPr>
          <w:rtl/>
        </w:rPr>
        <w:t xml:space="preserve"> </w:t>
      </w:r>
      <w:r w:rsidRPr="001E4B09">
        <w:rPr>
          <w:rFonts w:hint="cs"/>
          <w:rtl/>
        </w:rPr>
        <w:t>אלו</w:t>
      </w:r>
      <w:r w:rsidRPr="001E4B09">
        <w:rPr>
          <w:rtl/>
        </w:rPr>
        <w:t xml:space="preserve"> </w:t>
      </w:r>
      <w:r w:rsidRPr="001E4B09">
        <w:rPr>
          <w:rFonts w:hint="cs"/>
          <w:rtl/>
        </w:rPr>
        <w:t>בכיסו</w:t>
      </w:r>
      <w:r w:rsidRPr="001E4B09">
        <w:rPr>
          <w:rtl/>
        </w:rPr>
        <w:t xml:space="preserve"> </w:t>
      </w:r>
      <w:r w:rsidRPr="001E4B09">
        <w:rPr>
          <w:rFonts w:hint="cs"/>
          <w:rtl/>
        </w:rPr>
        <w:t>ואין</w:t>
      </w:r>
      <w:r w:rsidRPr="001E4B09">
        <w:rPr>
          <w:rtl/>
        </w:rPr>
        <w:t xml:space="preserve"> </w:t>
      </w:r>
      <w:r w:rsidRPr="001E4B09">
        <w:rPr>
          <w:rFonts w:hint="cs"/>
          <w:rtl/>
        </w:rPr>
        <w:t>הדבר</w:t>
      </w:r>
      <w:r w:rsidRPr="001E4B09">
        <w:rPr>
          <w:rtl/>
        </w:rPr>
        <w:t xml:space="preserve"> </w:t>
      </w:r>
      <w:r w:rsidRPr="001E4B09">
        <w:rPr>
          <w:rFonts w:hint="cs"/>
          <w:rtl/>
        </w:rPr>
        <w:t>כן</w:t>
      </w:r>
      <w:r w:rsidRPr="001E4B09">
        <w:rPr>
          <w:rtl/>
        </w:rPr>
        <w:t xml:space="preserve"> </w:t>
      </w:r>
      <w:r w:rsidRPr="001E4B09">
        <w:rPr>
          <w:rFonts w:hint="cs"/>
          <w:rtl/>
        </w:rPr>
        <w:t>כיון</w:t>
      </w:r>
      <w:r w:rsidRPr="001E4B09">
        <w:rPr>
          <w:rtl/>
        </w:rPr>
        <w:t xml:space="preserve"> </w:t>
      </w:r>
      <w:r w:rsidRPr="001E4B09">
        <w:rPr>
          <w:rFonts w:hint="cs"/>
          <w:rtl/>
        </w:rPr>
        <w:t>שמלכתחילה</w:t>
      </w:r>
      <w:r w:rsidRPr="001E4B09">
        <w:rPr>
          <w:rtl/>
        </w:rPr>
        <w:t xml:space="preserve"> </w:t>
      </w:r>
      <w:r w:rsidRPr="001E4B09">
        <w:rPr>
          <w:rFonts w:hint="cs"/>
          <w:rtl/>
        </w:rPr>
        <w:t>ניתנו</w:t>
      </w:r>
      <w:r w:rsidRPr="001E4B09">
        <w:rPr>
          <w:rtl/>
        </w:rPr>
        <w:t xml:space="preserve"> </w:t>
      </w:r>
      <w:r w:rsidRPr="001E4B09">
        <w:rPr>
          <w:rFonts w:hint="cs"/>
          <w:rtl/>
        </w:rPr>
        <w:t>מלמעלה</w:t>
      </w:r>
      <w:r w:rsidRPr="001E4B09">
        <w:rPr>
          <w:rtl/>
        </w:rPr>
        <w:t xml:space="preserve"> </w:t>
      </w:r>
      <w:r w:rsidRPr="001E4B09">
        <w:rPr>
          <w:rFonts w:hint="cs"/>
          <w:rtl/>
        </w:rPr>
        <w:t>לתכלית</w:t>
      </w:r>
      <w:r w:rsidRPr="001E4B09">
        <w:rPr>
          <w:rtl/>
        </w:rPr>
        <w:t xml:space="preserve"> </w:t>
      </w:r>
      <w:r w:rsidRPr="001E4B09">
        <w:rPr>
          <w:rFonts w:hint="cs"/>
          <w:rtl/>
        </w:rPr>
        <w:t>מיוחדה</w:t>
      </w:r>
      <w:r w:rsidRPr="001E4B09">
        <w:rPr>
          <w:rtl/>
        </w:rPr>
        <w:t xml:space="preserve"> </w:t>
      </w:r>
      <w:r w:rsidRPr="001E4B09">
        <w:rPr>
          <w:rFonts w:hint="cs"/>
          <w:rtl/>
        </w:rPr>
        <w:t>זו</w:t>
      </w:r>
      <w:r>
        <w:rPr>
          <w:rFonts w:hint="cs"/>
          <w:rtl/>
        </w:rPr>
        <w:t>"</w:t>
      </w:r>
      <w:r w:rsidRPr="001E4B09">
        <w:rPr>
          <w:rtl/>
        </w:rPr>
        <w:t>.</w:t>
      </w:r>
    </w:p>
    <w:p w:rsidR="00352A69" w:rsidRDefault="00352A69" w:rsidP="00352A69">
      <w:pPr>
        <w:pStyle w:val="a3"/>
        <w:rPr>
          <w:rtl/>
        </w:rPr>
      </w:pPr>
      <w:r w:rsidRPr="001E4B09">
        <w:rPr>
          <w:rFonts w:hint="cs"/>
          <w:rtl/>
        </w:rPr>
        <w:t>ושם</w:t>
      </w:r>
      <w:r w:rsidRPr="001E4B09">
        <w:rPr>
          <w:rtl/>
        </w:rPr>
        <w:t xml:space="preserve"> </w:t>
      </w:r>
      <w:r w:rsidRPr="001E4B09">
        <w:rPr>
          <w:rFonts w:hint="cs"/>
          <w:rtl/>
        </w:rPr>
        <w:t>בעמ</w:t>
      </w:r>
      <w:r w:rsidRPr="001E4B09">
        <w:rPr>
          <w:rtl/>
        </w:rPr>
        <w:t xml:space="preserve">' </w:t>
      </w:r>
      <w:r w:rsidRPr="001E4B09">
        <w:rPr>
          <w:rFonts w:hint="cs"/>
          <w:rtl/>
        </w:rPr>
        <w:t>רכ</w:t>
      </w:r>
      <w:r w:rsidRPr="001E4B09">
        <w:rPr>
          <w:rtl/>
        </w:rPr>
        <w:t>: (</w:t>
      </w:r>
      <w:r w:rsidRPr="001E4B09">
        <w:rPr>
          <w:rFonts w:hint="cs"/>
          <w:rtl/>
        </w:rPr>
        <w:t>תרגום</w:t>
      </w:r>
      <w:r w:rsidRPr="001E4B09">
        <w:rPr>
          <w:rtl/>
        </w:rPr>
        <w:t xml:space="preserve"> </w:t>
      </w:r>
      <w:r w:rsidRPr="001E4B09">
        <w:rPr>
          <w:rFonts w:hint="cs"/>
          <w:rtl/>
        </w:rPr>
        <w:t>מאידיש</w:t>
      </w:r>
      <w:r w:rsidRPr="001E4B09">
        <w:rPr>
          <w:rtl/>
        </w:rPr>
        <w:t xml:space="preserve">) </w:t>
      </w:r>
      <w:r>
        <w:rPr>
          <w:rFonts w:hint="cs"/>
          <w:rtl/>
        </w:rPr>
        <w:t>"</w:t>
      </w:r>
      <w:r w:rsidRPr="001E4B09">
        <w:rPr>
          <w:rFonts w:hint="cs"/>
          <w:rtl/>
        </w:rPr>
        <w:t>שלהשתתף</w:t>
      </w:r>
      <w:r w:rsidRPr="001E4B09">
        <w:rPr>
          <w:rtl/>
        </w:rPr>
        <w:t xml:space="preserve"> </w:t>
      </w:r>
      <w:r w:rsidRPr="001E4B09">
        <w:rPr>
          <w:rFonts w:hint="cs"/>
          <w:rtl/>
        </w:rPr>
        <w:t>בחתונה</w:t>
      </w:r>
      <w:r w:rsidRPr="001E4B09">
        <w:rPr>
          <w:rtl/>
        </w:rPr>
        <w:t xml:space="preserve"> ... </w:t>
      </w:r>
      <w:r w:rsidRPr="001E4B09">
        <w:rPr>
          <w:rFonts w:hint="cs"/>
          <w:rtl/>
        </w:rPr>
        <w:t>שכיון</w:t>
      </w:r>
      <w:r w:rsidRPr="001E4B09">
        <w:rPr>
          <w:rtl/>
        </w:rPr>
        <w:t xml:space="preserve"> </w:t>
      </w:r>
      <w:r w:rsidRPr="001E4B09">
        <w:rPr>
          <w:rFonts w:hint="cs"/>
          <w:rtl/>
        </w:rPr>
        <w:t>שזה</w:t>
      </w:r>
      <w:r w:rsidRPr="001E4B09">
        <w:rPr>
          <w:rtl/>
        </w:rPr>
        <w:t xml:space="preserve"> </w:t>
      </w:r>
      <w:r w:rsidRPr="001E4B09">
        <w:rPr>
          <w:rFonts w:hint="cs"/>
          <w:rtl/>
        </w:rPr>
        <w:t>דבר</w:t>
      </w:r>
      <w:r w:rsidRPr="001E4B09">
        <w:rPr>
          <w:rtl/>
        </w:rPr>
        <w:t xml:space="preserve"> </w:t>
      </w:r>
      <w:r w:rsidRPr="001E4B09">
        <w:rPr>
          <w:rFonts w:hint="cs"/>
          <w:rtl/>
        </w:rPr>
        <w:t>ראוי</w:t>
      </w:r>
      <w:r w:rsidRPr="001E4B09">
        <w:rPr>
          <w:rtl/>
        </w:rPr>
        <w:t xml:space="preserve">, </w:t>
      </w:r>
      <w:r w:rsidRPr="001E4B09">
        <w:rPr>
          <w:rFonts w:hint="cs"/>
          <w:rtl/>
        </w:rPr>
        <w:t>בטח</w:t>
      </w:r>
      <w:r w:rsidRPr="001E4B09">
        <w:rPr>
          <w:rtl/>
        </w:rPr>
        <w:t xml:space="preserve"> </w:t>
      </w:r>
      <w:r w:rsidRPr="001E4B09">
        <w:rPr>
          <w:rFonts w:hint="cs"/>
          <w:rtl/>
        </w:rPr>
        <w:t>יתן</w:t>
      </w:r>
      <w:r w:rsidRPr="001E4B09">
        <w:rPr>
          <w:rtl/>
        </w:rPr>
        <w:t xml:space="preserve"> </w:t>
      </w:r>
      <w:r w:rsidRPr="001E4B09">
        <w:rPr>
          <w:rFonts w:hint="cs"/>
          <w:rtl/>
        </w:rPr>
        <w:t>השי</w:t>
      </w:r>
      <w:r w:rsidRPr="001E4B09">
        <w:rPr>
          <w:rtl/>
        </w:rPr>
        <w:t>"</w:t>
      </w:r>
      <w:r w:rsidRPr="001E4B09">
        <w:rPr>
          <w:rFonts w:hint="cs"/>
          <w:rtl/>
        </w:rPr>
        <w:t>ת</w:t>
      </w:r>
      <w:r w:rsidRPr="001E4B09">
        <w:rPr>
          <w:rtl/>
        </w:rPr>
        <w:t xml:space="preserve"> </w:t>
      </w:r>
      <w:r w:rsidRPr="001E4B09">
        <w:rPr>
          <w:rFonts w:hint="cs"/>
          <w:rtl/>
        </w:rPr>
        <w:t>עבור</w:t>
      </w:r>
      <w:r w:rsidRPr="001E4B09">
        <w:rPr>
          <w:rtl/>
        </w:rPr>
        <w:t xml:space="preserve"> </w:t>
      </w:r>
      <w:r w:rsidRPr="001E4B09">
        <w:rPr>
          <w:rFonts w:hint="cs"/>
          <w:rtl/>
        </w:rPr>
        <w:t>ההוצאות</w:t>
      </w:r>
      <w:r w:rsidRPr="001E4B09">
        <w:rPr>
          <w:rtl/>
        </w:rPr>
        <w:t xml:space="preserve"> </w:t>
      </w:r>
      <w:r w:rsidRPr="001E4B09">
        <w:rPr>
          <w:rFonts w:hint="cs"/>
          <w:rtl/>
        </w:rPr>
        <w:t>הקשורות</w:t>
      </w:r>
      <w:r w:rsidRPr="001E4B09">
        <w:rPr>
          <w:rtl/>
        </w:rPr>
        <w:t xml:space="preserve"> </w:t>
      </w:r>
      <w:r w:rsidRPr="001E4B09">
        <w:rPr>
          <w:rFonts w:hint="cs"/>
          <w:rtl/>
        </w:rPr>
        <w:t>בזה</w:t>
      </w:r>
      <w:r w:rsidRPr="001E4B09">
        <w:rPr>
          <w:rtl/>
        </w:rPr>
        <w:t xml:space="preserve"> (</w:t>
      </w:r>
      <w:r w:rsidRPr="001E4B09">
        <w:rPr>
          <w:rFonts w:hint="cs"/>
          <w:rtl/>
        </w:rPr>
        <w:t>ואם</w:t>
      </w:r>
      <w:r w:rsidRPr="001E4B09">
        <w:rPr>
          <w:rtl/>
        </w:rPr>
        <w:t xml:space="preserve"> </w:t>
      </w:r>
      <w:r w:rsidRPr="001E4B09">
        <w:rPr>
          <w:rFonts w:hint="cs"/>
          <w:rtl/>
        </w:rPr>
        <w:t>לא</w:t>
      </w:r>
      <w:r w:rsidRPr="001E4B09">
        <w:rPr>
          <w:rtl/>
        </w:rPr>
        <w:t xml:space="preserve"> </w:t>
      </w:r>
      <w:r w:rsidRPr="001E4B09">
        <w:rPr>
          <w:rFonts w:hint="cs"/>
          <w:rtl/>
        </w:rPr>
        <w:t>יסעו</w:t>
      </w:r>
      <w:r w:rsidRPr="001E4B09">
        <w:rPr>
          <w:rtl/>
        </w:rPr>
        <w:t xml:space="preserve"> </w:t>
      </w:r>
      <w:r w:rsidRPr="001E4B09">
        <w:rPr>
          <w:rFonts w:hint="cs"/>
          <w:rtl/>
        </w:rPr>
        <w:t>כסף</w:t>
      </w:r>
      <w:r w:rsidRPr="001E4B09">
        <w:rPr>
          <w:rtl/>
        </w:rPr>
        <w:t xml:space="preserve"> </w:t>
      </w:r>
      <w:r w:rsidRPr="001E4B09">
        <w:rPr>
          <w:rFonts w:hint="cs"/>
          <w:rtl/>
        </w:rPr>
        <w:t>זה</w:t>
      </w:r>
      <w:r w:rsidRPr="001E4B09">
        <w:rPr>
          <w:rtl/>
        </w:rPr>
        <w:t xml:space="preserve"> </w:t>
      </w:r>
      <w:r w:rsidRPr="001E4B09">
        <w:rPr>
          <w:rFonts w:hint="cs"/>
          <w:rtl/>
        </w:rPr>
        <w:t>בין</w:t>
      </w:r>
      <w:r w:rsidRPr="001E4B09">
        <w:rPr>
          <w:rtl/>
        </w:rPr>
        <w:t xml:space="preserve"> </w:t>
      </w:r>
      <w:r w:rsidRPr="001E4B09">
        <w:rPr>
          <w:rFonts w:hint="cs"/>
          <w:rtl/>
        </w:rPr>
        <w:t>כה</w:t>
      </w:r>
      <w:r w:rsidRPr="001E4B09">
        <w:rPr>
          <w:rtl/>
        </w:rPr>
        <w:t xml:space="preserve"> </w:t>
      </w:r>
      <w:r w:rsidRPr="001E4B09">
        <w:rPr>
          <w:rFonts w:hint="cs"/>
          <w:rtl/>
        </w:rPr>
        <w:t>וכה</w:t>
      </w:r>
      <w:r w:rsidRPr="001E4B09">
        <w:rPr>
          <w:rtl/>
        </w:rPr>
        <w:t xml:space="preserve"> </w:t>
      </w:r>
      <w:r w:rsidRPr="001E4B09">
        <w:rPr>
          <w:rFonts w:hint="cs"/>
          <w:rtl/>
        </w:rPr>
        <w:t>לא</w:t>
      </w:r>
      <w:r w:rsidRPr="001E4B09">
        <w:rPr>
          <w:rtl/>
        </w:rPr>
        <w:t xml:space="preserve"> </w:t>
      </w:r>
      <w:r w:rsidRPr="001E4B09">
        <w:rPr>
          <w:rFonts w:hint="cs"/>
          <w:rtl/>
        </w:rPr>
        <w:t>יהי</w:t>
      </w:r>
      <w:r w:rsidRPr="001E4B09">
        <w:rPr>
          <w:rtl/>
        </w:rPr>
        <w:t xml:space="preserve">'. </w:t>
      </w:r>
      <w:r w:rsidRPr="001E4B09">
        <w:rPr>
          <w:rFonts w:hint="cs"/>
          <w:rtl/>
        </w:rPr>
        <w:t>במילים</w:t>
      </w:r>
      <w:r w:rsidRPr="001E4B09">
        <w:rPr>
          <w:rtl/>
        </w:rPr>
        <w:t xml:space="preserve"> </w:t>
      </w:r>
      <w:r w:rsidRPr="001E4B09">
        <w:rPr>
          <w:rFonts w:hint="cs"/>
          <w:rtl/>
        </w:rPr>
        <w:t>אחרות</w:t>
      </w:r>
      <w:r w:rsidRPr="001E4B09">
        <w:rPr>
          <w:rtl/>
        </w:rPr>
        <w:t xml:space="preserve"> </w:t>
      </w:r>
      <w:r w:rsidRPr="001E4B09">
        <w:rPr>
          <w:rFonts w:hint="cs"/>
          <w:rtl/>
        </w:rPr>
        <w:t>נוסעים</w:t>
      </w:r>
      <w:r w:rsidRPr="001E4B09">
        <w:rPr>
          <w:rtl/>
        </w:rPr>
        <w:t xml:space="preserve"> </w:t>
      </w:r>
      <w:r w:rsidRPr="001E4B09">
        <w:rPr>
          <w:rFonts w:hint="cs"/>
          <w:rtl/>
        </w:rPr>
        <w:t>על</w:t>
      </w:r>
      <w:r w:rsidRPr="001E4B09">
        <w:rPr>
          <w:rtl/>
        </w:rPr>
        <w:t xml:space="preserve"> </w:t>
      </w:r>
      <w:r w:rsidRPr="001E4B09">
        <w:rPr>
          <w:rFonts w:hint="cs"/>
          <w:rtl/>
        </w:rPr>
        <w:t>חשבון</w:t>
      </w:r>
      <w:r w:rsidRPr="001E4B09">
        <w:rPr>
          <w:rtl/>
        </w:rPr>
        <w:t xml:space="preserve"> </w:t>
      </w:r>
      <w:r w:rsidRPr="001E4B09">
        <w:rPr>
          <w:rFonts w:hint="cs"/>
          <w:rtl/>
        </w:rPr>
        <w:t>השי</w:t>
      </w:r>
      <w:r w:rsidRPr="001E4B09">
        <w:rPr>
          <w:rtl/>
        </w:rPr>
        <w:t>"</w:t>
      </w:r>
      <w:r w:rsidRPr="001E4B09">
        <w:rPr>
          <w:rFonts w:hint="cs"/>
          <w:rtl/>
        </w:rPr>
        <w:t>ת</w:t>
      </w:r>
      <w:r w:rsidRPr="001E4B09">
        <w:rPr>
          <w:rtl/>
        </w:rPr>
        <w:t xml:space="preserve"> </w:t>
      </w:r>
      <w:r w:rsidRPr="001E4B09">
        <w:rPr>
          <w:rFonts w:hint="cs"/>
          <w:rtl/>
        </w:rPr>
        <w:t>ואין</w:t>
      </w:r>
      <w:r w:rsidRPr="001E4B09">
        <w:rPr>
          <w:rtl/>
        </w:rPr>
        <w:t xml:space="preserve"> </w:t>
      </w:r>
      <w:r w:rsidRPr="001E4B09">
        <w:rPr>
          <w:rFonts w:hint="cs"/>
          <w:rtl/>
        </w:rPr>
        <w:t>לזה</w:t>
      </w:r>
      <w:r w:rsidRPr="001E4B09">
        <w:rPr>
          <w:rtl/>
        </w:rPr>
        <w:t xml:space="preserve"> </w:t>
      </w:r>
      <w:r w:rsidRPr="001E4B09">
        <w:rPr>
          <w:rFonts w:hint="cs"/>
          <w:rtl/>
        </w:rPr>
        <w:t>שום</w:t>
      </w:r>
      <w:r w:rsidRPr="001E4B09">
        <w:rPr>
          <w:rtl/>
        </w:rPr>
        <w:t xml:space="preserve"> </w:t>
      </w:r>
      <w:r w:rsidRPr="001E4B09">
        <w:rPr>
          <w:rFonts w:hint="cs"/>
          <w:rtl/>
        </w:rPr>
        <w:t>קשר</w:t>
      </w:r>
      <w:r w:rsidRPr="001E4B09">
        <w:rPr>
          <w:rtl/>
        </w:rPr>
        <w:t xml:space="preserve"> </w:t>
      </w:r>
      <w:r w:rsidRPr="001E4B09">
        <w:rPr>
          <w:rFonts w:hint="cs"/>
          <w:rtl/>
        </w:rPr>
        <w:t>לחובות</w:t>
      </w:r>
      <w:r w:rsidRPr="001E4B09">
        <w:rPr>
          <w:rtl/>
        </w:rPr>
        <w:t xml:space="preserve"> </w:t>
      </w:r>
      <w:r w:rsidRPr="001E4B09">
        <w:rPr>
          <w:rFonts w:hint="cs"/>
          <w:rtl/>
        </w:rPr>
        <w:t>אחרים</w:t>
      </w:r>
      <w:r w:rsidRPr="001E4B09">
        <w:rPr>
          <w:rtl/>
        </w:rPr>
        <w:t xml:space="preserve"> </w:t>
      </w:r>
      <w:r w:rsidRPr="001E4B09">
        <w:rPr>
          <w:rFonts w:hint="cs"/>
          <w:rtl/>
        </w:rPr>
        <w:t>שצריכים</w:t>
      </w:r>
      <w:r w:rsidRPr="001E4B09">
        <w:rPr>
          <w:rtl/>
        </w:rPr>
        <w:t xml:space="preserve"> </w:t>
      </w:r>
      <w:r w:rsidRPr="001E4B09">
        <w:rPr>
          <w:rFonts w:hint="cs"/>
          <w:rtl/>
        </w:rPr>
        <w:t>לשלם</w:t>
      </w:r>
      <w:r w:rsidRPr="001E4B09">
        <w:rPr>
          <w:rtl/>
        </w:rPr>
        <w:t xml:space="preserve"> </w:t>
      </w:r>
      <w:r w:rsidRPr="001E4B09">
        <w:rPr>
          <w:rFonts w:hint="cs"/>
          <w:rtl/>
        </w:rPr>
        <w:t>כו</w:t>
      </w:r>
      <w:r w:rsidRPr="001E4B09">
        <w:rPr>
          <w:rtl/>
        </w:rPr>
        <w:t>')</w:t>
      </w:r>
      <w:r>
        <w:rPr>
          <w:rFonts w:hint="cs"/>
          <w:rtl/>
        </w:rPr>
        <w:t>"</w:t>
      </w:r>
      <w:r w:rsidRPr="001E4B09">
        <w:rPr>
          <w:rtl/>
        </w:rPr>
        <w:t>.</w:t>
      </w:r>
    </w:p>
    <w:p w:rsidR="00352A69" w:rsidRDefault="00352A69" w:rsidP="00352A69">
      <w:pPr>
        <w:pStyle w:val="a3"/>
        <w:rPr>
          <w:rtl/>
        </w:rPr>
      </w:pPr>
      <w:r>
        <w:rPr>
          <w:rFonts w:hint="cs"/>
          <w:rtl/>
        </w:rPr>
        <w:t>זאת אומרת, שאין מה לחסוך בהוצאות הנדרשות לחתונה, היות והקב"ה מזמן לכל אחד את הוצאותיו לפי צרכיו.</w:t>
      </w:r>
    </w:p>
    <w:p w:rsidR="00352A69" w:rsidRPr="00361539" w:rsidRDefault="00352A69" w:rsidP="00352A69">
      <w:pPr>
        <w:pStyle w:val="a3"/>
        <w:rPr>
          <w:rtl/>
        </w:rPr>
      </w:pPr>
      <w:r w:rsidRPr="001E4B09">
        <w:rPr>
          <w:rFonts w:hint="cs"/>
          <w:rtl/>
        </w:rPr>
        <w:t>מאידך</w:t>
      </w:r>
      <w:r w:rsidRPr="001E4B09">
        <w:rPr>
          <w:rtl/>
        </w:rPr>
        <w:t xml:space="preserve">, </w:t>
      </w:r>
      <w:r w:rsidRPr="001E4B09">
        <w:rPr>
          <w:rFonts w:hint="cs"/>
          <w:rtl/>
        </w:rPr>
        <w:t>בחי</w:t>
      </w:r>
      <w:r w:rsidRPr="001E4B09">
        <w:rPr>
          <w:rtl/>
        </w:rPr>
        <w:t>"</w:t>
      </w:r>
      <w:r w:rsidRPr="001E4B09">
        <w:rPr>
          <w:rFonts w:hint="cs"/>
          <w:rtl/>
        </w:rPr>
        <w:t>ח</w:t>
      </w:r>
      <w:r w:rsidRPr="001E4B09">
        <w:rPr>
          <w:rtl/>
        </w:rPr>
        <w:t xml:space="preserve"> </w:t>
      </w:r>
      <w:r w:rsidRPr="001E4B09">
        <w:rPr>
          <w:rFonts w:hint="cs"/>
          <w:rtl/>
        </w:rPr>
        <w:t>עמ</w:t>
      </w:r>
      <w:r w:rsidRPr="001E4B09">
        <w:rPr>
          <w:rtl/>
        </w:rPr>
        <w:t xml:space="preserve">' </w:t>
      </w:r>
      <w:r w:rsidRPr="001E4B09">
        <w:rPr>
          <w:rFonts w:hint="cs"/>
          <w:rtl/>
        </w:rPr>
        <w:t>קצד</w:t>
      </w:r>
      <w:r w:rsidRPr="001E4B09">
        <w:rPr>
          <w:rtl/>
        </w:rPr>
        <w:t>: (</w:t>
      </w:r>
      <w:r w:rsidRPr="001E4B09">
        <w:rPr>
          <w:rFonts w:hint="cs"/>
          <w:rtl/>
        </w:rPr>
        <w:t>תרגום</w:t>
      </w:r>
      <w:r w:rsidRPr="001E4B09">
        <w:rPr>
          <w:rtl/>
        </w:rPr>
        <w:t xml:space="preserve"> </w:t>
      </w:r>
      <w:r w:rsidRPr="001E4B09">
        <w:rPr>
          <w:rFonts w:hint="cs"/>
          <w:rtl/>
        </w:rPr>
        <w:t>מאידיש</w:t>
      </w:r>
      <w:r w:rsidRPr="001E4B09">
        <w:rPr>
          <w:rtl/>
        </w:rPr>
        <w:t xml:space="preserve">) </w:t>
      </w:r>
      <w:r>
        <w:rPr>
          <w:rFonts w:hint="cs"/>
          <w:rtl/>
        </w:rPr>
        <w:t>"</w:t>
      </w:r>
      <w:r w:rsidRPr="001E4B09">
        <w:rPr>
          <w:rFonts w:hint="cs"/>
          <w:rtl/>
        </w:rPr>
        <w:t>אודות</w:t>
      </w:r>
      <w:r w:rsidRPr="001E4B09">
        <w:rPr>
          <w:rtl/>
        </w:rPr>
        <w:t xml:space="preserve"> </w:t>
      </w:r>
      <w:r w:rsidRPr="001E4B09">
        <w:rPr>
          <w:rFonts w:hint="cs"/>
          <w:rtl/>
        </w:rPr>
        <w:t>הסברה</w:t>
      </w:r>
      <w:r w:rsidRPr="001E4B09">
        <w:rPr>
          <w:rtl/>
        </w:rPr>
        <w:t xml:space="preserve"> </w:t>
      </w:r>
      <w:r w:rsidRPr="001E4B09">
        <w:rPr>
          <w:rFonts w:hint="cs"/>
          <w:rtl/>
        </w:rPr>
        <w:t>לנסוע</w:t>
      </w:r>
      <w:r w:rsidRPr="001E4B09">
        <w:rPr>
          <w:rtl/>
        </w:rPr>
        <w:t xml:space="preserve"> </w:t>
      </w:r>
      <w:r w:rsidRPr="001E4B09">
        <w:rPr>
          <w:rFonts w:hint="cs"/>
          <w:rtl/>
        </w:rPr>
        <w:t>לחתונה</w:t>
      </w:r>
      <w:r w:rsidRPr="001E4B09">
        <w:rPr>
          <w:rtl/>
        </w:rPr>
        <w:t xml:space="preserve"> </w:t>
      </w:r>
      <w:r w:rsidRPr="001E4B09">
        <w:rPr>
          <w:rFonts w:hint="cs"/>
          <w:rtl/>
        </w:rPr>
        <w:t>של</w:t>
      </w:r>
      <w:r w:rsidRPr="001E4B09">
        <w:rPr>
          <w:rtl/>
        </w:rPr>
        <w:t xml:space="preserve"> </w:t>
      </w:r>
      <w:r w:rsidRPr="001E4B09">
        <w:rPr>
          <w:rFonts w:hint="cs"/>
          <w:rtl/>
        </w:rPr>
        <w:t>בנו</w:t>
      </w:r>
      <w:r w:rsidRPr="001E4B09">
        <w:rPr>
          <w:rtl/>
        </w:rPr>
        <w:t xml:space="preserve"> ...  </w:t>
      </w:r>
      <w:r w:rsidRPr="001E4B09">
        <w:rPr>
          <w:rFonts w:hint="cs"/>
          <w:rtl/>
        </w:rPr>
        <w:t>אינו</w:t>
      </w:r>
      <w:r w:rsidRPr="001E4B09">
        <w:rPr>
          <w:rtl/>
        </w:rPr>
        <w:t xml:space="preserve"> </w:t>
      </w:r>
      <w:r w:rsidRPr="001E4B09">
        <w:rPr>
          <w:rFonts w:hint="cs"/>
          <w:rtl/>
        </w:rPr>
        <w:t>מובן</w:t>
      </w:r>
      <w:r w:rsidRPr="001E4B09">
        <w:rPr>
          <w:rtl/>
        </w:rPr>
        <w:t xml:space="preserve">:  </w:t>
      </w:r>
      <w:r w:rsidRPr="001E4B09">
        <w:rPr>
          <w:rFonts w:hint="cs"/>
          <w:rtl/>
        </w:rPr>
        <w:t>לעשות</w:t>
      </w:r>
      <w:r w:rsidRPr="001E4B09">
        <w:rPr>
          <w:rtl/>
        </w:rPr>
        <w:t xml:space="preserve"> </w:t>
      </w:r>
      <w:r w:rsidRPr="001E4B09">
        <w:rPr>
          <w:rFonts w:hint="cs"/>
          <w:rtl/>
        </w:rPr>
        <w:t>נסיעה</w:t>
      </w:r>
      <w:r w:rsidRPr="001E4B09">
        <w:rPr>
          <w:rtl/>
        </w:rPr>
        <w:t xml:space="preserve"> </w:t>
      </w:r>
      <w:r w:rsidRPr="001E4B09">
        <w:rPr>
          <w:rFonts w:hint="cs"/>
          <w:rtl/>
        </w:rPr>
        <w:t>כזו</w:t>
      </w:r>
      <w:r w:rsidRPr="001E4B09">
        <w:rPr>
          <w:rtl/>
        </w:rPr>
        <w:t xml:space="preserve"> </w:t>
      </w:r>
      <w:r w:rsidRPr="001E4B09">
        <w:rPr>
          <w:rFonts w:hint="cs"/>
          <w:rtl/>
        </w:rPr>
        <w:t>שכרוכה</w:t>
      </w:r>
      <w:r w:rsidRPr="001E4B09">
        <w:rPr>
          <w:rtl/>
        </w:rPr>
        <w:t xml:space="preserve"> </w:t>
      </w:r>
      <w:r w:rsidRPr="001E4B09">
        <w:rPr>
          <w:rFonts w:hint="cs"/>
          <w:rtl/>
        </w:rPr>
        <w:t>בכאלו</w:t>
      </w:r>
      <w:r w:rsidRPr="001E4B09">
        <w:rPr>
          <w:rtl/>
        </w:rPr>
        <w:t xml:space="preserve"> </w:t>
      </w:r>
      <w:r w:rsidRPr="001E4B09">
        <w:rPr>
          <w:rFonts w:hint="cs"/>
          <w:rtl/>
        </w:rPr>
        <w:t>הוצאות</w:t>
      </w:r>
      <w:r w:rsidRPr="001E4B09">
        <w:rPr>
          <w:rtl/>
        </w:rPr>
        <w:t xml:space="preserve"> </w:t>
      </w:r>
      <w:r w:rsidRPr="001E4B09">
        <w:rPr>
          <w:rFonts w:hint="cs"/>
          <w:rtl/>
        </w:rPr>
        <w:t>כספיות</w:t>
      </w:r>
      <w:r w:rsidRPr="001E4B09">
        <w:rPr>
          <w:rtl/>
        </w:rPr>
        <w:t xml:space="preserve"> (</w:t>
      </w:r>
      <w:r w:rsidRPr="001E4B09">
        <w:rPr>
          <w:rFonts w:hint="cs"/>
          <w:rtl/>
        </w:rPr>
        <w:t>בהוספה</w:t>
      </w:r>
      <w:r w:rsidRPr="001E4B09">
        <w:rPr>
          <w:rtl/>
        </w:rPr>
        <w:t xml:space="preserve"> </w:t>
      </w:r>
      <w:r w:rsidRPr="001E4B09">
        <w:rPr>
          <w:rFonts w:hint="cs"/>
          <w:rtl/>
        </w:rPr>
        <w:t>גם</w:t>
      </w:r>
      <w:r w:rsidRPr="001E4B09">
        <w:rPr>
          <w:rtl/>
        </w:rPr>
        <w:t xml:space="preserve"> </w:t>
      </w:r>
      <w:r w:rsidRPr="001E4B09">
        <w:rPr>
          <w:rFonts w:hint="cs"/>
          <w:rtl/>
        </w:rPr>
        <w:t>על</w:t>
      </w:r>
      <w:r w:rsidRPr="001E4B09">
        <w:rPr>
          <w:rtl/>
        </w:rPr>
        <w:t xml:space="preserve"> </w:t>
      </w:r>
      <w:r w:rsidRPr="001E4B09">
        <w:rPr>
          <w:rFonts w:hint="cs"/>
          <w:rtl/>
        </w:rPr>
        <w:t>הזמן</w:t>
      </w:r>
      <w:r w:rsidRPr="001E4B09">
        <w:rPr>
          <w:rtl/>
        </w:rPr>
        <w:t xml:space="preserve">), </w:t>
      </w:r>
      <w:r w:rsidRPr="001E4B09">
        <w:rPr>
          <w:rFonts w:hint="cs"/>
          <w:rtl/>
        </w:rPr>
        <w:t>שאפילו</w:t>
      </w:r>
      <w:r w:rsidRPr="001E4B09">
        <w:rPr>
          <w:rtl/>
        </w:rPr>
        <w:t xml:space="preserve"> </w:t>
      </w:r>
      <w:r w:rsidRPr="001E4B09">
        <w:rPr>
          <w:rFonts w:hint="cs"/>
          <w:rtl/>
        </w:rPr>
        <w:t>אם</w:t>
      </w:r>
      <w:r w:rsidRPr="001E4B09">
        <w:rPr>
          <w:rtl/>
        </w:rPr>
        <w:t xml:space="preserve"> </w:t>
      </w:r>
      <w:r w:rsidRPr="001E4B09">
        <w:rPr>
          <w:rFonts w:hint="cs"/>
          <w:rtl/>
        </w:rPr>
        <w:t>הכסף</w:t>
      </w:r>
      <w:r w:rsidRPr="001E4B09">
        <w:rPr>
          <w:rtl/>
        </w:rPr>
        <w:t xml:space="preserve"> </w:t>
      </w:r>
      <w:r w:rsidRPr="001E4B09">
        <w:rPr>
          <w:rFonts w:hint="cs"/>
          <w:rtl/>
        </w:rPr>
        <w:t>נמצא</w:t>
      </w:r>
      <w:r w:rsidRPr="001E4B09">
        <w:rPr>
          <w:rtl/>
        </w:rPr>
        <w:t xml:space="preserve"> </w:t>
      </w:r>
      <w:r w:rsidRPr="00361539">
        <w:rPr>
          <w:rFonts w:hint="cs"/>
          <w:rtl/>
        </w:rPr>
        <w:t>במזומן</w:t>
      </w:r>
      <w:r w:rsidRPr="00361539">
        <w:rPr>
          <w:rtl/>
        </w:rPr>
        <w:t xml:space="preserve"> , </w:t>
      </w:r>
      <w:r w:rsidRPr="00361539">
        <w:rPr>
          <w:rFonts w:hint="cs"/>
          <w:rtl/>
        </w:rPr>
        <w:t>הרי</w:t>
      </w:r>
      <w:r w:rsidRPr="00361539">
        <w:rPr>
          <w:rtl/>
        </w:rPr>
        <w:t xml:space="preserve"> </w:t>
      </w:r>
      <w:r w:rsidRPr="00361539">
        <w:rPr>
          <w:rFonts w:hint="cs"/>
          <w:rtl/>
        </w:rPr>
        <w:t>לפי</w:t>
      </w:r>
      <w:r w:rsidRPr="00361539">
        <w:rPr>
          <w:rtl/>
        </w:rPr>
        <w:t xml:space="preserve"> </w:t>
      </w:r>
      <w:r w:rsidRPr="00361539">
        <w:rPr>
          <w:rFonts w:hint="cs"/>
          <w:rtl/>
        </w:rPr>
        <w:t>מצב</w:t>
      </w:r>
      <w:r w:rsidRPr="00361539">
        <w:rPr>
          <w:rtl/>
        </w:rPr>
        <w:t xml:space="preserve"> </w:t>
      </w:r>
      <w:r w:rsidRPr="00361539">
        <w:rPr>
          <w:rFonts w:hint="cs"/>
          <w:rtl/>
        </w:rPr>
        <w:t>החתן</w:t>
      </w:r>
      <w:r w:rsidRPr="00361539">
        <w:rPr>
          <w:rtl/>
        </w:rPr>
        <w:t xml:space="preserve"> </w:t>
      </w:r>
      <w:r w:rsidRPr="00361539">
        <w:rPr>
          <w:rFonts w:hint="cs"/>
          <w:rtl/>
        </w:rPr>
        <w:t>והכלה</w:t>
      </w:r>
      <w:r w:rsidRPr="00361539">
        <w:rPr>
          <w:rtl/>
        </w:rPr>
        <w:t xml:space="preserve"> </w:t>
      </w:r>
      <w:r w:rsidRPr="00361539">
        <w:rPr>
          <w:rFonts w:hint="cs"/>
          <w:rtl/>
        </w:rPr>
        <w:t>אפשר</w:t>
      </w:r>
      <w:r w:rsidRPr="00361539">
        <w:rPr>
          <w:rtl/>
        </w:rPr>
        <w:t xml:space="preserve"> </w:t>
      </w:r>
      <w:r w:rsidRPr="00361539">
        <w:rPr>
          <w:rFonts w:hint="cs"/>
          <w:rtl/>
        </w:rPr>
        <w:t>להשתמש</w:t>
      </w:r>
      <w:r w:rsidRPr="00361539">
        <w:rPr>
          <w:rtl/>
        </w:rPr>
        <w:t xml:space="preserve"> </w:t>
      </w:r>
      <w:r w:rsidRPr="00361539">
        <w:rPr>
          <w:rFonts w:hint="cs"/>
          <w:rtl/>
        </w:rPr>
        <w:t>בכסף</w:t>
      </w:r>
      <w:r w:rsidRPr="00361539">
        <w:rPr>
          <w:rtl/>
        </w:rPr>
        <w:t xml:space="preserve"> </w:t>
      </w:r>
      <w:r w:rsidRPr="00361539">
        <w:rPr>
          <w:rFonts w:hint="cs"/>
          <w:rtl/>
        </w:rPr>
        <w:t>להסתדרותם</w:t>
      </w:r>
      <w:r w:rsidRPr="00361539">
        <w:rPr>
          <w:rtl/>
        </w:rPr>
        <w:t xml:space="preserve"> </w:t>
      </w:r>
      <w:r w:rsidRPr="00361539">
        <w:rPr>
          <w:rFonts w:hint="cs"/>
          <w:rtl/>
        </w:rPr>
        <w:t>שבטח</w:t>
      </w:r>
      <w:r w:rsidRPr="00361539">
        <w:rPr>
          <w:rtl/>
        </w:rPr>
        <w:t xml:space="preserve"> </w:t>
      </w:r>
      <w:r w:rsidRPr="00361539">
        <w:rPr>
          <w:rFonts w:hint="cs"/>
          <w:rtl/>
        </w:rPr>
        <w:t>גם</w:t>
      </w:r>
      <w:r w:rsidRPr="00361539">
        <w:rPr>
          <w:rtl/>
        </w:rPr>
        <w:t xml:space="preserve"> </w:t>
      </w:r>
      <w:r w:rsidRPr="00361539">
        <w:rPr>
          <w:rFonts w:hint="cs"/>
          <w:rtl/>
        </w:rPr>
        <w:t>סכומים</w:t>
      </w:r>
      <w:r w:rsidRPr="00361539">
        <w:rPr>
          <w:rtl/>
        </w:rPr>
        <w:t xml:space="preserve"> </w:t>
      </w:r>
      <w:r w:rsidRPr="00361539">
        <w:rPr>
          <w:rFonts w:hint="cs"/>
          <w:rtl/>
        </w:rPr>
        <w:t>גדולים</w:t>
      </w:r>
      <w:r w:rsidRPr="00361539">
        <w:rPr>
          <w:rtl/>
        </w:rPr>
        <w:t xml:space="preserve"> </w:t>
      </w:r>
      <w:r w:rsidRPr="00361539">
        <w:rPr>
          <w:rFonts w:hint="cs"/>
          <w:rtl/>
        </w:rPr>
        <w:t>יותר</w:t>
      </w:r>
      <w:r w:rsidRPr="00361539">
        <w:rPr>
          <w:rtl/>
        </w:rPr>
        <w:t xml:space="preserve"> </w:t>
      </w:r>
      <w:r w:rsidRPr="00361539">
        <w:rPr>
          <w:rFonts w:hint="cs"/>
          <w:rtl/>
        </w:rPr>
        <w:t>יביאו</w:t>
      </w:r>
      <w:r w:rsidRPr="00361539">
        <w:rPr>
          <w:rtl/>
        </w:rPr>
        <w:t xml:space="preserve"> </w:t>
      </w:r>
      <w:r w:rsidRPr="00361539">
        <w:rPr>
          <w:rFonts w:hint="cs"/>
          <w:rtl/>
        </w:rPr>
        <w:t>להם</w:t>
      </w:r>
      <w:r w:rsidRPr="00361539">
        <w:rPr>
          <w:rtl/>
        </w:rPr>
        <w:t xml:space="preserve"> </w:t>
      </w:r>
      <w:r w:rsidRPr="00361539">
        <w:rPr>
          <w:rFonts w:hint="cs"/>
          <w:rtl/>
        </w:rPr>
        <w:t>תועלת"</w:t>
      </w:r>
      <w:r w:rsidRPr="00361539">
        <w:rPr>
          <w:rtl/>
        </w:rPr>
        <w:t xml:space="preserve">.   </w:t>
      </w:r>
    </w:p>
    <w:p w:rsidR="00352A69" w:rsidRPr="00361539" w:rsidRDefault="00352A69" w:rsidP="00352A69">
      <w:pPr>
        <w:pStyle w:val="a3"/>
        <w:rPr>
          <w:rtl/>
        </w:rPr>
      </w:pPr>
      <w:r w:rsidRPr="00361539">
        <w:rPr>
          <w:rFonts w:hint="cs"/>
          <w:rtl/>
        </w:rPr>
        <w:t>ושם</w:t>
      </w:r>
      <w:r w:rsidRPr="00361539">
        <w:rPr>
          <w:rtl/>
        </w:rPr>
        <w:t xml:space="preserve"> </w:t>
      </w:r>
      <w:r w:rsidRPr="00361539">
        <w:rPr>
          <w:rFonts w:hint="cs"/>
          <w:rtl/>
        </w:rPr>
        <w:t>בעמ</w:t>
      </w:r>
      <w:r w:rsidRPr="00361539">
        <w:rPr>
          <w:rtl/>
        </w:rPr>
        <w:t xml:space="preserve">' </w:t>
      </w:r>
      <w:r w:rsidRPr="00361539">
        <w:rPr>
          <w:rFonts w:hint="cs"/>
          <w:rtl/>
        </w:rPr>
        <w:t>רז</w:t>
      </w:r>
      <w:r w:rsidRPr="00361539">
        <w:rPr>
          <w:rtl/>
        </w:rPr>
        <w:t xml:space="preserve">: </w:t>
      </w:r>
      <w:r w:rsidRPr="00361539">
        <w:rPr>
          <w:rFonts w:hint="cs"/>
          <w:rtl/>
        </w:rPr>
        <w:t>"בהנוגע</w:t>
      </w:r>
      <w:r w:rsidRPr="00361539">
        <w:rPr>
          <w:rtl/>
        </w:rPr>
        <w:t xml:space="preserve"> </w:t>
      </w:r>
      <w:r w:rsidRPr="00361539">
        <w:rPr>
          <w:rFonts w:hint="cs"/>
          <w:rtl/>
        </w:rPr>
        <w:t>להחתונה</w:t>
      </w:r>
      <w:r w:rsidRPr="00361539">
        <w:rPr>
          <w:rtl/>
        </w:rPr>
        <w:t xml:space="preserve"> </w:t>
      </w:r>
      <w:r w:rsidRPr="00361539">
        <w:rPr>
          <w:rFonts w:hint="cs"/>
          <w:rtl/>
        </w:rPr>
        <w:t>בענין</w:t>
      </w:r>
      <w:r w:rsidRPr="00361539">
        <w:rPr>
          <w:rtl/>
        </w:rPr>
        <w:t xml:space="preserve"> </w:t>
      </w:r>
      <w:r w:rsidRPr="00361539">
        <w:rPr>
          <w:rFonts w:hint="cs"/>
          <w:rtl/>
        </w:rPr>
        <w:t>ריבוי</w:t>
      </w:r>
      <w:r w:rsidRPr="00361539">
        <w:rPr>
          <w:rtl/>
        </w:rPr>
        <w:t xml:space="preserve"> </w:t>
      </w:r>
      <w:r w:rsidRPr="00361539">
        <w:rPr>
          <w:rFonts w:hint="cs"/>
          <w:rtl/>
        </w:rPr>
        <w:t>הוצאות</w:t>
      </w:r>
      <w:r w:rsidRPr="00361539">
        <w:rPr>
          <w:rtl/>
        </w:rPr>
        <w:t xml:space="preserve"> </w:t>
      </w:r>
      <w:r w:rsidRPr="00361539">
        <w:rPr>
          <w:rFonts w:hint="cs"/>
          <w:rtl/>
        </w:rPr>
        <w:t>וריבוי</w:t>
      </w:r>
      <w:r w:rsidRPr="00361539">
        <w:rPr>
          <w:rtl/>
        </w:rPr>
        <w:t xml:space="preserve"> </w:t>
      </w:r>
      <w:r w:rsidRPr="00361539">
        <w:rPr>
          <w:rFonts w:hint="cs"/>
          <w:rtl/>
        </w:rPr>
        <w:t>מוזמנים</w:t>
      </w:r>
      <w:r w:rsidRPr="00361539">
        <w:rPr>
          <w:rtl/>
        </w:rPr>
        <w:t xml:space="preserve"> </w:t>
      </w:r>
      <w:r w:rsidRPr="00361539">
        <w:rPr>
          <w:rFonts w:hint="cs"/>
          <w:rtl/>
        </w:rPr>
        <w:t>שאפילו</w:t>
      </w:r>
      <w:r w:rsidRPr="00361539">
        <w:rPr>
          <w:rtl/>
        </w:rPr>
        <w:t xml:space="preserve"> </w:t>
      </w:r>
      <w:r w:rsidRPr="00361539">
        <w:rPr>
          <w:rFonts w:hint="cs"/>
          <w:rtl/>
        </w:rPr>
        <w:t>באם</w:t>
      </w:r>
      <w:r w:rsidRPr="00361539">
        <w:rPr>
          <w:rtl/>
        </w:rPr>
        <w:t xml:space="preserve"> </w:t>
      </w:r>
      <w:r w:rsidRPr="00361539">
        <w:rPr>
          <w:rFonts w:hint="cs"/>
          <w:rtl/>
        </w:rPr>
        <w:t>אין</w:t>
      </w:r>
      <w:r w:rsidRPr="00361539">
        <w:rPr>
          <w:rtl/>
        </w:rPr>
        <w:t xml:space="preserve"> </w:t>
      </w:r>
      <w:r w:rsidRPr="00361539">
        <w:rPr>
          <w:rFonts w:hint="cs"/>
          <w:rtl/>
        </w:rPr>
        <w:t>כל</w:t>
      </w:r>
      <w:r w:rsidRPr="00361539">
        <w:rPr>
          <w:rtl/>
        </w:rPr>
        <w:t xml:space="preserve"> </w:t>
      </w:r>
      <w:r w:rsidRPr="00361539">
        <w:rPr>
          <w:rFonts w:hint="cs"/>
          <w:rtl/>
        </w:rPr>
        <w:t>מניעה</w:t>
      </w:r>
      <w:r w:rsidRPr="00361539">
        <w:rPr>
          <w:rtl/>
        </w:rPr>
        <w:t xml:space="preserve"> </w:t>
      </w:r>
      <w:r w:rsidRPr="00361539">
        <w:rPr>
          <w:rFonts w:hint="cs"/>
          <w:rtl/>
        </w:rPr>
        <w:t>לאמצעים</w:t>
      </w:r>
      <w:r w:rsidRPr="00361539">
        <w:rPr>
          <w:rtl/>
        </w:rPr>
        <w:t xml:space="preserve">, </w:t>
      </w:r>
      <w:r w:rsidRPr="00361539">
        <w:rPr>
          <w:rFonts w:hint="cs"/>
          <w:rtl/>
        </w:rPr>
        <w:t>הרי</w:t>
      </w:r>
      <w:r w:rsidRPr="00361539">
        <w:rPr>
          <w:rtl/>
        </w:rPr>
        <w:t xml:space="preserve"> </w:t>
      </w:r>
      <w:r w:rsidRPr="00361539">
        <w:rPr>
          <w:rFonts w:hint="cs"/>
          <w:rtl/>
        </w:rPr>
        <w:t>אפשר</w:t>
      </w:r>
      <w:r w:rsidRPr="00361539">
        <w:rPr>
          <w:rtl/>
        </w:rPr>
        <w:t xml:space="preserve"> </w:t>
      </w:r>
      <w:r w:rsidRPr="00361539">
        <w:rPr>
          <w:rFonts w:hint="cs"/>
          <w:rtl/>
        </w:rPr>
        <w:t>להשתמש</w:t>
      </w:r>
      <w:r w:rsidRPr="00361539">
        <w:rPr>
          <w:rtl/>
        </w:rPr>
        <w:t xml:space="preserve"> </w:t>
      </w:r>
      <w:r w:rsidRPr="00361539">
        <w:rPr>
          <w:rFonts w:hint="cs"/>
          <w:rtl/>
        </w:rPr>
        <w:t>בממון</w:t>
      </w:r>
      <w:r w:rsidRPr="00361539">
        <w:rPr>
          <w:rtl/>
        </w:rPr>
        <w:t xml:space="preserve"> </w:t>
      </w:r>
      <w:r w:rsidRPr="00361539">
        <w:rPr>
          <w:rFonts w:hint="cs"/>
          <w:rtl/>
        </w:rPr>
        <w:t>המיוחד</w:t>
      </w:r>
      <w:r w:rsidRPr="00361539">
        <w:rPr>
          <w:rtl/>
        </w:rPr>
        <w:t xml:space="preserve"> </w:t>
      </w:r>
      <w:r w:rsidRPr="00361539">
        <w:rPr>
          <w:rFonts w:hint="cs"/>
          <w:rtl/>
        </w:rPr>
        <w:t>לענינים</w:t>
      </w:r>
      <w:r w:rsidRPr="00361539">
        <w:rPr>
          <w:rtl/>
        </w:rPr>
        <w:t xml:space="preserve"> </w:t>
      </w:r>
      <w:r w:rsidRPr="00361539">
        <w:rPr>
          <w:rFonts w:hint="cs"/>
          <w:rtl/>
        </w:rPr>
        <w:t>עוד</w:t>
      </w:r>
      <w:r w:rsidRPr="00361539">
        <w:rPr>
          <w:rtl/>
        </w:rPr>
        <w:t xml:space="preserve"> </w:t>
      </w:r>
      <w:r w:rsidRPr="00361539">
        <w:rPr>
          <w:rFonts w:hint="cs"/>
          <w:rtl/>
        </w:rPr>
        <w:t>טובים</w:t>
      </w:r>
      <w:r w:rsidRPr="00361539">
        <w:rPr>
          <w:rtl/>
        </w:rPr>
        <w:t xml:space="preserve"> </w:t>
      </w:r>
      <w:r w:rsidRPr="00361539">
        <w:rPr>
          <w:rFonts w:hint="cs"/>
          <w:rtl/>
        </w:rPr>
        <w:t>יותר</w:t>
      </w:r>
      <w:r w:rsidRPr="00361539">
        <w:rPr>
          <w:rtl/>
        </w:rPr>
        <w:t xml:space="preserve"> ... </w:t>
      </w:r>
      <w:r w:rsidRPr="00361539">
        <w:rPr>
          <w:rFonts w:hint="cs"/>
          <w:rtl/>
        </w:rPr>
        <w:t>מהנ</w:t>
      </w:r>
      <w:r w:rsidRPr="00361539">
        <w:rPr>
          <w:rtl/>
        </w:rPr>
        <w:t>"</w:t>
      </w:r>
      <w:r w:rsidRPr="00361539">
        <w:rPr>
          <w:rFonts w:hint="cs"/>
          <w:rtl/>
        </w:rPr>
        <w:t>ל</w:t>
      </w:r>
      <w:r w:rsidRPr="00361539">
        <w:rPr>
          <w:rtl/>
        </w:rPr>
        <w:t xml:space="preserve"> </w:t>
      </w:r>
      <w:r w:rsidRPr="00361539">
        <w:rPr>
          <w:rFonts w:hint="cs"/>
          <w:rtl/>
        </w:rPr>
        <w:t>מובנת</w:t>
      </w:r>
      <w:r w:rsidRPr="00361539">
        <w:rPr>
          <w:rtl/>
        </w:rPr>
        <w:t xml:space="preserve"> </w:t>
      </w:r>
      <w:r w:rsidRPr="00361539">
        <w:rPr>
          <w:rFonts w:hint="cs"/>
          <w:rtl/>
        </w:rPr>
        <w:t>ג</w:t>
      </w:r>
      <w:r w:rsidRPr="00361539">
        <w:rPr>
          <w:rtl/>
        </w:rPr>
        <w:t>"</w:t>
      </w:r>
      <w:r w:rsidRPr="00361539">
        <w:rPr>
          <w:rFonts w:hint="cs"/>
          <w:rtl/>
        </w:rPr>
        <w:t>כ</w:t>
      </w:r>
      <w:r w:rsidRPr="00361539">
        <w:rPr>
          <w:rtl/>
        </w:rPr>
        <w:t xml:space="preserve"> </w:t>
      </w:r>
      <w:r w:rsidRPr="00361539">
        <w:rPr>
          <w:rFonts w:hint="cs"/>
          <w:rtl/>
        </w:rPr>
        <w:t>השקפתי</w:t>
      </w:r>
      <w:r w:rsidRPr="00361539">
        <w:rPr>
          <w:rtl/>
        </w:rPr>
        <w:t xml:space="preserve"> </w:t>
      </w:r>
      <w:r w:rsidRPr="00361539">
        <w:rPr>
          <w:rFonts w:hint="cs"/>
          <w:rtl/>
        </w:rPr>
        <w:t>בנוגע</w:t>
      </w:r>
      <w:r w:rsidRPr="00361539">
        <w:rPr>
          <w:rtl/>
        </w:rPr>
        <w:t xml:space="preserve"> </w:t>
      </w:r>
      <w:r w:rsidRPr="00361539">
        <w:rPr>
          <w:rFonts w:hint="cs"/>
          <w:rtl/>
        </w:rPr>
        <w:t>לנסיעה</w:t>
      </w:r>
      <w:r w:rsidRPr="00361539">
        <w:rPr>
          <w:rtl/>
        </w:rPr>
        <w:t xml:space="preserve"> </w:t>
      </w:r>
      <w:r w:rsidRPr="00361539">
        <w:rPr>
          <w:rFonts w:hint="cs"/>
          <w:rtl/>
        </w:rPr>
        <w:t>של</w:t>
      </w:r>
      <w:r w:rsidRPr="00361539">
        <w:rPr>
          <w:rtl/>
        </w:rPr>
        <w:t xml:space="preserve"> </w:t>
      </w:r>
      <w:r w:rsidRPr="00361539">
        <w:rPr>
          <w:rFonts w:hint="cs"/>
          <w:rtl/>
        </w:rPr>
        <w:t>מי</w:t>
      </w:r>
      <w:r w:rsidRPr="00361539">
        <w:rPr>
          <w:rtl/>
        </w:rPr>
        <w:t xml:space="preserve"> </w:t>
      </w:r>
      <w:r w:rsidRPr="00361539">
        <w:rPr>
          <w:rFonts w:hint="cs"/>
          <w:rtl/>
        </w:rPr>
        <w:t>שהוא</w:t>
      </w:r>
      <w:r w:rsidRPr="00361539">
        <w:rPr>
          <w:rtl/>
        </w:rPr>
        <w:t xml:space="preserve"> </w:t>
      </w:r>
      <w:r w:rsidRPr="00361539">
        <w:rPr>
          <w:rFonts w:hint="cs"/>
          <w:rtl/>
        </w:rPr>
        <w:t>מההורים</w:t>
      </w:r>
      <w:r w:rsidRPr="00361539">
        <w:rPr>
          <w:rtl/>
        </w:rPr>
        <w:t xml:space="preserve">  </w:t>
      </w:r>
      <w:r w:rsidRPr="00361539">
        <w:rPr>
          <w:rFonts w:hint="cs"/>
          <w:rtl/>
        </w:rPr>
        <w:t>שי</w:t>
      </w:r>
      <w:r w:rsidRPr="00361539">
        <w:rPr>
          <w:rtl/>
        </w:rPr>
        <w:t xml:space="preserve">' </w:t>
      </w:r>
      <w:r w:rsidRPr="00361539">
        <w:rPr>
          <w:rFonts w:hint="cs"/>
          <w:rtl/>
        </w:rPr>
        <w:t>לכאן</w:t>
      </w:r>
      <w:r w:rsidRPr="00361539">
        <w:rPr>
          <w:rtl/>
        </w:rPr>
        <w:t xml:space="preserve">, </w:t>
      </w:r>
      <w:r w:rsidRPr="00361539">
        <w:rPr>
          <w:rFonts w:hint="cs"/>
          <w:rtl/>
        </w:rPr>
        <w:t>נסיעה</w:t>
      </w:r>
      <w:r w:rsidRPr="00361539">
        <w:rPr>
          <w:rtl/>
        </w:rPr>
        <w:t xml:space="preserve"> </w:t>
      </w:r>
      <w:r w:rsidRPr="00361539">
        <w:rPr>
          <w:rFonts w:hint="cs"/>
          <w:rtl/>
        </w:rPr>
        <w:t>קשורה</w:t>
      </w:r>
      <w:r w:rsidRPr="00361539">
        <w:rPr>
          <w:rtl/>
        </w:rPr>
        <w:t xml:space="preserve"> </w:t>
      </w:r>
      <w:r w:rsidRPr="00361539">
        <w:rPr>
          <w:rFonts w:hint="cs"/>
          <w:rtl/>
        </w:rPr>
        <w:t>בהוצאות</w:t>
      </w:r>
      <w:r w:rsidRPr="00361539">
        <w:rPr>
          <w:rtl/>
        </w:rPr>
        <w:t xml:space="preserve"> </w:t>
      </w:r>
      <w:r w:rsidRPr="00361539">
        <w:rPr>
          <w:rFonts w:hint="cs"/>
          <w:rtl/>
        </w:rPr>
        <w:t>גדולות</w:t>
      </w:r>
      <w:r w:rsidRPr="00361539">
        <w:rPr>
          <w:rtl/>
        </w:rPr>
        <w:t xml:space="preserve">, </w:t>
      </w:r>
      <w:r w:rsidRPr="00361539">
        <w:rPr>
          <w:rFonts w:hint="cs"/>
          <w:rtl/>
        </w:rPr>
        <w:t>והרי</w:t>
      </w:r>
      <w:r w:rsidRPr="00361539">
        <w:rPr>
          <w:rtl/>
        </w:rPr>
        <w:t xml:space="preserve"> </w:t>
      </w:r>
      <w:r w:rsidRPr="00361539">
        <w:rPr>
          <w:rFonts w:hint="cs"/>
          <w:rtl/>
        </w:rPr>
        <w:t>אפשר</w:t>
      </w:r>
      <w:r w:rsidRPr="00361539">
        <w:rPr>
          <w:rtl/>
        </w:rPr>
        <w:t xml:space="preserve"> </w:t>
      </w:r>
      <w:r w:rsidRPr="00361539">
        <w:rPr>
          <w:rFonts w:hint="cs"/>
          <w:rtl/>
        </w:rPr>
        <w:t>שהזוג</w:t>
      </w:r>
      <w:r w:rsidRPr="00361539">
        <w:rPr>
          <w:rtl/>
        </w:rPr>
        <w:t xml:space="preserve"> </w:t>
      </w:r>
      <w:r w:rsidRPr="00361539">
        <w:rPr>
          <w:rFonts w:hint="cs"/>
          <w:rtl/>
        </w:rPr>
        <w:t>הצעיר</w:t>
      </w:r>
      <w:r w:rsidRPr="00361539">
        <w:rPr>
          <w:rtl/>
        </w:rPr>
        <w:t xml:space="preserve"> </w:t>
      </w:r>
      <w:r w:rsidRPr="00361539">
        <w:rPr>
          <w:rFonts w:hint="cs"/>
          <w:rtl/>
        </w:rPr>
        <w:t>יוכלו</w:t>
      </w:r>
      <w:r w:rsidRPr="00361539">
        <w:rPr>
          <w:rtl/>
        </w:rPr>
        <w:t xml:space="preserve"> </w:t>
      </w:r>
      <w:r w:rsidRPr="00361539">
        <w:rPr>
          <w:rFonts w:hint="cs"/>
          <w:rtl/>
        </w:rPr>
        <w:t>להשתמש</w:t>
      </w:r>
      <w:r w:rsidRPr="00361539">
        <w:rPr>
          <w:rtl/>
        </w:rPr>
        <w:t xml:space="preserve"> </w:t>
      </w:r>
      <w:r w:rsidRPr="00361539">
        <w:rPr>
          <w:rFonts w:hint="cs"/>
          <w:rtl/>
        </w:rPr>
        <w:t>בממון</w:t>
      </w:r>
      <w:r w:rsidRPr="00361539">
        <w:rPr>
          <w:rtl/>
        </w:rPr>
        <w:t xml:space="preserve"> </w:t>
      </w:r>
      <w:r w:rsidRPr="00361539">
        <w:rPr>
          <w:rFonts w:hint="cs"/>
          <w:rtl/>
        </w:rPr>
        <w:t>שיוציאו</w:t>
      </w:r>
      <w:r w:rsidRPr="00361539">
        <w:rPr>
          <w:rtl/>
        </w:rPr>
        <w:t xml:space="preserve"> </w:t>
      </w:r>
      <w:r w:rsidRPr="00361539">
        <w:rPr>
          <w:rFonts w:hint="cs"/>
          <w:rtl/>
        </w:rPr>
        <w:t>על</w:t>
      </w:r>
      <w:r w:rsidRPr="00361539">
        <w:rPr>
          <w:rtl/>
        </w:rPr>
        <w:t xml:space="preserve"> </w:t>
      </w:r>
      <w:r w:rsidRPr="00361539">
        <w:rPr>
          <w:rFonts w:hint="cs"/>
          <w:rtl/>
        </w:rPr>
        <w:t>זה</w:t>
      </w:r>
      <w:r w:rsidRPr="00361539">
        <w:rPr>
          <w:rtl/>
        </w:rPr>
        <w:t xml:space="preserve">, </w:t>
      </w:r>
      <w:r w:rsidRPr="00361539">
        <w:rPr>
          <w:rFonts w:hint="cs"/>
          <w:rtl/>
        </w:rPr>
        <w:t>בענין</w:t>
      </w:r>
      <w:r w:rsidRPr="00361539">
        <w:rPr>
          <w:rtl/>
        </w:rPr>
        <w:t xml:space="preserve"> </w:t>
      </w:r>
      <w:r w:rsidRPr="00361539">
        <w:rPr>
          <w:rFonts w:hint="cs"/>
          <w:rtl/>
        </w:rPr>
        <w:t>הטוב</w:t>
      </w:r>
      <w:r w:rsidRPr="00361539">
        <w:rPr>
          <w:rtl/>
        </w:rPr>
        <w:t xml:space="preserve"> </w:t>
      </w:r>
      <w:r w:rsidRPr="00361539">
        <w:rPr>
          <w:rFonts w:hint="cs"/>
          <w:rtl/>
        </w:rPr>
        <w:t>עוד</w:t>
      </w:r>
      <w:r w:rsidRPr="00361539">
        <w:rPr>
          <w:rtl/>
        </w:rPr>
        <w:t xml:space="preserve"> </w:t>
      </w:r>
      <w:r w:rsidRPr="00361539">
        <w:rPr>
          <w:rFonts w:hint="cs"/>
          <w:rtl/>
        </w:rPr>
        <w:t>יותר"</w:t>
      </w:r>
      <w:r w:rsidRPr="00361539">
        <w:rPr>
          <w:rtl/>
        </w:rPr>
        <w:t>.</w:t>
      </w:r>
    </w:p>
    <w:p w:rsidR="00352A69" w:rsidRPr="00361539" w:rsidRDefault="00352A69" w:rsidP="00352A69">
      <w:pPr>
        <w:pStyle w:val="a3"/>
        <w:rPr>
          <w:rtl/>
        </w:rPr>
      </w:pPr>
      <w:r w:rsidRPr="00361539">
        <w:rPr>
          <w:rFonts w:hint="cs"/>
          <w:rtl/>
        </w:rPr>
        <w:t xml:space="preserve">זאת אומרת, שהסכום המוקצב לחתונה הוא מוגבל, ואם ישתמשו בו לצורך אחד, יתכן שיחסר לצורך אחר.                                                                                                                                     </w:t>
      </w:r>
    </w:p>
    <w:p w:rsidR="00352A69" w:rsidRPr="00361539" w:rsidRDefault="00352A69" w:rsidP="00352A69">
      <w:pPr>
        <w:pStyle w:val="a3"/>
        <w:rPr>
          <w:rtl/>
        </w:rPr>
      </w:pPr>
      <w:r w:rsidRPr="00361539">
        <w:rPr>
          <w:rFonts w:hint="cs"/>
          <w:rtl/>
        </w:rPr>
        <w:lastRenderedPageBreak/>
        <w:t>ולכאורה יש כאן סתירה בין המכתבים הנ"ל.</w:t>
      </w:r>
    </w:p>
    <w:p w:rsidR="00352A69" w:rsidRPr="00361539" w:rsidRDefault="00352A69" w:rsidP="00352A69">
      <w:pPr>
        <w:pStyle w:val="a3"/>
        <w:rPr>
          <w:rtl/>
        </w:rPr>
      </w:pPr>
      <w:r w:rsidRPr="00361539">
        <w:rPr>
          <w:rFonts w:hint="cs"/>
          <w:rtl/>
        </w:rPr>
        <w:t>ויש ליישב, ע"פ דברי אדה"ז בשו"ע או"ח סרמ"ב ס"ג -ד, אודות הסתירה לכאורה בדברי חז"ל, שמצד אחד אמרו "אמר הקב"ה לוו עלי ואני פורע כלומר שאין הוצאת שבת ויו"ט עולה בחשבון הקצבה שנקצב לו בראש השנה  למזונות כל השנה ... אלא אם מוסיף בהוצאת שבת ויו"ט מוסיפין לו". ומאידך, "אמרו חכמים עשה שבתך חול ועל תצטרך לבריות".</w:t>
      </w:r>
    </w:p>
    <w:p w:rsidR="00352A69" w:rsidRPr="00361539" w:rsidRDefault="00352A69" w:rsidP="00352A69">
      <w:pPr>
        <w:pStyle w:val="a3"/>
        <w:rPr>
          <w:rtl/>
        </w:rPr>
      </w:pPr>
      <w:r w:rsidRPr="00361539">
        <w:rPr>
          <w:rFonts w:hint="cs"/>
          <w:rtl/>
        </w:rPr>
        <w:t>ומבאר אדה"ז, שאם ידו משגת, אזי גם אם לו מעות מזומנים אלא חפצים, ימשכנם וילוה עליהם, אבל אם אין לו חפצים למשכן, אין לו חיוב ללוות כדי להרבות בהוצאת שבת.</w:t>
      </w:r>
    </w:p>
    <w:p w:rsidR="00352A69" w:rsidRPr="00361539" w:rsidRDefault="00352A69" w:rsidP="00352A69">
      <w:pPr>
        <w:pStyle w:val="a3"/>
        <w:rPr>
          <w:rtl/>
        </w:rPr>
      </w:pPr>
      <w:r w:rsidRPr="00361539">
        <w:rPr>
          <w:rFonts w:hint="cs"/>
          <w:rtl/>
        </w:rPr>
        <w:t xml:space="preserve">וא"כ, הוא הדין בנידון דידן, אם יש לאדם אפשרות לשלם את הוצאות החתונה ע"י נכסים וחפצים שיכול למשכן, אזי יכול (ואולי צריך) לקחת הלוואות, היות ויש בזה מצוה, הרי הקב"ה ודאי שיעזור לו לקיימה. אבל אם אין לו בסיס להחזרת ההלוואות, אזי אין לו רשות ללוות, ולסמוך על זה שהקב"ה יעזור לו להחזיר את ההלוואות. </w:t>
      </w:r>
    </w:p>
    <w:p w:rsidR="00352A69" w:rsidRPr="00361539" w:rsidRDefault="00352A69" w:rsidP="00352A69">
      <w:pPr>
        <w:pStyle w:val="a3"/>
        <w:rPr>
          <w:rtl/>
        </w:rPr>
      </w:pPr>
      <w:r w:rsidRPr="00361539">
        <w:rPr>
          <w:rFonts w:hint="cs"/>
          <w:rtl/>
        </w:rPr>
        <w:t>ולהוסיף, שכל המדובר כאן, הוא בקשר להוצאות בסיסיות ורגילות בחתונה, אבל לא להוצאות גדולות ומופרזות, שאותם הרבי שולל, גם לבעלי אמצעים.</w:t>
      </w:r>
    </w:p>
    <w:p w:rsidR="00352A69" w:rsidRPr="00361539" w:rsidRDefault="00352A69" w:rsidP="00352A69">
      <w:pPr>
        <w:pStyle w:val="a3"/>
        <w:rPr>
          <w:rtl/>
        </w:rPr>
      </w:pPr>
      <w:r w:rsidRPr="00361539">
        <w:rPr>
          <w:rFonts w:hint="cs"/>
          <w:rtl/>
        </w:rPr>
        <w:t>וכ</w:t>
      </w:r>
      <w:r>
        <w:rPr>
          <w:rFonts w:hint="cs"/>
          <w:rtl/>
        </w:rPr>
        <w:t>פי</w:t>
      </w:r>
      <w:r w:rsidRPr="00361539">
        <w:rPr>
          <w:rFonts w:hint="cs"/>
          <w:rtl/>
        </w:rPr>
        <w:t xml:space="preserve"> ש</w:t>
      </w:r>
      <w:r>
        <w:rPr>
          <w:rFonts w:hint="cs"/>
          <w:rtl/>
        </w:rPr>
        <w:t>מצינו</w:t>
      </w:r>
      <w:r w:rsidRPr="00361539">
        <w:rPr>
          <w:rFonts w:hint="cs"/>
          <w:rtl/>
        </w:rPr>
        <w:t xml:space="preserve"> בכמה מקומות באגרות קודש. וכמה דוגמאות:   </w:t>
      </w:r>
    </w:p>
    <w:p w:rsidR="00352A69" w:rsidRPr="00361539" w:rsidRDefault="00352A69" w:rsidP="00352A69">
      <w:pPr>
        <w:pStyle w:val="a3"/>
        <w:rPr>
          <w:rtl/>
        </w:rPr>
      </w:pPr>
      <w:r w:rsidRPr="00361539">
        <w:rPr>
          <w:rFonts w:hint="cs"/>
          <w:rtl/>
        </w:rPr>
        <w:t xml:space="preserve">בח"י עמ' קלא: "בענין אופן עריכת  החתונה אם להרבות במספר הקרואים וכו', שאז קשור זה בכניסה בחובות גדולים ע"פ מכתבו, הרי לדעתי אין  כדאי הדבר". </w:t>
      </w:r>
    </w:p>
    <w:p w:rsidR="00352A69" w:rsidRPr="00361539" w:rsidRDefault="00352A69" w:rsidP="00352A69">
      <w:pPr>
        <w:pStyle w:val="a3"/>
        <w:rPr>
          <w:rtl/>
        </w:rPr>
      </w:pPr>
      <w:r w:rsidRPr="00361539">
        <w:rPr>
          <w:rFonts w:hint="cs"/>
          <w:rtl/>
        </w:rPr>
        <w:t xml:space="preserve">בחט"ז עמ' מ': "ובמ"ש בההוצאות הכרוכות בעריכת חתונה גדולה, - אינו מובן כלל הטעם לדחוק את עצמו בהוצאות מיוחדות בכדי שתהי' דוקא חתונה גדולה וכו', בה בשעה שנוגע שתהי' חתונה גדולה באיכות ... ומובן שאין זה כרוך בהוצאות גשמיות ... מה שנקרא בפי העולם גדולה ... אין כדאי מכמה טעמים".                                                                                                                                  </w:t>
      </w:r>
    </w:p>
    <w:p w:rsidR="00352A69" w:rsidRPr="00361539" w:rsidRDefault="00352A69" w:rsidP="00352A69">
      <w:pPr>
        <w:pStyle w:val="a3"/>
        <w:rPr>
          <w:rtl/>
        </w:rPr>
      </w:pPr>
      <w:r w:rsidRPr="00361539">
        <w:rPr>
          <w:rFonts w:hint="cs"/>
          <w:rtl/>
        </w:rPr>
        <w:t xml:space="preserve">בחי"ט עמ' שצד: "במ"ש אודות סדרי חתונה </w:t>
      </w:r>
      <w:r w:rsidRPr="00361539">
        <w:rPr>
          <w:rtl/>
        </w:rPr>
        <w:t>–</w:t>
      </w:r>
      <w:r w:rsidRPr="00361539">
        <w:rPr>
          <w:rFonts w:hint="cs"/>
          <w:rtl/>
        </w:rPr>
        <w:t xml:space="preserve"> בכלל אין דעתי נוחה כלל מבזבוז ממון ע"י שכירות אולם ועוד כהנה </w:t>
      </w:r>
      <w:r w:rsidRPr="00361539">
        <w:rPr>
          <w:rtl/>
        </w:rPr>
        <w:t>–</w:t>
      </w:r>
      <w:r w:rsidRPr="00361539">
        <w:rPr>
          <w:rFonts w:hint="cs"/>
          <w:rtl/>
        </w:rPr>
        <w:t xml:space="preserve"> הוצאות שאין בהם כל תועלת ואפי' גשמית ג"כ לא ... רואים במוחש שהשמחה יותר גדולה כשעושים החתונה לא באולם רשמי שמשכורתו הון תועפות כ"א עושים החתונה באופן דכל דפשיט טפי מעלי טפי".                                                                                                        </w:t>
      </w:r>
    </w:p>
    <w:p w:rsidR="00352A69" w:rsidRPr="00361539" w:rsidRDefault="00352A69" w:rsidP="00352A69">
      <w:pPr>
        <w:pStyle w:val="a3"/>
        <w:rPr>
          <w:rtl/>
        </w:rPr>
      </w:pPr>
      <w:r w:rsidRPr="00361539">
        <w:rPr>
          <w:rFonts w:hint="cs"/>
          <w:rtl/>
        </w:rPr>
        <w:t xml:space="preserve">בחכ"ז עמ' יא: "ואין ענין </w:t>
      </w:r>
      <w:r w:rsidRPr="00361539">
        <w:rPr>
          <w:rFonts w:hint="cs"/>
          <w:b/>
          <w:bCs/>
          <w:rtl/>
        </w:rPr>
        <w:t>בכלל</w:t>
      </w:r>
      <w:r w:rsidRPr="00361539">
        <w:rPr>
          <w:rFonts w:hint="cs"/>
          <w:rtl/>
        </w:rPr>
        <w:t xml:space="preserve"> לבזבוז מעות על הוצאות חתונה ... אשר חתונה חסידותית היינו בהרחבה בכל ענינים הרוחניים והרחבה אמיתית , </w:t>
      </w:r>
      <w:r w:rsidRPr="00361539">
        <w:rPr>
          <w:rFonts w:hint="cs"/>
          <w:b/>
          <w:bCs/>
          <w:rtl/>
        </w:rPr>
        <w:t>ויקר</w:t>
      </w:r>
      <w:r w:rsidRPr="00361539">
        <w:rPr>
          <w:rFonts w:hint="cs"/>
          <w:rtl/>
        </w:rPr>
        <w:t xml:space="preserve"> ממונם של ישראל להשתמש בו </w:t>
      </w:r>
      <w:r w:rsidRPr="00361539">
        <w:rPr>
          <w:rtl/>
        </w:rPr>
        <w:t>–</w:t>
      </w:r>
      <w:r w:rsidRPr="00361539">
        <w:rPr>
          <w:rFonts w:hint="cs"/>
          <w:rtl/>
        </w:rPr>
        <w:t xml:space="preserve"> לא בשביל להראות לפ' שכאן היו פרחים גשמיים - יותר מאשר אצל פ' </w:t>
      </w:r>
      <w:r w:rsidRPr="00361539">
        <w:rPr>
          <w:rFonts w:hint="cs"/>
          <w:b/>
          <w:bCs/>
          <w:rtl/>
        </w:rPr>
        <w:t>וכיו"ב</w:t>
      </w:r>
      <w:r w:rsidRPr="00361539">
        <w:rPr>
          <w:rFonts w:hint="cs"/>
          <w:rtl/>
        </w:rPr>
        <w:t xml:space="preserve">".                                                  </w:t>
      </w:r>
    </w:p>
    <w:p w:rsidR="00352A69" w:rsidRPr="00361539" w:rsidRDefault="00352A69" w:rsidP="00352A69">
      <w:pPr>
        <w:pStyle w:val="a3"/>
        <w:rPr>
          <w:rtl/>
        </w:rPr>
      </w:pPr>
      <w:r w:rsidRPr="00361539">
        <w:rPr>
          <w:rFonts w:hint="cs"/>
          <w:rtl/>
        </w:rPr>
        <w:t xml:space="preserve">בח"ל עמ' ל: "ידועה דעתי שאין צריך לבזבז ממונם של ישראל (אפי' העשירים בממון </w:t>
      </w:r>
      <w:r w:rsidRPr="00361539">
        <w:rPr>
          <w:rFonts w:hint="cs"/>
          <w:b/>
          <w:bCs/>
          <w:rtl/>
        </w:rPr>
        <w:t>רב</w:t>
      </w:r>
      <w:r w:rsidRPr="00361539">
        <w:rPr>
          <w:rFonts w:hint="cs"/>
          <w:rtl/>
        </w:rPr>
        <w:t xml:space="preserve">) על חיצוניות, (ופשיטא שלא על חיצוניות דחיצוניות)".                                                                                </w:t>
      </w:r>
    </w:p>
    <w:p w:rsidR="00352A69" w:rsidRPr="00361539" w:rsidRDefault="00352A69" w:rsidP="00352A69">
      <w:pPr>
        <w:pStyle w:val="a3"/>
        <w:rPr>
          <w:rtl/>
        </w:rPr>
      </w:pPr>
      <w:r w:rsidRPr="00361539">
        <w:rPr>
          <w:rFonts w:hint="cs"/>
          <w:rtl/>
        </w:rPr>
        <w:t xml:space="preserve">בלקוטי שיחות חי"ד עמ' 305: "לעשות חתונה גדולה ברוחניות ו(ע"פ רוב זה קשור בקטנות החומריות והידורי העולם מלשון העלם והסתר) מבזבזים ממון </w:t>
      </w:r>
      <w:r w:rsidRPr="00361539">
        <w:rPr>
          <w:rtl/>
        </w:rPr>
        <w:t>–</w:t>
      </w:r>
      <w:r w:rsidRPr="00361539">
        <w:rPr>
          <w:rFonts w:hint="cs"/>
          <w:rtl/>
        </w:rPr>
        <w:t xml:space="preserve"> עליו אמרו חז"ל התורה חסה על ממונם של ישראל. גדול זכותו  וזכות החתן והכלה שי' אם יחזירו תקנת גדולי ישראל בזה לחוגי אנ"ש שי' ולכל בני ישראל שי' ע"י הורותם דוגמא חי' בזה ומתוך שמחה וטוב לבב".   </w:t>
      </w:r>
    </w:p>
    <w:p w:rsidR="00352A69" w:rsidRPr="00361539" w:rsidRDefault="00352A69" w:rsidP="00352A69">
      <w:pPr>
        <w:pStyle w:val="a3"/>
        <w:rPr>
          <w:rtl/>
        </w:rPr>
      </w:pPr>
      <w:r w:rsidRPr="00361539">
        <w:rPr>
          <w:rFonts w:hint="cs"/>
          <w:rtl/>
        </w:rPr>
        <w:lastRenderedPageBreak/>
        <w:t xml:space="preserve">ומענין לענין </w:t>
      </w:r>
      <w:r w:rsidRPr="00361539">
        <w:rPr>
          <w:rtl/>
        </w:rPr>
        <w:t>–</w:t>
      </w:r>
      <w:r w:rsidRPr="00361539">
        <w:rPr>
          <w:rFonts w:hint="cs"/>
          <w:rtl/>
        </w:rPr>
        <w:t xml:space="preserve"> בתוך ההעלם וההסתר הגדול שבו אנו שרויים למעלה מעשרים וחמש שנה, זכינו לגילוי אור, אגרות הקודש של הרבי, שמביאים את דעתו והשקפתו, בכל תחום, נושא וענין בחיים בגשמיות וברוחניות. כך שאפשר לנהל את הבית היהודי והחסידי לפי רצונו הקדוש של הרבי.</w:t>
      </w:r>
    </w:p>
    <w:p w:rsidR="00352A69" w:rsidRPr="00361539" w:rsidRDefault="00352A69" w:rsidP="00352A69">
      <w:pPr>
        <w:pStyle w:val="a3"/>
      </w:pPr>
      <w:r w:rsidRPr="00361539">
        <w:rPr>
          <w:rFonts w:hint="cs"/>
          <w:rtl/>
        </w:rPr>
        <w:t>וביחד עם זה, בהתאם לדוגמא הנ"ל, אשר על שאלה זהה של הורים, ניתנו מענות שונים.            ולכן ביחד עם החשיבות הגדולה והצורך החיוני בלימוד האגרות קודש,</w:t>
      </w:r>
      <w:r>
        <w:rPr>
          <w:rFonts w:hint="cs"/>
          <w:rtl/>
        </w:rPr>
        <w:t xml:space="preserve"> כמובן. אזי, </w:t>
      </w:r>
      <w:r w:rsidRPr="00361539">
        <w:rPr>
          <w:rFonts w:hint="cs"/>
          <w:rtl/>
        </w:rPr>
        <w:t xml:space="preserve">לפני הכרעה למעשה ע"פ מכתבי הרבי, </w:t>
      </w:r>
      <w:r>
        <w:rPr>
          <w:rFonts w:hint="cs"/>
          <w:rtl/>
        </w:rPr>
        <w:t xml:space="preserve">צריך </w:t>
      </w:r>
      <w:r w:rsidRPr="00361539">
        <w:rPr>
          <w:rFonts w:hint="cs"/>
          <w:rtl/>
        </w:rPr>
        <w:t xml:space="preserve">לשים לב היטיב לכל הפרטים, למצב המסוים, ולתנאים הסביבתיים. ובמיוחד ע"י מילוי הוראת המשנה, שהרבי חזר עלי' רבות, וביקש </w:t>
      </w:r>
      <w:r>
        <w:rPr>
          <w:rFonts w:hint="cs"/>
          <w:rtl/>
        </w:rPr>
        <w:t xml:space="preserve">מאוד </w:t>
      </w:r>
      <w:r w:rsidRPr="00361539">
        <w:rPr>
          <w:rFonts w:hint="cs"/>
          <w:rtl/>
        </w:rPr>
        <w:t>לקיימה "עשה לך רב".</w:t>
      </w:r>
    </w:p>
    <w:p w:rsidR="00352A69" w:rsidRDefault="00352A69" w:rsidP="00352A69">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6E31A6">
        <w:rPr>
          <w:rFonts w:ascii="Nymphette" w:eastAsia="Times New Roman" w:hAnsi="Nymphette" w:cs="Nymphette"/>
          <w:sz w:val="44"/>
          <w:szCs w:val="44"/>
        </w:rPr>
        <w:t>g</w:t>
      </w:r>
    </w:p>
    <w:p w:rsidR="00AD0970" w:rsidRDefault="00AD0970" w:rsidP="00AD0970">
      <w:pPr>
        <w:pStyle w:val="a0"/>
        <w:rPr>
          <w:rtl/>
        </w:rPr>
      </w:pPr>
      <w:bookmarkStart w:id="166" w:name="_Toc39817464"/>
      <w:r>
        <w:rPr>
          <w:rFonts w:hint="cs"/>
          <w:rtl/>
        </w:rPr>
        <w:t>ציצית וטלית לבנים</w:t>
      </w:r>
      <w:bookmarkEnd w:id="166"/>
      <w:r>
        <w:rPr>
          <w:rFonts w:hint="cs"/>
          <w:rtl/>
        </w:rPr>
        <w:t xml:space="preserve"> </w:t>
      </w:r>
    </w:p>
    <w:p w:rsidR="00AD0970" w:rsidRDefault="00AD0970" w:rsidP="00AD0970">
      <w:pPr>
        <w:pStyle w:val="a0"/>
        <w:rPr>
          <w:rtl/>
        </w:rPr>
      </w:pPr>
      <w:bookmarkStart w:id="167" w:name="_Toc39817465"/>
      <w:r>
        <w:rPr>
          <w:rFonts w:hint="cs"/>
          <w:rtl/>
        </w:rPr>
        <w:t>(ותיקון טעות בשוע"ר החדשה)</w:t>
      </w:r>
      <w:bookmarkEnd w:id="167"/>
    </w:p>
    <w:p w:rsidR="00AD0970" w:rsidRDefault="00AD0970" w:rsidP="00AD0970">
      <w:pPr>
        <w:pStyle w:val="a"/>
        <w:rPr>
          <w:rtl/>
        </w:rPr>
      </w:pPr>
      <w:bookmarkStart w:id="168" w:name="_Toc39817466"/>
      <w:r>
        <w:rPr>
          <w:rFonts w:hint="cs"/>
          <w:rtl/>
        </w:rPr>
        <w:t>הרב יוסף יצחק ליפסקער</w:t>
      </w:r>
      <w:bookmarkEnd w:id="168"/>
    </w:p>
    <w:p w:rsidR="00AD0970" w:rsidRDefault="00AD0970" w:rsidP="00AD0970">
      <w:pPr>
        <w:pStyle w:val="a1"/>
        <w:rPr>
          <w:rtl/>
        </w:rPr>
      </w:pPr>
      <w:r>
        <w:rPr>
          <w:rFonts w:hint="cs"/>
          <w:rtl/>
        </w:rPr>
        <w:t>שערמאן אוקס, קאליפורניא</w:t>
      </w:r>
    </w:p>
    <w:p w:rsidR="00AD0970" w:rsidRDefault="00AD0970" w:rsidP="00AD0970">
      <w:pPr>
        <w:pStyle w:val="a3"/>
        <w:rPr>
          <w:rtl/>
        </w:rPr>
      </w:pPr>
      <w:r>
        <w:rPr>
          <w:rFonts w:hint="cs"/>
          <w:rtl/>
        </w:rPr>
        <w:t xml:space="preserve">כתב אדה"ז בשולחנו (סי' ט ס"ט): </w:t>
      </w:r>
      <w:r w:rsidRPr="003650F2">
        <w:rPr>
          <w:rtl/>
        </w:rPr>
        <w:t>יש אומרים</w:t>
      </w:r>
      <w:r>
        <w:rPr>
          <w:rFonts w:hint="cs"/>
          <w:rtl/>
        </w:rPr>
        <w:t xml:space="preserve">, </w:t>
      </w:r>
      <w:r w:rsidRPr="003650F2">
        <w:rPr>
          <w:rtl/>
        </w:rPr>
        <w:t>כיון שלמדנו מן התורה שצריך לעשות הציצית ממין הכנף</w:t>
      </w:r>
      <w:r>
        <w:rPr>
          <w:rFonts w:hint="cs"/>
          <w:rtl/>
        </w:rPr>
        <w:t xml:space="preserve">, </w:t>
      </w:r>
      <w:r w:rsidRPr="003650F2">
        <w:rPr>
          <w:rtl/>
        </w:rPr>
        <w:t>א"כ צריך שיהיה ג"כ צבעם ממין צבע הכנף</w:t>
      </w:r>
      <w:r>
        <w:rPr>
          <w:rFonts w:hint="cs"/>
          <w:rtl/>
        </w:rPr>
        <w:t>,</w:t>
      </w:r>
      <w:r w:rsidRPr="003650F2">
        <w:rPr>
          <w:rtl/>
        </w:rPr>
        <w:t xml:space="preserve"> כגון אם הטלית אדומה מטילין לה ציצית אדומים</w:t>
      </w:r>
      <w:r>
        <w:rPr>
          <w:rFonts w:hint="cs"/>
          <w:rtl/>
        </w:rPr>
        <w:t>,</w:t>
      </w:r>
      <w:r w:rsidRPr="003650F2">
        <w:rPr>
          <w:rtl/>
        </w:rPr>
        <w:t xml:space="preserve"> ואם היא ירוקה מטילין לה ציצית ירוקים. ויש אומרים</w:t>
      </w:r>
      <w:r>
        <w:rPr>
          <w:rFonts w:hint="cs"/>
          <w:rtl/>
        </w:rPr>
        <w:t xml:space="preserve">, </w:t>
      </w:r>
      <w:r w:rsidRPr="003650F2">
        <w:rPr>
          <w:rtl/>
        </w:rPr>
        <w:t>שלא הקפידה תורה אלא על ממשות הציצית שיהיה ממין ממשות הטלית</w:t>
      </w:r>
      <w:r>
        <w:rPr>
          <w:rFonts w:hint="cs"/>
          <w:rtl/>
        </w:rPr>
        <w:t>,</w:t>
      </w:r>
      <w:r w:rsidRPr="003650F2">
        <w:rPr>
          <w:rtl/>
        </w:rPr>
        <w:t xml:space="preserve"> אבל הצבע לא הקפידה תורה כלל שיהא דוקא ממין צבע הטלית</w:t>
      </w:r>
      <w:r>
        <w:rPr>
          <w:rFonts w:hint="cs"/>
          <w:rtl/>
        </w:rPr>
        <w:t>,</w:t>
      </w:r>
      <w:r w:rsidRPr="003650F2">
        <w:rPr>
          <w:rtl/>
        </w:rPr>
        <w:t xml:space="preserve"> וכן הלכה</w:t>
      </w:r>
      <w:r>
        <w:rPr>
          <w:rFonts w:hint="cs"/>
          <w:rtl/>
        </w:rPr>
        <w:t>.</w:t>
      </w:r>
      <w:r w:rsidRPr="003650F2">
        <w:rPr>
          <w:rtl/>
        </w:rPr>
        <w:t xml:space="preserve"> וכן נוהגין באלו הארצות</w:t>
      </w:r>
      <w:r>
        <w:rPr>
          <w:rFonts w:hint="cs"/>
          <w:rtl/>
        </w:rPr>
        <w:t xml:space="preserve"> </w:t>
      </w:r>
      <w:r w:rsidRPr="003650F2">
        <w:rPr>
          <w:rtl/>
        </w:rPr>
        <w:t>לעשות ציצית לבנים אפילו בבגדים צבועים ומשום שאמרו</w:t>
      </w:r>
      <w:r>
        <w:rPr>
          <w:rFonts w:hint="cs"/>
          <w:rtl/>
        </w:rPr>
        <w:t xml:space="preserve"> </w:t>
      </w:r>
      <w:r w:rsidRPr="003650F2">
        <w:rPr>
          <w:rtl/>
        </w:rPr>
        <w:t>חז"ל</w:t>
      </w:r>
      <w:r>
        <w:rPr>
          <w:rFonts w:hint="cs"/>
          <w:rtl/>
        </w:rPr>
        <w:t xml:space="preserve"> </w:t>
      </w:r>
      <w:r w:rsidRPr="003650F2">
        <w:rPr>
          <w:rtl/>
        </w:rPr>
        <w:t>שנתעטף הקב"ה כש"ץ וכתיב</w:t>
      </w:r>
      <w:r>
        <w:rPr>
          <w:rFonts w:hint="cs"/>
          <w:rtl/>
        </w:rPr>
        <w:t xml:space="preserve"> </w:t>
      </w:r>
      <w:r w:rsidRPr="003650F2">
        <w:rPr>
          <w:rtl/>
        </w:rPr>
        <w:t>לבושיה כתלג חיוור ראוי לכל מדקדק במעשיו לעשות ג"כ הטלית קטן וגדול לבנים</w:t>
      </w:r>
      <w:r>
        <w:rPr>
          <w:rFonts w:hint="cs"/>
          <w:rtl/>
        </w:rPr>
        <w:t xml:space="preserve"> </w:t>
      </w:r>
      <w:r w:rsidRPr="003650F2">
        <w:rPr>
          <w:rtl/>
        </w:rPr>
        <w:t>כדי שיהיה יוצא לדברי הכל כשיעשה הציצית לבנים</w:t>
      </w:r>
      <w:r>
        <w:rPr>
          <w:rFonts w:hint="cs"/>
          <w:rtl/>
        </w:rPr>
        <w:t>.</w:t>
      </w:r>
    </w:p>
    <w:p w:rsidR="00AD0970" w:rsidRDefault="00AD0970" w:rsidP="00AD0970">
      <w:pPr>
        <w:pStyle w:val="a3"/>
        <w:rPr>
          <w:rtl/>
        </w:rPr>
      </w:pPr>
      <w:r>
        <w:rPr>
          <w:rFonts w:hint="cs"/>
          <w:rtl/>
        </w:rPr>
        <w:t>ולפום ריהטא משמע (וכן ראיתי מפרשים בשוע"ר עם תרגום אנגלי, וכ"מ מאופן חלוקת הקטעים במהדו"ח דשוע"ר), ד"וכן נוהגין באלו הארצות" קאי אדלעיל מיניה, ליישב מנהג העולם אליבא דהלכתא דאין הקפדה שיהיו הציצית מצבע הטלית. והקטע "ומשום שאמרו חז"ל כו'" הו"ע נפרד בהמשך לזה, נימוקים להא דראוי לכל מדקדק במעשיו לעשות גם טלית לבן, דהוא מטעם מאחז"ל דנתעטף הקב"ה ומטעם הכתוב דלבושיה כתלג חיור.</w:t>
      </w:r>
    </w:p>
    <w:p w:rsidR="00AD0970" w:rsidRDefault="00AD0970" w:rsidP="00AD0970">
      <w:pPr>
        <w:pStyle w:val="a3"/>
        <w:rPr>
          <w:rtl/>
        </w:rPr>
      </w:pPr>
      <w:r>
        <w:rPr>
          <w:rFonts w:hint="cs"/>
          <w:rtl/>
        </w:rPr>
        <w:t>אמנם כד דייקת, פשוט שאי"ז הכוונה בהמשך הסעיף. ומכמה אנפי:</w:t>
      </w:r>
    </w:p>
    <w:p w:rsidR="00AD0970" w:rsidRDefault="00AD0970" w:rsidP="00AD0970">
      <w:pPr>
        <w:pStyle w:val="a3"/>
        <w:rPr>
          <w:rtl/>
        </w:rPr>
      </w:pPr>
      <w:r>
        <w:rPr>
          <w:rFonts w:hint="cs"/>
          <w:rtl/>
        </w:rPr>
        <w:t xml:space="preserve">הטעם להנהגת המדקדק מפורש הוא בסוף הסעיף: "כדי שיהיה יוצא לדברי הכל כשיעשה הציצית לבנים". וכ"ה במקור הדברים, ט"ז סק"ח (כמצויין על הגליון): "מכל מקום (אף שנראה מדברי הרמ"א שהאשכנזים משתמשים גם בבגדים צבועים), ראוי למדקדק לעשות דוקא ד' כנפות או טלית קטן לבן, כדי שיהיה יוצא ידי הכל כשיעשה הציצית לבנים". והרי </w:t>
      </w:r>
      <w:r>
        <w:rPr>
          <w:rFonts w:hint="cs"/>
          <w:rtl/>
        </w:rPr>
        <w:lastRenderedPageBreak/>
        <w:t>שלא הזכיר מאחז"ל ולא הכתוב הנ"ל.</w:t>
      </w:r>
    </w:p>
    <w:p w:rsidR="00AD0970" w:rsidRDefault="00AD0970" w:rsidP="00AD0970">
      <w:pPr>
        <w:pStyle w:val="a3"/>
        <w:rPr>
          <w:rtl/>
        </w:rPr>
      </w:pPr>
      <w:r>
        <w:rPr>
          <w:rFonts w:hint="cs"/>
          <w:rtl/>
        </w:rPr>
        <w:t xml:space="preserve">ואין לומר דכוונת אדה"ז להביא עוד טעמים להנהגה זו, דהרי [נוסף לזה שצ"ב אמאי צריך לתרי טעמי, הנה] הנהגת המדקדק קאי </w:t>
      </w:r>
      <w:r w:rsidRPr="008C0B1C">
        <w:rPr>
          <w:rFonts w:hint="cs"/>
          <w:b/>
          <w:bCs/>
          <w:rtl/>
        </w:rPr>
        <w:t>בטלית</w:t>
      </w:r>
      <w:r>
        <w:rPr>
          <w:rFonts w:hint="cs"/>
          <w:rtl/>
        </w:rPr>
        <w:t xml:space="preserve"> לבן, בעוד שהמקור לקטע "ומשום שאמרו חז"ל" הוא (כמצויין על הגליון) בעטרת זקנים לשו"ע שם, והמעיין שם יראה דקאי </w:t>
      </w:r>
      <w:r>
        <w:rPr>
          <w:rFonts w:hint="cs"/>
          <w:b/>
          <w:bCs/>
          <w:rtl/>
        </w:rPr>
        <w:t>בציצית</w:t>
      </w:r>
      <w:r>
        <w:rPr>
          <w:rFonts w:hint="cs"/>
          <w:rtl/>
        </w:rPr>
        <w:t xml:space="preserve"> לבנים, דז"ל: "והטעם </w:t>
      </w:r>
      <w:r w:rsidRPr="001C7304">
        <w:rPr>
          <w:rFonts w:hint="cs"/>
          <w:b/>
          <w:bCs/>
          <w:rtl/>
        </w:rPr>
        <w:t>שהציצית</w:t>
      </w:r>
      <w:r>
        <w:rPr>
          <w:rFonts w:hint="cs"/>
          <w:rtl/>
        </w:rPr>
        <w:t xml:space="preserve"> צריכין שיהיו לבנים, לפי שאמרו חז"ל מלמד שנתעטף הקב"ה כש"ץ והיינו בטלית של ציצית, ומצינו אצלו ית' כתיב לבושיה כתלג חיור, א"כ גם הציצית יהיו לבנים".</w:t>
      </w:r>
    </w:p>
    <w:p w:rsidR="00AD0970" w:rsidRDefault="00AD0970" w:rsidP="00AD0970">
      <w:pPr>
        <w:pStyle w:val="a3"/>
        <w:rPr>
          <w:rtl/>
        </w:rPr>
      </w:pPr>
      <w:r>
        <w:rPr>
          <w:rFonts w:hint="cs"/>
          <w:rtl/>
        </w:rPr>
        <w:t xml:space="preserve">ואשר על כן נראה דהצעת הדברים כך היא: דתחילה פוסק אדה"ז ("וכן הלכה") כהי"א דאין הקפדה שיהא צבע הציצית מצבע הטלית. וע"ז ממשיך, שהמנהג באלו הארצות ("לעשות ציצית לבנים אפילו בבגדים צבועים") הוא כהלכתא. ועוד מוסיף אדה"ז לבאר למה נוהגין באלו הארצות לעשות ציצית </w:t>
      </w:r>
      <w:r w:rsidRPr="00B66FDB">
        <w:rPr>
          <w:rFonts w:hint="cs"/>
          <w:b/>
          <w:bCs/>
          <w:rtl/>
        </w:rPr>
        <w:t>לבנים</w:t>
      </w:r>
      <w:r>
        <w:rPr>
          <w:rFonts w:hint="cs"/>
          <w:rtl/>
        </w:rPr>
        <w:t xml:space="preserve"> </w:t>
      </w:r>
      <w:r w:rsidRPr="00B66FDB">
        <w:rPr>
          <w:rFonts w:hint="cs"/>
          <w:b/>
          <w:bCs/>
          <w:rtl/>
        </w:rPr>
        <w:t>דוקא</w:t>
      </w:r>
      <w:r>
        <w:rPr>
          <w:rFonts w:hint="cs"/>
          <w:rtl/>
        </w:rPr>
        <w:t>, דהם הכי מובחרים "משום שאמרו חז"ל" וכדלעיל מהעטרת זקנים. [וצע"ק מ"ש "ומשום" בוא"ו המוסיף. וי"ל דהוא מכיון שבאמת ענין נוסף הוא, כי אין זה עיקר הכוונה במה שהביא ה"וכן נוהגין", כ"א פרט נוסף לבאר מה שדייקו בהנהגתם לעשות הציצית לבן. וראה גם לקמן בסיום דברינו].</w:t>
      </w:r>
    </w:p>
    <w:p w:rsidR="00AD0970" w:rsidRDefault="00AD0970" w:rsidP="00AD0970">
      <w:pPr>
        <w:pStyle w:val="a3"/>
        <w:rPr>
          <w:rtl/>
        </w:rPr>
      </w:pPr>
      <w:r>
        <w:rPr>
          <w:rFonts w:hint="cs"/>
          <w:rtl/>
        </w:rPr>
        <w:t xml:space="preserve">ואחרי כל זה בא ענין חדש (והם דברי הט"ז), בהמשך למה שפסק </w:t>
      </w:r>
      <w:r w:rsidRPr="00B66FDB">
        <w:rPr>
          <w:rFonts w:hint="cs"/>
          <w:b/>
          <w:bCs/>
          <w:rtl/>
        </w:rPr>
        <w:t>לעיל</w:t>
      </w:r>
      <w:r>
        <w:rPr>
          <w:rFonts w:hint="cs"/>
          <w:rtl/>
        </w:rPr>
        <w:t xml:space="preserve"> דהלכתא כמ"ד דאין הקפדה, דאעפ"כ "ראוי לכל מדקדק במעשיו וכן נוהגין באלו הארצות </w:t>
      </w:r>
      <w:r w:rsidRPr="003650F2">
        <w:rPr>
          <w:rtl/>
        </w:rPr>
        <w:t xml:space="preserve">לעשות ג"כ </w:t>
      </w:r>
      <w:r w:rsidRPr="00B66FDB">
        <w:rPr>
          <w:b/>
          <w:bCs/>
          <w:rtl/>
        </w:rPr>
        <w:t>הטלית</w:t>
      </w:r>
      <w:r w:rsidRPr="003650F2">
        <w:rPr>
          <w:rtl/>
        </w:rPr>
        <w:t xml:space="preserve"> קטן וגדול לבנים</w:t>
      </w:r>
      <w:r>
        <w:rPr>
          <w:rFonts w:hint="cs"/>
          <w:rtl/>
        </w:rPr>
        <w:t xml:space="preserve"> </w:t>
      </w:r>
      <w:r w:rsidRPr="003650F2">
        <w:rPr>
          <w:rtl/>
        </w:rPr>
        <w:t>כדי שיהיה יוצא לדברי הכל כשיעשה הציצית לבנים</w:t>
      </w:r>
      <w:r>
        <w:rPr>
          <w:rFonts w:hint="cs"/>
          <w:rtl/>
        </w:rPr>
        <w:t>". אבל אין לזה שום קשר עם מאחז"ל דנתעטף והכתוב דתלג חיור וכנ"ל.</w:t>
      </w:r>
    </w:p>
    <w:p w:rsidR="00AD0970" w:rsidRDefault="00AD0970" w:rsidP="00AD0970">
      <w:pPr>
        <w:pStyle w:val="a3"/>
        <w:rPr>
          <w:rtl/>
        </w:rPr>
      </w:pPr>
      <w:r>
        <w:rPr>
          <w:rFonts w:hint="cs"/>
          <w:rtl/>
        </w:rPr>
        <w:t xml:space="preserve">איברא, דבכ"מ משמע דהאי מאחז"ל וכן הכתוב הנ"ל קאי (גם) </w:t>
      </w:r>
      <w:r w:rsidRPr="0006072D">
        <w:rPr>
          <w:rFonts w:hint="cs"/>
          <w:b/>
          <w:bCs/>
          <w:rtl/>
        </w:rPr>
        <w:t>בטלית</w:t>
      </w:r>
      <w:r>
        <w:rPr>
          <w:rFonts w:hint="cs"/>
          <w:rtl/>
        </w:rPr>
        <w:t>:</w:t>
      </w:r>
    </w:p>
    <w:p w:rsidR="00AD0970" w:rsidRDefault="00AD0970" w:rsidP="00AD0970">
      <w:pPr>
        <w:pStyle w:val="a3"/>
        <w:rPr>
          <w:rtl/>
        </w:rPr>
      </w:pPr>
      <w:r>
        <w:rPr>
          <w:rFonts w:hint="cs"/>
          <w:rtl/>
        </w:rPr>
        <w:t>א) בים של שלמה (יבמות פ"ק ס"ג) כתב וז"ל: "שלא יעשה הטלית אלא משל לבן כצבע הציצית שיהיו כטל אורות לבנים . . וכן מצאתי בתשובה בשם ר' ישראל מברונא . . כאשר נהגו קדמונינו ככל ישראל שהטלית יהא לבן ולא ראיתי ולא שמעתי לשנות המנהג, ואומר אני דטעמא איכא . . ועוד נ"ל ראי' מסוף פרק שואל דדרשינן בכל עת יהיו בגדיך לבנים אלו ציצית, אלמא דבגדי לבן בענין. וכה"ג מדרש מר' יוחנן נתעטף הקב"ה כש"צ והראה למשה כו' . . ובלי ספק שלא הראה לו אלא בלבוש חיור, שנא' לבושיה כתלג חיור לרמוז מדת הרחמים, וכן אנו נוהגין ואין לשנות המנהג".</w:t>
      </w:r>
    </w:p>
    <w:p w:rsidR="00AD0970" w:rsidRDefault="00AD0970" w:rsidP="00AD0970">
      <w:pPr>
        <w:pStyle w:val="a3"/>
        <w:rPr>
          <w:rtl/>
        </w:rPr>
      </w:pPr>
      <w:r>
        <w:rPr>
          <w:rFonts w:hint="cs"/>
          <w:rtl/>
        </w:rPr>
        <w:t xml:space="preserve">ב) בב"ח (סו"ס כד): "ומצאתי כתוב, לפי שאמרו רבותינו ז"ל על ויעבור ה' על פניו ויקרא, נתעטף הקב"ה בטליתו וכו', וכתיב לבושיה כתלג חיור, מכאן </w:t>
      </w:r>
      <w:r w:rsidRPr="0006072D">
        <w:rPr>
          <w:rFonts w:hint="cs"/>
          <w:b/>
          <w:bCs/>
          <w:rtl/>
        </w:rPr>
        <w:t>שהטלית</w:t>
      </w:r>
      <w:r>
        <w:rPr>
          <w:rFonts w:hint="cs"/>
          <w:rtl/>
        </w:rPr>
        <w:t xml:space="preserve"> עם ציצית שמתעטף בו יהא לבן. עד כאן. ונכון הוא".</w:t>
      </w:r>
    </w:p>
    <w:p w:rsidR="00AD0970" w:rsidRDefault="00AD0970" w:rsidP="00AD0970">
      <w:pPr>
        <w:pStyle w:val="a3"/>
        <w:rPr>
          <w:rtl/>
        </w:rPr>
      </w:pPr>
      <w:r>
        <w:rPr>
          <w:rFonts w:hint="cs"/>
          <w:rtl/>
        </w:rPr>
        <w:t xml:space="preserve">והנה, זאת ודאי שאין להעמיס דברים אלו בכוונת אדה"ז, וכפי שהוכחנו לעיל מהא דמציין דוקא לעטרת זקנים שמפורש שם רק בנוגע </w:t>
      </w:r>
      <w:r w:rsidRPr="0006072D">
        <w:rPr>
          <w:rFonts w:hint="cs"/>
          <w:b/>
          <w:bCs/>
          <w:rtl/>
        </w:rPr>
        <w:t>לציצית</w:t>
      </w:r>
      <w:r>
        <w:rPr>
          <w:rFonts w:hint="cs"/>
          <w:rtl/>
        </w:rPr>
        <w:t xml:space="preserve">, ולט"ז, שמפורש שם רק בנוגע </w:t>
      </w:r>
      <w:r w:rsidRPr="0006072D">
        <w:rPr>
          <w:rFonts w:hint="cs"/>
          <w:b/>
          <w:bCs/>
          <w:rtl/>
        </w:rPr>
        <w:t>לטלית</w:t>
      </w:r>
      <w:r>
        <w:rPr>
          <w:rFonts w:hint="cs"/>
          <w:rtl/>
        </w:rPr>
        <w:t>. [ולפי"ז טעות הוא בידי המהדירים בשוע"ר החדשה, שציינו (בהערה ס) לדברי היש"ש והב"ח ביחד עם דברי העטרת זקנים]. אמנם שומה עלינו לבאר לקושטא דמילתא, למה לא ס"ל לאדה"ז מזה.</w:t>
      </w:r>
    </w:p>
    <w:p w:rsidR="00AD0970" w:rsidRDefault="00AD0970" w:rsidP="00AD0970">
      <w:pPr>
        <w:pStyle w:val="a3"/>
        <w:rPr>
          <w:rtl/>
        </w:rPr>
      </w:pPr>
      <w:r>
        <w:rPr>
          <w:rFonts w:hint="cs"/>
          <w:rtl/>
        </w:rPr>
        <w:t xml:space="preserve">ובהשקפה ראשונה היה נראה לומר בפשטות, דאפי' נימא דמוכח ממאחז"ל הנ"ל בנוגע </w:t>
      </w:r>
      <w:r>
        <w:rPr>
          <w:rFonts w:hint="cs"/>
          <w:rtl/>
        </w:rPr>
        <w:lastRenderedPageBreak/>
        <w:t xml:space="preserve">לטלית, הרי שישנה הוכחה רק לענין טלית </w:t>
      </w:r>
      <w:r w:rsidRPr="00211085">
        <w:rPr>
          <w:rFonts w:hint="cs"/>
          <w:b/>
          <w:bCs/>
          <w:rtl/>
        </w:rPr>
        <w:t>גדול</w:t>
      </w:r>
      <w:r>
        <w:rPr>
          <w:rFonts w:hint="cs"/>
          <w:rtl/>
        </w:rPr>
        <w:t xml:space="preserve">. והרי הנהגת המדקדק הוא (כמפורש בט"ז ובשוע"ר) גם בטלית </w:t>
      </w:r>
      <w:r w:rsidRPr="00211085">
        <w:rPr>
          <w:rFonts w:hint="cs"/>
          <w:b/>
          <w:bCs/>
          <w:rtl/>
        </w:rPr>
        <w:t>קטן</w:t>
      </w:r>
      <w:r>
        <w:rPr>
          <w:rFonts w:hint="cs"/>
          <w:rtl/>
        </w:rPr>
        <w:t xml:space="preserve"> [ובאמת כבר נחית לחילוק זה בתשובה הנ"ל שהזכיר ביש"ש עיי"ש]. ומובן א"כ שאין ממאחז"ל והכתוב הוכחה מספיקה להנהגה זו.</w:t>
      </w:r>
    </w:p>
    <w:p w:rsidR="00AD0970" w:rsidRDefault="00AD0970" w:rsidP="00AD0970">
      <w:pPr>
        <w:pStyle w:val="a3"/>
        <w:rPr>
          <w:rtl/>
        </w:rPr>
      </w:pPr>
      <w:r>
        <w:rPr>
          <w:rFonts w:hint="cs"/>
          <w:rtl/>
        </w:rPr>
        <w:t xml:space="preserve">[ולפי"ז היה אפשר לבאר הא דכתב אדה"ז "ומשום כו'" בוא"ו המוסיף, דהוא לישנא דמישתמע לתרי אפי, לרמז דאף שעיקר הכוונה בזה הוא להוכיח </w:t>
      </w:r>
      <w:r w:rsidRPr="00961B76">
        <w:rPr>
          <w:rFonts w:hint="cs"/>
          <w:b/>
          <w:bCs/>
          <w:rtl/>
        </w:rPr>
        <w:t>שהציצית</w:t>
      </w:r>
      <w:r>
        <w:rPr>
          <w:rFonts w:hint="cs"/>
          <w:rtl/>
        </w:rPr>
        <w:t xml:space="preserve"> יהיו לבנים, הנה יש בזה גם משום סייעתא (במקצת עכ"פ) להנהגת המדקדק </w:t>
      </w:r>
      <w:r w:rsidRPr="00961B76">
        <w:rPr>
          <w:rFonts w:hint="cs"/>
          <w:b/>
          <w:bCs/>
          <w:rtl/>
        </w:rPr>
        <w:t>בטלית</w:t>
      </w:r>
      <w:r>
        <w:rPr>
          <w:rFonts w:hint="cs"/>
          <w:rtl/>
        </w:rPr>
        <w:t>].</w:t>
      </w:r>
    </w:p>
    <w:p w:rsidR="00AD0970" w:rsidRDefault="00AD0970" w:rsidP="00AD0970">
      <w:pPr>
        <w:pStyle w:val="a3"/>
        <w:rPr>
          <w:rtl/>
        </w:rPr>
      </w:pPr>
      <w:r>
        <w:rPr>
          <w:rFonts w:hint="cs"/>
          <w:rtl/>
        </w:rPr>
        <w:t xml:space="preserve">אבל לכאורה אינו, דהרי אם באנו לחלק בין </w:t>
      </w:r>
      <w:r w:rsidRPr="00B83BDF">
        <w:rPr>
          <w:rFonts w:hint="cs"/>
          <w:b/>
          <w:bCs/>
          <w:rtl/>
        </w:rPr>
        <w:t>טלית</w:t>
      </w:r>
      <w:r>
        <w:rPr>
          <w:rFonts w:hint="cs"/>
          <w:rtl/>
        </w:rPr>
        <w:t xml:space="preserve"> גדול לקטן, כבר צריכים אנו לחלק כן גם </w:t>
      </w:r>
      <w:r w:rsidRPr="00B83BDF">
        <w:rPr>
          <w:rFonts w:hint="cs"/>
          <w:b/>
          <w:bCs/>
          <w:rtl/>
        </w:rPr>
        <w:t>בציצית</w:t>
      </w:r>
      <w:r>
        <w:rPr>
          <w:rFonts w:hint="cs"/>
          <w:rtl/>
        </w:rPr>
        <w:t xml:space="preserve">, ולומר דממאחז"ל מוכח רק שיש לדייק בציצית שבטלית </w:t>
      </w:r>
      <w:r w:rsidRPr="006A2AD2">
        <w:rPr>
          <w:rFonts w:hint="cs"/>
          <w:b/>
          <w:bCs/>
          <w:rtl/>
        </w:rPr>
        <w:t>גדול</w:t>
      </w:r>
      <w:r>
        <w:rPr>
          <w:rFonts w:hint="cs"/>
          <w:rtl/>
        </w:rPr>
        <w:t xml:space="preserve"> שיהיו לבנים, אבל אין מזה ראי' לציצית שבטלית </w:t>
      </w:r>
      <w:r w:rsidRPr="00B83BDF">
        <w:rPr>
          <w:rFonts w:hint="cs"/>
          <w:b/>
          <w:bCs/>
          <w:rtl/>
        </w:rPr>
        <w:t>קטן</w:t>
      </w:r>
      <w:r>
        <w:rPr>
          <w:rFonts w:hint="cs"/>
          <w:rtl/>
        </w:rPr>
        <w:t xml:space="preserve"> שיש לדייק לעשותם לבנים.</w:t>
      </w:r>
    </w:p>
    <w:p w:rsidR="00AD0970" w:rsidRDefault="00AD0970" w:rsidP="00AD0970">
      <w:pPr>
        <w:pStyle w:val="a3"/>
        <w:rPr>
          <w:rtl/>
        </w:rPr>
      </w:pPr>
      <w:r>
        <w:rPr>
          <w:rFonts w:hint="cs"/>
          <w:rtl/>
        </w:rPr>
        <w:t>אלא שבזה יש ליישב, דבשלמא בבגד יש סברא לחלק בין טלית גדול לקטן, דמצינו בעלמא כמה חילוקים לדינא בין טלית גדול לטלית קטן, אבל בציצית לא מצינו חילוקים כאלו, וא"כ מה שיש לדייק בזה יש לדייק בזה.</w:t>
      </w:r>
    </w:p>
    <w:p w:rsidR="00AD0970" w:rsidRDefault="00AD0970" w:rsidP="00AD0970">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6E31A6">
        <w:rPr>
          <w:rFonts w:ascii="Nymphette" w:eastAsia="Times New Roman" w:hAnsi="Nymphette" w:cs="Nymphette"/>
          <w:sz w:val="44"/>
          <w:szCs w:val="44"/>
        </w:rPr>
        <w:t>g</w:t>
      </w:r>
    </w:p>
    <w:p w:rsidR="009631B7" w:rsidRPr="009D1F43" w:rsidRDefault="009631B7" w:rsidP="009631B7">
      <w:pPr>
        <w:pStyle w:val="a0"/>
        <w:bidi w:val="0"/>
        <w:rPr>
          <w:rFonts w:eastAsia="SimSun"/>
          <w:rtl/>
          <w:lang w:eastAsia="zh-CN"/>
        </w:rPr>
      </w:pPr>
      <w:bookmarkStart w:id="169" w:name="_Toc39817467"/>
      <w:r w:rsidRPr="009D1F43">
        <w:rPr>
          <w:rFonts w:eastAsia="SimSun" w:hint="cs"/>
          <w:rtl/>
          <w:lang w:eastAsia="zh-CN"/>
        </w:rPr>
        <w:t>בדין מי שספר בבין השמשות דיום המחרת</w:t>
      </w:r>
      <w:bookmarkEnd w:id="169"/>
    </w:p>
    <w:p w:rsidR="009631B7" w:rsidRPr="00186C14" w:rsidRDefault="009631B7" w:rsidP="00C93F24">
      <w:pPr>
        <w:pStyle w:val="a"/>
        <w:rPr>
          <w:rtl/>
          <w:lang w:eastAsia="zh-CN"/>
        </w:rPr>
      </w:pPr>
      <w:bookmarkStart w:id="170" w:name="_Toc39817468"/>
      <w:r>
        <w:rPr>
          <w:rFonts w:hint="cs"/>
          <w:rtl/>
          <w:lang w:eastAsia="zh-CN"/>
        </w:rPr>
        <w:t>הת'</w:t>
      </w:r>
      <w:r w:rsidRPr="00186C14">
        <w:rPr>
          <w:rFonts w:hint="cs"/>
          <w:rtl/>
          <w:lang w:eastAsia="zh-CN"/>
        </w:rPr>
        <w:t xml:space="preserve"> מנחם מענדל טייטלבוים</w:t>
      </w:r>
      <w:bookmarkEnd w:id="170"/>
    </w:p>
    <w:p w:rsidR="009631B7" w:rsidRPr="00186C14" w:rsidRDefault="009631B7" w:rsidP="009631B7">
      <w:pPr>
        <w:pStyle w:val="a1"/>
        <w:rPr>
          <w:rtl/>
          <w:lang w:eastAsia="zh-CN"/>
        </w:rPr>
      </w:pPr>
      <w:r w:rsidRPr="00186C14">
        <w:rPr>
          <w:rFonts w:hint="cs"/>
          <w:rtl/>
          <w:lang w:eastAsia="zh-CN"/>
        </w:rPr>
        <w:t>תלמיד בישבה</w:t>
      </w:r>
    </w:p>
    <w:p w:rsidR="009631B7" w:rsidRPr="00186C14" w:rsidRDefault="009631B7" w:rsidP="009631B7">
      <w:pPr>
        <w:pStyle w:val="a3"/>
        <w:rPr>
          <w:rtl/>
          <w:lang w:eastAsia="zh-CN"/>
        </w:rPr>
      </w:pPr>
      <w:r w:rsidRPr="00186C14">
        <w:rPr>
          <w:rFonts w:hint="cs"/>
          <w:rtl/>
          <w:lang w:eastAsia="zh-CN"/>
        </w:rPr>
        <w:t>שאלה: השוכח לספור ספה"ע בלילה, ונזכר למחר בבין השמשות, מהו להמשיך לספור בברכה?</w:t>
      </w:r>
    </w:p>
    <w:p w:rsidR="009631B7" w:rsidRPr="00186C14" w:rsidRDefault="009631B7" w:rsidP="009631B7">
      <w:pPr>
        <w:pStyle w:val="a3"/>
        <w:rPr>
          <w:rtl/>
          <w:lang w:eastAsia="zh-CN"/>
        </w:rPr>
      </w:pPr>
      <w:r w:rsidRPr="00186C14">
        <w:rPr>
          <w:rFonts w:hint="cs"/>
          <w:rtl/>
          <w:lang w:eastAsia="zh-CN"/>
        </w:rPr>
        <w:t>תשובה: להבין כ"ז יש להקדים תחילה ב' צדדי הספק. דהנה בנוגע מי ששכח לספור בלילה וספר למחרת ביום, פסק הב"י בשו"ע וכן הביא אדה"ז בשולחנו, שממשיך לספור בברכה משום ספק ספיקא, די"א שהספירה ביום מועיל להשלים המ"ט יום, ואף די"א דאינו מועיל, הרי יש מי שאומר שכל לילה ולילה מצוה בפ"ע היא ואינו תלוי בשאר הלילות.</w:t>
      </w:r>
    </w:p>
    <w:p w:rsidR="009631B7" w:rsidRPr="00186C14" w:rsidRDefault="009631B7" w:rsidP="009631B7">
      <w:pPr>
        <w:pStyle w:val="a3"/>
        <w:rPr>
          <w:rtl/>
          <w:lang w:eastAsia="zh-CN"/>
        </w:rPr>
      </w:pPr>
      <w:r w:rsidRPr="00186C14">
        <w:rPr>
          <w:rFonts w:hint="cs"/>
          <w:rtl/>
          <w:lang w:eastAsia="zh-CN"/>
        </w:rPr>
        <w:t>והשאלה כאן היא, שמצד אחד, הרי אין זה ספק שקול (דבזה אמרינן דספק ברכות להקל), וא"כ אכן יכול להמשיך בברכה, ומצד השני, הרי אין זה ספק ספיקא גמור, היינו שהספק השני (דהסופר ביום) אינו ספק גמור (דאולי אינו יום אלא לילה), וא"כ אינו יכול להמשיך בברכה</w:t>
      </w:r>
      <w:r w:rsidRPr="00186C14">
        <w:rPr>
          <w:vertAlign w:val="superscript"/>
          <w:rtl/>
          <w:lang w:eastAsia="zh-CN"/>
        </w:rPr>
        <w:footnoteReference w:id="76"/>
      </w:r>
      <w:r w:rsidRPr="00186C14">
        <w:rPr>
          <w:rFonts w:hint="cs"/>
          <w:rtl/>
          <w:lang w:eastAsia="zh-CN"/>
        </w:rPr>
        <w:t>.</w:t>
      </w:r>
    </w:p>
    <w:p w:rsidR="009631B7" w:rsidRPr="00186C14" w:rsidRDefault="009631B7" w:rsidP="009631B7">
      <w:pPr>
        <w:pStyle w:val="a3"/>
        <w:rPr>
          <w:rtl/>
          <w:lang w:eastAsia="zh-CN"/>
        </w:rPr>
      </w:pPr>
      <w:r w:rsidRPr="00186C14">
        <w:rPr>
          <w:rFonts w:hint="cs"/>
          <w:rtl/>
          <w:lang w:eastAsia="zh-CN"/>
        </w:rPr>
        <w:lastRenderedPageBreak/>
        <w:t>ולמעשה נחלקו בזה האחרונים, יש שכתבו לקולא</w:t>
      </w:r>
      <w:r w:rsidRPr="00186C14">
        <w:rPr>
          <w:vertAlign w:val="superscript"/>
          <w:rtl/>
          <w:lang w:eastAsia="zh-CN"/>
        </w:rPr>
        <w:footnoteReference w:id="77"/>
      </w:r>
      <w:r w:rsidRPr="00186C14">
        <w:rPr>
          <w:rFonts w:hint="cs"/>
          <w:rtl/>
          <w:lang w:eastAsia="zh-CN"/>
        </w:rPr>
        <w:t xml:space="preserve"> (דאינו מברך), ויש שכתבו לחומרא</w:t>
      </w:r>
      <w:r w:rsidRPr="00186C14">
        <w:rPr>
          <w:vertAlign w:val="superscript"/>
          <w:rtl/>
          <w:lang w:eastAsia="zh-CN"/>
        </w:rPr>
        <w:footnoteReference w:id="78"/>
      </w:r>
      <w:r w:rsidRPr="00186C14">
        <w:rPr>
          <w:rFonts w:hint="cs"/>
          <w:rtl/>
          <w:lang w:eastAsia="zh-CN"/>
        </w:rPr>
        <w:t xml:space="preserve"> (דמברך).</w:t>
      </w:r>
    </w:p>
    <w:p w:rsidR="009631B7" w:rsidRPr="00186C14" w:rsidRDefault="009631B7" w:rsidP="009631B7">
      <w:pPr>
        <w:pStyle w:val="a3"/>
        <w:rPr>
          <w:rtl/>
          <w:lang w:eastAsia="zh-CN"/>
        </w:rPr>
      </w:pPr>
      <w:r w:rsidRPr="00186C14">
        <w:rPr>
          <w:rFonts w:hint="cs"/>
          <w:rtl/>
          <w:lang w:eastAsia="zh-CN"/>
        </w:rPr>
        <w:t>והכף החיים (סתפ"ט ס"ק פג) פסק וז"ל: "ואם לא נזכר כ"א בסוף היום ביה"ש ומנה אז בלא ברכה, העלה הרב בית דוד סי' רס"ח דסופר שאר הימים בלא ברכה. דליכא ס"ס גמור יעו"ש. והביאו דבריו הברכ"י אות טו"ב ועי"ש מ"ש על דבריו. ומ"מ האחרונים הביאו דבריו להלכה. ש"ץ שם. זכ"ל שם. וכ"כ הנה"ש שם. והגם דהרב שואל ומשיב במה"ד ח"ג סוף סי' קכ"ז מסיק שיברך יעו"ש, מ"מ הא ק"ל סב"ל [= קיימא לן ספק ברכות להקל] אלא אם אפשר לשמוע הברכה מאחרים ויתכוין לצאת וגם הם יכוונו להוציאו ואח"כ יספור. וכן יעשה כל מי שסופר בלא ברכה מחמת ספק". ע"כ לשון הכה"ח. וכן פסק באשל אברהם (בוטשאטש), שישמע מאחר שמברך, וכן נראה ההלכה.</w:t>
      </w:r>
    </w:p>
    <w:p w:rsidR="009631B7" w:rsidRPr="00186C14" w:rsidRDefault="009631B7" w:rsidP="009631B7">
      <w:pPr>
        <w:pStyle w:val="a3"/>
        <w:rPr>
          <w:rtl/>
          <w:lang w:eastAsia="zh-CN"/>
        </w:rPr>
      </w:pPr>
      <w:r w:rsidRPr="00186C14">
        <w:rPr>
          <w:rFonts w:hint="cs"/>
          <w:rtl/>
          <w:lang w:eastAsia="zh-CN"/>
        </w:rPr>
        <w:t>וראיתי מי שכתב</w:t>
      </w:r>
      <w:r w:rsidRPr="00186C14">
        <w:rPr>
          <w:rStyle w:val="FootnoteReference"/>
          <w:rFonts w:eastAsia="SimSun"/>
          <w:sz w:val="24"/>
          <w:szCs w:val="24"/>
          <w:rtl/>
          <w:lang w:eastAsia="zh-CN"/>
        </w:rPr>
        <w:footnoteReference w:id="79"/>
      </w:r>
      <w:r w:rsidRPr="00186C14">
        <w:rPr>
          <w:rFonts w:hint="cs"/>
          <w:rtl/>
          <w:lang w:eastAsia="zh-CN"/>
        </w:rPr>
        <w:t xml:space="preserve"> דבמילי דדרבנן אומרים דבין השמשות יום הוא, (ומציין שם לשו"ע </w:t>
      </w:r>
      <w:r w:rsidRPr="00186C14">
        <w:rPr>
          <w:rFonts w:hint="cs"/>
          <w:rtl/>
          <w:lang w:eastAsia="zh-CN"/>
        </w:rPr>
        <w:lastRenderedPageBreak/>
        <w:t>הרב סתקכ"ז ס"ט</w:t>
      </w:r>
      <w:r w:rsidRPr="00186C14">
        <w:rPr>
          <w:rStyle w:val="FootnoteReference"/>
          <w:rFonts w:eastAsia="SimSun"/>
          <w:sz w:val="24"/>
          <w:szCs w:val="24"/>
          <w:rtl/>
          <w:lang w:eastAsia="zh-CN"/>
        </w:rPr>
        <w:footnoteReference w:id="80"/>
      </w:r>
      <w:r w:rsidRPr="00186C14">
        <w:rPr>
          <w:rFonts w:hint="cs"/>
          <w:rtl/>
          <w:lang w:eastAsia="zh-CN"/>
        </w:rPr>
        <w:t>, ולסדר הכנסת שבת</w:t>
      </w:r>
      <w:r w:rsidRPr="00186C14">
        <w:rPr>
          <w:rStyle w:val="FootnoteReference"/>
          <w:rFonts w:eastAsia="SimSun"/>
          <w:sz w:val="24"/>
          <w:szCs w:val="24"/>
          <w:rtl/>
          <w:lang w:eastAsia="zh-CN"/>
        </w:rPr>
        <w:footnoteReference w:id="81"/>
      </w:r>
      <w:r w:rsidRPr="00186C14">
        <w:rPr>
          <w:rFonts w:hint="cs"/>
          <w:rtl/>
          <w:lang w:eastAsia="zh-CN"/>
        </w:rPr>
        <w:t>), וכיון שפסק רבינו הזקן (סתפ"ט ס"ב) דהעיקר הוא כמ"ד ספירה בזמן הזה מד"ס, נחשב עתה כספק ספיקא דעלמא של מי שברך ביום, ולכן ממשיך לספור בברכה, עכת"ד.</w:t>
      </w:r>
    </w:p>
    <w:p w:rsidR="009631B7" w:rsidRPr="00186C14" w:rsidRDefault="009631B7" w:rsidP="009631B7">
      <w:pPr>
        <w:pStyle w:val="a3"/>
        <w:rPr>
          <w:rtl/>
          <w:lang w:eastAsia="zh-CN"/>
        </w:rPr>
      </w:pPr>
      <w:r w:rsidRPr="00186C14">
        <w:rPr>
          <w:rFonts w:hint="cs"/>
          <w:rtl/>
          <w:lang w:eastAsia="zh-CN"/>
        </w:rPr>
        <w:t xml:space="preserve">ולא נהירא לי כלל, דהרי כוונת אדה"ז שם הוא, דבמילי דרבנן אמרינן דספיקא דרבנן לקולא, ולאו דאמרינן דבין השמשות יום הוא. ואלא דהתם, הא דאמרינן דספיקא לקולא היינו דסמכינן אהא דבין השמשות יום הוא. וכלשון אדה"ז (סתקכ"ז שם): "לפי שספק דברי סופרים להקל ואנו </w:t>
      </w:r>
      <w:r w:rsidRPr="00186C14">
        <w:rPr>
          <w:rFonts w:hint="cs"/>
          <w:b/>
          <w:bCs/>
          <w:rtl/>
          <w:lang w:eastAsia="zh-CN"/>
        </w:rPr>
        <w:t>תולין</w:t>
      </w:r>
      <w:r w:rsidRPr="00186C14">
        <w:rPr>
          <w:rFonts w:hint="cs"/>
          <w:rtl/>
          <w:lang w:eastAsia="zh-CN"/>
        </w:rPr>
        <w:t xml:space="preserve"> לומר עדיין יום הוא".</w:t>
      </w:r>
    </w:p>
    <w:p w:rsidR="009631B7" w:rsidRPr="00186C14" w:rsidRDefault="009631B7" w:rsidP="009631B7">
      <w:pPr>
        <w:pStyle w:val="a3"/>
        <w:rPr>
          <w:rtl/>
          <w:lang w:eastAsia="zh-CN"/>
        </w:rPr>
      </w:pPr>
      <w:r w:rsidRPr="00186C14">
        <w:rPr>
          <w:rFonts w:hint="cs"/>
          <w:rtl/>
          <w:lang w:eastAsia="zh-CN"/>
        </w:rPr>
        <w:t xml:space="preserve">אבל הכא, הא דאמרינן דספיקא דרבנן לקולא פירושו, דהא דתקינו רבנן לברך על מצות ספירת העומר, אמרינן לקולא שאינו צריך </w:t>
      </w:r>
      <w:r w:rsidRPr="00186C14">
        <w:rPr>
          <w:rtl/>
          <w:lang w:eastAsia="zh-CN"/>
        </w:rPr>
        <w:t>–</w:t>
      </w:r>
      <w:r w:rsidRPr="00186C14">
        <w:rPr>
          <w:rFonts w:hint="cs"/>
          <w:rtl/>
          <w:lang w:eastAsia="zh-CN"/>
        </w:rPr>
        <w:t xml:space="preserve"> (ואינו יכול (משום שם שמים לבטלה )) </w:t>
      </w:r>
      <w:r w:rsidRPr="00186C14">
        <w:rPr>
          <w:rtl/>
          <w:lang w:eastAsia="zh-CN"/>
        </w:rPr>
        <w:t>–</w:t>
      </w:r>
      <w:r w:rsidRPr="00186C14">
        <w:rPr>
          <w:rFonts w:hint="cs"/>
          <w:rtl/>
          <w:lang w:eastAsia="zh-CN"/>
        </w:rPr>
        <w:t xml:space="preserve"> לברך, ואנו תולין לומר ד</w:t>
      </w:r>
      <w:r w:rsidRPr="00186C14">
        <w:rPr>
          <w:rFonts w:hint="cs"/>
          <w:b/>
          <w:bCs/>
          <w:rtl/>
          <w:lang w:eastAsia="zh-CN"/>
        </w:rPr>
        <w:t>לילה</w:t>
      </w:r>
      <w:r w:rsidRPr="00186C14">
        <w:rPr>
          <w:rFonts w:hint="cs"/>
          <w:rtl/>
          <w:lang w:eastAsia="zh-CN"/>
        </w:rPr>
        <w:t xml:space="preserve"> הוא.</w:t>
      </w:r>
    </w:p>
    <w:p w:rsidR="009631B7" w:rsidRPr="00186C14" w:rsidRDefault="009631B7" w:rsidP="009631B7">
      <w:pPr>
        <w:pStyle w:val="a3"/>
        <w:rPr>
          <w:rtl/>
          <w:lang w:eastAsia="zh-CN"/>
        </w:rPr>
      </w:pPr>
      <w:r w:rsidRPr="00186C14">
        <w:rPr>
          <w:rFonts w:hint="cs"/>
          <w:rtl/>
          <w:lang w:eastAsia="zh-CN"/>
        </w:rPr>
        <w:t xml:space="preserve">[אך כ"ז הוא רק אי אמרינן דספקא דבין השמשות היא כספיקא דעלמא, אך אולי אמרינן דספיקא דבין השמשות היא ספק בפ"ע, וא"כ אינו מצטרף לשאר הספקות, וישתנה ההלכה]. </w:t>
      </w:r>
    </w:p>
    <w:p w:rsidR="009631B7" w:rsidRPr="00186C14" w:rsidRDefault="009631B7" w:rsidP="009631B7">
      <w:pPr>
        <w:pStyle w:val="a3"/>
        <w:rPr>
          <w:rtl/>
          <w:lang w:eastAsia="zh-CN"/>
        </w:rPr>
      </w:pPr>
      <w:r w:rsidRPr="00186C14">
        <w:rPr>
          <w:rFonts w:hint="cs"/>
          <w:rtl/>
          <w:lang w:eastAsia="zh-CN"/>
        </w:rPr>
        <w:t xml:space="preserve">אבל מ"מ בנוגע למי ש(ודאי לא ספר בלילה, ו)מסתפק אם ספר ביום, (דבמסתפק אם ספר בלילה ממשיך בברכה משום ספק ספיקא (שו"ע אדה"ז סתפ"ט סכ"ה)), דבזה ה"ה דומה למקרה הנ"ל, שפיר י"ל דהדין הוא כמו שנתב"ל, דאינו ממשיך לספור בברכה. </w:t>
      </w:r>
    </w:p>
    <w:p w:rsidR="009631B7" w:rsidRPr="00186C14" w:rsidRDefault="009631B7" w:rsidP="009631B7">
      <w:pPr>
        <w:pStyle w:val="a3"/>
        <w:rPr>
          <w:rtl/>
          <w:lang w:eastAsia="zh-CN"/>
        </w:rPr>
      </w:pPr>
      <w:r w:rsidRPr="00186C14">
        <w:rPr>
          <w:rFonts w:hint="cs"/>
          <w:rtl/>
          <w:lang w:eastAsia="zh-CN"/>
        </w:rPr>
        <w:t xml:space="preserve">אמנם יש להעיר שבאתר </w:t>
      </w:r>
      <w:r w:rsidRPr="00186C14">
        <w:rPr>
          <w:lang w:eastAsia="zh-CN"/>
        </w:rPr>
        <w:t>asktherav.com</w:t>
      </w:r>
      <w:r w:rsidRPr="00186C14">
        <w:rPr>
          <w:rFonts w:hint="cs"/>
          <w:rtl/>
          <w:lang w:eastAsia="zh-CN"/>
        </w:rPr>
        <w:t xml:space="preserve"> פסקו שיברך בתרתי (בדספר בבין השמשות ובדמסופק אם ספר ביום). </w:t>
      </w:r>
    </w:p>
    <w:p w:rsidR="006E31A6" w:rsidRDefault="006E31A6" w:rsidP="006E31A6">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6E31A6">
        <w:rPr>
          <w:rFonts w:ascii="Nymphette" w:eastAsia="Times New Roman" w:hAnsi="Nymphette" w:cs="Nymphette"/>
          <w:sz w:val="44"/>
          <w:szCs w:val="44"/>
        </w:rPr>
        <w:t>g</w:t>
      </w:r>
    </w:p>
    <w:p w:rsidR="00C43231" w:rsidRDefault="00C43231" w:rsidP="00C43231">
      <w:pPr>
        <w:pStyle w:val="a0"/>
        <w:rPr>
          <w:rtl/>
        </w:rPr>
      </w:pPr>
      <w:bookmarkStart w:id="171" w:name="_Toc37636209"/>
      <w:bookmarkStart w:id="172" w:name="_Toc39817469"/>
      <w:r w:rsidRPr="003460D8">
        <w:rPr>
          <w:rFonts w:hint="cs"/>
          <w:rtl/>
        </w:rPr>
        <w:lastRenderedPageBreak/>
        <w:t>תפילה בציבור במרפסות וברחובות בעת המגיפה ל"ע</w:t>
      </w:r>
      <w:bookmarkEnd w:id="171"/>
      <w:r>
        <w:t xml:space="preserve"> </w:t>
      </w:r>
      <w:r>
        <w:rPr>
          <w:rFonts w:hint="cs"/>
          <w:rtl/>
        </w:rPr>
        <w:t xml:space="preserve"> (גליון)</w:t>
      </w:r>
      <w:r>
        <w:rPr>
          <w:rStyle w:val="FootnoteReference"/>
          <w:rFonts w:eastAsia="David" w:cstheme="majorBidi"/>
          <w:bCs w:val="0"/>
          <w:sz w:val="32"/>
          <w:szCs w:val="32"/>
          <w:rtl/>
        </w:rPr>
        <w:footnoteReference w:id="82"/>
      </w:r>
      <w:bookmarkEnd w:id="172"/>
    </w:p>
    <w:p w:rsidR="00C43231" w:rsidRPr="00FF5281" w:rsidRDefault="00C43231" w:rsidP="00C93F24">
      <w:pPr>
        <w:pStyle w:val="a"/>
        <w:rPr>
          <w:rtl/>
        </w:rPr>
      </w:pPr>
      <w:bookmarkStart w:id="173" w:name="_Toc39817470"/>
      <w:r w:rsidRPr="00FF5281">
        <w:rPr>
          <w:rFonts w:hint="cs"/>
          <w:rtl/>
        </w:rPr>
        <w:t xml:space="preserve">הרב </w:t>
      </w:r>
      <w:r w:rsidRPr="00FF5281">
        <w:rPr>
          <w:rtl/>
        </w:rPr>
        <w:t>מאיר צירקינד</w:t>
      </w:r>
      <w:bookmarkEnd w:id="173"/>
    </w:p>
    <w:p w:rsidR="00C43231" w:rsidRDefault="00C43231" w:rsidP="00C43231">
      <w:pPr>
        <w:pStyle w:val="a1"/>
        <w:rPr>
          <w:rtl/>
        </w:rPr>
      </w:pPr>
      <w:r w:rsidRPr="00FF5281">
        <w:rPr>
          <w:rFonts w:hint="cs"/>
          <w:rtl/>
        </w:rPr>
        <w:t>מיאמי</w:t>
      </w:r>
      <w:r w:rsidRPr="00FF5281">
        <w:rPr>
          <w:rtl/>
        </w:rPr>
        <w:t xml:space="preserve">, </w:t>
      </w:r>
      <w:r w:rsidRPr="00FF5281">
        <w:rPr>
          <w:rFonts w:hint="cs"/>
          <w:rtl/>
        </w:rPr>
        <w:t>פלארידא</w:t>
      </w:r>
    </w:p>
    <w:p w:rsidR="00C43231" w:rsidRPr="003460D8" w:rsidRDefault="00C43231" w:rsidP="00C43231">
      <w:pPr>
        <w:pStyle w:val="a3"/>
      </w:pPr>
      <w:r w:rsidRPr="003460D8">
        <w:rPr>
          <w:rtl/>
        </w:rPr>
        <w:t>בגליון א' קע"ז האריך הרב ברוך אבערלאנדער שליט"א בענין היתר תפילה במרפסות וברחובות בעת המגיפה ל"ע עיי"ש.</w:t>
      </w:r>
    </w:p>
    <w:p w:rsidR="00E533D1" w:rsidRDefault="00C43231" w:rsidP="00E533D1">
      <w:pPr>
        <w:pStyle w:val="11"/>
        <w:bidi/>
        <w:rPr>
          <w:rtl/>
        </w:rPr>
      </w:pPr>
      <w:r>
        <w:rPr>
          <w:rFonts w:hint="cs"/>
          <w:rtl/>
        </w:rPr>
        <w:t xml:space="preserve">א. </w:t>
      </w:r>
    </w:p>
    <w:p w:rsidR="00C43231" w:rsidRDefault="00C43231" w:rsidP="00C43231">
      <w:pPr>
        <w:pStyle w:val="a3"/>
        <w:rPr>
          <w:rtl/>
        </w:rPr>
      </w:pPr>
      <w:r>
        <w:rPr>
          <w:rFonts w:hint="cs"/>
          <w:rtl/>
        </w:rPr>
        <w:t xml:space="preserve">הנה </w:t>
      </w:r>
      <w:r w:rsidRPr="003460D8">
        <w:rPr>
          <w:rtl/>
        </w:rPr>
        <w:t>ההיתר של 'מראה פנים' וכדומה כתב כ"ק אדה"ז בכמה מקומות</w:t>
      </w:r>
      <w:r>
        <w:rPr>
          <w:rFonts w:hint="cs"/>
          <w:rtl/>
        </w:rPr>
        <w:t>:</w:t>
      </w:r>
    </w:p>
    <w:p w:rsidR="00C43231" w:rsidRPr="003460D8" w:rsidRDefault="00C43231" w:rsidP="00C43231">
      <w:pPr>
        <w:pStyle w:val="a3"/>
      </w:pPr>
      <w:r w:rsidRPr="003460D8">
        <w:rPr>
          <w:rtl/>
        </w:rPr>
        <w:t>(סימן נה,טז וי"ז) "אבל מי שמראה פניו להעומדים בבית הכנסת... ומראה להם פנים דרך חלון שביניהם אפילו גבוה כמה קומות אפילו אינו רחב ד' מצטרף עמהם לעשרה. ...וה"ז כאילו מקצת העומדים בחוץ נראים למקצת העומדים בפנים שהם מצטרפין"</w:t>
      </w:r>
      <w:r>
        <w:rPr>
          <w:rFonts w:hint="cs"/>
          <w:rtl/>
        </w:rPr>
        <w:t>.</w:t>
      </w:r>
    </w:p>
    <w:p w:rsidR="00C43231" w:rsidRPr="003460D8" w:rsidRDefault="00C43231" w:rsidP="00C43231">
      <w:pPr>
        <w:pStyle w:val="a3"/>
      </w:pPr>
      <w:r w:rsidRPr="003460D8">
        <w:rPr>
          <w:rtl/>
        </w:rPr>
        <w:t>(סימן קעח,א) "היה אוכל בחדר זה ונטל המאכל בידו והלך לחדר אחר... ומכל מקום אם במקום שאוכל יכול לראות את מקומו הראשון שאכל שם אפילו דרך חלון ואפילו מקצת מקומו אין צריך לחזור ולברך". וכן כתב כ"ק בסברה"נ (פרק ט,יב).</w:t>
      </w:r>
    </w:p>
    <w:p w:rsidR="00C43231" w:rsidRPr="003460D8" w:rsidRDefault="00C43231" w:rsidP="00C43231">
      <w:pPr>
        <w:pStyle w:val="a3"/>
      </w:pPr>
      <w:r w:rsidRPr="003460D8">
        <w:rPr>
          <w:rtl/>
        </w:rPr>
        <w:t>(סימן קעח,ט) "...אבל כל שרואה מקומו הראשון אין כאן שינוי מקום כלל אפילו מאילן לאילן כיון שאינו מוקף מחיצות ויש מי שמחמיר גם בזה וספק ברכות להקל" וכן כתב כ"ק בסברה"נ (סוף פ"ט).</w:t>
      </w:r>
    </w:p>
    <w:p w:rsidR="00C43231" w:rsidRPr="003460D8" w:rsidRDefault="00C43231" w:rsidP="00C43231">
      <w:pPr>
        <w:pStyle w:val="a3"/>
      </w:pPr>
      <w:r w:rsidRPr="003460D8">
        <w:rPr>
          <w:rtl/>
        </w:rPr>
        <w:t xml:space="preserve">(סימן קצה,א) "ב' חבורות שאוכלות בבית אחד או בב' בתים שאין דרך הרבים מפסקת ביניהם אם מקצתן רואים אלו את אלו מצטרפות לזימון". </w:t>
      </w:r>
    </w:p>
    <w:p w:rsidR="00C43231" w:rsidRPr="003460D8" w:rsidRDefault="00C43231" w:rsidP="00C43231">
      <w:pPr>
        <w:pStyle w:val="a3"/>
      </w:pPr>
      <w:r w:rsidRPr="003460D8">
        <w:rPr>
          <w:rtl/>
        </w:rPr>
        <w:t>(סימן רעג,ב) "ומכל מקום אם בשעת אכילתו שם יכול הוא לראות משם את מקומו שקידש בו אפילו דרך חלון ואפילו מקצת מקומו יש אומרים שזה נקרא קידוש במקום סעודה ששני מקומות אלו כמקום אחד לענין קידוש כמו שהן כמקום אחד לענין צירוף לזימון כמ"ש בסי' קצ"ה ויש לסמוך על דבריהם בשעת הדחק"</w:t>
      </w:r>
    </w:p>
    <w:p w:rsidR="00E533D1" w:rsidRDefault="00C43231" w:rsidP="00E533D1">
      <w:pPr>
        <w:pStyle w:val="11"/>
        <w:bidi/>
        <w:rPr>
          <w:rtl/>
        </w:rPr>
      </w:pPr>
      <w:r>
        <w:rPr>
          <w:rFonts w:hint="cs"/>
          <w:rtl/>
        </w:rPr>
        <w:t>ב.</w:t>
      </w:r>
    </w:p>
    <w:p w:rsidR="00C43231" w:rsidRPr="003460D8" w:rsidRDefault="00C43231" w:rsidP="00C43231">
      <w:pPr>
        <w:pStyle w:val="a3"/>
      </w:pPr>
      <w:r>
        <w:rPr>
          <w:rFonts w:hint="cs"/>
          <w:rtl/>
        </w:rPr>
        <w:t xml:space="preserve"> אבל </w:t>
      </w:r>
      <w:r w:rsidRPr="003460D8">
        <w:rPr>
          <w:rtl/>
        </w:rPr>
        <w:t>מכל מקום, מאיזה טעם שיהיה, לא נחית לפרט דיני "רואה" ויש נפקותות בזה. ואפרט:</w:t>
      </w:r>
    </w:p>
    <w:p w:rsidR="00C43231" w:rsidRPr="003460D8" w:rsidRDefault="00C43231" w:rsidP="00C43231">
      <w:pPr>
        <w:pStyle w:val="a3"/>
      </w:pPr>
      <w:r w:rsidRPr="003460D8">
        <w:rPr>
          <w:rtl/>
        </w:rPr>
        <w:t>איתא בגמרא (זבחים קיח:) וז"ל: תנא 'רואה שאמרו' רואה כולו ולא המפסיק בינו לבינו. אמר ליה רבי שמעון בן אליקום לר' אלעזר אסברא לך כגון בי כנישתא דמעון. אמר רב פפא רואה שאמרו לא רואה כולו אלא רואה מקצתו. בעי רב פפא עומד ורואה יושב ואינו רואה מאי? בעי ר' ירמיה עומד על גבי הנחל ורואה (יושב) בתוך הנחל ואינו רואה מאי? תיקו.</w:t>
      </w:r>
    </w:p>
    <w:p w:rsidR="00C43231" w:rsidRPr="003460D8" w:rsidRDefault="00C43231" w:rsidP="00C43231">
      <w:pPr>
        <w:pStyle w:val="a3"/>
      </w:pPr>
      <w:r w:rsidRPr="003460D8">
        <w:rPr>
          <w:rtl/>
        </w:rPr>
        <w:lastRenderedPageBreak/>
        <w:t>רש"י: אסברא לי. הראני דוגמא לדבר: בי כנישתא דמעון. משם היו רואין את שילה ולא היה דבר מפסיק: לא רואה את כולה. לראות משם את כולה שילה אלא מקצת:</w:t>
      </w:r>
    </w:p>
    <w:p w:rsidR="00C43231" w:rsidRPr="003460D8" w:rsidRDefault="00C43231" w:rsidP="00C43231">
      <w:pPr>
        <w:pStyle w:val="a3"/>
      </w:pPr>
      <w:r w:rsidRPr="003460D8">
        <w:rPr>
          <w:rtl/>
        </w:rPr>
        <w:t>ה'שפת אמת' פירש שבספיקו של רב פפא ישנם ג' צדדים, א. כיון שיכול לראות בעמידה, מותר לאכול במקום זה גם בישיבה. ב. כיון שבישיבה אינו רואה, ודרך אכילה בישיבה, לפיכך גם בעמידה אינו אוכל. אף שבעמידה יכול לראות. ג. יתכן שבעמידה אוכל כיון שהוא רואה, ואילו בישיבה שאינו רואה לא יאכל.</w:t>
      </w:r>
    </w:p>
    <w:p w:rsidR="00C43231" w:rsidRPr="003460D8" w:rsidRDefault="00C43231" w:rsidP="00C43231">
      <w:pPr>
        <w:pStyle w:val="a3"/>
      </w:pPr>
      <w:r w:rsidRPr="003460D8">
        <w:rPr>
          <w:rtl/>
        </w:rPr>
        <w:t xml:space="preserve">לפי הגמרא "עומד ורואה יושב ואינו רואה" ו"עומד על גבי הנחל ורואה (יושב) בתוך הנחל ואינו רואה" עומדים ב"תיקו", וא"כ יש לשאול באם המניינים במרפסות וברחובות </w:t>
      </w:r>
      <w:r>
        <w:rPr>
          <w:rFonts w:hint="cs"/>
          <w:rtl/>
        </w:rPr>
        <w:t>כש</w:t>
      </w:r>
      <w:r w:rsidRPr="003460D8">
        <w:rPr>
          <w:rtl/>
        </w:rPr>
        <w:t xml:space="preserve">הם </w:t>
      </w:r>
      <w:r>
        <w:rPr>
          <w:rFonts w:hint="cs"/>
          <w:rtl/>
        </w:rPr>
        <w:t>בגדר</w:t>
      </w:r>
      <w:r w:rsidRPr="003460D8">
        <w:rPr>
          <w:rtl/>
        </w:rPr>
        <w:t xml:space="preserve"> של "עומד ורואה יושב ואינו רואה" אינם מצטרפים</w:t>
      </w:r>
      <w:r>
        <w:rPr>
          <w:rFonts w:hint="cs"/>
          <w:rtl/>
        </w:rPr>
        <w:t xml:space="preserve"> לעשרה</w:t>
      </w:r>
      <w:r w:rsidRPr="003460D8">
        <w:rPr>
          <w:rtl/>
        </w:rPr>
        <w:t>?</w:t>
      </w:r>
    </w:p>
    <w:p w:rsidR="00E533D1" w:rsidRDefault="00C43231" w:rsidP="00E533D1">
      <w:pPr>
        <w:pStyle w:val="11"/>
        <w:bidi/>
        <w:rPr>
          <w:rtl/>
        </w:rPr>
      </w:pPr>
      <w:r>
        <w:rPr>
          <w:rFonts w:hint="cs"/>
          <w:rtl/>
        </w:rPr>
        <w:t xml:space="preserve">ג. </w:t>
      </w:r>
    </w:p>
    <w:p w:rsidR="00C43231" w:rsidRPr="003460D8" w:rsidRDefault="00C43231" w:rsidP="00C43231">
      <w:pPr>
        <w:pStyle w:val="a3"/>
      </w:pPr>
      <w:r w:rsidRPr="003460D8">
        <w:rPr>
          <w:rtl/>
        </w:rPr>
        <w:t>בספר 'דעת תורה' (מהרש"ם) בסימן קל</w:t>
      </w:r>
      <w:r>
        <w:rPr>
          <w:rFonts w:hint="cs"/>
          <w:rtl/>
        </w:rPr>
        <w:t>"</w:t>
      </w:r>
      <w:r w:rsidRPr="003460D8">
        <w:rPr>
          <w:rtl/>
        </w:rPr>
        <w:t>א (ס"ב) כתב בענין נפילת אפים כנגד ארון הקודש : "ובדין עזרת נשים שכתב מהרי"ל [והובא במג"א דיכולים ליפול שם נפ"א, הטעם הוא] משום שיש בו חלונות [והוי כלפני הארון, וכמ"ש מג"א בפתח], וצ"ע היכי דהחלונות למעלה מקומת איש</w:t>
      </w:r>
      <w:r>
        <w:rPr>
          <w:rFonts w:hint="cs"/>
          <w:rtl/>
        </w:rPr>
        <w:t>.</w:t>
      </w:r>
      <w:r w:rsidRPr="003460D8">
        <w:rPr>
          <w:rtl/>
        </w:rPr>
        <w:t xml:space="preserve"> ועי' זבחים קי"ח ב. רואה שאמרו... בעי רב פפא עומד ורואה יושב ואינו רואה מאי וכו' ע"ש". עכ"ל.</w:t>
      </w:r>
    </w:p>
    <w:p w:rsidR="00C43231" w:rsidRPr="003460D8" w:rsidRDefault="00C43231" w:rsidP="00C43231">
      <w:pPr>
        <w:pStyle w:val="a3"/>
      </w:pPr>
      <w:r w:rsidRPr="003460D8">
        <w:rPr>
          <w:rtl/>
        </w:rPr>
        <w:t>ובסימן רע"ג (ס"א, בד"ה וי"א שכל) בענין קידוש במקום סעודה כתב ה'דעת תורה': "עיין מג"א סק"ג דאפילו רואה מקצת מקומו סגי... ועי' זבחים קי"ח ב. רואה שאמרו... ויש לעיין אם צריך לראות ממש או סגי בשיכול לראות?... ועיין תוספות שבועות י"ז ב. ד"ה ואין אוכלים וכו' בהא דבעינן שיראה פתח עזרה בשעת אכילה דאפילו אם יש נקב לראות [דרך שם פתח  העזרה אין אוכלין, דבעינן שיראה פתח עזרה בשעת אכילה עכ"ל]...". עכ"ל.</w:t>
      </w:r>
    </w:p>
    <w:p w:rsidR="00C43231" w:rsidRPr="003460D8" w:rsidRDefault="00C43231" w:rsidP="00C43231">
      <w:pPr>
        <w:pStyle w:val="a3"/>
      </w:pPr>
      <w:r w:rsidRPr="003460D8">
        <w:rPr>
          <w:rtl/>
        </w:rPr>
        <w:t>וכן ה'מנחת פיתים' כתב על דברי המג"א (רע"ג סק"ג): ונלע"ד קצת ראיה מזבחים קי"ח בקדשים שנאכלין בכל הרואה, רואה שאמרו לא רואה כולו אלא רואה מקצתו יעו"ש. עכ"ל.</w:t>
      </w:r>
    </w:p>
    <w:p w:rsidR="00C43231" w:rsidRPr="003460D8" w:rsidRDefault="00C43231" w:rsidP="00C43231">
      <w:pPr>
        <w:pStyle w:val="a3"/>
      </w:pPr>
      <w:r w:rsidRPr="003460D8">
        <w:rPr>
          <w:rtl/>
        </w:rPr>
        <w:t>ב'חיי אדם' כלל נט סעיף ו' (וי"ב) כשכתב שני הדינים הנ"ל מסימן קע"ח, כתב: "ונראה לי ראיה לדבריו [מג"א] מזבחים קי"ח ע"ב... אלא רואה מקצתו. בעי ר"פ... ונראה לי, דלענין זה מקרי רואה."</w:t>
      </w:r>
    </w:p>
    <w:p w:rsidR="00C43231" w:rsidRPr="00C43231" w:rsidRDefault="00C43231" w:rsidP="00C43231">
      <w:pPr>
        <w:pStyle w:val="a3"/>
      </w:pPr>
      <w:r w:rsidRPr="003460D8">
        <w:rPr>
          <w:rtl/>
        </w:rPr>
        <w:t>ויש להעתיק דברי ה'בן איש חי' (שנה ראשונה פרשת בהעלותך סעיף י): "ובסה"ק מקבציאל חקרתי בס"ד אם אינו רואה כל מקומו אלא מקצתו מאי, ואת"ל רואה מקצתו סגי ולא בעינן כולו, הנה אם רואהו כשהוא עומד ואינו רואהו כשהוא יושב מאי, והיכא דעומד ואוכל לא קמבעיא לן, אך מבעיא לן כשהוא יושב ואוכל ואינו רואהו, אי אמרינן כיון דאם יעמוד רואהו מהני או"ד לא מהני. ואת"ל כיון דאם עמד היה רואהו מהני, הנה אם היה עומד בתוך גומא ואינו רואהו אבל אם היה עומד על שפת הגומא רואהו מאי, ושם הבאתי בס"ד מ"ש בגמרא דזבחים דף קי"ח כל ספיקות אלו גבי אכילת קדשים בראיית שילה, וספק הא' נפשט משם דמהני ראיה של מקצתו כי כן פשיטא ליה לרב פפא שם... ושאר ספיקות דנ"ד הם בעיות דרב פפא ורבי ירמיה שם דנשארו בתיקו</w:t>
      </w:r>
      <w:r>
        <w:rPr>
          <w:rFonts w:hint="cs"/>
          <w:rtl/>
        </w:rPr>
        <w:t>...</w:t>
      </w:r>
      <w:r w:rsidRPr="003460D8">
        <w:rPr>
          <w:rtl/>
        </w:rPr>
        <w:t xml:space="preserve"> ולכן כיון דהש"ס מסיק התם בתיקו כן ספיקות דנ"ד </w:t>
      </w:r>
      <w:r>
        <w:rPr>
          <w:rFonts w:hint="cs"/>
          <w:rtl/>
        </w:rPr>
        <w:t xml:space="preserve">(=דנידון דנן) </w:t>
      </w:r>
      <w:r w:rsidRPr="003460D8">
        <w:rPr>
          <w:rtl/>
        </w:rPr>
        <w:t xml:space="preserve">נשארו בספק ולא יברך, כיצד יעשה, יביא אדם אחר שיברך ויכוין </w:t>
      </w:r>
      <w:r w:rsidRPr="00C43231">
        <w:rPr>
          <w:rtl/>
        </w:rPr>
        <w:lastRenderedPageBreak/>
        <w:t>לפטרו ואז יאכל</w:t>
      </w:r>
      <w:r w:rsidRPr="00C43231">
        <w:rPr>
          <w:rFonts w:hint="cs"/>
          <w:rtl/>
        </w:rPr>
        <w:t>..." עכ"ל.</w:t>
      </w:r>
    </w:p>
    <w:p w:rsidR="00C43231" w:rsidRPr="00C43231" w:rsidRDefault="00C43231" w:rsidP="00C43231">
      <w:pPr>
        <w:pStyle w:val="a3"/>
      </w:pPr>
      <w:r w:rsidRPr="00C43231">
        <w:rPr>
          <w:rFonts w:hint="cs"/>
          <w:rtl/>
        </w:rPr>
        <w:t>ב</w:t>
      </w:r>
      <w:r w:rsidRPr="00C43231">
        <w:rPr>
          <w:rtl/>
        </w:rPr>
        <w:t xml:space="preserve">מנחת חינוך פרשת קדושים מצוה רנד,א </w:t>
      </w:r>
      <w:r w:rsidRPr="00C43231">
        <w:rPr>
          <w:rFonts w:hint="cs"/>
          <w:rtl/>
        </w:rPr>
        <w:t>"</w:t>
      </w:r>
      <w:r w:rsidRPr="00C43231">
        <w:rPr>
          <w:rtl/>
        </w:rPr>
        <w:t>לירא מן המקדש. ע' ר"מ פ"ז מהבהב"ח ה"ה כ' לא יקל את ראשו כנגד שער מזרחי של עזרה והכ"מ ציין להש"ס פ' הרואה במשנה וגם בה"ז כתב הר"מ והביאו הרהמ"ח לקמן דאף בחורבנו לא יקל ראשו נגד שער מזרחי ולא הגביל מקום מהיכן אסור ואח"ז בה"ח כתב בזמן שבהמ"ק בנוי אסור להקל ראשו מצופים ולפנים וברואה ובאין גדר ולא כתב כאן נגד שער המזרח נראה מדבריו דמצופים ולפנים ורואה ושאר התנאים א"צ תנאי זה נגד שער המזרח ולעיל דכתב שער המזרח לא כתב שום תנאי נראה דנגד שער המזרח אסור בכ"ע ובפי' כ' וגם הרהמ"ח דאף היום שהמקדש חרב בעונינו אסור להקל נגד שער המזרח ע"ש בה"ז. ובאמת תמוה לי מאוד הא במשנה על האידנא דלא יקל כו' נגד שער המזרח מבואר בגמ' דס"א אר"י א"ר ואתמר נמי לא אמרו אלא מן הצופים ולפנים וברואה ואין גדר ובזמן שהשכינה שורה מבואר בהדיא דנגד שער המזרח צריכים לכל התנאים וצריך שיהיה בהמ"ק קיים ואיך כתב ז"ל דאסור אף האידנא ולא הגביל מקום ושלא כנגד שער המזרחי נראה דאין איסור אף מן הצופים לפנים כי האמוראים לפרושי המשנה קאתי ע"ש דוקא נגד שער המזרחי אסור בתנאים הללו וצע"ג שלא הרגישו בזה נ"כ הר"מ ז"ל. (ועיין בלשון הר"מ שכ' נגד שער מזרחי של עזרה שהיה שער נקנור וברש"י במשנה שם כ' נגד מזרחי של הר הבית שהי' כנגד קה"ק ע"ש)</w:t>
      </w:r>
      <w:r w:rsidRPr="00C43231">
        <w:rPr>
          <w:b/>
          <w:bCs/>
          <w:rtl/>
        </w:rPr>
        <w:t xml:space="preserve"> והנה דין וברואה שכ' הר"מ פירש"י בברכות פרט למקום נמוך שאין רואה</w:t>
      </w:r>
      <w:r w:rsidRPr="00C43231">
        <w:rPr>
          <w:rtl/>
        </w:rPr>
        <w:t xml:space="preserve"> והנה במס' זבחים דקי"ח גבי שילה שנאכלין ק"ק ומע"ש בכל הרואה שם בעי ר"פ עומד ורואה יושב ואינו רואה מאי ור' ירמיה בעי עומד ע"ג הנחל ורואה בתוך הנחל ואינו רואה מאי והנה אבעיות הללו לכאורה אין שום נ"מ האידנא דמאי דהוי הוי כי ירושלים אין אחריה היתר</w:t>
      </w:r>
      <w:r w:rsidRPr="00C43231">
        <w:rPr>
          <w:rFonts w:hint="cs"/>
          <w:rtl/>
        </w:rPr>
        <w:t>?! ...</w:t>
      </w:r>
      <w:r w:rsidRPr="00C43231">
        <w:rPr>
          <w:rtl/>
        </w:rPr>
        <w:t xml:space="preserve">עכצ"ל דהאבעיות נ"מ לנידון דידן דאסור ברואה אף האידנא לשיטת הר"מ ואף לפמ"ש דדוקא בזמן המקדש נ"מ כשיבנה בהמ"ק ב"ב א"כ אבעיות אלו אם עומד ורואה או ע"ג הנחל כו' אם נקראים רואה לענין זה </w:t>
      </w:r>
      <w:r w:rsidRPr="00C43231">
        <w:rPr>
          <w:b/>
          <w:bCs/>
          <w:rtl/>
        </w:rPr>
        <w:t>והנה האבעיות שם לא אפשיטא וא"כ כיון דמורא המקדש דאורייתא בודאי לחומרא אזלינן דגם בכה"ג מיקרי רואה</w:t>
      </w:r>
      <w:r w:rsidRPr="00C43231">
        <w:rPr>
          <w:rFonts w:hint="cs"/>
          <w:rtl/>
        </w:rPr>
        <w:t>..." עכ"ל.</w:t>
      </w:r>
    </w:p>
    <w:p w:rsidR="00C43231" w:rsidRPr="00C43231" w:rsidRDefault="00C43231" w:rsidP="00C43231">
      <w:pPr>
        <w:pStyle w:val="a3"/>
      </w:pPr>
      <w:r w:rsidRPr="00C43231">
        <w:rPr>
          <w:rtl/>
        </w:rPr>
        <w:t>ובאמת כ"כ הרב האי גאון בפירושו על מסכת ברכות</w:t>
      </w:r>
      <w:r w:rsidRPr="00C43231">
        <w:rPr>
          <w:rFonts w:hint="cs"/>
          <w:rtl/>
        </w:rPr>
        <w:t xml:space="preserve"> (נראה לא ראה בעל המנחת חינוך פירוש הרב האי גאון) </w:t>
      </w:r>
      <w:r w:rsidRPr="00C43231">
        <w:rPr>
          <w:rtl/>
        </w:rPr>
        <w:t>"ותנן לא יקל אדם את ראשו כנגד שער המזרח. אמר רב יהודה, לא אסרו אלא מן הצופים ולפנים וברואה. איתמר נמי, א"ר אבא בריה דרבי חייא בר אבא הכי אמר רבי יוחנן, לא אסרו אלא מן הצופים ולפנים וברואה ובמקום שאין שם גדר ובזמן שהשכינה שורה. ואית רבנן דגרסי לה, תניא נמי הכי לא אסרו אלא מן הצופים ולפנים וברואה וכול'" וממשיך פירוש של "קלות ראש" ושל "צופים" ושל "רואה שאמרו" ומבאר שרואה שאמרו כאן (בברכות) היינו כמ"ש הגמרא בזבחים קיח ע"ב הנ"ל.</w:t>
      </w:r>
    </w:p>
    <w:p w:rsidR="006E31A6" w:rsidRPr="006E31A6" w:rsidRDefault="006E31A6" w:rsidP="006E31A6">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6E31A6">
        <w:rPr>
          <w:rFonts w:ascii="Nymphette" w:eastAsia="Times New Roman" w:hAnsi="Nymphette" w:cs="Nymphette"/>
          <w:sz w:val="44"/>
          <w:szCs w:val="44"/>
        </w:rPr>
        <w:t>g</w:t>
      </w:r>
    </w:p>
    <w:p w:rsidR="005D1881" w:rsidRDefault="005D1881">
      <w:pPr>
        <w:rPr>
          <w:rFonts w:ascii="FbSfaradi Medium" w:eastAsia="Times New Roman" w:hAnsi="FbSfaradi Medium" w:cs="FbSfaradi Medium"/>
          <w:sz w:val="70"/>
          <w:szCs w:val="70"/>
          <w:rtl/>
          <w:lang w:val="en-GB"/>
        </w:rPr>
      </w:pPr>
      <w:r>
        <w:rPr>
          <w:rtl/>
        </w:rPr>
        <w:br w:type="page"/>
      </w:r>
    </w:p>
    <w:p w:rsidR="00760DB7" w:rsidRPr="00760DB7" w:rsidRDefault="00760DB7" w:rsidP="00AC425E">
      <w:pPr>
        <w:pStyle w:val="12"/>
        <w:rPr>
          <w:rtl/>
        </w:rPr>
      </w:pPr>
      <w:bookmarkStart w:id="174" w:name="_Toc39817471"/>
      <w:r w:rsidRPr="00760DB7">
        <w:rPr>
          <w:rFonts w:hint="cs"/>
          <w:rtl/>
        </w:rPr>
        <w:lastRenderedPageBreak/>
        <w:t>שונות</w:t>
      </w:r>
      <w:bookmarkEnd w:id="174"/>
    </w:p>
    <w:p w:rsidR="005D1881" w:rsidRDefault="005D1881" w:rsidP="005D1881">
      <w:pPr>
        <w:pStyle w:val="a0"/>
        <w:rPr>
          <w:rFonts w:eastAsia="Calibri"/>
          <w:rtl/>
        </w:rPr>
      </w:pPr>
      <w:bookmarkStart w:id="175" w:name="_Toc39817472"/>
      <w:bookmarkEnd w:id="72"/>
      <w:bookmarkEnd w:id="89"/>
      <w:bookmarkEnd w:id="90"/>
      <w:bookmarkEnd w:id="91"/>
      <w:bookmarkEnd w:id="92"/>
      <w:bookmarkEnd w:id="153"/>
      <w:r>
        <w:rPr>
          <w:rFonts w:eastAsia="Calibri" w:hint="cs"/>
          <w:rtl/>
        </w:rPr>
        <w:t>המקור למנהג נתינת מתנת נישואין</w:t>
      </w:r>
      <w:bookmarkEnd w:id="175"/>
      <w:r>
        <w:rPr>
          <w:rFonts w:eastAsia="Calibri" w:hint="cs"/>
          <w:rtl/>
        </w:rPr>
        <w:t xml:space="preserve"> </w:t>
      </w:r>
    </w:p>
    <w:p w:rsidR="005D1881" w:rsidRDefault="005D1881" w:rsidP="005D1881">
      <w:pPr>
        <w:pStyle w:val="a0"/>
        <w:rPr>
          <w:rFonts w:eastAsia="Calibri"/>
          <w:rtl/>
        </w:rPr>
      </w:pPr>
      <w:bookmarkStart w:id="176" w:name="_Toc39817473"/>
      <w:r>
        <w:rPr>
          <w:rFonts w:eastAsia="Calibri" w:hint="cs"/>
          <w:rtl/>
        </w:rPr>
        <w:t>("דרשה געשאנק")</w:t>
      </w:r>
      <w:bookmarkEnd w:id="176"/>
    </w:p>
    <w:p w:rsidR="005D1881" w:rsidRPr="005D1881" w:rsidRDefault="005D1881" w:rsidP="00C93F24">
      <w:pPr>
        <w:pStyle w:val="a"/>
        <w:rPr>
          <w:rtl/>
        </w:rPr>
      </w:pPr>
      <w:bookmarkStart w:id="177" w:name="_Toc39817474"/>
      <w:r w:rsidRPr="005D1881">
        <w:rPr>
          <w:rFonts w:hint="cs"/>
          <w:rtl/>
        </w:rPr>
        <w:t>הרב</w:t>
      </w:r>
      <w:r w:rsidRPr="005D1881">
        <w:rPr>
          <w:rtl/>
        </w:rPr>
        <w:t xml:space="preserve"> מנחם מענדל רייצס</w:t>
      </w:r>
      <w:bookmarkEnd w:id="177"/>
    </w:p>
    <w:p w:rsidR="005D1881" w:rsidRPr="005D1881" w:rsidRDefault="005D1881" w:rsidP="005D1881">
      <w:pPr>
        <w:pStyle w:val="a1"/>
        <w:rPr>
          <w:rtl/>
        </w:rPr>
      </w:pPr>
      <w:r w:rsidRPr="005D1881">
        <w:rPr>
          <w:rtl/>
        </w:rPr>
        <w:t>קרית גת</w:t>
      </w:r>
    </w:p>
    <w:p w:rsidR="005D1881" w:rsidRPr="00281329" w:rsidRDefault="005D1881" w:rsidP="005D1881">
      <w:pPr>
        <w:pStyle w:val="a3"/>
        <w:rPr>
          <w:rtl/>
        </w:rPr>
      </w:pPr>
      <w:r>
        <w:rPr>
          <w:rFonts w:hint="cs"/>
          <w:rtl/>
        </w:rPr>
        <w:t>[</w:t>
      </w:r>
      <w:r w:rsidRPr="005726DF">
        <w:rPr>
          <w:rFonts w:hint="cs"/>
          <w:rtl/>
        </w:rPr>
        <w:t xml:space="preserve">יהיו דברים אלו בענין השתתפות בשמחת נישואין של חתן וכלה, לזכות אחייני החתן הת' </w:t>
      </w:r>
      <w:r w:rsidRPr="005726DF">
        <w:rPr>
          <w:rFonts w:hint="cs"/>
          <w:b/>
          <w:bCs/>
          <w:rtl/>
        </w:rPr>
        <w:t>אהרן חיים זאנוויל</w:t>
      </w:r>
      <w:r w:rsidRPr="005726DF">
        <w:rPr>
          <w:rFonts w:hint="cs"/>
          <w:rtl/>
        </w:rPr>
        <w:t xml:space="preserve"> שי' ובת גילו הכלה </w:t>
      </w:r>
      <w:r w:rsidRPr="005726DF">
        <w:rPr>
          <w:rFonts w:hint="cs"/>
          <w:b/>
          <w:bCs/>
          <w:rtl/>
        </w:rPr>
        <w:t>יהודית חי'</w:t>
      </w:r>
      <w:r w:rsidRPr="005726DF">
        <w:rPr>
          <w:rFonts w:hint="cs"/>
          <w:rtl/>
        </w:rPr>
        <w:t xml:space="preserve"> תי', </w:t>
      </w:r>
      <w:r>
        <w:rPr>
          <w:rFonts w:hint="cs"/>
          <w:rtl/>
        </w:rPr>
        <w:t xml:space="preserve">שנישאו בשעטומו"צ </w:t>
      </w:r>
      <w:r w:rsidRPr="005726DF">
        <w:rPr>
          <w:rFonts w:hint="cs"/>
          <w:rtl/>
        </w:rPr>
        <w:t>בכ"ח ניסן תש"פ</w:t>
      </w:r>
      <w:r>
        <w:rPr>
          <w:rFonts w:hint="cs"/>
          <w:rtl/>
        </w:rPr>
        <w:t>, שיזכו לבנות בנין עדי עד מתוך בריאות כו' ומהרה ישמע גו' קול חתן וקול כלה בגאולה האמיתית והשלימה].</w:t>
      </w:r>
    </w:p>
    <w:p w:rsidR="00FA5CCA" w:rsidRDefault="005D1881" w:rsidP="00FA5CCA">
      <w:pPr>
        <w:pStyle w:val="a3"/>
        <w:spacing w:after="0"/>
        <w:rPr>
          <w:rtl/>
        </w:rPr>
      </w:pPr>
      <w:r>
        <w:rPr>
          <w:rFonts w:hint="cs"/>
          <w:rtl/>
        </w:rPr>
        <w:t xml:space="preserve">היו כמה פעמים שנתן כ"ק אדמו"ר המחאה </w:t>
      </w:r>
      <w:r>
        <w:rPr>
          <w:rtl/>
        </w:rPr>
        <w:t>–</w:t>
      </w:r>
      <w:r>
        <w:rPr>
          <w:rFonts w:hint="cs"/>
          <w:rtl/>
        </w:rPr>
        <w:t xml:space="preserve"> צ'ק </w:t>
      </w:r>
      <w:r>
        <w:rPr>
          <w:rtl/>
        </w:rPr>
        <w:t>–</w:t>
      </w:r>
      <w:r>
        <w:rPr>
          <w:rFonts w:hint="cs"/>
          <w:rtl/>
        </w:rPr>
        <w:t xml:space="preserve"> כמתנה לחתונה, וציין בכתי"ק על</w:t>
      </w:r>
    </w:p>
    <w:p w:rsidR="00FA5CCA" w:rsidRDefault="00FA5CCA" w:rsidP="00FA5CCA">
      <w:pPr>
        <w:pStyle w:val="a3"/>
        <w:spacing w:after="0"/>
        <w:rPr>
          <w:rtl/>
        </w:rPr>
      </w:pPr>
      <w:r>
        <w:rPr>
          <w:rFonts w:hint="cs"/>
          <w:rtl/>
        </w:rPr>
        <w:t>גבי ההמחאה עצמה ציון לדברי הזהר, וכמו זה:</w:t>
      </w:r>
    </w:p>
    <w:p w:rsidR="005D1881" w:rsidRDefault="005D1881" w:rsidP="00FA5CCA">
      <w:pPr>
        <w:pStyle w:val="a3"/>
        <w:rPr>
          <w:rtl/>
        </w:rPr>
      </w:pPr>
      <w:r w:rsidRPr="00597D75">
        <w:rPr>
          <w:noProof/>
          <w:sz w:val="24"/>
          <w:szCs w:val="24"/>
          <w:lang w:val="en-US"/>
        </w:rPr>
        <w:drawing>
          <wp:inline distT="0" distB="0" distL="0" distR="0">
            <wp:extent cx="4122909" cy="2106592"/>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pic:cNvPicPr>
                      <a:picLocks noChangeAspect="1" noChangeArrowheads="1"/>
                    </pic:cNvPicPr>
                  </pic:nvPicPr>
                  <pic:blipFill>
                    <a:blip r:embed="rId10" cstate="print">
                      <a:extLst>
                        <a:ext uri="{28A0092B-C50C-407E-A947-70E740481C1C}">
                          <a14:useLocalDpi xmlns:a14="http://schemas.microsoft.com/office/drawing/2010/main" val="0"/>
                        </a:ext>
                      </a:extLst>
                    </a:blip>
                    <a:srcRect b="27315"/>
                    <a:stretch>
                      <a:fillRect/>
                    </a:stretch>
                  </pic:blipFill>
                  <pic:spPr bwMode="auto">
                    <a:xfrm>
                      <a:off x="0" y="0"/>
                      <a:ext cx="4140792" cy="2115729"/>
                    </a:xfrm>
                    <a:prstGeom prst="rect">
                      <a:avLst/>
                    </a:prstGeom>
                    <a:noFill/>
                    <a:ln>
                      <a:noFill/>
                    </a:ln>
                  </pic:spPr>
                </pic:pic>
              </a:graphicData>
            </a:graphic>
          </wp:inline>
        </w:drawing>
      </w:r>
    </w:p>
    <w:p w:rsidR="005D1881" w:rsidRDefault="005D1881" w:rsidP="005D1881">
      <w:pPr>
        <w:pStyle w:val="a3"/>
        <w:rPr>
          <w:rtl/>
        </w:rPr>
      </w:pPr>
      <w:r>
        <w:rPr>
          <w:rFonts w:hint="cs"/>
          <w:rtl/>
        </w:rPr>
        <w:t>ולעת עתה ראיתי (צילום של) שלושה המחאות כאלה, כי בנוסף לההמחאה הנ"ל התפרסמו (ב'תשורות')</w:t>
      </w:r>
      <w:r>
        <w:rPr>
          <w:rFonts w:hint="cs"/>
        </w:rPr>
        <w:t xml:space="preserve"> </w:t>
      </w:r>
      <w:r>
        <w:rPr>
          <w:rFonts w:hint="cs"/>
          <w:rtl/>
        </w:rPr>
        <w:t xml:space="preserve">גם ההמחאה שנתן כ"ק אדמו"ר בקשר לחתונת הרה"ח ר' חיים ברוך הלברשטאם שליט"א, וכן בקשר לחתונת הרה"ח ר' נחמן יוסף טווערסקי שליט"א [ולהעיר שהסכום זהה בשלושת ההמחאות]. </w:t>
      </w:r>
    </w:p>
    <w:p w:rsidR="005D1881" w:rsidRDefault="005D1881" w:rsidP="005D1881">
      <w:pPr>
        <w:pStyle w:val="a3"/>
        <w:rPr>
          <w:rtl/>
        </w:rPr>
      </w:pPr>
      <w:r>
        <w:rPr>
          <w:rFonts w:hint="cs"/>
          <w:rtl/>
        </w:rPr>
        <w:t xml:space="preserve">והנה, החתונות הנ"ל התקיימו בשנים שבהן </w:t>
      </w:r>
      <w:r w:rsidRPr="00F93E28">
        <w:rPr>
          <w:rFonts w:hint="cs"/>
          <w:b/>
          <w:bCs/>
          <w:rtl/>
        </w:rPr>
        <w:t>לא</w:t>
      </w:r>
      <w:r>
        <w:rPr>
          <w:rFonts w:hint="cs"/>
          <w:rtl/>
        </w:rPr>
        <w:t xml:space="preserve"> נהג כ"ק אדמו"ר להשתתף בגופו בשמחת נישואין, לא בחופה ובוודאי לא בסעודה, כידוע ומפורסם;</w:t>
      </w:r>
    </w:p>
    <w:p w:rsidR="005D1881" w:rsidRDefault="005D1881" w:rsidP="005D1881">
      <w:pPr>
        <w:pStyle w:val="a3"/>
        <w:rPr>
          <w:sz w:val="24"/>
          <w:szCs w:val="24"/>
          <w:rtl/>
        </w:rPr>
      </w:pPr>
      <w:r>
        <w:rPr>
          <w:rFonts w:hint="cs"/>
          <w:rtl/>
        </w:rPr>
        <w:t>ולפי זה צריך עיון בזה שציין ל"</w:t>
      </w:r>
      <w:r w:rsidRPr="00F93E28">
        <w:rPr>
          <w:rFonts w:hint="cs"/>
          <w:b/>
          <w:bCs/>
          <w:rtl/>
        </w:rPr>
        <w:t>זח"א קמט, א</w:t>
      </w:r>
      <w:r>
        <w:rPr>
          <w:rFonts w:hint="cs"/>
          <w:rtl/>
        </w:rPr>
        <w:t xml:space="preserve">": </w:t>
      </w:r>
    </w:p>
    <w:p w:rsidR="005D1881" w:rsidRDefault="005D1881" w:rsidP="005D1881">
      <w:pPr>
        <w:pStyle w:val="a3"/>
        <w:rPr>
          <w:rtl/>
        </w:rPr>
      </w:pPr>
      <w:r w:rsidRPr="00F93E28">
        <w:rPr>
          <w:rtl/>
        </w:rPr>
        <w:t xml:space="preserve">בזהר שם מסופר על רבי יצחק שפגש בההוא "בר נש", וסיפר ה"בר נש" </w:t>
      </w:r>
      <w:r>
        <w:rPr>
          <w:rFonts w:hint="cs"/>
          <w:rtl/>
        </w:rPr>
        <w:t xml:space="preserve">לרבי יצחק </w:t>
      </w:r>
      <w:r w:rsidRPr="00F93E28">
        <w:rPr>
          <w:rtl/>
        </w:rPr>
        <w:t>שע</w:t>
      </w:r>
      <w:r>
        <w:rPr>
          <w:rFonts w:hint="cs"/>
          <w:rtl/>
        </w:rPr>
        <w:t>שה לבנו</w:t>
      </w:r>
      <w:r w:rsidRPr="00F93E28">
        <w:rPr>
          <w:rtl/>
        </w:rPr>
        <w:t xml:space="preserve"> "הילולא" לכבוד חתונתו. </w:t>
      </w:r>
    </w:p>
    <w:p w:rsidR="005D1881" w:rsidRPr="00F93E28" w:rsidRDefault="005D1881" w:rsidP="005D1881">
      <w:pPr>
        <w:pStyle w:val="a3"/>
        <w:rPr>
          <w:rtl/>
        </w:rPr>
      </w:pPr>
      <w:r w:rsidRPr="00F93E28">
        <w:rPr>
          <w:rtl/>
        </w:rPr>
        <w:lastRenderedPageBreak/>
        <w:t>ואמר ה"בר נש" לרבי יצחק</w:t>
      </w:r>
      <w:r>
        <w:rPr>
          <w:rFonts w:hint="cs"/>
          <w:rtl/>
        </w:rPr>
        <w:t xml:space="preserve"> שלושה טעמים על זה שלא הזמינו (את רבי יצחק)</w:t>
      </w:r>
      <w:r>
        <w:rPr>
          <w:rFonts w:hint="cs"/>
        </w:rPr>
        <w:t xml:space="preserve"> </w:t>
      </w:r>
      <w:r>
        <w:rPr>
          <w:rFonts w:hint="cs"/>
          <w:rtl/>
        </w:rPr>
        <w:t>לשמחת החתונה</w:t>
      </w:r>
      <w:r w:rsidRPr="00F93E28">
        <w:rPr>
          <w:rtl/>
        </w:rPr>
        <w:t>, והשלישי שבהם:</w:t>
      </w:r>
      <w:r w:rsidRPr="00F93E28">
        <w:t xml:space="preserve"> </w:t>
      </w:r>
      <w:r w:rsidRPr="00F93E28">
        <w:rPr>
          <w:rtl/>
        </w:rPr>
        <w:t xml:space="preserve">"דלא תכסיף קמי אנשי דחבורא, דאורחא דילן </w:t>
      </w:r>
      <w:r w:rsidRPr="00F93E28">
        <w:rPr>
          <w:b/>
          <w:bCs/>
          <w:rtl/>
        </w:rPr>
        <w:t>דכל אינון דאכלין לפתורא דחתן וכלה – כולהו יהבי נבזבזן ומתנן לון</w:t>
      </w:r>
      <w:r w:rsidRPr="00F93E28">
        <w:rPr>
          <w:rtl/>
        </w:rPr>
        <w:t>".</w:t>
      </w:r>
      <w:r>
        <w:rPr>
          <w:rFonts w:hint="cs"/>
          <w:rtl/>
        </w:rPr>
        <w:t xml:space="preserve"> והיינו, שכיון שהמנהג אצלם היה שהאוכלים משולחן החתן והכלה מביאים להם מתנות, לכן לא רצה להזמין את רבי יצחק לשמחת הנישואין, שעל ידי זה "ייפטר" מלהביא מתנה כו'. </w:t>
      </w:r>
    </w:p>
    <w:p w:rsidR="005D1881" w:rsidRDefault="005D1881" w:rsidP="005D1881">
      <w:pPr>
        <w:pStyle w:val="a3"/>
        <w:rPr>
          <w:rtl/>
        </w:rPr>
      </w:pPr>
      <w:r w:rsidRPr="00F93E28">
        <w:rPr>
          <w:rtl/>
        </w:rPr>
        <w:t>ו</w:t>
      </w:r>
      <w:r>
        <w:rPr>
          <w:rFonts w:hint="cs"/>
          <w:rtl/>
        </w:rPr>
        <w:t xml:space="preserve">מעתה קשה לכאורה, שהרי מדברי הזהר הללו עולה </w:t>
      </w:r>
      <w:r w:rsidRPr="00F93E28">
        <w:rPr>
          <w:rFonts w:hint="cs"/>
          <w:b/>
          <w:bCs/>
          <w:rtl/>
        </w:rPr>
        <w:t>שדוקא מי שאכל</w:t>
      </w:r>
      <w:r>
        <w:rPr>
          <w:rFonts w:hint="cs"/>
          <w:rtl/>
        </w:rPr>
        <w:t xml:space="preserve"> משולחן החו"כ בפועל הוא שצריך להביא מתנה, ואילו מי שלא היה נוכח "פטור" ממתנה זו </w:t>
      </w:r>
      <w:r>
        <w:rPr>
          <w:rtl/>
        </w:rPr>
        <w:t>–</w:t>
      </w:r>
      <w:r>
        <w:rPr>
          <w:rFonts w:hint="cs"/>
          <w:rtl/>
        </w:rPr>
        <w:t xml:space="preserve"> ואעפ"כ, מציין כ"ק אדמו"ר לדברי הזהר הללו כ"מקור" למתנה שנתן אף שכ"ק אדמו"ר </w:t>
      </w:r>
      <w:r w:rsidRPr="00F93E28">
        <w:rPr>
          <w:rFonts w:hint="cs"/>
          <w:b/>
          <w:bCs/>
          <w:rtl/>
        </w:rPr>
        <w:t>לא אכל</w:t>
      </w:r>
      <w:r>
        <w:rPr>
          <w:rFonts w:hint="cs"/>
          <w:rtl/>
        </w:rPr>
        <w:t xml:space="preserve"> משולחן החתן והכלה!</w:t>
      </w:r>
      <w:r w:rsidRPr="00F93E28">
        <w:rPr>
          <w:rtl/>
        </w:rPr>
        <w:t xml:space="preserve"> </w:t>
      </w:r>
    </w:p>
    <w:p w:rsidR="005D1881" w:rsidRPr="00F93E28" w:rsidRDefault="005D1881" w:rsidP="005D1881">
      <w:pPr>
        <w:pStyle w:val="a3"/>
        <w:rPr>
          <w:rtl/>
        </w:rPr>
      </w:pPr>
      <w:r>
        <w:rPr>
          <w:rFonts w:hint="cs"/>
          <w:rtl/>
        </w:rPr>
        <w:t>ועוד יש להעיר, שההמחאות הנ"ל נכתבו (לא על שם החתן עצמו, אלא)</w:t>
      </w:r>
      <w:r>
        <w:rPr>
          <w:rFonts w:hint="cs"/>
        </w:rPr>
        <w:t xml:space="preserve"> </w:t>
      </w:r>
      <w:r>
        <w:rPr>
          <w:rFonts w:hint="cs"/>
          <w:rtl/>
        </w:rPr>
        <w:t xml:space="preserve">על שם </w:t>
      </w:r>
      <w:r w:rsidRPr="00F93E28">
        <w:rPr>
          <w:rFonts w:hint="cs"/>
          <w:b/>
          <w:bCs/>
          <w:rtl/>
        </w:rPr>
        <w:t>האב</w:t>
      </w:r>
      <w:r>
        <w:rPr>
          <w:rFonts w:hint="cs"/>
          <w:rtl/>
        </w:rPr>
        <w:t xml:space="preserve"> של החתן </w:t>
      </w:r>
      <w:r>
        <w:rPr>
          <w:rtl/>
        </w:rPr>
        <w:t>–</w:t>
      </w:r>
      <w:r>
        <w:rPr>
          <w:rFonts w:hint="cs"/>
          <w:rtl/>
        </w:rPr>
        <w:t xml:space="preserve"> והרי מהזהר משמע שהמתנות ניתנות הן להחתן והכלה עצמם!</w:t>
      </w:r>
    </w:p>
    <w:p w:rsidR="005D1881" w:rsidRDefault="005D1881" w:rsidP="005D1881">
      <w:pPr>
        <w:pStyle w:val="11"/>
        <w:bidi/>
        <w:rPr>
          <w:rtl/>
        </w:rPr>
      </w:pPr>
      <w:r>
        <w:rPr>
          <w:rFonts w:hint="cs"/>
          <w:rtl/>
        </w:rPr>
        <w:t xml:space="preserve">ב. </w:t>
      </w:r>
    </w:p>
    <w:p w:rsidR="005D1881" w:rsidRDefault="005D1881" w:rsidP="005D1881">
      <w:pPr>
        <w:pStyle w:val="a3"/>
        <w:rPr>
          <w:rtl/>
        </w:rPr>
      </w:pPr>
      <w:r>
        <w:rPr>
          <w:rFonts w:hint="cs"/>
          <w:rtl/>
        </w:rPr>
        <w:t xml:space="preserve">ובאמת, שמצינו בדברי כ"ק אדמו"ר עצמו שמדגיש את כל הנ"ל </w:t>
      </w:r>
      <w:r>
        <w:rPr>
          <w:rtl/>
        </w:rPr>
        <w:t>–</w:t>
      </w:r>
      <w:r>
        <w:rPr>
          <w:rFonts w:hint="cs"/>
          <w:rtl/>
        </w:rPr>
        <w:t xml:space="preserve"> וזלה"ק באגרות קודש חי"ד ע' תמה (בקשר למתנה ששלח לחתונה):</w:t>
      </w:r>
    </w:p>
    <w:p w:rsidR="005D1881" w:rsidRPr="005463FC" w:rsidRDefault="005D1881" w:rsidP="005D1881">
      <w:pPr>
        <w:pStyle w:val="a3"/>
        <w:rPr>
          <w:b/>
          <w:bCs/>
          <w:rtl/>
        </w:rPr>
      </w:pPr>
      <w:r>
        <w:rPr>
          <w:rFonts w:hint="cs"/>
          <w:rtl/>
        </w:rPr>
        <w:t>"</w:t>
      </w:r>
      <w:r w:rsidRPr="005463FC">
        <w:rPr>
          <w:rFonts w:hint="cs"/>
          <w:b/>
          <w:bCs/>
          <w:rtl/>
        </w:rPr>
        <w:t xml:space="preserve">מוסגר פה. והוא ע"פ מנהג ישראל ומרז"ל. </w:t>
      </w:r>
    </w:p>
    <w:p w:rsidR="005D1881" w:rsidRPr="00BE7E75" w:rsidRDefault="005D1881" w:rsidP="005D1881">
      <w:pPr>
        <w:pStyle w:val="a3"/>
        <w:rPr>
          <w:noProof/>
          <w:rtl/>
        </w:rPr>
      </w:pPr>
      <w:r w:rsidRPr="005463FC">
        <w:rPr>
          <w:b/>
          <w:bCs/>
          <w:rtl/>
        </w:rPr>
        <w:t>וראה זח"ג (צו, ב. לכלה מכולהו). תוד"ה האחין (ב"ב קמד, סע"ב. לחתן משושבינין). זח"א (קמט, א. לחו"כ מהנהנין מסעודה)</w:t>
      </w:r>
      <w:r w:rsidRPr="00BE7E75">
        <w:rPr>
          <w:rtl/>
        </w:rPr>
        <w:t xml:space="preserve">".  </w:t>
      </w:r>
    </w:p>
    <w:p w:rsidR="005D1881" w:rsidRPr="00BE7E75" w:rsidRDefault="005D1881" w:rsidP="005D1881">
      <w:pPr>
        <w:pStyle w:val="a3"/>
        <w:rPr>
          <w:noProof/>
          <w:rtl/>
        </w:rPr>
      </w:pPr>
      <w:r w:rsidRPr="00BE7E75">
        <w:rPr>
          <w:noProof/>
          <w:rtl/>
        </w:rPr>
        <w:t xml:space="preserve">וכד דייקת שפיר, נתכוון רבינו </w:t>
      </w:r>
      <w:r>
        <w:rPr>
          <w:rFonts w:hint="cs"/>
          <w:noProof/>
          <w:rtl/>
        </w:rPr>
        <w:t>לבאר ה'צריכותא' שבשלושת המקורות שהביא</w:t>
      </w:r>
      <w:r w:rsidRPr="00BE7E75">
        <w:rPr>
          <w:noProof/>
          <w:rtl/>
        </w:rPr>
        <w:t>:</w:t>
      </w:r>
    </w:p>
    <w:p w:rsidR="005D1881" w:rsidRPr="00BE7E75" w:rsidRDefault="005D1881" w:rsidP="005D1881">
      <w:pPr>
        <w:pStyle w:val="a3"/>
        <w:rPr>
          <w:noProof/>
          <w:rtl/>
        </w:rPr>
      </w:pPr>
      <w:r w:rsidRPr="00BE7E75">
        <w:rPr>
          <w:noProof/>
          <w:rtl/>
        </w:rPr>
        <w:t>המעלה בציון לז</w:t>
      </w:r>
      <w:r>
        <w:rPr>
          <w:rFonts w:hint="cs"/>
          <w:noProof/>
          <w:rtl/>
        </w:rPr>
        <w:t xml:space="preserve">הר </w:t>
      </w:r>
      <w:r w:rsidRPr="00BE7E75">
        <w:rPr>
          <w:noProof/>
          <w:rtl/>
        </w:rPr>
        <w:t>ח"</w:t>
      </w:r>
      <w:r w:rsidRPr="00BE7E75">
        <w:rPr>
          <w:b/>
          <w:bCs/>
          <w:noProof/>
          <w:rtl/>
        </w:rPr>
        <w:t>ג</w:t>
      </w:r>
      <w:r w:rsidRPr="00BE7E75">
        <w:rPr>
          <w:noProof/>
          <w:rtl/>
        </w:rPr>
        <w:t xml:space="preserve"> – ששם זה מתנה "</w:t>
      </w:r>
      <w:r w:rsidRPr="00BE7E75">
        <w:rPr>
          <w:b/>
          <w:bCs/>
          <w:noProof/>
          <w:rtl/>
        </w:rPr>
        <w:t>מכולהו</w:t>
      </w:r>
      <w:r w:rsidRPr="00BE7E75">
        <w:rPr>
          <w:noProof/>
          <w:rtl/>
        </w:rPr>
        <w:t>" (ולא רק "משושבינין" או "מהנהנין מסעודה");</w:t>
      </w:r>
      <w:r w:rsidRPr="00BE7E75">
        <w:rPr>
          <w:noProof/>
        </w:rPr>
        <w:t xml:space="preserve"> </w:t>
      </w:r>
    </w:p>
    <w:p w:rsidR="005D1881" w:rsidRPr="00BE7E75" w:rsidRDefault="005D1881" w:rsidP="005D1881">
      <w:pPr>
        <w:pStyle w:val="a3"/>
        <w:rPr>
          <w:noProof/>
          <w:rtl/>
        </w:rPr>
      </w:pPr>
      <w:r w:rsidRPr="00BE7E75">
        <w:rPr>
          <w:noProof/>
          <w:rtl/>
        </w:rPr>
        <w:t>המעלה בציון לתוס'</w:t>
      </w:r>
      <w:r>
        <w:rPr>
          <w:rFonts w:hint="cs"/>
          <w:noProof/>
          <w:rtl/>
        </w:rPr>
        <w:t xml:space="preserve"> בב"ב</w:t>
      </w:r>
      <w:r w:rsidRPr="00BE7E75">
        <w:rPr>
          <w:noProof/>
          <w:rtl/>
        </w:rPr>
        <w:t xml:space="preserve"> – ששם זה מתנה "</w:t>
      </w:r>
      <w:r w:rsidRPr="00BE7E75">
        <w:rPr>
          <w:b/>
          <w:bCs/>
          <w:noProof/>
          <w:rtl/>
        </w:rPr>
        <w:t>לחתן</w:t>
      </w:r>
      <w:r w:rsidRPr="00BE7E75">
        <w:rPr>
          <w:noProof/>
          <w:rtl/>
        </w:rPr>
        <w:t>" (ולא רק "לכלה");</w:t>
      </w:r>
    </w:p>
    <w:p w:rsidR="005D1881" w:rsidRDefault="005D1881" w:rsidP="005D1881">
      <w:pPr>
        <w:pStyle w:val="a3"/>
        <w:rPr>
          <w:noProof/>
          <w:rtl/>
        </w:rPr>
      </w:pPr>
      <w:r w:rsidRPr="00BE7E75">
        <w:rPr>
          <w:noProof/>
          <w:rtl/>
        </w:rPr>
        <w:t>והמעלה בציון לז</w:t>
      </w:r>
      <w:r>
        <w:rPr>
          <w:rFonts w:hint="cs"/>
          <w:noProof/>
          <w:rtl/>
        </w:rPr>
        <w:t xml:space="preserve">הר </w:t>
      </w:r>
      <w:r w:rsidRPr="00BE7E75">
        <w:rPr>
          <w:noProof/>
          <w:rtl/>
        </w:rPr>
        <w:t>ח"</w:t>
      </w:r>
      <w:r w:rsidRPr="00BE7E75">
        <w:rPr>
          <w:b/>
          <w:bCs/>
          <w:noProof/>
          <w:rtl/>
        </w:rPr>
        <w:t>א</w:t>
      </w:r>
      <w:r w:rsidRPr="00BE7E75">
        <w:rPr>
          <w:noProof/>
          <w:rtl/>
        </w:rPr>
        <w:t xml:space="preserve"> – ששם זה מתנה "</w:t>
      </w:r>
      <w:r w:rsidRPr="00BE7E75">
        <w:rPr>
          <w:b/>
          <w:bCs/>
          <w:noProof/>
          <w:rtl/>
        </w:rPr>
        <w:t>לחתן וכלה" יחד</w:t>
      </w:r>
      <w:r w:rsidRPr="00BE7E75">
        <w:rPr>
          <w:noProof/>
          <w:rtl/>
        </w:rPr>
        <w:t xml:space="preserve">. </w:t>
      </w:r>
    </w:p>
    <w:p w:rsidR="005D1881" w:rsidRDefault="005D1881" w:rsidP="005D1881">
      <w:pPr>
        <w:pStyle w:val="a3"/>
        <w:rPr>
          <w:noProof/>
          <w:rtl/>
        </w:rPr>
      </w:pPr>
      <w:r>
        <w:rPr>
          <w:rFonts w:hint="cs"/>
          <w:noProof/>
          <w:rtl/>
        </w:rPr>
        <w:t>ומעתה קשה עוד יותר, למה ציין כ"ק אדמו"ר על ההמחאות דוקא לזהר ח"</w:t>
      </w:r>
      <w:r w:rsidRPr="001E7079">
        <w:rPr>
          <w:rFonts w:hint="cs"/>
          <w:b/>
          <w:bCs/>
          <w:noProof/>
          <w:rtl/>
        </w:rPr>
        <w:t>א</w:t>
      </w:r>
      <w:r>
        <w:rPr>
          <w:rFonts w:hint="cs"/>
          <w:noProof/>
          <w:rtl/>
        </w:rPr>
        <w:t>, ששם מדובר על מתנה "</w:t>
      </w:r>
      <w:r w:rsidRPr="001E7079">
        <w:rPr>
          <w:rFonts w:hint="cs"/>
          <w:b/>
          <w:bCs/>
          <w:noProof/>
          <w:rtl/>
        </w:rPr>
        <w:t>מהנהנין מסעודה</w:t>
      </w:r>
      <w:r>
        <w:rPr>
          <w:rFonts w:hint="cs"/>
          <w:noProof/>
          <w:rtl/>
        </w:rPr>
        <w:t xml:space="preserve">" דוקא?!  </w:t>
      </w:r>
    </w:p>
    <w:p w:rsidR="005D1881" w:rsidRDefault="005D1881" w:rsidP="005D1881">
      <w:pPr>
        <w:pStyle w:val="11"/>
        <w:bidi/>
        <w:rPr>
          <w:noProof/>
          <w:rtl/>
        </w:rPr>
      </w:pPr>
      <w:r w:rsidRPr="00BE7E75">
        <w:rPr>
          <w:noProof/>
          <w:rtl/>
        </w:rPr>
        <w:t xml:space="preserve"> </w:t>
      </w:r>
      <w:r>
        <w:rPr>
          <w:rFonts w:hint="cs"/>
          <w:noProof/>
          <w:rtl/>
        </w:rPr>
        <w:t xml:space="preserve">ג. </w:t>
      </w:r>
    </w:p>
    <w:p w:rsidR="005D1881" w:rsidRDefault="005D1881" w:rsidP="005D1881">
      <w:pPr>
        <w:pStyle w:val="a3"/>
        <w:rPr>
          <w:noProof/>
          <w:rtl/>
        </w:rPr>
      </w:pPr>
      <w:r>
        <w:rPr>
          <w:rFonts w:hint="cs"/>
          <w:noProof/>
          <w:rtl/>
        </w:rPr>
        <w:t xml:space="preserve">והנה, בכמה אגרות מצינו שמציין כ"ק אדמו"ר למקור נוסף לענין זה (נוסף על שלושת המקורות הנ"ל </w:t>
      </w:r>
      <w:r>
        <w:rPr>
          <w:noProof/>
          <w:rtl/>
        </w:rPr>
        <w:t>–</w:t>
      </w:r>
      <w:r>
        <w:rPr>
          <w:rFonts w:hint="cs"/>
          <w:noProof/>
          <w:rtl/>
        </w:rPr>
        <w:t xml:space="preserve"> זח"א, תוס' וזח"ג), והוא להמבואר בלקו"ת ס"פ נשא</w:t>
      </w:r>
      <w:r>
        <w:rPr>
          <w:rStyle w:val="FootnoteReference"/>
          <w:noProof/>
          <w:rtl/>
        </w:rPr>
        <w:footnoteReference w:id="83"/>
      </w:r>
      <w:r>
        <w:rPr>
          <w:rFonts w:hint="cs"/>
          <w:noProof/>
          <w:rtl/>
        </w:rPr>
        <w:t>.</w:t>
      </w:r>
    </w:p>
    <w:p w:rsidR="005D1881" w:rsidRPr="005463FC" w:rsidRDefault="005D1881" w:rsidP="005D1881">
      <w:pPr>
        <w:pStyle w:val="a3"/>
        <w:rPr>
          <w:rtl/>
        </w:rPr>
      </w:pPr>
      <w:r w:rsidRPr="005463FC">
        <w:rPr>
          <w:rtl/>
        </w:rPr>
        <w:lastRenderedPageBreak/>
        <w:t>וזה הלשון בלקו"ת שם:</w:t>
      </w:r>
    </w:p>
    <w:p w:rsidR="005D1881" w:rsidRPr="005463FC" w:rsidRDefault="005D1881" w:rsidP="005D1881">
      <w:pPr>
        <w:pStyle w:val="a3"/>
        <w:rPr>
          <w:noProof/>
          <w:rtl/>
        </w:rPr>
      </w:pPr>
      <w:r w:rsidRPr="005463FC">
        <w:rPr>
          <w:rtl/>
        </w:rPr>
        <w:t>"</w:t>
      </w:r>
      <w:r w:rsidRPr="005463FC">
        <w:rPr>
          <w:b/>
          <w:bCs/>
          <w:rtl/>
        </w:rPr>
        <w:t>שנותנין מתנה לכבוד חתן וכלה, לפי שנעשה יחוד חדש .. וכדי להמשיך יחוד חדש כזה צריך להמשיך תחילה בחינת כבוד, שהיא תוספת הארה בבחינת מקיף .. כמו שמחנכין התינוק על ידי מתנה יתירה דוקא</w:t>
      </w:r>
      <w:r w:rsidRPr="005463FC">
        <w:rPr>
          <w:rtl/>
        </w:rPr>
        <w:t>".</w:t>
      </w:r>
    </w:p>
    <w:p w:rsidR="005D1881" w:rsidRDefault="005D1881" w:rsidP="005D1881">
      <w:pPr>
        <w:pStyle w:val="a3"/>
        <w:rPr>
          <w:noProof/>
          <w:rtl/>
        </w:rPr>
      </w:pPr>
      <w:r>
        <w:rPr>
          <w:rFonts w:hint="cs"/>
          <w:noProof/>
          <w:rtl/>
        </w:rPr>
        <w:t xml:space="preserve">ולכאורה, יש מעלה בהציון ללקו"ת </w:t>
      </w:r>
      <w:r>
        <w:rPr>
          <w:noProof/>
          <w:rtl/>
        </w:rPr>
        <w:t>–</w:t>
      </w:r>
      <w:r>
        <w:rPr>
          <w:rFonts w:hint="cs"/>
          <w:noProof/>
          <w:rtl/>
        </w:rPr>
        <w:t xml:space="preserve"> שכן מתוכן הביאור שם עולה שיש </w:t>
      </w:r>
      <w:r w:rsidRPr="005463FC">
        <w:rPr>
          <w:rFonts w:hint="cs"/>
          <w:b/>
          <w:bCs/>
          <w:noProof/>
          <w:rtl/>
        </w:rPr>
        <w:t>ענין "עצמי"</w:t>
      </w:r>
      <w:r>
        <w:rPr>
          <w:rFonts w:hint="cs"/>
          <w:noProof/>
          <w:rtl/>
        </w:rPr>
        <w:t xml:space="preserve"> בנתינת מתנה לחתן וכלה, מצד עצם ה"יחוד חדש" שנפעל על ידיהם וצריכים לחינוך ותוספת הארה - ואין זה מצד ההשתתפות בסעודה וכיו"ב. </w:t>
      </w:r>
    </w:p>
    <w:p w:rsidR="005D1881" w:rsidRPr="00597D75" w:rsidRDefault="005D1881" w:rsidP="005D1881">
      <w:pPr>
        <w:pStyle w:val="a3"/>
        <w:rPr>
          <w:rFonts w:ascii="Narkisim" w:hAnsi="Narkisim"/>
          <w:sz w:val="24"/>
          <w:szCs w:val="24"/>
          <w:rtl/>
        </w:rPr>
      </w:pPr>
      <w:r>
        <w:rPr>
          <w:rFonts w:hint="cs"/>
          <w:noProof/>
          <w:rtl/>
        </w:rPr>
        <w:t xml:space="preserve">[ואולי יש לומר (לחידודא עכ"פ), שלכן מצינו באגרת מיום </w:t>
      </w:r>
      <w:r w:rsidRPr="00413CC0">
        <w:rPr>
          <w:rFonts w:hint="cs"/>
          <w:b/>
          <w:bCs/>
          <w:noProof/>
          <w:rtl/>
        </w:rPr>
        <w:t>י"א ניסן תש"י</w:t>
      </w:r>
      <w:r>
        <w:rPr>
          <w:rFonts w:hint="cs"/>
          <w:noProof/>
          <w:rtl/>
        </w:rPr>
        <w:t xml:space="preserve"> (אג"ק ח"ג ע' רסח), שמציין כ"ק אדמו"ר </w:t>
      </w:r>
      <w:r w:rsidRPr="005463FC">
        <w:rPr>
          <w:rFonts w:hint="cs"/>
          <w:b/>
          <w:bCs/>
          <w:noProof/>
          <w:rtl/>
        </w:rPr>
        <w:t>רק להלקוטי תורה</w:t>
      </w:r>
      <w:r>
        <w:rPr>
          <w:rFonts w:hint="cs"/>
          <w:noProof/>
          <w:rtl/>
        </w:rPr>
        <w:t xml:space="preserve"> (ולא לדברי הזהר הנ"ל) </w:t>
      </w:r>
      <w:r>
        <w:rPr>
          <w:noProof/>
          <w:rtl/>
        </w:rPr>
        <w:t>–</w:t>
      </w:r>
      <w:r>
        <w:rPr>
          <w:rFonts w:hint="cs"/>
          <w:noProof/>
          <w:rtl/>
        </w:rPr>
        <w:t xml:space="preserve"> וזלה"ק:</w:t>
      </w:r>
      <w:r w:rsidRPr="00597D75">
        <w:rPr>
          <w:rFonts w:ascii="Narkisim" w:hAnsi="Narkisim"/>
          <w:sz w:val="24"/>
          <w:szCs w:val="24"/>
        </w:rPr>
        <w:t xml:space="preserve"> </w:t>
      </w:r>
    </w:p>
    <w:p w:rsidR="005D1881" w:rsidRDefault="005D1881" w:rsidP="005D1881">
      <w:pPr>
        <w:pStyle w:val="a3"/>
        <w:rPr>
          <w:rtl/>
        </w:rPr>
      </w:pPr>
      <w:r w:rsidRPr="005463FC">
        <w:rPr>
          <w:rtl/>
        </w:rPr>
        <w:t>"בוודאי ידוע לו הכתוב בלקו"ת ס"פ נשא (כט, ע"ב)</w:t>
      </w:r>
      <w:r w:rsidRPr="005463FC">
        <w:t xml:space="preserve"> </w:t>
      </w:r>
      <w:r w:rsidRPr="005463FC">
        <w:rPr>
          <w:rtl/>
        </w:rPr>
        <w:t>שנותנין מתנה לכבוד חתן וכלה. מטעם המובן לא הייתי נוכח בחתונתו .. ומצורף למכתבי זה יקבל לקוטי תורה – דרשה געשאנק"</w:t>
      </w:r>
      <w:r>
        <w:rPr>
          <w:rFonts w:hint="cs"/>
          <w:rtl/>
        </w:rPr>
        <w:t>;</w:t>
      </w:r>
    </w:p>
    <w:p w:rsidR="005D1881" w:rsidRDefault="005D1881" w:rsidP="005D1881">
      <w:pPr>
        <w:pStyle w:val="a3"/>
        <w:rPr>
          <w:rtl/>
        </w:rPr>
      </w:pPr>
      <w:r>
        <w:rPr>
          <w:rFonts w:hint="cs"/>
          <w:rtl/>
        </w:rPr>
        <w:t>כי באותה תקופה (לאחר יו"ד שבט תש"י)</w:t>
      </w:r>
      <w:r>
        <w:rPr>
          <w:rFonts w:hint="cs"/>
        </w:rPr>
        <w:t xml:space="preserve"> </w:t>
      </w:r>
      <w:r>
        <w:rPr>
          <w:rFonts w:hint="cs"/>
          <w:rtl/>
        </w:rPr>
        <w:t xml:space="preserve">הנה מצד המצב שלאחר ההסתלקות כו' היה אצל כ"ק אדמו"ר </w:t>
      </w:r>
      <w:r w:rsidRPr="005463FC">
        <w:rPr>
          <w:rFonts w:hint="cs"/>
          <w:b/>
          <w:bCs/>
          <w:rtl/>
        </w:rPr>
        <w:t>מושלל</w:t>
      </w:r>
      <w:r>
        <w:rPr>
          <w:rFonts w:hint="cs"/>
          <w:rtl/>
        </w:rPr>
        <w:t xml:space="preserve"> ההשתתפות בשמחת הנישואין בגופו (ולא רק </w:t>
      </w:r>
      <w:r w:rsidRPr="005463FC">
        <w:rPr>
          <w:rFonts w:hint="cs"/>
          <w:b/>
          <w:bCs/>
          <w:rtl/>
        </w:rPr>
        <w:t xml:space="preserve">שבפועל </w:t>
      </w:r>
      <w:r>
        <w:rPr>
          <w:rFonts w:hint="cs"/>
          <w:rtl/>
        </w:rPr>
        <w:t xml:space="preserve">לא בא), ולכן לא מתאים לשם הציון לזהר הנ"ל המדבר על מי </w:t>
      </w:r>
      <w:r w:rsidRPr="00413CC0">
        <w:rPr>
          <w:rFonts w:hint="cs"/>
          <w:b/>
          <w:bCs/>
          <w:rtl/>
        </w:rPr>
        <w:t>שמשתתף בשמחה</w:t>
      </w:r>
      <w:r>
        <w:rPr>
          <w:rFonts w:hint="cs"/>
          <w:rtl/>
        </w:rPr>
        <w:t xml:space="preserve">, אלא דוקא הציון ללקוטי תורה - ששם מדובר על "מתנה לכבוד חתן וכלה" מצד </w:t>
      </w:r>
      <w:r w:rsidRPr="005463FC">
        <w:rPr>
          <w:rFonts w:hint="cs"/>
          <w:b/>
          <w:bCs/>
          <w:rtl/>
        </w:rPr>
        <w:t>עצם הענין</w:t>
      </w:r>
      <w:r>
        <w:rPr>
          <w:rFonts w:hint="cs"/>
          <w:rtl/>
        </w:rPr>
        <w:t xml:space="preserve"> של הנישואין].  </w:t>
      </w:r>
    </w:p>
    <w:p w:rsidR="005D1881" w:rsidRDefault="005D1881" w:rsidP="005D1881">
      <w:pPr>
        <w:pStyle w:val="a3"/>
        <w:rPr>
          <w:rtl/>
        </w:rPr>
      </w:pPr>
      <w:r>
        <w:rPr>
          <w:rFonts w:hint="cs"/>
          <w:rtl/>
        </w:rPr>
        <w:t xml:space="preserve">ועצ"ע בכ"ז. </w:t>
      </w:r>
    </w:p>
    <w:p w:rsidR="00E533D1" w:rsidRDefault="00760DB7" w:rsidP="005D1881">
      <w:pPr>
        <w:tabs>
          <w:tab w:val="left" w:pos="2171"/>
          <w:tab w:val="center" w:pos="3096"/>
        </w:tabs>
        <w:bidi/>
        <w:spacing w:after="100" w:line="360" w:lineRule="auto"/>
        <w:ind w:firstLine="288"/>
        <w:jc w:val="center"/>
        <w:rPr>
          <w:rFonts w:ascii="Nymphette" w:eastAsia="Times New Roman" w:hAnsi="Nymphette" w:cs="Nymphette"/>
          <w:sz w:val="44"/>
          <w:szCs w:val="44"/>
        </w:rPr>
      </w:pPr>
      <w:r w:rsidRPr="00760DB7">
        <w:rPr>
          <w:sz w:val="36"/>
          <w:szCs w:val="36"/>
        </w:rPr>
        <w:t xml:space="preserve"> </w:t>
      </w:r>
      <w:r w:rsidR="005D1881" w:rsidRPr="006E31A6">
        <w:rPr>
          <w:rFonts w:ascii="Nymphette" w:eastAsia="Times New Roman" w:hAnsi="Nymphette" w:cs="Nymphette"/>
          <w:sz w:val="44"/>
          <w:szCs w:val="44"/>
        </w:rPr>
        <w:t>g</w:t>
      </w:r>
    </w:p>
    <w:p w:rsidR="00E533D1" w:rsidRDefault="00E533D1">
      <w:pPr>
        <w:rPr>
          <w:rFonts w:ascii="Nymphette" w:eastAsia="Times New Roman" w:hAnsi="Nymphette" w:cs="Nymphette"/>
          <w:sz w:val="44"/>
          <w:szCs w:val="44"/>
        </w:rPr>
      </w:pPr>
      <w:r>
        <w:rPr>
          <w:rFonts w:ascii="Nymphette" w:eastAsia="Times New Roman" w:hAnsi="Nymphette" w:cs="Nymphette"/>
          <w:sz w:val="44"/>
          <w:szCs w:val="44"/>
        </w:rPr>
        <w:br w:type="page"/>
      </w:r>
    </w:p>
    <w:p w:rsidR="005D1881" w:rsidRPr="00B52339" w:rsidRDefault="005D1881" w:rsidP="005D1881">
      <w:pPr>
        <w:pStyle w:val="a0"/>
        <w:rPr>
          <w:rtl/>
        </w:rPr>
      </w:pPr>
      <w:bookmarkStart w:id="178" w:name="_Toc39817475"/>
      <w:r w:rsidRPr="00B52339">
        <w:rPr>
          <w:rFonts w:hint="cs"/>
          <w:rtl/>
        </w:rPr>
        <w:lastRenderedPageBreak/>
        <w:t>׳בכל המקום...אבוא אליך וברכתיך׳</w:t>
      </w:r>
      <w:bookmarkEnd w:id="178"/>
    </w:p>
    <w:p w:rsidR="005D1881" w:rsidRDefault="005D1881" w:rsidP="005D1881">
      <w:pPr>
        <w:pStyle w:val="11"/>
        <w:bidi/>
        <w:rPr>
          <w:rtl/>
        </w:rPr>
      </w:pPr>
      <w:r>
        <w:rPr>
          <w:rFonts w:hint="cs"/>
          <w:rtl/>
        </w:rPr>
        <w:t>ה</w:t>
      </w:r>
      <w:r w:rsidRPr="00B52339">
        <w:rPr>
          <w:rFonts w:hint="cs"/>
          <w:rtl/>
        </w:rPr>
        <w:t xml:space="preserve">אם </w:t>
      </w:r>
      <w:r>
        <w:rPr>
          <w:rFonts w:hint="cs"/>
          <w:rtl/>
        </w:rPr>
        <w:t>ה</w:t>
      </w:r>
      <w:r w:rsidRPr="00B52339">
        <w:rPr>
          <w:rFonts w:hint="cs"/>
          <w:rtl/>
        </w:rPr>
        <w:t>דיעות שבפרקי אבות מוסכמים לכולי עלמא</w:t>
      </w:r>
    </w:p>
    <w:p w:rsidR="005D1881" w:rsidRPr="00EF5EB5" w:rsidRDefault="005D1881" w:rsidP="00C93F24">
      <w:pPr>
        <w:pStyle w:val="a"/>
        <w:rPr>
          <w:rtl/>
        </w:rPr>
      </w:pPr>
      <w:bookmarkStart w:id="179" w:name="_Toc39817476"/>
      <w:r w:rsidRPr="00EF5EB5">
        <w:rPr>
          <w:rFonts w:hint="cs"/>
          <w:rtl/>
        </w:rPr>
        <w:t>הרב ישראל אליעזר רובין</w:t>
      </w:r>
      <w:bookmarkEnd w:id="179"/>
      <w:r w:rsidRPr="00EF5EB5">
        <w:rPr>
          <w:rFonts w:hint="cs"/>
          <w:rtl/>
        </w:rPr>
        <w:t xml:space="preserve"> </w:t>
      </w:r>
    </w:p>
    <w:p w:rsidR="005D1881" w:rsidRDefault="005D1881" w:rsidP="005D1881">
      <w:pPr>
        <w:pStyle w:val="a1"/>
        <w:rPr>
          <w:rtl/>
        </w:rPr>
      </w:pPr>
      <w:r w:rsidRPr="00EF5EB5">
        <w:rPr>
          <w:rFonts w:hint="cs"/>
          <w:rtl/>
        </w:rPr>
        <w:t>שליח כ״ק אדמו״ר</w:t>
      </w:r>
      <w:r>
        <w:rPr>
          <w:rFonts w:hint="cs"/>
          <w:rtl/>
        </w:rPr>
        <w:t xml:space="preserve"> </w:t>
      </w:r>
      <w:r>
        <w:rPr>
          <w:rtl/>
        </w:rPr>
        <w:t>–</w:t>
      </w:r>
      <w:r>
        <w:rPr>
          <w:rFonts w:hint="cs"/>
          <w:rtl/>
        </w:rPr>
        <w:t xml:space="preserve"> אלבאני, ניו יארק </w:t>
      </w:r>
    </w:p>
    <w:p w:rsidR="005D1881" w:rsidRDefault="005D1881" w:rsidP="005D1881">
      <w:pPr>
        <w:pStyle w:val="a3"/>
        <w:rPr>
          <w:rtl/>
        </w:rPr>
      </w:pPr>
      <w:r w:rsidRPr="009B6B64">
        <w:rPr>
          <w:rFonts w:hint="cs"/>
          <w:rtl/>
        </w:rPr>
        <w:t>לכבו</w:t>
      </w:r>
      <w:r>
        <w:rPr>
          <w:rFonts w:hint="cs"/>
          <w:rtl/>
        </w:rPr>
        <w:t>ד</w:t>
      </w:r>
      <w:r w:rsidRPr="009B6B64">
        <w:rPr>
          <w:rFonts w:hint="cs"/>
          <w:rtl/>
        </w:rPr>
        <w:t xml:space="preserve"> פסח שני</w:t>
      </w:r>
      <w:r>
        <w:rPr>
          <w:rFonts w:hint="cs"/>
          <w:rtl/>
        </w:rPr>
        <w:t>,</w:t>
      </w:r>
      <w:r w:rsidRPr="009B6B64">
        <w:rPr>
          <w:rFonts w:hint="cs"/>
          <w:rtl/>
        </w:rPr>
        <w:t xml:space="preserve"> </w:t>
      </w:r>
      <w:r>
        <w:rPr>
          <w:rFonts w:hint="cs"/>
          <w:rtl/>
        </w:rPr>
        <w:t>יום שעלינו</w:t>
      </w:r>
      <w:r w:rsidRPr="009B6B64">
        <w:rPr>
          <w:rFonts w:hint="cs"/>
          <w:rtl/>
        </w:rPr>
        <w:t xml:space="preserve"> </w:t>
      </w:r>
      <w:r>
        <w:rPr>
          <w:rFonts w:hint="cs"/>
          <w:rtl/>
        </w:rPr>
        <w:t>להשלים את החסר ול</w:t>
      </w:r>
      <w:r w:rsidRPr="009B6B64">
        <w:rPr>
          <w:rFonts w:hint="cs"/>
          <w:rtl/>
        </w:rPr>
        <w:t>תקן את הצריך תיקון</w:t>
      </w:r>
      <w:r>
        <w:rPr>
          <w:rFonts w:hint="cs"/>
          <w:rtl/>
        </w:rPr>
        <w:t xml:space="preserve">, אשתדל בזה להשלים ולתקן את מאמרי בגליון (א׳קעז), ליישב למה אין משנת ׳שנים שיושבין׳ משנה שאינה צריכה שכבר נכללת ׳בכלל מאתים מנה׳ במשנת ׳עשרה שיושבין׳? </w:t>
      </w:r>
    </w:p>
    <w:p w:rsidR="005D1881" w:rsidRPr="009B6B64" w:rsidRDefault="005D1881" w:rsidP="005D1881">
      <w:pPr>
        <w:pStyle w:val="a3"/>
        <w:rPr>
          <w:rtl/>
        </w:rPr>
      </w:pPr>
      <w:r>
        <w:rPr>
          <w:rFonts w:hint="cs"/>
          <w:rtl/>
        </w:rPr>
        <w:t>ולענ״ד ביארתי החילוקים בין רבי חנינא בן תרדיון ובין רבי חלפתא בן דוסא לשאלת ׳מנין שאפילו אחד׳, שכל אחד מדבר לפי תקופתו, והמסתעף מזה למצבינו שכולנו מבקשים לחזק ׳אפילו א׳.</w:t>
      </w:r>
    </w:p>
    <w:p w:rsidR="005D1881" w:rsidRPr="002C5914" w:rsidRDefault="005D1881" w:rsidP="005D1881">
      <w:pPr>
        <w:pStyle w:val="a3"/>
        <w:rPr>
          <w:rtl/>
        </w:rPr>
      </w:pPr>
      <w:r>
        <w:rPr>
          <w:rFonts w:hint="cs"/>
          <w:rtl/>
        </w:rPr>
        <w:t xml:space="preserve">והנה </w:t>
      </w:r>
      <w:r w:rsidRPr="002C5914">
        <w:rPr>
          <w:rFonts w:hint="cs"/>
          <w:rtl/>
        </w:rPr>
        <w:t>ראשית העירוני ש</w:t>
      </w:r>
      <w:r>
        <w:rPr>
          <w:rFonts w:hint="cs"/>
          <w:rtl/>
        </w:rPr>
        <w:t xml:space="preserve">כבר </w:t>
      </w:r>
      <w:r w:rsidRPr="002C5914">
        <w:rPr>
          <w:rFonts w:hint="cs"/>
          <w:rtl/>
        </w:rPr>
        <w:t>דן בזה הצ״צ</w:t>
      </w:r>
      <w:r>
        <w:rPr>
          <w:rFonts w:hint="cs"/>
          <w:rtl/>
        </w:rPr>
        <w:t xml:space="preserve"> ב</w:t>
      </w:r>
      <w:r w:rsidRPr="002C5914">
        <w:rPr>
          <w:rFonts w:hint="cs"/>
          <w:rtl/>
        </w:rPr>
        <w:t>אור התורה, ו</w:t>
      </w:r>
      <w:r>
        <w:rPr>
          <w:rFonts w:hint="cs"/>
          <w:rtl/>
        </w:rPr>
        <w:t>ב</w:t>
      </w:r>
      <w:r w:rsidRPr="002C5914">
        <w:rPr>
          <w:rFonts w:hint="cs"/>
          <w:rtl/>
        </w:rPr>
        <w:t xml:space="preserve">ס׳ השיחות תש״ד ע׳ </w:t>
      </w:r>
      <w:r>
        <w:t>101</w:t>
      </w:r>
      <w:r>
        <w:rPr>
          <w:rFonts w:hint="cs"/>
          <w:rtl/>
        </w:rPr>
        <w:t xml:space="preserve"> מביא מאדמו"ר רש״ב נ״ע שהמס״נ דרחב״ת הועילה להצלחתו של רחב״ד,</w:t>
      </w:r>
      <w:r>
        <w:t xml:space="preserve"> </w:t>
      </w:r>
      <w:r>
        <w:rPr>
          <w:rFonts w:hint="cs"/>
          <w:rtl/>
        </w:rPr>
        <w:t xml:space="preserve">כמובא </w:t>
      </w:r>
      <w:r w:rsidRPr="002C5914">
        <w:rPr>
          <w:rFonts w:hint="cs"/>
          <w:rtl/>
        </w:rPr>
        <w:t>בלקו״א תניא עם פירושים</w:t>
      </w:r>
      <w:r>
        <w:rPr>
          <w:rFonts w:hint="cs"/>
          <w:rtl/>
        </w:rPr>
        <w:t xml:space="preserve"> (חיטריק)</w:t>
      </w:r>
      <w:r w:rsidRPr="002C5914">
        <w:rPr>
          <w:rFonts w:hint="cs"/>
          <w:rtl/>
        </w:rPr>
        <w:t xml:space="preserve"> </w:t>
      </w:r>
      <w:r>
        <w:rPr>
          <w:rFonts w:hint="cs"/>
          <w:rtl/>
        </w:rPr>
        <w:t>ל</w:t>
      </w:r>
      <w:r w:rsidRPr="002C5914">
        <w:rPr>
          <w:rFonts w:hint="cs"/>
          <w:rtl/>
        </w:rPr>
        <w:t>אגה״ק סי׳ כג.</w:t>
      </w:r>
    </w:p>
    <w:p w:rsidR="005D1881" w:rsidRPr="00834BBC" w:rsidRDefault="005D1881" w:rsidP="005D1881">
      <w:pPr>
        <w:pStyle w:val="a3"/>
        <w:rPr>
          <w:rtl/>
        </w:rPr>
      </w:pPr>
      <w:r>
        <w:rPr>
          <w:rFonts w:hint="cs"/>
          <w:rtl/>
        </w:rPr>
        <w:t>שלכאורה</w:t>
      </w:r>
      <w:r w:rsidRPr="00834BBC">
        <w:rPr>
          <w:rtl/>
        </w:rPr>
        <w:t xml:space="preserve">, </w:t>
      </w:r>
      <w:r>
        <w:rPr>
          <w:rFonts w:hint="cs"/>
          <w:rtl/>
        </w:rPr>
        <w:t xml:space="preserve">הרי </w:t>
      </w:r>
      <w:r w:rsidRPr="00834BBC">
        <w:rPr>
          <w:rFonts w:hint="cs"/>
          <w:rtl/>
        </w:rPr>
        <w:t>משנת</w:t>
      </w:r>
      <w:r w:rsidRPr="00834BBC">
        <w:rPr>
          <w:rtl/>
        </w:rPr>
        <w:t xml:space="preserve"> רבי </w:t>
      </w:r>
      <w:r w:rsidRPr="00834BBC">
        <w:rPr>
          <w:rFonts w:hint="cs"/>
          <w:rtl/>
        </w:rPr>
        <w:t>חלפתא</w:t>
      </w:r>
      <w:r w:rsidRPr="00834BBC">
        <w:rPr>
          <w:rtl/>
        </w:rPr>
        <w:t xml:space="preserve"> </w:t>
      </w:r>
      <w:r w:rsidRPr="00834BBC">
        <w:rPr>
          <w:rFonts w:hint="cs"/>
          <w:rtl/>
        </w:rPr>
        <w:t>מסתיימת</w:t>
      </w:r>
      <w:r w:rsidRPr="00834BBC">
        <w:rPr>
          <w:rtl/>
        </w:rPr>
        <w:t xml:space="preserve"> </w:t>
      </w:r>
      <w:r w:rsidRPr="00834BBC">
        <w:rPr>
          <w:rFonts w:hint="cs"/>
          <w:rtl/>
        </w:rPr>
        <w:t>בבשורה</w:t>
      </w:r>
      <w:r w:rsidRPr="00834BBC">
        <w:rPr>
          <w:rtl/>
        </w:rPr>
        <w:t xml:space="preserve"> </w:t>
      </w:r>
      <w:r w:rsidRPr="00834BBC">
        <w:rPr>
          <w:rFonts w:hint="cs"/>
          <w:rtl/>
        </w:rPr>
        <w:t>טובה</w:t>
      </w:r>
      <w:r w:rsidRPr="00834BBC">
        <w:rPr>
          <w:rtl/>
        </w:rPr>
        <w:t xml:space="preserve"> </w:t>
      </w:r>
      <w:r w:rsidRPr="00834BBC">
        <w:rPr>
          <w:rFonts w:hint="cs"/>
          <w:rtl/>
        </w:rPr>
        <w:t>ויפה</w:t>
      </w:r>
      <w:r w:rsidRPr="00834BBC">
        <w:rPr>
          <w:rtl/>
        </w:rPr>
        <w:t xml:space="preserve">, </w:t>
      </w:r>
      <w:r w:rsidRPr="00834BBC">
        <w:rPr>
          <w:rFonts w:hint="cs"/>
          <w:rtl/>
        </w:rPr>
        <w:t>נעים</w:t>
      </w:r>
      <w:r w:rsidRPr="00834BBC">
        <w:rPr>
          <w:rtl/>
        </w:rPr>
        <w:t xml:space="preserve"> </w:t>
      </w:r>
      <w:r w:rsidRPr="00834BBC">
        <w:rPr>
          <w:rFonts w:hint="cs"/>
          <w:rtl/>
        </w:rPr>
        <w:t>וכוללני</w:t>
      </w:r>
      <w:r w:rsidRPr="00834BBC">
        <w:rPr>
          <w:rtl/>
        </w:rPr>
        <w:t xml:space="preserve"> </w:t>
      </w:r>
      <w:r w:rsidRPr="00834BBC">
        <w:rPr>
          <w:rFonts w:hint="cs"/>
          <w:rtl/>
        </w:rPr>
        <w:t>׳בכל</w:t>
      </w:r>
      <w:r w:rsidRPr="00834BBC">
        <w:rPr>
          <w:rtl/>
        </w:rPr>
        <w:t xml:space="preserve"> </w:t>
      </w:r>
      <w:r w:rsidRPr="00834BBC">
        <w:rPr>
          <w:rFonts w:hint="cs"/>
          <w:rtl/>
        </w:rPr>
        <w:t>המקום</w:t>
      </w:r>
      <w:r w:rsidRPr="00834BBC">
        <w:rPr>
          <w:rtl/>
        </w:rPr>
        <w:t xml:space="preserve"> </w:t>
      </w:r>
      <w:r w:rsidRPr="00834BBC">
        <w:rPr>
          <w:rFonts w:hint="cs"/>
          <w:rtl/>
        </w:rPr>
        <w:t>אשר</w:t>
      </w:r>
      <w:r w:rsidRPr="00834BBC">
        <w:rPr>
          <w:rtl/>
        </w:rPr>
        <w:t xml:space="preserve"> </w:t>
      </w:r>
      <w:r w:rsidRPr="00834BBC">
        <w:rPr>
          <w:rFonts w:hint="cs"/>
          <w:rtl/>
        </w:rPr>
        <w:t>אזכיר</w:t>
      </w:r>
      <w:r w:rsidRPr="00834BBC">
        <w:rPr>
          <w:rtl/>
        </w:rPr>
        <w:t xml:space="preserve"> </w:t>
      </w:r>
      <w:r w:rsidRPr="00834BBC">
        <w:rPr>
          <w:rFonts w:hint="cs"/>
          <w:rtl/>
        </w:rPr>
        <w:t>את</w:t>
      </w:r>
      <w:r w:rsidRPr="00834BBC">
        <w:rPr>
          <w:rtl/>
        </w:rPr>
        <w:t xml:space="preserve"> </w:t>
      </w:r>
      <w:r w:rsidRPr="00834BBC">
        <w:rPr>
          <w:rFonts w:hint="cs"/>
          <w:rtl/>
        </w:rPr>
        <w:t>שמי</w:t>
      </w:r>
      <w:r w:rsidRPr="00834BBC">
        <w:rPr>
          <w:rtl/>
        </w:rPr>
        <w:t xml:space="preserve"> </w:t>
      </w:r>
      <w:r w:rsidRPr="00834BBC">
        <w:rPr>
          <w:rFonts w:hint="cs"/>
          <w:rtl/>
        </w:rPr>
        <w:t>אבוא</w:t>
      </w:r>
      <w:r w:rsidRPr="00834BBC">
        <w:rPr>
          <w:rtl/>
        </w:rPr>
        <w:t xml:space="preserve"> </w:t>
      </w:r>
      <w:r w:rsidRPr="00834BBC">
        <w:rPr>
          <w:rFonts w:hint="cs"/>
          <w:rtl/>
        </w:rPr>
        <w:t>אליך</w:t>
      </w:r>
      <w:r w:rsidRPr="00834BBC">
        <w:rPr>
          <w:rtl/>
        </w:rPr>
        <w:t xml:space="preserve"> </w:t>
      </w:r>
      <w:r w:rsidRPr="00834BBC">
        <w:rPr>
          <w:rFonts w:hint="cs"/>
          <w:rtl/>
        </w:rPr>
        <w:t>וברכתיך</w:t>
      </w:r>
      <w:r w:rsidRPr="00834BBC">
        <w:rPr>
          <w:rtl/>
        </w:rPr>
        <w:t>.</w:t>
      </w:r>
      <w:r w:rsidRPr="00834BBC">
        <w:rPr>
          <w:rFonts w:hint="cs"/>
          <w:rtl/>
        </w:rPr>
        <w:t>׳</w:t>
      </w:r>
      <w:r w:rsidRPr="00834BBC">
        <w:rPr>
          <w:rtl/>
        </w:rPr>
        <w:t xml:space="preserve"> </w:t>
      </w:r>
      <w:r w:rsidRPr="00834BBC">
        <w:rPr>
          <w:rFonts w:hint="cs"/>
          <w:rtl/>
        </w:rPr>
        <w:t>ורציתי</w:t>
      </w:r>
      <w:r w:rsidRPr="00834BBC">
        <w:rPr>
          <w:rtl/>
        </w:rPr>
        <w:t xml:space="preserve"> ל</w:t>
      </w:r>
      <w:r>
        <w:rPr>
          <w:rFonts w:hint="cs"/>
          <w:rtl/>
        </w:rPr>
        <w:t>מצוא ב</w:t>
      </w:r>
      <w:r w:rsidRPr="00834BBC">
        <w:rPr>
          <w:rtl/>
        </w:rPr>
        <w:t>משנה זו עידוד לבידוד זמנינו (</w:t>
      </w:r>
      <w:r w:rsidRPr="00834BBC">
        <w:rPr>
          <w:rFonts w:hint="cs"/>
          <w:rtl/>
        </w:rPr>
        <w:t>בפרט</w:t>
      </w:r>
      <w:r w:rsidRPr="00834BBC">
        <w:rPr>
          <w:rtl/>
        </w:rPr>
        <w:t xml:space="preserve"> בהוספת </w:t>
      </w:r>
      <w:r w:rsidRPr="00834BBC">
        <w:rPr>
          <w:rFonts w:hint="cs"/>
          <w:rtl/>
        </w:rPr>
        <w:t>שני</w:t>
      </w:r>
      <w:r w:rsidRPr="00834BBC">
        <w:rPr>
          <w:rtl/>
        </w:rPr>
        <w:t xml:space="preserve"> המילים </w:t>
      </w:r>
      <w:r w:rsidRPr="00834BBC">
        <w:rPr>
          <w:rFonts w:hint="cs"/>
          <w:rtl/>
        </w:rPr>
        <w:t>׳</w:t>
      </w:r>
      <w:r w:rsidRPr="00834BBC">
        <w:rPr>
          <w:rFonts w:hint="cs"/>
          <w:b/>
          <w:bCs/>
          <w:rtl/>
        </w:rPr>
        <w:t>אבוא</w:t>
      </w:r>
      <w:r w:rsidRPr="00834BBC">
        <w:rPr>
          <w:b/>
          <w:bCs/>
          <w:rtl/>
        </w:rPr>
        <w:t xml:space="preserve"> </w:t>
      </w:r>
      <w:r w:rsidRPr="00834BBC">
        <w:rPr>
          <w:rFonts w:hint="cs"/>
          <w:b/>
          <w:bCs/>
          <w:rtl/>
        </w:rPr>
        <w:t>אליך</w:t>
      </w:r>
      <w:r w:rsidRPr="00834BBC">
        <w:rPr>
          <w:b/>
          <w:bCs/>
          <w:rtl/>
        </w:rPr>
        <w:t>,׳</w:t>
      </w:r>
      <w:r w:rsidRPr="00834BBC">
        <w:rPr>
          <w:rtl/>
        </w:rPr>
        <w:t xml:space="preserve"> ש</w:t>
      </w:r>
      <w:r>
        <w:rPr>
          <w:rFonts w:hint="cs"/>
          <w:rtl/>
        </w:rPr>
        <w:t xml:space="preserve">נתקשו בהם </w:t>
      </w:r>
      <w:r w:rsidRPr="00834BBC">
        <w:rPr>
          <w:rtl/>
        </w:rPr>
        <w:t>האבן עזרא ועוד מפרשים, הרי מלא כל הארץ כבודו?)</w:t>
      </w:r>
    </w:p>
    <w:p w:rsidR="005D1881" w:rsidRDefault="005D1881" w:rsidP="005D1881">
      <w:pPr>
        <w:pStyle w:val="a3"/>
        <w:rPr>
          <w:rtl/>
        </w:rPr>
      </w:pPr>
      <w:r w:rsidRPr="00834BBC">
        <w:rPr>
          <w:rtl/>
        </w:rPr>
        <w:t xml:space="preserve">      </w:t>
      </w:r>
      <w:r w:rsidRPr="00834BBC">
        <w:rPr>
          <w:rFonts w:hint="cs"/>
          <w:rtl/>
        </w:rPr>
        <w:t>אבל</w:t>
      </w:r>
      <w:r w:rsidRPr="00834BBC">
        <w:rPr>
          <w:rtl/>
        </w:rPr>
        <w:t xml:space="preserve"> </w:t>
      </w:r>
      <w:r w:rsidRPr="00834BBC">
        <w:rPr>
          <w:rFonts w:hint="cs"/>
          <w:rtl/>
        </w:rPr>
        <w:t>נוכחתי</w:t>
      </w:r>
      <w:r>
        <w:rPr>
          <w:rFonts w:hint="cs"/>
          <w:rtl/>
        </w:rPr>
        <w:t xml:space="preserve"> לדעת</w:t>
      </w:r>
      <w:r w:rsidRPr="00834BBC">
        <w:rPr>
          <w:rtl/>
        </w:rPr>
        <w:t>, ש</w:t>
      </w:r>
      <w:r w:rsidRPr="00834BBC">
        <w:rPr>
          <w:rFonts w:hint="cs"/>
          <w:rtl/>
        </w:rPr>
        <w:t>מאמר</w:t>
      </w:r>
      <w:r w:rsidRPr="00834BBC">
        <w:rPr>
          <w:rtl/>
        </w:rPr>
        <w:t xml:space="preserve"> </w:t>
      </w:r>
      <w:r w:rsidRPr="00834BBC">
        <w:rPr>
          <w:rFonts w:hint="cs"/>
          <w:rtl/>
        </w:rPr>
        <w:t>זה</w:t>
      </w:r>
      <w:r w:rsidRPr="00834BBC">
        <w:rPr>
          <w:rtl/>
        </w:rPr>
        <w:t xml:space="preserve"> </w:t>
      </w:r>
      <w:r>
        <w:rPr>
          <w:rFonts w:hint="cs"/>
          <w:rtl/>
        </w:rPr>
        <w:t xml:space="preserve">אינו פשוט, אלא </w:t>
      </w:r>
      <w:r w:rsidRPr="00834BBC">
        <w:rPr>
          <w:rFonts w:hint="cs"/>
          <w:b/>
          <w:bCs/>
          <w:rtl/>
        </w:rPr>
        <w:t>שנוי</w:t>
      </w:r>
      <w:r w:rsidRPr="00834BBC">
        <w:rPr>
          <w:b/>
          <w:bCs/>
          <w:rtl/>
        </w:rPr>
        <w:t xml:space="preserve"> </w:t>
      </w:r>
      <w:r w:rsidRPr="00834BBC">
        <w:rPr>
          <w:rFonts w:hint="cs"/>
          <w:b/>
          <w:bCs/>
          <w:rtl/>
        </w:rPr>
        <w:t>במחלוקת</w:t>
      </w:r>
      <w:r w:rsidRPr="00834BBC">
        <w:t>!</w:t>
      </w:r>
      <w:r w:rsidRPr="00834BBC">
        <w:rPr>
          <w:rtl/>
        </w:rPr>
        <w:t xml:space="preserve"> </w:t>
      </w:r>
      <w:r>
        <w:rPr>
          <w:rFonts w:hint="cs"/>
          <w:rtl/>
        </w:rPr>
        <w:t>ש</w:t>
      </w:r>
      <w:r w:rsidRPr="00834BBC">
        <w:rPr>
          <w:rFonts w:hint="cs"/>
          <w:rtl/>
        </w:rPr>
        <w:t>רבי</w:t>
      </w:r>
      <w:r w:rsidRPr="00834BBC">
        <w:rPr>
          <w:rtl/>
        </w:rPr>
        <w:t xml:space="preserve"> </w:t>
      </w:r>
      <w:r w:rsidRPr="00834BBC">
        <w:rPr>
          <w:rFonts w:hint="cs"/>
          <w:rtl/>
        </w:rPr>
        <w:t>חלפתא</w:t>
      </w:r>
      <w:r w:rsidRPr="00834BBC">
        <w:rPr>
          <w:rtl/>
        </w:rPr>
        <w:t xml:space="preserve"> </w:t>
      </w:r>
      <w:r w:rsidRPr="00834BBC">
        <w:rPr>
          <w:rFonts w:hint="cs"/>
          <w:rtl/>
        </w:rPr>
        <w:t>במשנתינו</w:t>
      </w:r>
      <w:r w:rsidRPr="00834BBC">
        <w:rPr>
          <w:rtl/>
        </w:rPr>
        <w:t xml:space="preserve"> הוא דעת יחיד, </w:t>
      </w:r>
      <w:r>
        <w:rPr>
          <w:rFonts w:hint="cs"/>
          <w:rtl/>
        </w:rPr>
        <w:t>בניגוד ל</w:t>
      </w:r>
      <w:r w:rsidRPr="00834BBC">
        <w:rPr>
          <w:rtl/>
        </w:rPr>
        <w:t xml:space="preserve">חכמי הדורות (כולל </w:t>
      </w:r>
      <w:r w:rsidRPr="00834BBC">
        <w:rPr>
          <w:rFonts w:hint="cs"/>
          <w:rtl/>
        </w:rPr>
        <w:t>תרגום</w:t>
      </w:r>
      <w:r w:rsidRPr="00834BBC">
        <w:rPr>
          <w:rtl/>
        </w:rPr>
        <w:t xml:space="preserve"> אונקלוס</w:t>
      </w:r>
      <w:r>
        <w:rPr>
          <w:rFonts w:hint="cs"/>
          <w:rtl/>
        </w:rPr>
        <w:t>,</w:t>
      </w:r>
      <w:r w:rsidRPr="00834BBC">
        <w:rPr>
          <w:rtl/>
        </w:rPr>
        <w:t xml:space="preserve"> </w:t>
      </w:r>
      <w:r>
        <w:rPr>
          <w:rFonts w:hint="cs"/>
          <w:rtl/>
        </w:rPr>
        <w:t xml:space="preserve">אבות דרבי נתן פי״ב, </w:t>
      </w:r>
      <w:r w:rsidRPr="00834BBC">
        <w:rPr>
          <w:rFonts w:hint="cs"/>
          <w:rtl/>
        </w:rPr>
        <w:t>והשל״ה</w:t>
      </w:r>
      <w:r w:rsidRPr="00834BBC">
        <w:rPr>
          <w:rtl/>
        </w:rPr>
        <w:t>)</w:t>
      </w:r>
      <w:r>
        <w:rPr>
          <w:rFonts w:hint="cs"/>
          <w:rtl/>
        </w:rPr>
        <w:t xml:space="preserve">, </w:t>
      </w:r>
      <w:r w:rsidRPr="00DF5D59">
        <w:rPr>
          <w:rFonts w:hint="eastAsia"/>
          <w:b/>
          <w:bCs/>
          <w:rtl/>
        </w:rPr>
        <w:t>ש</w:t>
      </w:r>
      <w:r>
        <w:rPr>
          <w:rFonts w:hint="cs"/>
          <w:b/>
          <w:bCs/>
          <w:rtl/>
        </w:rPr>
        <w:t>לא נאמר</w:t>
      </w:r>
      <w:r>
        <w:rPr>
          <w:rFonts w:hint="cs"/>
          <w:rtl/>
        </w:rPr>
        <w:t xml:space="preserve"> </w:t>
      </w:r>
      <w:r w:rsidRPr="00834BBC">
        <w:rPr>
          <w:rtl/>
        </w:rPr>
        <w:t xml:space="preserve">פסוק </w:t>
      </w:r>
      <w:r w:rsidRPr="00834BBC">
        <w:rPr>
          <w:rFonts w:hint="cs"/>
          <w:rtl/>
        </w:rPr>
        <w:t>זה</w:t>
      </w:r>
      <w:r w:rsidRPr="00834BBC">
        <w:rPr>
          <w:rtl/>
        </w:rPr>
        <w:t xml:space="preserve"> ליחיד</w:t>
      </w:r>
      <w:r>
        <w:rPr>
          <w:rFonts w:hint="cs"/>
          <w:rtl/>
        </w:rPr>
        <w:t xml:space="preserve"> בביתו</w:t>
      </w:r>
      <w:r w:rsidRPr="00834BBC">
        <w:rPr>
          <w:rtl/>
        </w:rPr>
        <w:t xml:space="preserve">, אלא </w:t>
      </w:r>
      <w:r w:rsidRPr="00834BBC">
        <w:rPr>
          <w:rFonts w:hint="cs"/>
          <w:rtl/>
        </w:rPr>
        <w:t>לתפלת</w:t>
      </w:r>
      <w:r w:rsidRPr="00834BBC">
        <w:rPr>
          <w:rtl/>
        </w:rPr>
        <w:t xml:space="preserve"> </w:t>
      </w:r>
      <w:r>
        <w:rPr>
          <w:rFonts w:hint="cs"/>
          <w:rtl/>
        </w:rPr>
        <w:t>ה</w:t>
      </w:r>
      <w:r w:rsidRPr="00834BBC">
        <w:rPr>
          <w:rFonts w:hint="cs"/>
          <w:rtl/>
        </w:rPr>
        <w:t>רבים</w:t>
      </w:r>
      <w:r>
        <w:rPr>
          <w:rFonts w:hint="cs"/>
          <w:rtl/>
        </w:rPr>
        <w:t xml:space="preserve"> </w:t>
      </w:r>
      <w:r w:rsidRPr="00B22014">
        <w:rPr>
          <w:rFonts w:hint="cs"/>
          <w:b/>
          <w:bCs/>
          <w:rtl/>
        </w:rPr>
        <w:t>בב</w:t>
      </w:r>
      <w:r>
        <w:rPr>
          <w:rFonts w:hint="cs"/>
          <w:b/>
          <w:bCs/>
          <w:rtl/>
        </w:rPr>
        <w:t>יה</w:t>
      </w:r>
      <w:r w:rsidRPr="00B22014">
        <w:rPr>
          <w:rFonts w:hint="cs"/>
          <w:b/>
          <w:bCs/>
          <w:rtl/>
        </w:rPr>
        <w:t>מ</w:t>
      </w:r>
      <w:r>
        <w:rPr>
          <w:rFonts w:hint="cs"/>
          <w:b/>
          <w:bCs/>
          <w:rtl/>
        </w:rPr>
        <w:t>״ק או ביהכ״נ</w:t>
      </w:r>
      <w:r>
        <w:rPr>
          <w:rFonts w:hint="cs"/>
          <w:rtl/>
        </w:rPr>
        <w:t>.</w:t>
      </w:r>
    </w:p>
    <w:p w:rsidR="005D1881" w:rsidRDefault="005D1881" w:rsidP="005D1881">
      <w:pPr>
        <w:pStyle w:val="a3"/>
        <w:rPr>
          <w:rtl/>
        </w:rPr>
      </w:pPr>
      <w:r>
        <w:rPr>
          <w:rFonts w:hint="cs"/>
          <w:rtl/>
        </w:rPr>
        <w:t xml:space="preserve">     וזה לשון הירושלמי ברכות פ״ד ה״ד: ׳בכל המקום אשר אזכיר את שמי </w:t>
      </w:r>
      <w:r>
        <w:rPr>
          <w:rtl/>
        </w:rPr>
        <w:t>–</w:t>
      </w:r>
      <w:r>
        <w:rPr>
          <w:rFonts w:hint="cs"/>
          <w:rtl/>
        </w:rPr>
        <w:t xml:space="preserve"> מכאן שצריך אדם להתפלל במקום שמיוחד לתפלה.׳</w:t>
      </w:r>
    </w:p>
    <w:p w:rsidR="005D1881" w:rsidRDefault="005D1881" w:rsidP="005D1881">
      <w:pPr>
        <w:pStyle w:val="a3"/>
        <w:rPr>
          <w:rtl/>
        </w:rPr>
      </w:pPr>
      <w:r>
        <w:rPr>
          <w:rFonts w:hint="cs"/>
          <w:rtl/>
        </w:rPr>
        <w:t xml:space="preserve">     גם רבינו סעדיה גאון מיישב את הלשון ׳אזכיר׳, באל״ף ולא בתי״ו, שהכוונה הוא לבית המקדש שהקב״ה הוא הקובע את המקום.</w:t>
      </w:r>
    </w:p>
    <w:p w:rsidR="005D1881" w:rsidRDefault="005D1881" w:rsidP="005D1881">
      <w:pPr>
        <w:pStyle w:val="a3"/>
        <w:rPr>
          <w:rtl/>
        </w:rPr>
      </w:pPr>
      <w:r>
        <w:rPr>
          <w:rFonts w:hint="cs"/>
          <w:rtl/>
        </w:rPr>
        <w:t>וכן פרש״י סוף פרשת יתרו פסוק זה לפי פשוטו, מיוסד על  תמיהת רבי יאשיה: ׳</w:t>
      </w:r>
      <w:r w:rsidRPr="00C913C2">
        <w:rPr>
          <w:rFonts w:hint="cs"/>
          <w:b/>
          <w:bCs/>
          <w:rtl/>
        </w:rPr>
        <w:t>בכל מקום סלקא דעתך</w:t>
      </w:r>
      <w:r>
        <w:rPr>
          <w:rFonts w:hint="cs"/>
          <w:rtl/>
        </w:rPr>
        <w:t>? (סוטה לח.) והשקו״ט נוגע להלכה לברכת כהנים חוץ למקדש. וכן פסק הרמב״ם.</w:t>
      </w:r>
    </w:p>
    <w:p w:rsidR="005D1881" w:rsidRDefault="005D1881" w:rsidP="005D1881">
      <w:pPr>
        <w:pStyle w:val="a3"/>
        <w:rPr>
          <w:rtl/>
        </w:rPr>
      </w:pPr>
      <w:r>
        <w:rPr>
          <w:rFonts w:hint="cs"/>
          <w:rtl/>
        </w:rPr>
        <w:t>וכן כתב בעל הטורים (וכן מובא בעטרת זקנים - בעלי התוס,׳ ובספר הרוקח דף קיב): ׳</w:t>
      </w:r>
      <w:r w:rsidRPr="00766FF9">
        <w:rPr>
          <w:rFonts w:hint="cs"/>
          <w:b/>
          <w:bCs/>
          <w:rtl/>
        </w:rPr>
        <w:t>אבוא (מלא ו׳) גימטריא עשרה</w:t>
      </w:r>
      <w:r>
        <w:rPr>
          <w:rFonts w:hint="cs"/>
          <w:b/>
          <w:bCs/>
          <w:rtl/>
        </w:rPr>
        <w:t>'</w:t>
      </w:r>
      <w:r>
        <w:rPr>
          <w:rFonts w:hint="cs"/>
          <w:rtl/>
        </w:rPr>
        <w:t xml:space="preserve"> ומביא פסוק זה, וכן מבאר בעל הטורים בפ׳ נשא סמיכות הפסוקים ׳ואני אברכם' ו'ויהי ביום כלות משה להקים את המשכן׳ בקשר לפסוק ׳כל המקום׳.</w:t>
      </w:r>
    </w:p>
    <w:p w:rsidR="005D1881" w:rsidRDefault="005D1881" w:rsidP="005D1881">
      <w:pPr>
        <w:pStyle w:val="a3"/>
        <w:rPr>
          <w:rtl/>
        </w:rPr>
      </w:pPr>
      <w:r>
        <w:rPr>
          <w:rFonts w:hint="cs"/>
          <w:rtl/>
        </w:rPr>
        <w:t>ואולי י״ל שהלל הזקן הוא כמתווך ומקשר את ביתנו הפרטי לבית המקדש, שהיה אומר בשמחת בית השואבה: אמר הקב״ה לישראל, אם אתה תבוא אל ביתי, אני אבוא אל ביתך, שנאמר בכל המקום אשר אזכיר את שמי (סוכה נג.).</w:t>
      </w:r>
    </w:p>
    <w:p w:rsidR="005D1881" w:rsidRPr="009B6B64" w:rsidRDefault="005D1881" w:rsidP="005D1881">
      <w:pPr>
        <w:pStyle w:val="a3"/>
        <w:rPr>
          <w:rtl/>
        </w:rPr>
      </w:pPr>
      <w:r>
        <w:rPr>
          <w:rFonts w:hint="cs"/>
          <w:rtl/>
        </w:rPr>
        <w:lastRenderedPageBreak/>
        <w:t xml:space="preserve">והנה </w:t>
      </w:r>
      <w:r w:rsidRPr="009B6B64">
        <w:rPr>
          <w:rFonts w:hint="cs"/>
          <w:rtl/>
        </w:rPr>
        <w:t xml:space="preserve">בכלל </w:t>
      </w:r>
      <w:r>
        <w:rPr>
          <w:rFonts w:hint="cs"/>
          <w:rtl/>
        </w:rPr>
        <w:t xml:space="preserve">מקובל </w:t>
      </w:r>
      <w:r w:rsidRPr="009B6B64">
        <w:rPr>
          <w:rFonts w:hint="cs"/>
          <w:rtl/>
        </w:rPr>
        <w:t>שמשניות מס</w:t>
      </w:r>
      <w:r>
        <w:rPr>
          <w:rFonts w:hint="cs"/>
          <w:rtl/>
        </w:rPr>
        <w:t>כת</w:t>
      </w:r>
      <w:r w:rsidRPr="009B6B64">
        <w:rPr>
          <w:rFonts w:hint="cs"/>
          <w:rtl/>
        </w:rPr>
        <w:t xml:space="preserve"> אבות שונים מכל שאר המסכתות</w:t>
      </w:r>
      <w:r>
        <w:rPr>
          <w:rFonts w:hint="cs"/>
          <w:rtl/>
        </w:rPr>
        <w:t>,</w:t>
      </w:r>
      <w:r w:rsidRPr="009B6B64">
        <w:rPr>
          <w:rFonts w:hint="cs"/>
          <w:rtl/>
        </w:rPr>
        <w:t xml:space="preserve"> שהם עניני </w:t>
      </w:r>
      <w:r>
        <w:rPr>
          <w:rFonts w:hint="cs"/>
          <w:rtl/>
        </w:rPr>
        <w:t>מוסר ו</w:t>
      </w:r>
      <w:r w:rsidRPr="009B6B64">
        <w:rPr>
          <w:rFonts w:hint="cs"/>
          <w:rtl/>
        </w:rPr>
        <w:t>מידות נפשיים והשקפתיים</w:t>
      </w:r>
      <w:r>
        <w:rPr>
          <w:rFonts w:hint="cs"/>
          <w:rtl/>
        </w:rPr>
        <w:t>, ולא</w:t>
      </w:r>
      <w:r w:rsidRPr="009B6B64">
        <w:rPr>
          <w:rFonts w:hint="cs"/>
          <w:rtl/>
        </w:rPr>
        <w:t xml:space="preserve"> הלכה בפועל</w:t>
      </w:r>
      <w:r>
        <w:rPr>
          <w:rFonts w:hint="cs"/>
          <w:rtl/>
        </w:rPr>
        <w:t xml:space="preserve"> הנקבעים בשולחן ערוך</w:t>
      </w:r>
      <w:r w:rsidRPr="009B6B64">
        <w:rPr>
          <w:rFonts w:hint="cs"/>
          <w:rtl/>
        </w:rPr>
        <w:t xml:space="preserve">, </w:t>
      </w:r>
      <w:r>
        <w:rPr>
          <w:rFonts w:hint="cs"/>
          <w:rtl/>
        </w:rPr>
        <w:t>כי אם</w:t>
      </w:r>
      <w:r w:rsidRPr="009B6B64">
        <w:rPr>
          <w:rFonts w:hint="cs"/>
          <w:rtl/>
        </w:rPr>
        <w:t xml:space="preserve"> </w:t>
      </w:r>
      <w:r>
        <w:rPr>
          <w:rFonts w:hint="cs"/>
          <w:rtl/>
        </w:rPr>
        <w:t xml:space="preserve">׳מילי דחסידותא׳ (ב״ק ל.) </w:t>
      </w:r>
      <w:r w:rsidRPr="009B6B64">
        <w:rPr>
          <w:rFonts w:hint="cs"/>
          <w:rtl/>
        </w:rPr>
        <w:t>לפנים משורת הדין</w:t>
      </w:r>
      <w:r>
        <w:rPr>
          <w:rFonts w:hint="cs"/>
          <w:rtl/>
        </w:rPr>
        <w:t>, כל חד לפום שיעורא דיליה.</w:t>
      </w:r>
      <w:r w:rsidRPr="009B6B64">
        <w:rPr>
          <w:rFonts w:hint="cs"/>
          <w:rtl/>
        </w:rPr>
        <w:t xml:space="preserve"> </w:t>
      </w:r>
    </w:p>
    <w:p w:rsidR="005D1881" w:rsidRDefault="005D1881" w:rsidP="005D1881">
      <w:pPr>
        <w:pStyle w:val="a3"/>
        <w:rPr>
          <w:rtl/>
        </w:rPr>
      </w:pPr>
      <w:r>
        <w:rPr>
          <w:rFonts w:hint="cs"/>
          <w:rtl/>
        </w:rPr>
        <w:t xml:space="preserve"> </w:t>
      </w:r>
      <w:r w:rsidRPr="009B6B64">
        <w:rPr>
          <w:rFonts w:hint="cs"/>
          <w:rtl/>
        </w:rPr>
        <w:t>(</w:t>
      </w:r>
      <w:r>
        <w:rPr>
          <w:rFonts w:hint="cs"/>
          <w:rtl/>
        </w:rPr>
        <w:t>ויש לעיין ב</w:t>
      </w:r>
      <w:r w:rsidRPr="009B6B64">
        <w:rPr>
          <w:rFonts w:hint="cs"/>
          <w:rtl/>
        </w:rPr>
        <w:t xml:space="preserve">לשון </w:t>
      </w:r>
      <w:r>
        <w:rPr>
          <w:rFonts w:hint="cs"/>
          <w:rtl/>
        </w:rPr>
        <w:t xml:space="preserve">מכתב </w:t>
      </w:r>
      <w:r w:rsidRPr="009B6B64">
        <w:rPr>
          <w:rFonts w:hint="cs"/>
          <w:rtl/>
        </w:rPr>
        <w:t>רבינו לבר מצוה</w:t>
      </w:r>
      <w:r>
        <w:rPr>
          <w:rFonts w:hint="cs"/>
          <w:rtl/>
        </w:rPr>
        <w:t>:</w:t>
      </w:r>
      <w:r w:rsidRPr="009B6B64">
        <w:rPr>
          <w:rFonts w:hint="cs"/>
          <w:rtl/>
        </w:rPr>
        <w:t xml:space="preserve"> ׳</w:t>
      </w:r>
      <w:r w:rsidRPr="009B63B3">
        <w:rPr>
          <w:rFonts w:hint="cs"/>
          <w:b/>
          <w:bCs/>
          <w:rtl/>
        </w:rPr>
        <w:t>כפסק המשנה</w:t>
      </w:r>
      <w:r w:rsidRPr="009B6B64">
        <w:rPr>
          <w:rFonts w:hint="cs"/>
          <w:rtl/>
        </w:rPr>
        <w:t xml:space="preserve"> (אבות פ״ה) בן שלש עשרה למצוות׳</w:t>
      </w:r>
      <w:r>
        <w:rPr>
          <w:rFonts w:hint="cs"/>
          <w:rtl/>
        </w:rPr>
        <w:t>, אבל לאידך, הרי רבינו מדגיש תמיד שעניני אבות הם מילי דחסידותא, לא הלכה ממש, ראה לדוגמא (פ״ב מי״ג) ׳הוי זהיר בק״ש ובתפילה׳</w:t>
      </w:r>
      <w:r w:rsidRPr="009B6B64">
        <w:rPr>
          <w:rFonts w:hint="cs"/>
          <w:rtl/>
        </w:rPr>
        <w:t>)</w:t>
      </w:r>
      <w:r>
        <w:rPr>
          <w:rFonts w:hint="cs"/>
          <w:rtl/>
        </w:rPr>
        <w:t>.</w:t>
      </w:r>
    </w:p>
    <w:p w:rsidR="005D1881" w:rsidRDefault="005D1881" w:rsidP="005D1881">
      <w:pPr>
        <w:pStyle w:val="a3"/>
        <w:rPr>
          <w:rtl/>
        </w:rPr>
      </w:pPr>
      <w:r>
        <w:rPr>
          <w:rFonts w:hint="cs"/>
          <w:rtl/>
        </w:rPr>
        <w:t>ולא לדרשה בעלמא קאתינא, ששאלת ׳אפילו אחד׳ נוגע לפועל בזמנינו שבתי כנסיות סגורים עד יעבור זעם הקורונאוויירוס ר״ל.</w:t>
      </w:r>
    </w:p>
    <w:p w:rsidR="005D1881" w:rsidRDefault="005D1881" w:rsidP="005D1881">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6E31A6">
        <w:rPr>
          <w:rFonts w:ascii="Nymphette" w:eastAsia="Times New Roman" w:hAnsi="Nymphette" w:cs="Nymphette"/>
          <w:sz w:val="44"/>
          <w:szCs w:val="44"/>
        </w:rPr>
        <w:t>g</w:t>
      </w:r>
    </w:p>
    <w:p w:rsidR="002F0CA3" w:rsidRDefault="002F0CA3" w:rsidP="002F0CA3">
      <w:pPr>
        <w:pStyle w:val="a0"/>
        <w:rPr>
          <w:rtl/>
        </w:rPr>
      </w:pPr>
      <w:bookmarkStart w:id="180" w:name="_Toc9461529"/>
      <w:bookmarkStart w:id="181" w:name="_Toc9472232"/>
      <w:bookmarkStart w:id="182" w:name="_Toc39817477"/>
      <w:r w:rsidRPr="003F1CF9">
        <w:rPr>
          <w:rtl/>
        </w:rPr>
        <w:t>ל"ג בעומר</w:t>
      </w:r>
      <w:bookmarkEnd w:id="180"/>
      <w:bookmarkEnd w:id="181"/>
      <w:r w:rsidRPr="003F1CF9">
        <w:rPr>
          <w:rtl/>
        </w:rPr>
        <w:t xml:space="preserve"> יום הסתלקות</w:t>
      </w:r>
      <w:r w:rsidRPr="003F1CF9">
        <w:rPr>
          <w:rFonts w:hint="cs"/>
          <w:rtl/>
        </w:rPr>
        <w:t>ו</w:t>
      </w:r>
      <w:r w:rsidRPr="003F1CF9">
        <w:rPr>
          <w:rtl/>
        </w:rPr>
        <w:t xml:space="preserve"> של רבי שמעון ב</w:t>
      </w:r>
      <w:r w:rsidRPr="003F1CF9">
        <w:rPr>
          <w:rFonts w:hint="cs"/>
          <w:rtl/>
        </w:rPr>
        <w:t>ר</w:t>
      </w:r>
      <w:r w:rsidRPr="003F1CF9">
        <w:rPr>
          <w:rtl/>
        </w:rPr>
        <w:t xml:space="preserve"> יוחאי</w:t>
      </w:r>
      <w:bookmarkEnd w:id="182"/>
    </w:p>
    <w:p w:rsidR="002F0CA3" w:rsidRPr="00C74BF7" w:rsidRDefault="002F0CA3" w:rsidP="00C93F24">
      <w:pPr>
        <w:pStyle w:val="a"/>
        <w:rPr>
          <w:rtl/>
        </w:rPr>
      </w:pPr>
      <w:bookmarkStart w:id="183" w:name="_Toc39817478"/>
      <w:r w:rsidRPr="00C74BF7">
        <w:rPr>
          <w:rtl/>
        </w:rPr>
        <w:t>הרב ישכר דוד קלויזנר</w:t>
      </w:r>
      <w:bookmarkEnd w:id="183"/>
    </w:p>
    <w:p w:rsidR="002F0CA3" w:rsidRPr="00C74BF7" w:rsidRDefault="002F0CA3" w:rsidP="002F0CA3">
      <w:pPr>
        <w:pStyle w:val="a1"/>
        <w:rPr>
          <w:rtl/>
        </w:rPr>
      </w:pPr>
      <w:r w:rsidRPr="00C74BF7">
        <w:rPr>
          <w:rtl/>
        </w:rPr>
        <w:t>נחלת הר חב"ד, אה"ק</w:t>
      </w:r>
    </w:p>
    <w:p w:rsidR="002F0CA3" w:rsidRPr="009B6E90" w:rsidRDefault="002F0CA3" w:rsidP="002F0CA3">
      <w:pPr>
        <w:pStyle w:val="a3"/>
        <w:rPr>
          <w:rtl/>
        </w:rPr>
      </w:pPr>
      <w:r w:rsidRPr="009B6E90">
        <w:rPr>
          <w:rtl/>
        </w:rPr>
        <w:t xml:space="preserve">מסורת ישראל מאז ומקדם שיום ל"ג בעומר - יומא דהילולא של התנא האלקי רבי שמעון בר יוחאי </w:t>
      </w:r>
      <w:r w:rsidRPr="00B816A6">
        <w:rPr>
          <w:b/>
          <w:bCs/>
          <w:rtl/>
        </w:rPr>
        <w:t>הוא לכבוד יום פטירתו.</w:t>
      </w:r>
      <w:r w:rsidRPr="009B6E90">
        <w:rPr>
          <w:rtl/>
        </w:rPr>
        <w:t xml:space="preserve"> בשנים האחרונות מתחולל פולמוס עז סביב המקור הקדום ביותר למסורות זו בכתובים. מן הראוי להדגיש כי מסורת ישראל אין לה שום צורך וחיזוק בכתובים וכוחה גדול לפעמים עד כדי עקירת הלכה, וכלשונו של הגה"ק רבי נחמיה בירך מדוברובנה (נכדו ותלמידו של רבנו </w:t>
      </w:r>
      <w:r w:rsidRPr="004F7DFB">
        <w:rPr>
          <w:b/>
          <w:bCs/>
          <w:rtl/>
        </w:rPr>
        <w:t>'בעל התניא'</w:t>
      </w:r>
      <w:r w:rsidRPr="009B6E90">
        <w:rPr>
          <w:rtl/>
        </w:rPr>
        <w:t xml:space="preserve"> ובעל שו"ת </w:t>
      </w:r>
      <w:r w:rsidRPr="004F7DFB">
        <w:rPr>
          <w:b/>
          <w:bCs/>
          <w:rtl/>
        </w:rPr>
        <w:t>'דברי נחמיה'</w:t>
      </w:r>
      <w:r w:rsidRPr="009B6E90">
        <w:rPr>
          <w:rtl/>
        </w:rPr>
        <w:t xml:space="preserve">) כי </w:t>
      </w:r>
      <w:r w:rsidRPr="00B816A6">
        <w:rPr>
          <w:b/>
          <w:bCs/>
          <w:rtl/>
        </w:rPr>
        <w:t xml:space="preserve">"המפורסמות אין צריכות ראיה שכבר נתפרסם בכל העולם מכמה דורות ענין הילולא דרשב"י בל"ג בעומר ומסתמא יש מקור לזה בזוהר או בכתבי האר"י ז"ל". </w:t>
      </w:r>
      <w:r w:rsidRPr="009B6E90">
        <w:rPr>
          <w:rtl/>
        </w:rPr>
        <w:t>עם זאת, מאחר שנשמעו בענין זה כמה דעות, מן הראוי להביאן כהלכה.</w:t>
      </w:r>
    </w:p>
    <w:p w:rsidR="002F0CA3" w:rsidRPr="00E14568" w:rsidRDefault="002F0CA3" w:rsidP="002F0CA3">
      <w:pPr>
        <w:pStyle w:val="a3"/>
        <w:rPr>
          <w:b/>
          <w:bCs/>
          <w:rtl/>
        </w:rPr>
      </w:pPr>
      <w:r w:rsidRPr="009B6E90">
        <w:rPr>
          <w:rtl/>
        </w:rPr>
        <w:t xml:space="preserve">כידוע, על אף שגורי האר"י מסרו לנו </w:t>
      </w:r>
      <w:r w:rsidRPr="004F7DFB">
        <w:rPr>
          <w:b/>
          <w:bCs/>
          <w:rtl/>
        </w:rPr>
        <w:t>שהאר"י הקדוש</w:t>
      </w:r>
      <w:r w:rsidRPr="009B6E90">
        <w:rPr>
          <w:rtl/>
        </w:rPr>
        <w:t xml:space="preserve"> נסע מירונה כבר לפני ל"ג בעומר, ושהיה מרקד שם </w:t>
      </w:r>
      <w:r w:rsidRPr="004F7DFB">
        <w:rPr>
          <w:b/>
          <w:bCs/>
          <w:rtl/>
        </w:rPr>
        <w:t>ושמח שם בכל כוחו,</w:t>
      </w:r>
      <w:r w:rsidRPr="009B6E90">
        <w:rPr>
          <w:rtl/>
        </w:rPr>
        <w:t xml:space="preserve"> וכן עשה שם תגלחת לבנו, עם זאת לא נמסר לנו באותה עדות שרבינו האר"י אמר כי יום זה הוא יום פטירתו של רשב"י. כיון שכך, היו שבאו לטעון כי המקור הראשון לכך הוא מספר </w:t>
      </w:r>
      <w:r w:rsidRPr="000F4793">
        <w:rPr>
          <w:b/>
          <w:bCs/>
          <w:rtl/>
        </w:rPr>
        <w:t>'חמדת ימים'</w:t>
      </w:r>
      <w:r w:rsidRPr="009B6E90">
        <w:rPr>
          <w:rtl/>
        </w:rPr>
        <w:t xml:space="preserve"> שהודפס לראשונה בשנת תצ"א, שם כותב (חלק מועד פרק ב ליל לג): </w:t>
      </w:r>
      <w:r w:rsidRPr="00E14568">
        <w:rPr>
          <w:b/>
          <w:bCs/>
          <w:rtl/>
        </w:rPr>
        <w:t>"מצאתי כתוב בספר הקדמונים, שיום ל"ג בעומר הוא יומא דאתפטר רשב"י ע"ה מן עלמא, ונוהגים לקבוע בליל זה לימוד ברזין דחכמתא דיליה ובאדרא זוטא, וששים ושמחים בהילולא דיליה, אשרי אנוש יעשה זאת".</w:t>
      </w:r>
    </w:p>
    <w:p w:rsidR="002F0CA3" w:rsidRPr="00E14568" w:rsidRDefault="002F0CA3" w:rsidP="002F0CA3">
      <w:pPr>
        <w:pStyle w:val="a3"/>
        <w:rPr>
          <w:b/>
          <w:bCs/>
          <w:rtl/>
        </w:rPr>
      </w:pPr>
      <w:r w:rsidRPr="009B6E90">
        <w:rPr>
          <w:rtl/>
        </w:rPr>
        <w:t xml:space="preserve">דא עקא, כידוע שהספר </w:t>
      </w:r>
      <w:r w:rsidRPr="00E14568">
        <w:rPr>
          <w:b/>
          <w:bCs/>
          <w:rtl/>
        </w:rPr>
        <w:t>'חמדת ימים'</w:t>
      </w:r>
      <w:r w:rsidRPr="009B6E90">
        <w:rPr>
          <w:rtl/>
        </w:rPr>
        <w:t xml:space="preserve"> שלמדו בו רבים מגדולי ישראל יצאו עליו עוררין, ועל כן חלק מגדולי ישראל הדירוהו מעל שולחנם, ולפיכך יתכן שעדיף לא להסתמך ולומר כי 'חמדת ימים' הוא המקור הראשון להפצת מסורת של כלל ישראל, אף על פי שהוא עצמו מציין כי מצא כן </w:t>
      </w:r>
      <w:r w:rsidRPr="00E14568">
        <w:rPr>
          <w:b/>
          <w:bCs/>
          <w:rtl/>
        </w:rPr>
        <w:t>כתוב 'בספר הקדמונים'.</w:t>
      </w:r>
    </w:p>
    <w:p w:rsidR="002F0CA3" w:rsidRPr="009B6E90" w:rsidRDefault="002F0CA3" w:rsidP="002F0CA3">
      <w:pPr>
        <w:pStyle w:val="a3"/>
        <w:rPr>
          <w:rtl/>
        </w:rPr>
      </w:pPr>
      <w:r w:rsidRPr="009B6E90">
        <w:rPr>
          <w:rtl/>
        </w:rPr>
        <w:lastRenderedPageBreak/>
        <w:t xml:space="preserve">והנה לכאורה המקור הנכון הוא ספר </w:t>
      </w:r>
      <w:r w:rsidRPr="00E14568">
        <w:rPr>
          <w:b/>
          <w:bCs/>
          <w:rtl/>
        </w:rPr>
        <w:t>'פרי עץ חיים'</w:t>
      </w:r>
      <w:r w:rsidRPr="009B6E90">
        <w:rPr>
          <w:rtl/>
        </w:rPr>
        <w:t xml:space="preserve"> (כתבי רבינו חיים ויטאל שנערכו בידי גדולי תלמידיו ובהם רבי מאיר פאפריש בעמח"ס 'אור הישר' ו'אור צדיקים') שם כתוב (שער ספירת העומר פרק ז) "נראה מכל זה שיש שורש ליציאה זו . . והטעם שמת רשב"י ביום ל"ג בעומר כי הוא מתלמידי רבי עקיבא הנ"ל שמתו בספירת העומר הנ"ל". - לכאורה הרי זה מקור נאמן למסורת ישראל שרשב"י נסתלק ביום ל"ג בעומר.</w:t>
      </w:r>
    </w:p>
    <w:p w:rsidR="002F0CA3" w:rsidRPr="009B6E90" w:rsidRDefault="002F0CA3" w:rsidP="002F0CA3">
      <w:pPr>
        <w:pStyle w:val="a3"/>
        <w:rPr>
          <w:rtl/>
        </w:rPr>
      </w:pPr>
      <w:r w:rsidRPr="009B6E90">
        <w:rPr>
          <w:rtl/>
        </w:rPr>
        <w:t xml:space="preserve">ברם, דברי </w:t>
      </w:r>
      <w:r w:rsidRPr="00E14568">
        <w:rPr>
          <w:b/>
          <w:bCs/>
          <w:rtl/>
        </w:rPr>
        <w:t>ה'פרי עץ חיים'</w:t>
      </w:r>
      <w:r w:rsidRPr="009B6E90">
        <w:rPr>
          <w:rtl/>
        </w:rPr>
        <w:t xml:space="preserve"> תמוהים, וכפי שעמד עליהם בשו"ת </w:t>
      </w:r>
      <w:r w:rsidRPr="00E14568">
        <w:rPr>
          <w:b/>
          <w:bCs/>
          <w:rtl/>
        </w:rPr>
        <w:t>'דברי נחמיה'</w:t>
      </w:r>
      <w:r w:rsidRPr="009B6E90">
        <w:rPr>
          <w:rtl/>
        </w:rPr>
        <w:t xml:space="preserve"> הנ"ל (אורח חיים סי' לז), ומשום שבגמרא (יבמות סב, ב) מבואר שרשב"י הוא מתלמידיו של רבי עקיבא שהעמיד לאחר שנסתלקו כ"ד אלף תלמידיו, וכיצד יתכן לומר שרשב"י נפטר ביום ל"ג בעומר כפי שנפטרו באותו יום שאר תלמידי רבי עקיבא? ומה גם שרשב"י האריך ימים אחר רבי עקיבא ולא נפטר על פניו כשאר כ"ד אלף התלמידים. ולפיכך מציין בדברי נחמיה כי ככל הנראה גרסת ה'פרי עץ חיים' שלפנינו משובשת.</w:t>
      </w:r>
    </w:p>
    <w:p w:rsidR="002F0CA3" w:rsidRPr="009B6E90" w:rsidRDefault="002F0CA3" w:rsidP="002F0CA3">
      <w:pPr>
        <w:pStyle w:val="a3"/>
        <w:rPr>
          <w:rtl/>
        </w:rPr>
      </w:pPr>
      <w:r w:rsidRPr="009B6E90">
        <w:rPr>
          <w:rtl/>
        </w:rPr>
        <w:t xml:space="preserve">ואכן, בשנים האחרונות התגלה ע"י הרבנים ר' אייזיק בלוי ור' נחום זאב הלוי רוזנשטיין ב"ישורון" (קובץ טו) כתב יד קדום של ספר </w:t>
      </w:r>
      <w:r w:rsidRPr="00E14568">
        <w:rPr>
          <w:b/>
          <w:bCs/>
          <w:rtl/>
        </w:rPr>
        <w:t>'פרי עץ חיים'</w:t>
      </w:r>
      <w:r w:rsidRPr="009B6E90">
        <w:rPr>
          <w:rtl/>
        </w:rPr>
        <w:t xml:space="preserve"> ששכן כבוד בספרייתו הגדולה של רבה של פראג הגאון רבי דוד אופנהיים. הגאון רבי דוד ששימש גם נשיא ארץ ישראל, היה ידוע כאוהב ספרים מושבע ויכול היה לנסוע למרחקים עצומים כדי להשיג ספרי קודש. עם השנים התגלגלה ספרייתו כולה לספרייה הגדולה שבאוניברסיטת 'אוקספורד' שבבריטניה (ספריית הבדוליאנה). ובאותו כתב יד קדום (נכתב בשנת ת"ס - 1700 יותר משלושים שנה לפני הדפסת ה'חמדת ימים') מופיע הנוסח כדלהלן:</w:t>
      </w:r>
    </w:p>
    <w:p w:rsidR="002F0CA3" w:rsidRPr="00E14568" w:rsidRDefault="002F0CA3" w:rsidP="00825FC6">
      <w:pPr>
        <w:pStyle w:val="11"/>
        <w:bidi/>
        <w:rPr>
          <w:rtl/>
        </w:rPr>
      </w:pPr>
      <w:r w:rsidRPr="00E14568">
        <w:rPr>
          <w:rtl/>
        </w:rPr>
        <w:t>"וטעם שמ/ רשב"י ביום ל"ג לעומר כי הוא מתלמידי רבי עקיבא שהוא שמ/ ל"ג לעומר..."</w:t>
      </w:r>
    </w:p>
    <w:p w:rsidR="002F0CA3" w:rsidRPr="009B6E90" w:rsidRDefault="002F0CA3" w:rsidP="002F0CA3">
      <w:pPr>
        <w:pStyle w:val="a3"/>
        <w:rPr>
          <w:rtl/>
        </w:rPr>
      </w:pPr>
      <w:r w:rsidRPr="009B6E90">
        <w:rPr>
          <w:rtl/>
        </w:rPr>
        <w:t xml:space="preserve">כך בשינויים קלים - כמעט לא מובחנים נתיישבו כל תמיהותיו של </w:t>
      </w:r>
      <w:r w:rsidRPr="00E14568">
        <w:rPr>
          <w:b/>
          <w:bCs/>
          <w:rtl/>
        </w:rPr>
        <w:t>ה'דברי נחמיה'</w:t>
      </w:r>
      <w:r w:rsidRPr="009B6E90">
        <w:rPr>
          <w:rtl/>
        </w:rPr>
        <w:t xml:space="preserve"> שאכן הסיק אל נכון כי ישנם שיבושי דפוס בספר </w:t>
      </w:r>
      <w:r w:rsidRPr="00E14568">
        <w:rPr>
          <w:b/>
          <w:bCs/>
          <w:rtl/>
        </w:rPr>
        <w:t>'פרי עץ חיים'</w:t>
      </w:r>
      <w:r w:rsidRPr="009B6E90">
        <w:rPr>
          <w:rtl/>
        </w:rPr>
        <w:t xml:space="preserve"> שלפניו. שכן ב'פרי עץ חיים' שבדפוס היתה שרשרת של שגיאות קשות, שנגרמו על ידי המדפיס. תחילה פתח בטעות את ה'שמ/' הראשון ל'שמת', ולכן שינה (בהתאם) מ'וטעם' ל'והטעם' שמת רשב"י ביום ל"ג בעומר, כי הוא מתלמידי רבי עקיבא 'שמתו בספירת העומר' - כאן [- ב'שמ/' השני] לאחר שכבר לא יכול היה לפתוח את הקיצור 'שמ/' - שמת, מאחר שכבר פתח באופן זה את הקיצור הקודם, פתח המדפיס את ה'שמ/' השני ל'שמתו'. אלא שכעת לא יכול היה להשאיר את הנוסח בל"ג לעומר, שהרי תלמידי רבי עקיבא מתו בכל ימי הספירה ולא בל"ג בעומר, ולכן שינה את זה ל'בספירת העומר'. כעת נולד נוסח הכלאים המשובש שרשב"י נפטר בל"ג בעומר כשאר תלמידי רבי עקיבא שנפטרו בימי הספירה.</w:t>
      </w:r>
    </w:p>
    <w:p w:rsidR="002F0CA3" w:rsidRPr="00E14568" w:rsidRDefault="002F0CA3" w:rsidP="002F0CA3">
      <w:pPr>
        <w:pStyle w:val="a3"/>
        <w:rPr>
          <w:b/>
          <w:bCs/>
          <w:rtl/>
        </w:rPr>
      </w:pPr>
      <w:r w:rsidRPr="009B6E90">
        <w:rPr>
          <w:rtl/>
        </w:rPr>
        <w:t xml:space="preserve">אמנם, פתיחה אחרת של ראשי התיבות בכתב יד, תיישב את קושיותיו של בעל 'דברי נחמיה' וכן תעמיד מקור קדום למסורת קדומה. שכן אם נקרא זאת כך: </w:t>
      </w:r>
      <w:r w:rsidRPr="00E14568">
        <w:rPr>
          <w:b/>
          <w:bCs/>
          <w:rtl/>
        </w:rPr>
        <w:t>"וטעם שמחת רשב"י ביום ל"ג לעומר כי הוא מתלמידי רבי עקיבא שהוא שמת ל"ג לעומר...",</w:t>
      </w:r>
      <w:r w:rsidRPr="009B6E90">
        <w:rPr>
          <w:rtl/>
        </w:rPr>
        <w:t xml:space="preserve"> </w:t>
      </w:r>
      <w:r w:rsidRPr="00E14568">
        <w:rPr>
          <w:b/>
          <w:bCs/>
          <w:rtl/>
        </w:rPr>
        <w:t>הרי שהכל יבוא על מקומו בשלום - טעם שמחת ל"ג בעומר הוא מפני שזהו יום פטירתו של רבי שמעון שמת באותו יום, כמסורת המקובלת בכלל ישראל מדורי דורות.</w:t>
      </w:r>
    </w:p>
    <w:p w:rsidR="002F0CA3" w:rsidRPr="00360A0D" w:rsidRDefault="002F0CA3" w:rsidP="002F0CA3">
      <w:pPr>
        <w:pStyle w:val="a3"/>
        <w:rPr>
          <w:b/>
          <w:bCs/>
          <w:rtl/>
        </w:rPr>
      </w:pPr>
      <w:r w:rsidRPr="009B6E90">
        <w:rPr>
          <w:rtl/>
        </w:rPr>
        <w:t xml:space="preserve">בנוסף נמצא לאחרונה ע"י הרבנים ר' אייזיק בלוי ור' נחום זאב הלוי רוזנשטיין ב"ישורון" (קובץ טו) כתב יד נוסף. הפעם מדובר </w:t>
      </w:r>
      <w:r w:rsidRPr="00360A0D">
        <w:rPr>
          <w:b/>
          <w:bCs/>
          <w:rtl/>
        </w:rPr>
        <w:t xml:space="preserve">בעצם כתב יד קדשם של רבי חיים ויטאל ובנו הגה"ק </w:t>
      </w:r>
      <w:r w:rsidRPr="00360A0D">
        <w:rPr>
          <w:b/>
          <w:bCs/>
          <w:rtl/>
        </w:rPr>
        <w:lastRenderedPageBreak/>
        <w:t xml:space="preserve">רבי שמואל של ספר 'שמונה שערים' (שאחד השערים בו הוא 'שער הכוונות' המפורסם). </w:t>
      </w:r>
      <w:r w:rsidRPr="009B6E90">
        <w:rPr>
          <w:rtl/>
        </w:rPr>
        <w:t xml:space="preserve">שם מופיע שינוי קל בדברי רשב"י לאר"י הקדוש בנוגע לרבי אברהם הלוי שאמר נחם בל"ג בעומר על הציון. בעוד שבנוסח המפורסם מופיע </w:t>
      </w:r>
      <w:r w:rsidRPr="00360A0D">
        <w:rPr>
          <w:b/>
          <w:bCs/>
          <w:rtl/>
        </w:rPr>
        <w:t>"אמור לאיש הזה אברהם הלוי כי למה אומר נחם ביום שמחתינו"</w:t>
      </w:r>
      <w:r w:rsidRPr="009B6E90">
        <w:rPr>
          <w:rtl/>
        </w:rPr>
        <w:t xml:space="preserve"> הרי שבכתב היד הנוסח הוא </w:t>
      </w:r>
      <w:r w:rsidRPr="00360A0D">
        <w:rPr>
          <w:b/>
          <w:bCs/>
          <w:rtl/>
        </w:rPr>
        <w:t>"... כי למה אומר נחם ביום שמועתינו".</w:t>
      </w:r>
      <w:r w:rsidRPr="009B6E90">
        <w:rPr>
          <w:rtl/>
        </w:rPr>
        <w:t xml:space="preserve"> </w:t>
      </w:r>
      <w:r w:rsidRPr="00360A0D">
        <w:rPr>
          <w:b/>
          <w:bCs/>
          <w:rtl/>
        </w:rPr>
        <w:t>כאשר בין שני המושגים יום שמחתינו ליום שמועתינו פעורה תהום של ממש. בעוד שיום שמחתינו היינו ההילולא הגדולה הנערכת בל"ג בעומר, שאין הכרח המקשר אותה ליום הסתלקות רשב"י, הרי ש'יום שמועתינו' מתקשר להסתלקות באופן ישיר.</w:t>
      </w:r>
    </w:p>
    <w:p w:rsidR="002F0CA3" w:rsidRPr="00360A0D" w:rsidRDefault="002F0CA3" w:rsidP="002F0CA3">
      <w:pPr>
        <w:pStyle w:val="a3"/>
        <w:rPr>
          <w:b/>
          <w:bCs/>
          <w:rtl/>
        </w:rPr>
      </w:pPr>
      <w:r w:rsidRPr="009B6E90">
        <w:rPr>
          <w:rtl/>
        </w:rPr>
        <w:t xml:space="preserve">כידוע, המקור הקדום ביותר להנהגות יומא דהילולא הוא בדברי הגאונים המובאים בפירושו של רש"י לש"ס (יבמות קכב, א. ד"ה תלתא ריגלי): "כל הנך ריגלי דאמוראי היינו </w:t>
      </w:r>
      <w:r w:rsidRPr="00360A0D">
        <w:rPr>
          <w:b/>
          <w:bCs/>
          <w:rtl/>
        </w:rPr>
        <w:t>יום שמת בו אדם גדול קובעים אותו לכבודו ומדי שנה בשנה כשמגיע אותו יום מתקבצים תלמידי חכמים מכל סביביו ובאים על קברו עם שאר העם להושיב ישיבה שם".</w:t>
      </w:r>
    </w:p>
    <w:p w:rsidR="002F0CA3" w:rsidRPr="009B6E90" w:rsidRDefault="002F0CA3" w:rsidP="002F0CA3">
      <w:pPr>
        <w:pStyle w:val="a3"/>
        <w:rPr>
          <w:rtl/>
        </w:rPr>
      </w:pPr>
      <w:r w:rsidRPr="009B6E90">
        <w:rPr>
          <w:rtl/>
        </w:rPr>
        <w:t xml:space="preserve">וכמו שכתב הגה"ק </w:t>
      </w:r>
      <w:r w:rsidRPr="00360A0D">
        <w:rPr>
          <w:b/>
          <w:bCs/>
          <w:rtl/>
        </w:rPr>
        <w:t xml:space="preserve">בעל </w:t>
      </w:r>
      <w:r w:rsidRPr="00360A0D">
        <w:rPr>
          <w:b/>
          <w:bCs/>
        </w:rPr>
        <w:t>'</w:t>
      </w:r>
      <w:r w:rsidRPr="00360A0D">
        <w:rPr>
          <w:b/>
          <w:bCs/>
          <w:rtl/>
        </w:rPr>
        <w:t>מנחת אלעזר' ממונקאטש זצ"ל</w:t>
      </w:r>
      <w:r w:rsidRPr="009B6E90">
        <w:rPr>
          <w:rtl/>
        </w:rPr>
        <w:t xml:space="preserve"> בספרו </w:t>
      </w:r>
      <w:r w:rsidRPr="00360A0D">
        <w:rPr>
          <w:b/>
          <w:bCs/>
          <w:rtl/>
        </w:rPr>
        <w:t>'דברי תורה'</w:t>
      </w:r>
      <w:r w:rsidRPr="009B6E90">
        <w:rPr>
          <w:rtl/>
        </w:rPr>
        <w:t xml:space="preserve"> מהדורה ט (סי' לג) וז"ל: ברכות (ו, ב) "אמר רב אשי אגרא דבי הלולי, מילי" [=השכר שמקבלים על ההשתתפות בשמחת הנשואין, הוא בעד המילים (כולל דברי שבח על הכלה) שאומרים לחתן כדי לשמחו]. - "הנה בליקוטי הש"ס להאריז"ל פי' בזה (מהרח"ו ז"ל) וז"ל: "הנה זה סוד הלולא דצדיקייא שארז"ל בו ביום פטירת הצדיק מן העולם אין העסק כי אם בתורה ובמעשים טובים אשר חידש הוא, וזה סוד אגרא דהלולא מלולא,</w:t>
      </w:r>
      <w:r w:rsidRPr="009B6E90">
        <w:t xml:space="preserve"> </w:t>
      </w:r>
      <w:r w:rsidRPr="009B6E90">
        <w:rPr>
          <w:rtl/>
        </w:rPr>
        <w:t>פירוש מילוליו ודבריו שחידש הוא. ועי' בזהר רות בהלולא דרב חסדא" עכל"ה.</w:t>
      </w:r>
      <w:r w:rsidRPr="009B6E90">
        <w:t xml:space="preserve"> </w:t>
      </w:r>
      <w:r w:rsidRPr="00360A0D">
        <w:rPr>
          <w:b/>
          <w:bCs/>
          <w:rtl/>
        </w:rPr>
        <w:t>והנה לא מצינו לכאורה לשון הלולא על יום פטירת הצדיק רק על רשב"י כדאמרינן באדרא זוטא [זהר ח"ג רצו, ב. ח"א ריח, ב] בעת פטירת והלוית רשב"י עאלו ואתכנשו להלולא דרשב"י.</w:t>
      </w:r>
      <w:r w:rsidRPr="009B6E90">
        <w:rPr>
          <w:rtl/>
        </w:rPr>
        <w:t xml:space="preserve"> ועי' בשו"ת שם אריה הוספה לערוגת הבושם להגאון מזסלב ז"ל (חאו"ח סי' יד) מה שהאריך בזה. אמנם בדברי האריז"ל בלקוטי הש"ס כנ"ל מצינו </w:t>
      </w:r>
      <w:r w:rsidRPr="00360A0D">
        <w:rPr>
          <w:b/>
          <w:bCs/>
          <w:rtl/>
        </w:rPr>
        <w:t>דכל יום פטירתו דצדיק נקרא הלולא כמו שפי' אגרא דבי הלולא</w:t>
      </w:r>
      <w:r w:rsidRPr="009B6E90">
        <w:rPr>
          <w:rtl/>
        </w:rPr>
        <w:t xml:space="preserve"> כנ"ל.</w:t>
      </w:r>
      <w:r w:rsidRPr="009B6E90">
        <w:t xml:space="preserve"> </w:t>
      </w:r>
      <w:r w:rsidRPr="009B6E90">
        <w:rPr>
          <w:rtl/>
        </w:rPr>
        <w:t>ויתאחדו הדברים כאחד עם דברי רש"י ז"ל בשם תשו' הגאונים (בסוף יבמות)</w:t>
      </w:r>
      <w:r w:rsidRPr="009B6E90">
        <w:t xml:space="preserve"> </w:t>
      </w:r>
      <w:r w:rsidRPr="009B6E90">
        <w:rPr>
          <w:rtl/>
        </w:rPr>
        <w:t xml:space="preserve">שנקרא יום זה </w:t>
      </w:r>
      <w:r w:rsidRPr="00360A0D">
        <w:rPr>
          <w:b/>
          <w:bCs/>
          <w:rtl/>
        </w:rPr>
        <w:t xml:space="preserve">יומא דהלולא שמתאספין על קבר אדם גדול ביום שמת בו מרחוק ומקרוב ואומרים שמועה מפיו </w:t>
      </w:r>
      <w:r w:rsidRPr="009B6E90">
        <w:rPr>
          <w:rtl/>
        </w:rPr>
        <w:t xml:space="preserve">עיי"ש, והיינו מילי או מלולא שאומרים בשמו כמ"ש בלקוטי הש"ס להאריז"ל כנ"ל". עכ"ל </w:t>
      </w:r>
      <w:r w:rsidRPr="00360A0D">
        <w:rPr>
          <w:b/>
          <w:bCs/>
          <w:rtl/>
        </w:rPr>
        <w:t>ב'דברי תורה'.</w:t>
      </w:r>
    </w:p>
    <w:p w:rsidR="002F0CA3" w:rsidRPr="00360A0D" w:rsidRDefault="002F0CA3" w:rsidP="002F0CA3">
      <w:pPr>
        <w:pStyle w:val="a3"/>
        <w:rPr>
          <w:b/>
          <w:bCs/>
          <w:rtl/>
        </w:rPr>
      </w:pPr>
      <w:r w:rsidRPr="009B6E90">
        <w:rPr>
          <w:rtl/>
        </w:rPr>
        <w:t xml:space="preserve">באותו מעמד של יומא דריגלא הקדום כאשר היו מושיבים ישיבה על קברו של האמורא ביום פטירתו, היה המנהג לחזור על </w:t>
      </w:r>
      <w:r w:rsidRPr="00360A0D">
        <w:rPr>
          <w:b/>
          <w:bCs/>
          <w:rtl/>
        </w:rPr>
        <w:t>'שמועותיו',</w:t>
      </w:r>
      <w:r w:rsidRPr="009B6E90">
        <w:rPr>
          <w:rtl/>
        </w:rPr>
        <w:t xml:space="preserve"> וכך היה המנהג הקדום גם בל"ג בעומר כאשר כדברי החיד"א (בספר </w:t>
      </w:r>
      <w:r w:rsidRPr="00360A0D">
        <w:rPr>
          <w:b/>
          <w:bCs/>
          <w:rtl/>
        </w:rPr>
        <w:t>'מורה באצבע') "ויש מי שנהג לעשות לימוד בליל ל"ג בעומר בי עשרה, ללמוד שבחי רשב"י המפוזרים בזהר ואדרא זוטא" [בפ' האזינו רצו, ב].</w:t>
      </w:r>
    </w:p>
    <w:p w:rsidR="002F0CA3" w:rsidRPr="009B6E90" w:rsidRDefault="002F0CA3" w:rsidP="002F0CA3">
      <w:pPr>
        <w:pStyle w:val="a3"/>
        <w:rPr>
          <w:rtl/>
        </w:rPr>
      </w:pPr>
      <w:r w:rsidRPr="009B6E90">
        <w:rPr>
          <w:rtl/>
        </w:rPr>
        <w:t xml:space="preserve">כי זהו </w:t>
      </w:r>
      <w:r w:rsidRPr="00360A0D">
        <w:rPr>
          <w:b/>
          <w:bCs/>
          <w:rtl/>
        </w:rPr>
        <w:t>'יום שמועתיו' של רבי שמעון בר יוחאי</w:t>
      </w:r>
      <w:r w:rsidRPr="009B6E90">
        <w:rPr>
          <w:rtl/>
        </w:rPr>
        <w:t xml:space="preserve"> - אותו יום קדוש בו מתאספים כלל ישראל להילולא שלו, ונוהגים כאותו מנהג קדום לחזור את </w:t>
      </w:r>
      <w:r w:rsidRPr="00360A0D">
        <w:rPr>
          <w:b/>
          <w:bCs/>
          <w:rtl/>
        </w:rPr>
        <w:t xml:space="preserve">'שמועותיו' </w:t>
      </w:r>
      <w:r w:rsidRPr="009B6E90">
        <w:rPr>
          <w:rtl/>
        </w:rPr>
        <w:t>ודברי קדשו, וכפי שהיה ביום הסתלקותו כאשר שנה לתלמידיו את האדרא עד הסתלקותו מתוך עמוד אש קודש.</w:t>
      </w:r>
    </w:p>
    <w:p w:rsidR="002F0CA3" w:rsidRPr="00360A0D" w:rsidRDefault="002F0CA3" w:rsidP="002F0CA3">
      <w:pPr>
        <w:pStyle w:val="a3"/>
        <w:rPr>
          <w:b/>
          <w:bCs/>
          <w:rtl/>
        </w:rPr>
      </w:pPr>
      <w:r w:rsidRPr="00360A0D">
        <w:rPr>
          <w:b/>
          <w:bCs/>
          <w:rtl/>
        </w:rPr>
        <w:t>ב'אגרות קודש'</w:t>
      </w:r>
      <w:r w:rsidRPr="009B6E90">
        <w:rPr>
          <w:rtl/>
        </w:rPr>
        <w:t xml:space="preserve"> (כרך ד ע' ערה) כותב כ"ק אדמו"ר זי"ע (פסח שני תשי"א): </w:t>
      </w:r>
      <w:r w:rsidRPr="00360A0D">
        <w:rPr>
          <w:b/>
          <w:bCs/>
          <w:rtl/>
        </w:rPr>
        <w:t>"כמה טעמים נאמרו בשמחת ל"ג בעומר וחגיגתו, ואנו אין לנו אלא האמור בכתבי האריז"ל ומובא בדא"ח, אשר יום זה הוא יום הסתלקותו של רבי שמעון בן יוחאי - הילולא דרבי שמעון".</w:t>
      </w:r>
    </w:p>
    <w:p w:rsidR="002F0CA3" w:rsidRPr="00360A0D" w:rsidRDefault="002F0CA3" w:rsidP="002F0CA3">
      <w:pPr>
        <w:pStyle w:val="a3"/>
        <w:rPr>
          <w:b/>
          <w:bCs/>
        </w:rPr>
      </w:pPr>
      <w:r w:rsidRPr="009B6E90">
        <w:rPr>
          <w:rtl/>
        </w:rPr>
        <w:t xml:space="preserve">ובהערה שם כתב מקורו 'בכתבי האריז"ל' ומובא בדא"ח: </w:t>
      </w:r>
      <w:r w:rsidRPr="00360A0D">
        <w:rPr>
          <w:b/>
          <w:bCs/>
          <w:rtl/>
        </w:rPr>
        <w:t xml:space="preserve">"פרי עץ חיים שער ספירת </w:t>
      </w:r>
      <w:r w:rsidRPr="00360A0D">
        <w:rPr>
          <w:b/>
          <w:bCs/>
          <w:rtl/>
        </w:rPr>
        <w:lastRenderedPageBreak/>
        <w:t xml:space="preserve">העומר פ"ז, דרוש כ"ק רבנו הזקן </w:t>
      </w:r>
      <w:r w:rsidRPr="00360A0D">
        <w:rPr>
          <w:b/>
          <w:bCs/>
        </w:rPr>
        <w:t>)</w:t>
      </w:r>
      <w:r w:rsidRPr="00360A0D">
        <w:rPr>
          <w:b/>
          <w:bCs/>
          <w:rtl/>
        </w:rPr>
        <w:t>הוזכר בשו"ת דברי נחמיה חאו"ח סי' לד ס"ז). סידור שער הל"ג בעומר, ובלשון מהר"נ מדובראוונא (שם): כבר נתפרסם בכל העולם מכמה דורות ענין הילולא דרשב"י בל"ג בעומר", עכ"ל.</w:t>
      </w:r>
    </w:p>
    <w:p w:rsidR="002F0CA3" w:rsidRPr="00360A0D" w:rsidRDefault="002F0CA3" w:rsidP="002F0CA3">
      <w:pPr>
        <w:pStyle w:val="a3"/>
        <w:rPr>
          <w:b/>
          <w:bCs/>
          <w:rtl/>
        </w:rPr>
      </w:pPr>
      <w:r w:rsidRPr="009B6E90">
        <w:rPr>
          <w:rtl/>
        </w:rPr>
        <w:t xml:space="preserve">הרבי זי"ע במכתבו לרב זוין </w:t>
      </w:r>
      <w:r>
        <w:rPr>
          <w:rFonts w:hint="cs"/>
          <w:rtl/>
        </w:rPr>
        <w:t>-</w:t>
      </w:r>
      <w:r w:rsidRPr="009B6E90">
        <w:rPr>
          <w:rtl/>
        </w:rPr>
        <w:t xml:space="preserve"> </w:t>
      </w:r>
      <w:r w:rsidRPr="00360A0D">
        <w:rPr>
          <w:rFonts w:hint="cs"/>
          <w:b/>
          <w:bCs/>
          <w:rtl/>
        </w:rPr>
        <w:t>'</w:t>
      </w:r>
      <w:r w:rsidRPr="00360A0D">
        <w:rPr>
          <w:b/>
          <w:bCs/>
          <w:rtl/>
        </w:rPr>
        <w:t>אגרות קודש</w:t>
      </w:r>
      <w:r w:rsidRPr="00360A0D">
        <w:rPr>
          <w:rFonts w:hint="cs"/>
          <w:b/>
          <w:bCs/>
          <w:rtl/>
        </w:rPr>
        <w:t>'</w:t>
      </w:r>
      <w:r w:rsidRPr="009B6E90">
        <w:rPr>
          <w:rtl/>
        </w:rPr>
        <w:t xml:space="preserve"> כרך ג (עמ' קו-ז) כותב </w:t>
      </w:r>
      <w:r w:rsidRPr="00360A0D">
        <w:rPr>
          <w:b/>
          <w:bCs/>
          <w:rtl/>
        </w:rPr>
        <w:t>שאין פרי עץ חיים [מודפס] בו נכתב שרשב"י נפטר בל"ג בעומר</w:t>
      </w:r>
      <w:r w:rsidRPr="009B6E90">
        <w:rPr>
          <w:rtl/>
        </w:rPr>
        <w:t xml:space="preserve"> [כי כל הדפוסים משובשים]. וגם </w:t>
      </w:r>
      <w:r w:rsidRPr="00360A0D">
        <w:rPr>
          <w:b/>
          <w:bCs/>
          <w:rtl/>
        </w:rPr>
        <w:t>ה'חיד"א' וה'בן איש</w:t>
      </w:r>
      <w:r w:rsidRPr="009B6E90">
        <w:rPr>
          <w:rtl/>
        </w:rPr>
        <w:t xml:space="preserve"> </w:t>
      </w:r>
      <w:r w:rsidRPr="00360A0D">
        <w:rPr>
          <w:b/>
          <w:bCs/>
          <w:rtl/>
        </w:rPr>
        <w:t xml:space="preserve">חי' </w:t>
      </w:r>
      <w:r w:rsidRPr="009B6E90">
        <w:rPr>
          <w:rtl/>
        </w:rPr>
        <w:t xml:space="preserve">מעולם לא אמרו של"ג בעומר אינו יום הסתלקותו של רשב"י ח"ו, </w:t>
      </w:r>
      <w:r w:rsidRPr="00360A0D">
        <w:rPr>
          <w:b/>
          <w:bCs/>
          <w:rtl/>
        </w:rPr>
        <w:t>הם רק העירו על הנוסח המשובש שבדפוס 'פרי עץ חיים' הנ"ל, כמו שהעיר ה'דברי נחמיה'.</w:t>
      </w:r>
    </w:p>
    <w:p w:rsidR="002F0CA3" w:rsidRPr="009B6E90" w:rsidRDefault="002F0CA3" w:rsidP="002F0CA3">
      <w:pPr>
        <w:pStyle w:val="a3"/>
        <w:rPr>
          <w:rtl/>
        </w:rPr>
      </w:pPr>
      <w:r w:rsidRPr="009B6E90">
        <w:rPr>
          <w:rtl/>
        </w:rPr>
        <w:t xml:space="preserve">ונראה, דאילו הרבי זי"ע היה רואה את מה שנאמר בעצם כתב יד קדשם של רבי חיים ויטאל ובנו רבי שמואל ב'שער הכוונות' שב'שמונה שערים' את הנוסח "... כי למה אומר נחם </w:t>
      </w:r>
      <w:r w:rsidRPr="00360A0D">
        <w:rPr>
          <w:b/>
          <w:bCs/>
          <w:rtl/>
        </w:rPr>
        <w:t>ביום שמועתינו"</w:t>
      </w:r>
      <w:r w:rsidRPr="009B6E90">
        <w:rPr>
          <w:rtl/>
        </w:rPr>
        <w:t xml:space="preserve"> - ולא </w:t>
      </w:r>
      <w:r w:rsidRPr="00360A0D">
        <w:rPr>
          <w:b/>
          <w:bCs/>
          <w:rtl/>
        </w:rPr>
        <w:t>"יום שמחתינו"</w:t>
      </w:r>
      <w:r w:rsidRPr="009B6E90">
        <w:rPr>
          <w:rtl/>
        </w:rPr>
        <w:t xml:space="preserve"> - היה מציין בהערותיו גם </w:t>
      </w:r>
      <w:r w:rsidRPr="00360A0D">
        <w:rPr>
          <w:b/>
          <w:bCs/>
          <w:rtl/>
        </w:rPr>
        <w:t>ל'שער הכוונות'</w:t>
      </w:r>
      <w:r w:rsidRPr="009B6E90">
        <w:rPr>
          <w:rtl/>
        </w:rPr>
        <w:t xml:space="preserve"> הנ"ל.</w:t>
      </w:r>
    </w:p>
    <w:p w:rsidR="002F0CA3" w:rsidRPr="009B6E90" w:rsidRDefault="002F0CA3" w:rsidP="00825FC6">
      <w:pPr>
        <w:pStyle w:val="a3"/>
        <w:jc w:val="center"/>
        <w:rPr>
          <w:rtl/>
        </w:rPr>
      </w:pPr>
      <w:r w:rsidRPr="009B6E90">
        <w:rPr>
          <w:rtl/>
        </w:rPr>
        <w:t>* * *</w:t>
      </w:r>
    </w:p>
    <w:p w:rsidR="002F0CA3" w:rsidRPr="009B6E90" w:rsidRDefault="002F0CA3" w:rsidP="002F0CA3">
      <w:pPr>
        <w:pStyle w:val="a3"/>
        <w:rPr>
          <w:rtl/>
        </w:rPr>
      </w:pPr>
      <w:r w:rsidRPr="009B6E90">
        <w:rPr>
          <w:rtl/>
        </w:rPr>
        <w:t>לאחרונה ביקרתי בספריה הלאומית בירושלים, וראיתי שם מיקרופילמים של 3 כת"י עתיקים של 'פרי עץ חיים', ובכולם ראיתי את הקטע המפורסם</w:t>
      </w:r>
      <w:r w:rsidRPr="009B6E90">
        <w:t xml:space="preserve"> </w:t>
      </w:r>
      <w:r w:rsidRPr="009B6E90">
        <w:rPr>
          <w:rtl/>
        </w:rPr>
        <w:t>אודות ל"ג בעומר שהוא יום ההסתלקות של רשב"י זי"ע.</w:t>
      </w:r>
    </w:p>
    <w:p w:rsidR="002F0CA3" w:rsidRPr="009B6E90" w:rsidRDefault="002F0CA3" w:rsidP="002F0CA3">
      <w:pPr>
        <w:pStyle w:val="a3"/>
      </w:pPr>
      <w:r w:rsidRPr="009B6E90">
        <w:rPr>
          <w:rtl/>
        </w:rPr>
        <w:t>אחד הכת"י הוא המפורסם שבו מופיע פעמיים "שמ/" - שזה מספריית אוקספורד משנת ת"ס - 1700 שאנו מכירים היטב - שה"שמ/" הראשון</w:t>
      </w:r>
      <w:r w:rsidRPr="009B6E90">
        <w:rPr>
          <w:rFonts w:ascii="Cambria" w:hAnsi="Cambria" w:cs="Cambria"/>
        </w:rPr>
        <w:t> </w:t>
      </w:r>
      <w:r w:rsidRPr="009B6E90">
        <w:rPr>
          <w:rtl/>
        </w:rPr>
        <w:t>אינו "שמת" - כמו שפענחו בטעות בכל הדפוסים, אלא 'שמחת' כנ"ל. וה"שמ/" השני, פענוחו הוא: "שמת", ואז הכל בא על מקומו בשלום</w:t>
      </w:r>
      <w:r w:rsidRPr="009B6E90">
        <w:t>.</w:t>
      </w:r>
      <w:r w:rsidRPr="009B6E90">
        <w:rPr>
          <w:rtl/>
        </w:rPr>
        <w:t xml:space="preserve"> והדברים עתיקים כנ"ל.</w:t>
      </w:r>
    </w:p>
    <w:p w:rsidR="002F0CA3" w:rsidRPr="009B6E90" w:rsidRDefault="002F0CA3" w:rsidP="002F0CA3">
      <w:pPr>
        <w:pStyle w:val="a3"/>
      </w:pPr>
      <w:r w:rsidRPr="009B6E90">
        <w:rPr>
          <w:rtl/>
        </w:rPr>
        <w:t>והנה כעת ראיתי שם 2 כתבי יד עתיקים של 'פרי עץ חיים' נוספים לא ידועים שדווקא מחזקים את מה שאמרנו, ואלו הם:</w:t>
      </w:r>
    </w:p>
    <w:p w:rsidR="002F0CA3" w:rsidRPr="009B6E90" w:rsidRDefault="002F0CA3" w:rsidP="002F0CA3">
      <w:pPr>
        <w:pStyle w:val="a3"/>
      </w:pPr>
      <w:r w:rsidRPr="009B6E90">
        <w:rPr>
          <w:rtl/>
        </w:rPr>
        <w:t>כת"י קדום יותר מהנ"ל [ב-49 שנים] משנת תי"א - 1651, וזה לשונו (בע' ריח)</w:t>
      </w:r>
      <w:r w:rsidRPr="009B6E90">
        <w:t>:</w:t>
      </w:r>
    </w:p>
    <w:p w:rsidR="002F0CA3" w:rsidRPr="00360A0D" w:rsidRDefault="002F0CA3" w:rsidP="002F0CA3">
      <w:pPr>
        <w:pStyle w:val="a3"/>
        <w:rPr>
          <w:b/>
          <w:bCs/>
        </w:rPr>
      </w:pPr>
      <w:r w:rsidRPr="00360A0D">
        <w:rPr>
          <w:b/>
          <w:bCs/>
          <w:rtl/>
        </w:rPr>
        <w:t>"וטעם שמח/ רשב"י ביום ל"ג לעומר כי הוא מתלמידי רבי עקיבא שהוא שמת ל"ג לעומר".</w:t>
      </w:r>
    </w:p>
    <w:p w:rsidR="002F0CA3" w:rsidRPr="009B6E90" w:rsidRDefault="002F0CA3" w:rsidP="002F0CA3">
      <w:pPr>
        <w:pStyle w:val="a3"/>
        <w:rPr>
          <w:rtl/>
        </w:rPr>
      </w:pPr>
      <w:r w:rsidRPr="009B6E90">
        <w:rPr>
          <w:rtl/>
        </w:rPr>
        <w:t>כת"י נוסף – אוקספורד - משנת תק"כ - 1760 נאמר כך (בע' רלח)</w:t>
      </w:r>
      <w:r w:rsidRPr="009B6E90">
        <w:t>:</w:t>
      </w:r>
    </w:p>
    <w:p w:rsidR="002F0CA3" w:rsidRPr="00951912" w:rsidRDefault="002F0CA3" w:rsidP="002F0CA3">
      <w:pPr>
        <w:pStyle w:val="a3"/>
        <w:rPr>
          <w:b/>
          <w:bCs/>
        </w:rPr>
      </w:pPr>
      <w:r w:rsidRPr="00951912">
        <w:rPr>
          <w:b/>
          <w:bCs/>
          <w:rtl/>
        </w:rPr>
        <w:t>"וטעם שמחת רשב"י ביו/ ל"ג בעומר כי הוא הי/ מתלמידי ר"ע והו/ שמת בל"ג בעומר".</w:t>
      </w:r>
    </w:p>
    <w:p w:rsidR="002F0CA3" w:rsidRPr="009B6E90" w:rsidRDefault="002F0CA3" w:rsidP="002F0CA3">
      <w:pPr>
        <w:pStyle w:val="a3"/>
      </w:pPr>
      <w:r w:rsidRPr="009B6E90">
        <w:rPr>
          <w:rtl/>
        </w:rPr>
        <w:t>ולפ"ז מובן בפשטות שהכת"י אוקספורד הנ"ל - הידוע לנו מכבר משנת ת"ס - 1700 (בע' קפח – 188) שנאמר בו</w:t>
      </w:r>
      <w:r w:rsidRPr="009B6E90">
        <w:t>:</w:t>
      </w:r>
    </w:p>
    <w:p w:rsidR="002F0CA3" w:rsidRPr="00951912" w:rsidRDefault="002F0CA3" w:rsidP="002F0CA3">
      <w:pPr>
        <w:pStyle w:val="a3"/>
        <w:rPr>
          <w:b/>
          <w:bCs/>
        </w:rPr>
      </w:pPr>
      <w:r w:rsidRPr="00951912">
        <w:rPr>
          <w:b/>
          <w:bCs/>
          <w:rtl/>
        </w:rPr>
        <w:t>"וטעם שמ/ רשב"י ביום ל"ג לעומר כי הוא מתלמידי ר"ע שהוא שמ/ ל"ג לעומר"</w:t>
      </w:r>
    </w:p>
    <w:p w:rsidR="002F0CA3" w:rsidRPr="009B6E90" w:rsidRDefault="002F0CA3" w:rsidP="002F0CA3">
      <w:pPr>
        <w:pStyle w:val="a3"/>
        <w:rPr>
          <w:rtl/>
        </w:rPr>
      </w:pPr>
      <w:r w:rsidRPr="009B6E90">
        <w:rPr>
          <w:rtl/>
        </w:rPr>
        <w:t>הכוונה והפענוח הוא רק: "וטעם שמחת רשב"י ביום ל"ג לעומר כי הוא מתלמידי רבי עקיבא שהוא שמת ל"ג לעומר".</w:t>
      </w:r>
    </w:p>
    <w:p w:rsidR="002F0CA3" w:rsidRPr="009B6E90" w:rsidRDefault="002F0CA3" w:rsidP="002F0CA3">
      <w:pPr>
        <w:pStyle w:val="a3"/>
        <w:rPr>
          <w:noProof/>
          <w:rtl/>
        </w:rPr>
      </w:pPr>
      <w:r w:rsidRPr="009B6E90">
        <w:rPr>
          <w:rtl/>
        </w:rPr>
        <w:t>ורצו"ב צילומי כתה"י הנ"ל:</w:t>
      </w:r>
    </w:p>
    <w:p w:rsidR="002F0CA3" w:rsidRPr="009B6E90" w:rsidRDefault="002F0CA3" w:rsidP="002F0CA3">
      <w:pPr>
        <w:pStyle w:val="a3"/>
        <w:rPr>
          <w:noProof/>
          <w:rtl/>
        </w:rPr>
      </w:pPr>
      <w:r w:rsidRPr="009B6E90">
        <w:rPr>
          <w:noProof/>
          <w:lang w:val="en-US"/>
        </w:rPr>
        <w:lastRenderedPageBreak/>
        <w:drawing>
          <wp:inline distT="0" distB="0" distL="0" distR="0" wp14:anchorId="35F51EB1" wp14:editId="17A729BF">
            <wp:extent cx="3764844" cy="1260996"/>
            <wp:effectExtent l="0" t="0" r="7620" b="0"/>
            <wp:docPr id="14" name="תמונה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4"/>
                    <pic:cNvPicPr>
                      <a:picLocks noChangeAspect="1" noChangeArrowheads="1"/>
                    </pic:cNvPicPr>
                  </pic:nvPicPr>
                  <pic:blipFill>
                    <a:blip r:embed="rId11" cstate="print"/>
                    <a:srcRect/>
                    <a:stretch>
                      <a:fillRect/>
                    </a:stretch>
                  </pic:blipFill>
                  <pic:spPr bwMode="auto">
                    <a:xfrm>
                      <a:off x="0" y="0"/>
                      <a:ext cx="3799497" cy="1272603"/>
                    </a:xfrm>
                    <a:prstGeom prst="rect">
                      <a:avLst/>
                    </a:prstGeom>
                    <a:noFill/>
                    <a:ln w="9525">
                      <a:noFill/>
                      <a:miter lim="800000"/>
                      <a:headEnd/>
                      <a:tailEnd/>
                    </a:ln>
                  </pic:spPr>
                </pic:pic>
              </a:graphicData>
            </a:graphic>
          </wp:inline>
        </w:drawing>
      </w:r>
    </w:p>
    <w:p w:rsidR="002F0CA3" w:rsidRPr="00061FC0" w:rsidRDefault="002F0CA3" w:rsidP="002F0CA3">
      <w:pPr>
        <w:pStyle w:val="a3"/>
        <w:rPr>
          <w:b/>
          <w:bCs/>
          <w:rtl/>
        </w:rPr>
      </w:pPr>
      <w:r w:rsidRPr="009B6E90">
        <w:rPr>
          <w:rtl/>
        </w:rPr>
        <w:t>תארו לעצמכם, אם המדפיסים בדפוסי קארעץ וכו' לא היו טועים אז בפענוח ה"שמ/", והיו מדפיסים כמו שמופיע ב-3 כת</w:t>
      </w:r>
      <w:r w:rsidRPr="009B6E90">
        <w:rPr>
          <w:rFonts w:hint="cs"/>
          <w:rtl/>
        </w:rPr>
        <w:t>ה</w:t>
      </w:r>
      <w:r w:rsidRPr="009B6E90">
        <w:rPr>
          <w:rtl/>
        </w:rPr>
        <w:t xml:space="preserve">"י שלפנינו: </w:t>
      </w:r>
      <w:r w:rsidRPr="009B6E90">
        <w:rPr>
          <w:b/>
          <w:bCs/>
          <w:rtl/>
        </w:rPr>
        <w:t xml:space="preserve">"וטעם שמחת רשב"י ביום ל"ג בעומר כי הוא היה מתלמידי רבי עקיבא והוא שמת בל"ג בעומר" </w:t>
      </w:r>
      <w:r w:rsidRPr="009B6E90">
        <w:rPr>
          <w:rtl/>
        </w:rPr>
        <w:t>- אז בכלל לא היה אפילו עולה על דעת אף אחד מה</w:t>
      </w:r>
      <w:r w:rsidRPr="009B6E90">
        <w:rPr>
          <w:rFonts w:hint="cs"/>
          <w:rtl/>
        </w:rPr>
        <w:t>'</w:t>
      </w:r>
      <w:r w:rsidRPr="009B6E90">
        <w:rPr>
          <w:rtl/>
        </w:rPr>
        <w:t>חוקרים</w:t>
      </w:r>
      <w:r w:rsidRPr="009B6E90">
        <w:rPr>
          <w:rFonts w:hint="cs"/>
          <w:rtl/>
        </w:rPr>
        <w:t>'</w:t>
      </w:r>
      <w:r w:rsidRPr="009B6E90">
        <w:rPr>
          <w:rtl/>
        </w:rPr>
        <w:t xml:space="preserve"> הללו לעשות את כל העיוותים האלה שניסו לעשות</w:t>
      </w:r>
      <w:r w:rsidRPr="009B6E90">
        <w:rPr>
          <w:rFonts w:hint="cs"/>
          <w:rtl/>
        </w:rPr>
        <w:t xml:space="preserve"> על מנת להכחיש את מה שידוע לכל מדורי דורות, או להטיל </w:t>
      </w:r>
      <w:r>
        <w:rPr>
          <w:rFonts w:hint="cs"/>
          <w:rtl/>
        </w:rPr>
        <w:t xml:space="preserve">בזה </w:t>
      </w:r>
      <w:r w:rsidRPr="009B6E90">
        <w:rPr>
          <w:rFonts w:hint="cs"/>
          <w:rtl/>
        </w:rPr>
        <w:t xml:space="preserve">ספיקות ח"ו, וללעוג על החסידים שמקדשים </w:t>
      </w:r>
      <w:r w:rsidRPr="00061FC0">
        <w:rPr>
          <w:rFonts w:hint="cs"/>
          <w:b/>
          <w:bCs/>
          <w:rtl/>
        </w:rPr>
        <w:t>את יום פטירתו של רשב"י בהילולא רבה כפי שביקש.</w:t>
      </w:r>
      <w:r w:rsidRPr="00061FC0">
        <w:rPr>
          <w:b/>
          <w:bCs/>
        </w:rPr>
        <w:tab/>
      </w:r>
    </w:p>
    <w:p w:rsidR="002F0CA3" w:rsidRPr="009B6E90" w:rsidRDefault="002F0CA3" w:rsidP="002F0CA3">
      <w:pPr>
        <w:pStyle w:val="a3"/>
        <w:rPr>
          <w:rtl/>
        </w:rPr>
      </w:pPr>
      <w:r w:rsidRPr="009B6E90">
        <w:rPr>
          <w:rtl/>
        </w:rPr>
        <w:t>אשרינו שזכינו לראות את 3 כת"י הנ"ל, מה שלא זכו החיד"א, ה'בן איש חי', ה'דברי נחמיה' והרבי זי"ע, שאילו היו רואים אותם לא היו מתלבטים כלל וכלל במ</w:t>
      </w:r>
      <w:r w:rsidRPr="009B6E90">
        <w:rPr>
          <w:rFonts w:hint="cs"/>
          <w:rtl/>
        </w:rPr>
        <w:t xml:space="preserve">ה </w:t>
      </w:r>
      <w:r w:rsidRPr="009B6E90">
        <w:rPr>
          <w:rtl/>
        </w:rPr>
        <w:t>ש</w:t>
      </w:r>
      <w:r w:rsidRPr="009B6E90">
        <w:rPr>
          <w:rFonts w:hint="cs"/>
          <w:rtl/>
        </w:rPr>
        <w:t>מופיע</w:t>
      </w:r>
      <w:r w:rsidRPr="009B6E90">
        <w:rPr>
          <w:rtl/>
        </w:rPr>
        <w:t xml:space="preserve"> בדפוסים</w:t>
      </w:r>
      <w:r w:rsidRPr="009B6E90">
        <w:t>.</w:t>
      </w:r>
    </w:p>
    <w:p w:rsidR="002F0CA3" w:rsidRPr="009B6E90" w:rsidRDefault="002F0CA3" w:rsidP="002F0CA3">
      <w:pPr>
        <w:pStyle w:val="a3"/>
        <w:jc w:val="center"/>
        <w:rPr>
          <w:rtl/>
        </w:rPr>
      </w:pPr>
      <w:r w:rsidRPr="009B6E90">
        <w:rPr>
          <w:rtl/>
        </w:rPr>
        <w:t>* * *</w:t>
      </w:r>
    </w:p>
    <w:p w:rsidR="002F0CA3" w:rsidRPr="009B6E90" w:rsidRDefault="002F0CA3" w:rsidP="002F0CA3">
      <w:pPr>
        <w:pStyle w:val="a3"/>
        <w:rPr>
          <w:rtl/>
        </w:rPr>
      </w:pPr>
      <w:r w:rsidRPr="009B6E90">
        <w:rPr>
          <w:rFonts w:hint="cs"/>
          <w:rtl/>
        </w:rPr>
        <w:t xml:space="preserve">  </w:t>
      </w:r>
      <w:r w:rsidRPr="009B6E90">
        <w:rPr>
          <w:rtl/>
        </w:rPr>
        <w:tab/>
      </w:r>
      <w:r w:rsidRPr="009B6E90">
        <w:rPr>
          <w:rFonts w:hint="cs"/>
          <w:rtl/>
        </w:rPr>
        <w:t>הנה ה'חוקרים' טוענים</w:t>
      </w:r>
      <w:r w:rsidRPr="009B6E90">
        <w:rPr>
          <w:rtl/>
        </w:rPr>
        <w:t xml:space="preserve">: "שהילולא אצל החיד"א בנוגע לרשב"י </w:t>
      </w:r>
      <w:r w:rsidRPr="009B6E90">
        <w:rPr>
          <w:rFonts w:hint="cs"/>
          <w:rtl/>
        </w:rPr>
        <w:t xml:space="preserve">אינו </w:t>
      </w:r>
      <w:r w:rsidRPr="009B6E90">
        <w:rPr>
          <w:rtl/>
        </w:rPr>
        <w:t>יום פטירתו, שהרי ב</w:t>
      </w:r>
      <w:r w:rsidRPr="009B6E90">
        <w:rPr>
          <w:rFonts w:hint="cs"/>
          <w:rtl/>
        </w:rPr>
        <w:t>'</w:t>
      </w:r>
      <w:r w:rsidRPr="009B6E90">
        <w:rPr>
          <w:rtl/>
        </w:rPr>
        <w:t>טוב עין</w:t>
      </w:r>
      <w:r w:rsidRPr="009B6E90">
        <w:rPr>
          <w:rFonts w:hint="cs"/>
          <w:rtl/>
        </w:rPr>
        <w:t>'</w:t>
      </w:r>
      <w:r w:rsidRPr="009B6E90">
        <w:rPr>
          <w:rtl/>
        </w:rPr>
        <w:t xml:space="preserve"> סי' י"ח כתב להדיא שהשמחה בל"ג בעומר היא על שאז התחיל ללמד את תלמידיו, ואמנם בברכ"י סי' תצ"ג כתב שכתבו שביום זה נפטר רשב"י</w:t>
      </w:r>
      <w:r w:rsidRPr="009B6E90">
        <w:rPr>
          <w:rFonts w:hint="cs"/>
          <w:rtl/>
        </w:rPr>
        <w:t>,</w:t>
      </w:r>
      <w:r w:rsidRPr="009B6E90">
        <w:rPr>
          <w:rtl/>
        </w:rPr>
        <w:t xml:space="preserve"> אך ב</w:t>
      </w:r>
      <w:r w:rsidRPr="009B6E90">
        <w:rPr>
          <w:rFonts w:hint="cs"/>
          <w:rtl/>
        </w:rPr>
        <w:t>'</w:t>
      </w:r>
      <w:r w:rsidRPr="009B6E90">
        <w:rPr>
          <w:rtl/>
        </w:rPr>
        <w:t>שיורי ברכה</w:t>
      </w:r>
      <w:r w:rsidRPr="009B6E90">
        <w:rPr>
          <w:rFonts w:hint="cs"/>
          <w:rtl/>
        </w:rPr>
        <w:t>'</w:t>
      </w:r>
      <w:r w:rsidRPr="009B6E90">
        <w:rPr>
          <w:rtl/>
        </w:rPr>
        <w:t xml:space="preserve"> שם דחה זאת בשתי ידים וכתב שכ"כ ב</w:t>
      </w:r>
      <w:r w:rsidRPr="009B6E90">
        <w:rPr>
          <w:rFonts w:hint="cs"/>
          <w:rtl/>
        </w:rPr>
        <w:t>'</w:t>
      </w:r>
      <w:r w:rsidRPr="009B6E90">
        <w:rPr>
          <w:rtl/>
        </w:rPr>
        <w:t>פרי עץ חיים</w:t>
      </w:r>
      <w:r w:rsidRPr="009B6E90">
        <w:rPr>
          <w:rFonts w:hint="cs"/>
          <w:rtl/>
        </w:rPr>
        <w:t>',</w:t>
      </w:r>
      <w:r w:rsidRPr="009B6E90">
        <w:rPr>
          <w:rtl/>
        </w:rPr>
        <w:t xml:space="preserve"> אך אין נוסחא זו עיקרית, וכתב שהשמחה היא משום שאז התחיל ללמוד מר"ע כנ"ל". </w:t>
      </w:r>
    </w:p>
    <w:p w:rsidR="002F0CA3" w:rsidRPr="009B6E90" w:rsidRDefault="002F0CA3" w:rsidP="002F0CA3">
      <w:pPr>
        <w:pStyle w:val="a3"/>
        <w:rPr>
          <w:rtl/>
        </w:rPr>
      </w:pPr>
      <w:r w:rsidRPr="009B6E90">
        <w:rPr>
          <w:rtl/>
        </w:rPr>
        <w:t xml:space="preserve">הנה רבנו החיד"א </w:t>
      </w:r>
      <w:r w:rsidRPr="009B6E90">
        <w:rPr>
          <w:b/>
          <w:bCs/>
          <w:rtl/>
        </w:rPr>
        <w:t>ב'ברכי יוסף'</w:t>
      </w:r>
      <w:r w:rsidRPr="009B6E90">
        <w:rPr>
          <w:rtl/>
        </w:rPr>
        <w:t xml:space="preserve"> (תצג סק"ד) כתב וזל"ק: "גם כתבו </w:t>
      </w:r>
      <w:r w:rsidRPr="009B6E90">
        <w:rPr>
          <w:b/>
          <w:bCs/>
          <w:rtl/>
        </w:rPr>
        <w:t xml:space="preserve">דפטירת רשב"י היה יום ל"ג בעומר והוא יומא דהלולא דיליה". </w:t>
      </w:r>
      <w:r w:rsidRPr="009B6E90">
        <w:rPr>
          <w:rtl/>
        </w:rPr>
        <w:t xml:space="preserve">וכעי"ז כותב </w:t>
      </w:r>
      <w:r w:rsidRPr="009B6E90">
        <w:rPr>
          <w:b/>
          <w:bCs/>
          <w:rtl/>
        </w:rPr>
        <w:t>ב</w:t>
      </w:r>
      <w:r w:rsidRPr="009B6E90">
        <w:rPr>
          <w:rFonts w:hint="cs"/>
          <w:b/>
          <w:bCs/>
          <w:rtl/>
        </w:rPr>
        <w:t>'</w:t>
      </w:r>
      <w:r w:rsidRPr="009B6E90">
        <w:rPr>
          <w:b/>
          <w:bCs/>
          <w:rtl/>
        </w:rPr>
        <w:t>מורה באצבע</w:t>
      </w:r>
      <w:r w:rsidRPr="009B6E90">
        <w:rPr>
          <w:rFonts w:hint="cs"/>
          <w:b/>
          <w:bCs/>
          <w:rtl/>
        </w:rPr>
        <w:t>'</w:t>
      </w:r>
      <w:r w:rsidRPr="009B6E90">
        <w:rPr>
          <w:rtl/>
        </w:rPr>
        <w:t xml:space="preserve"> [סי' ח] אות רכג: </w:t>
      </w:r>
      <w:r w:rsidRPr="009B6E90">
        <w:rPr>
          <w:b/>
          <w:bCs/>
          <w:rtl/>
        </w:rPr>
        <w:t xml:space="preserve">"יום ל"ג לעומר ירבה שמחה לכבוד רשב"י זי"ע כי הוא </w:t>
      </w:r>
      <w:bookmarkStart w:id="184" w:name="_Hlk39576737"/>
      <w:r w:rsidRPr="009B6E90">
        <w:rPr>
          <w:b/>
          <w:bCs/>
          <w:rtl/>
        </w:rPr>
        <w:t>יומא דהלולא דיליה</w:t>
      </w:r>
      <w:bookmarkEnd w:id="184"/>
      <w:r w:rsidRPr="009B6E90">
        <w:rPr>
          <w:b/>
          <w:bCs/>
          <w:rtl/>
        </w:rPr>
        <w:t xml:space="preserve">, </w:t>
      </w:r>
      <w:r w:rsidRPr="009B6E90">
        <w:rPr>
          <w:b/>
          <w:bCs/>
          <w:u w:val="single"/>
          <w:rtl/>
        </w:rPr>
        <w:t>ונודע שרצונו הוא שישמחו ביום זה</w:t>
      </w:r>
      <w:r w:rsidRPr="009B6E90">
        <w:rPr>
          <w:b/>
          <w:bCs/>
          <w:rtl/>
        </w:rPr>
        <w:t>, כידוע ממעשה מהר"א הלוי זלה"ה</w:t>
      </w:r>
      <w:r>
        <w:rPr>
          <w:rFonts w:hint="cs"/>
          <w:b/>
          <w:bCs/>
          <w:rtl/>
        </w:rPr>
        <w:t>,</w:t>
      </w:r>
      <w:r w:rsidRPr="009B6E90">
        <w:rPr>
          <w:b/>
          <w:bCs/>
          <w:rtl/>
        </w:rPr>
        <w:t xml:space="preserve"> ומעשים אחרים אשר שמענו ונדעם משום רבנן קדישי</w:t>
      </w:r>
      <w:r>
        <w:rPr>
          <w:rStyle w:val="FootnoteReference"/>
          <w:rFonts w:asciiTheme="minorBidi" w:hAnsiTheme="minorBidi"/>
          <w:b/>
          <w:bCs/>
          <w:rtl/>
        </w:rPr>
        <w:footnoteReference w:id="84"/>
      </w:r>
      <w:r w:rsidRPr="009B6E90">
        <w:rPr>
          <w:b/>
          <w:bCs/>
          <w:rtl/>
        </w:rPr>
        <w:t>. ויש מי שנהג לעשות לימוד בליל ל"ג לעומר בי עשרה ללמוד שבחי רשב"י המפוזרים בזהר ואדרא זוטא, והוא מנהג יפה"</w:t>
      </w:r>
      <w:r w:rsidRPr="009B6E90">
        <w:rPr>
          <w:rtl/>
        </w:rPr>
        <w:t xml:space="preserve"> </w:t>
      </w:r>
      <w:r w:rsidRPr="009B6E90">
        <w:rPr>
          <w:b/>
          <w:bCs/>
          <w:rtl/>
        </w:rPr>
        <w:t>["יום שמועתינו"</w:t>
      </w:r>
      <w:r w:rsidRPr="009B6E90">
        <w:rPr>
          <w:rtl/>
        </w:rPr>
        <w:t xml:space="preserve"> שבכתי"ק של הרח"ו ובנו</w:t>
      </w:r>
      <w:r w:rsidRPr="009B6E90">
        <w:rPr>
          <w:rFonts w:hint="cs"/>
          <w:rtl/>
        </w:rPr>
        <w:t xml:space="preserve"> הנ"ל</w:t>
      </w:r>
      <w:r w:rsidRPr="009B6E90">
        <w:rPr>
          <w:rtl/>
        </w:rPr>
        <w:t xml:space="preserve">]. </w:t>
      </w:r>
    </w:p>
    <w:p w:rsidR="002F0CA3" w:rsidRPr="009B6E90" w:rsidRDefault="002F0CA3" w:rsidP="002F0CA3">
      <w:pPr>
        <w:pStyle w:val="a3"/>
        <w:rPr>
          <w:rtl/>
        </w:rPr>
      </w:pPr>
      <w:r w:rsidRPr="009B6E90">
        <w:rPr>
          <w:rFonts w:hint="cs"/>
          <w:rtl/>
        </w:rPr>
        <w:lastRenderedPageBreak/>
        <w:t xml:space="preserve">אולם ה'חוקרים' </w:t>
      </w:r>
      <w:r w:rsidRPr="009B6E90">
        <w:rPr>
          <w:rtl/>
        </w:rPr>
        <w:t>כותבים ש"בספריו 'מראית [ה]עין' ו'טוב עין' חזר בו וכתב שיום ל"ג בעומר אינו פטירת רשב"י".</w:t>
      </w:r>
    </w:p>
    <w:p w:rsidR="002F0CA3" w:rsidRPr="009B6E90" w:rsidRDefault="002F0CA3" w:rsidP="002F0CA3">
      <w:pPr>
        <w:pStyle w:val="a3"/>
        <w:rPr>
          <w:rtl/>
        </w:rPr>
      </w:pPr>
      <w:r w:rsidRPr="009B6E90">
        <w:rPr>
          <w:rFonts w:hint="cs"/>
          <w:rtl/>
        </w:rPr>
        <w:t xml:space="preserve">לפי </w:t>
      </w:r>
      <w:r w:rsidRPr="009B6E90">
        <w:rPr>
          <w:rtl/>
        </w:rPr>
        <w:t xml:space="preserve">דבריהם יוצא שבב' ספריו </w:t>
      </w:r>
      <w:r w:rsidRPr="009B6E90">
        <w:rPr>
          <w:b/>
          <w:bCs/>
          <w:rtl/>
        </w:rPr>
        <w:t>'ברכי יוסף'</w:t>
      </w:r>
      <w:r w:rsidRPr="009B6E90">
        <w:rPr>
          <w:rtl/>
        </w:rPr>
        <w:t xml:space="preserve"> (ליוורנו תקל"ד) </w:t>
      </w:r>
      <w:r w:rsidRPr="009B6E90">
        <w:rPr>
          <w:b/>
          <w:bCs/>
          <w:rtl/>
        </w:rPr>
        <w:t>ו'מורה באצבע'</w:t>
      </w:r>
      <w:r w:rsidRPr="009B6E90">
        <w:rPr>
          <w:rtl/>
        </w:rPr>
        <w:t xml:space="preserve"> (ליוורנו תקמ"ו) סבר רבנו </w:t>
      </w:r>
      <w:r w:rsidRPr="009B6E90">
        <w:rPr>
          <w:b/>
          <w:bCs/>
          <w:rtl/>
        </w:rPr>
        <w:t>של"ג בעומר הוא אכן יום פטירת של רשב"י</w:t>
      </w:r>
      <w:r w:rsidRPr="009B6E90">
        <w:rPr>
          <w:rtl/>
        </w:rPr>
        <w:t>, משא"כ בב' ספריו 'טוב עין' (ליוורנו תקמ"ו) ו'מראית העין' (ליוורנו תקס"ה)</w:t>
      </w:r>
      <w:r w:rsidRPr="00A97493">
        <w:rPr>
          <w:b/>
          <w:bCs/>
          <w:rtl/>
        </w:rPr>
        <w:t xml:space="preserve"> "חזר בו וכתב שיום ל"ג בעומר אינו פטירת רשב"י".</w:t>
      </w:r>
    </w:p>
    <w:p w:rsidR="002F0CA3" w:rsidRPr="009B6E90" w:rsidRDefault="002F0CA3" w:rsidP="002F0CA3">
      <w:pPr>
        <w:pStyle w:val="a3"/>
      </w:pPr>
      <w:r w:rsidRPr="009B6E90">
        <w:rPr>
          <w:rtl/>
        </w:rPr>
        <w:t>וזה אינו נכון</w:t>
      </w:r>
      <w:r w:rsidRPr="009B6E90">
        <w:rPr>
          <w:rFonts w:hint="cs"/>
          <w:rtl/>
        </w:rPr>
        <w:t xml:space="preserve"> כלל</w:t>
      </w:r>
      <w:r w:rsidRPr="009B6E90">
        <w:rPr>
          <w:rtl/>
        </w:rPr>
        <w:t xml:space="preserve">, </w:t>
      </w:r>
      <w:r w:rsidRPr="009B6E90">
        <w:rPr>
          <w:b/>
          <w:bCs/>
          <w:rtl/>
        </w:rPr>
        <w:t>כי גם ב'טוב עין' בהדיא ס"ל דהוא יומא דהילולא דיליה,</w:t>
      </w:r>
      <w:r w:rsidRPr="009B6E90">
        <w:rPr>
          <w:rtl/>
        </w:rPr>
        <w:t xml:space="preserve"> וז"ל שם (סי' יח, תצג דין ב): </w:t>
      </w:r>
      <w:r w:rsidRPr="009B6E90">
        <w:rPr>
          <w:b/>
          <w:bCs/>
          <w:rtl/>
        </w:rPr>
        <w:t xml:space="preserve">"ומה שעושין שמחה בל"ג [בעומר], אפשר שרבי עקיבא היה כלל גדול בתורה ולמדה לכ"ד [אלף] תלמידים ומתו ונשאר העולם שמם, ויום ל"ג [לעומר] התחיל לשנות לרשב"י ורבי מאיר ורבי יוסי וכו', ויאור להם שתחזור התורה ולכך עושים שמחה. </w:t>
      </w:r>
      <w:r w:rsidRPr="009B6E90">
        <w:rPr>
          <w:b/>
          <w:bCs/>
          <w:u w:val="single"/>
          <w:rtl/>
        </w:rPr>
        <w:t>וגם אמרו דהלולא דרשב"י ביום ל"ג</w:t>
      </w:r>
      <w:r w:rsidRPr="009B6E90">
        <w:rPr>
          <w:b/>
          <w:bCs/>
          <w:rtl/>
        </w:rPr>
        <w:t>",</w:t>
      </w:r>
      <w:r w:rsidRPr="009B6E90">
        <w:rPr>
          <w:rtl/>
        </w:rPr>
        <w:t xml:space="preserve"> עכ"ל.</w:t>
      </w:r>
    </w:p>
    <w:p w:rsidR="002F0CA3" w:rsidRPr="009B6E90" w:rsidRDefault="002F0CA3" w:rsidP="002F0CA3">
      <w:pPr>
        <w:pStyle w:val="a3"/>
        <w:rPr>
          <w:b/>
          <w:bCs/>
          <w:rtl/>
        </w:rPr>
      </w:pPr>
      <w:r w:rsidRPr="009B6E90">
        <w:rPr>
          <w:b/>
          <w:bCs/>
          <w:rtl/>
        </w:rPr>
        <w:t>הרי בהדיא שב'טוב עין' לא רק שלא חזר בו כלל ולא כתב "שיום ל"ג בעומר אינו פטירת רשב"י", אלא כתב את ההיפך ממש, ש"גם אמרו דהלולא דרשב"י ביום ל"ג".</w:t>
      </w:r>
      <w:r w:rsidRPr="009B6E90">
        <w:rPr>
          <w:rFonts w:hint="cs"/>
          <w:b/>
          <w:bCs/>
          <w:rtl/>
        </w:rPr>
        <w:t xml:space="preserve"> </w:t>
      </w:r>
      <w:r w:rsidRPr="009B6E90">
        <w:rPr>
          <w:rtl/>
        </w:rPr>
        <w:t xml:space="preserve">ופלא שמביאים את דבריו: "וכך כתב החיד"א בשו"ת טוב עין (סי' יח)..." </w:t>
      </w:r>
      <w:r w:rsidRPr="009B6E90">
        <w:rPr>
          <w:b/>
          <w:bCs/>
          <w:u w:val="single"/>
          <w:rtl/>
        </w:rPr>
        <w:t>בהשמטת הקטע האחרון של "וגם אמרו דהלולא דרשב"י ביום ל"ג".</w:t>
      </w:r>
    </w:p>
    <w:p w:rsidR="002F0CA3" w:rsidRPr="009B6E90" w:rsidRDefault="002F0CA3" w:rsidP="002F0CA3">
      <w:pPr>
        <w:pStyle w:val="a3"/>
        <w:rPr>
          <w:rtl/>
        </w:rPr>
      </w:pPr>
      <w:r w:rsidRPr="009B6E90">
        <w:rPr>
          <w:rtl/>
        </w:rPr>
        <w:t xml:space="preserve">[ראיתי זאת </w:t>
      </w:r>
      <w:r w:rsidRPr="009B6E90">
        <w:rPr>
          <w:b/>
          <w:bCs/>
          <w:rtl/>
        </w:rPr>
        <w:t>ב'טוב עין'</w:t>
      </w:r>
      <w:r w:rsidRPr="009B6E90">
        <w:rPr>
          <w:rtl/>
        </w:rPr>
        <w:t xml:space="preserve"> שלפנינו - בדפוס ירושלים תשמ"ו (שהוא צילום מתשכ"א). וחפשתי עוד דפוס ומצאתי של הוסיאטין תרס"ד, וגם שם מופיע הקטע של </w:t>
      </w:r>
      <w:r w:rsidRPr="009B6E90">
        <w:rPr>
          <w:b/>
          <w:bCs/>
          <w:rtl/>
        </w:rPr>
        <w:t>"</w:t>
      </w:r>
      <w:r w:rsidRPr="009B6E90">
        <w:rPr>
          <w:b/>
          <w:bCs/>
          <w:u w:val="single"/>
          <w:rtl/>
        </w:rPr>
        <w:t>וגם אמרו דהלולא דרשב"י ביום ל"ג</w:t>
      </w:r>
      <w:r w:rsidRPr="009B6E90">
        <w:rPr>
          <w:b/>
          <w:bCs/>
          <w:rtl/>
        </w:rPr>
        <w:t>"].</w:t>
      </w:r>
      <w:r w:rsidRPr="009B6E90">
        <w:rPr>
          <w:rFonts w:hint="cs"/>
          <w:rtl/>
        </w:rPr>
        <w:t xml:space="preserve"> </w:t>
      </w:r>
      <w:r w:rsidRPr="009B6E90">
        <w:rPr>
          <w:rtl/>
        </w:rPr>
        <w:t xml:space="preserve">נמצא שרבנו החיד"א ס"ל במפורש </w:t>
      </w:r>
      <w:r w:rsidRPr="009B6E90">
        <w:rPr>
          <w:b/>
          <w:bCs/>
          <w:rtl/>
        </w:rPr>
        <w:t>בג' ספריו של"ג בעומר הוא יום פטירתו של רשב"י נ"ע.</w:t>
      </w:r>
    </w:p>
    <w:p w:rsidR="002F0CA3" w:rsidRPr="009B6E90" w:rsidRDefault="002F0CA3" w:rsidP="002F0CA3">
      <w:pPr>
        <w:pStyle w:val="a3"/>
        <w:rPr>
          <w:b/>
          <w:bCs/>
          <w:rtl/>
        </w:rPr>
      </w:pPr>
      <w:r w:rsidRPr="009B6E90">
        <w:rPr>
          <w:rtl/>
        </w:rPr>
        <w:t xml:space="preserve">וגם יש להוסיף בזה, דכיון </w:t>
      </w:r>
      <w:r w:rsidRPr="009B6E90">
        <w:rPr>
          <w:b/>
          <w:bCs/>
          <w:rtl/>
        </w:rPr>
        <w:t>שה'מורה באצבע' וה'טוב עין' נדפסו באותה שנה ממש - ליוורנו תקמ"ו,</w:t>
      </w:r>
      <w:r w:rsidRPr="009B6E90">
        <w:rPr>
          <w:rtl/>
        </w:rPr>
        <w:t xml:space="preserve"> א"כ איך ניתן להעלות על הדעת </w:t>
      </w:r>
      <w:r w:rsidRPr="009B6E90">
        <w:rPr>
          <w:b/>
          <w:bCs/>
          <w:rtl/>
        </w:rPr>
        <w:t>שב'מורה באצבע' יכתוב של"ג בעומר הוא יום פטירתו של רשב"י וב'טוב עין' יכתוב את ההיפך ממש [שחזר בו] "שיום ל"ג בעומר אינו פטירת רשב"י"?</w:t>
      </w:r>
      <w:r w:rsidRPr="009B6E90">
        <w:rPr>
          <w:rFonts w:hint="cs"/>
          <w:b/>
          <w:bCs/>
          <w:rtl/>
        </w:rPr>
        <w:t>!</w:t>
      </w:r>
    </w:p>
    <w:p w:rsidR="002F0CA3" w:rsidRPr="009B6E90" w:rsidRDefault="002F0CA3" w:rsidP="002F0CA3">
      <w:pPr>
        <w:pStyle w:val="a3"/>
        <w:rPr>
          <w:rtl/>
        </w:rPr>
      </w:pPr>
      <w:r w:rsidRPr="009B6E90">
        <w:rPr>
          <w:rFonts w:hint="cs"/>
          <w:rtl/>
        </w:rPr>
        <w:t xml:space="preserve">ואפילו א' ה'חוקרים' הודה לי </w:t>
      </w:r>
      <w:r w:rsidRPr="009B6E90">
        <w:rPr>
          <w:rFonts w:hint="cs"/>
          <w:b/>
          <w:bCs/>
          <w:rtl/>
        </w:rPr>
        <w:t>ש'</w:t>
      </w:r>
      <w:r w:rsidRPr="009B6E90">
        <w:rPr>
          <w:b/>
          <w:bCs/>
          <w:rtl/>
        </w:rPr>
        <w:t>יומא דהלולא דיליה</w:t>
      </w:r>
      <w:r w:rsidRPr="009B6E90">
        <w:rPr>
          <w:rFonts w:hint="cs"/>
          <w:b/>
          <w:bCs/>
          <w:rtl/>
        </w:rPr>
        <w:t>'</w:t>
      </w:r>
      <w:r w:rsidRPr="009B6E90">
        <w:rPr>
          <w:rFonts w:hint="cs"/>
          <w:rtl/>
        </w:rPr>
        <w:t xml:space="preserve"> </w:t>
      </w:r>
      <w:r w:rsidRPr="009B6E90">
        <w:rPr>
          <w:rFonts w:hint="cs"/>
          <w:b/>
          <w:bCs/>
          <w:rtl/>
        </w:rPr>
        <w:t>אצל רבנו החיד"א</w:t>
      </w:r>
      <w:r w:rsidRPr="009B6E90">
        <w:rPr>
          <w:rFonts w:hint="cs"/>
          <w:rtl/>
        </w:rPr>
        <w:t xml:space="preserve"> </w:t>
      </w:r>
      <w:r w:rsidRPr="009B6E90">
        <w:rPr>
          <w:rFonts w:hint="cs"/>
          <w:b/>
          <w:bCs/>
          <w:rtl/>
        </w:rPr>
        <w:t>הכוונה ליום פטירתו,</w:t>
      </w:r>
      <w:r w:rsidRPr="009B6E90">
        <w:rPr>
          <w:rFonts w:hint="cs"/>
          <w:rtl/>
        </w:rPr>
        <w:t xml:space="preserve"> והביא </w:t>
      </w:r>
      <w:r w:rsidRPr="009B6E90">
        <w:rPr>
          <w:rFonts w:hint="cs"/>
          <w:b/>
          <w:bCs/>
          <w:rtl/>
        </w:rPr>
        <w:t>'ש</w:t>
      </w:r>
      <w:r w:rsidRPr="009B6E90">
        <w:rPr>
          <w:b/>
          <w:bCs/>
          <w:rtl/>
        </w:rPr>
        <w:t xml:space="preserve">בספר </w:t>
      </w:r>
      <w:r w:rsidRPr="009B6E90">
        <w:rPr>
          <w:rFonts w:hint="cs"/>
          <w:b/>
          <w:bCs/>
          <w:rtl/>
        </w:rPr>
        <w:t>'</w:t>
      </w:r>
      <w:r w:rsidRPr="009B6E90">
        <w:rPr>
          <w:b/>
          <w:bCs/>
          <w:rtl/>
        </w:rPr>
        <w:t>ראש דוד</w:t>
      </w:r>
      <w:r w:rsidRPr="009B6E90">
        <w:rPr>
          <w:rFonts w:hint="cs"/>
          <w:b/>
          <w:bCs/>
          <w:rtl/>
        </w:rPr>
        <w:t>'</w:t>
      </w:r>
      <w:r w:rsidRPr="009B6E90">
        <w:rPr>
          <w:b/>
          <w:bCs/>
          <w:rtl/>
        </w:rPr>
        <w:t xml:space="preserve"> להחיד"א פ' תולדות </w:t>
      </w:r>
      <w:r w:rsidRPr="009B6E90">
        <w:rPr>
          <w:rFonts w:hint="cs"/>
          <w:b/>
          <w:bCs/>
          <w:rtl/>
        </w:rPr>
        <w:t>איתא בהדיא</w:t>
      </w:r>
      <w:r w:rsidRPr="009B6E90">
        <w:rPr>
          <w:b/>
          <w:bCs/>
          <w:rtl/>
        </w:rPr>
        <w:t xml:space="preserve"> "וכבר נודע דיום סילוק הצדיק גמור הוא יומא דהילולא", </w:t>
      </w:r>
      <w:r w:rsidRPr="009B6E90">
        <w:rPr>
          <w:rtl/>
        </w:rPr>
        <w:t xml:space="preserve">ולכן נראה שבאמת כוונתו שאז נפטר רשב"י, וכמו שכתב גם במורה באצבע, וכוונתו לדברי </w:t>
      </w:r>
      <w:r w:rsidRPr="00A97493">
        <w:rPr>
          <w:b/>
          <w:bCs/>
          <w:rtl/>
        </w:rPr>
        <w:t>ה</w:t>
      </w:r>
      <w:r w:rsidRPr="00A97493">
        <w:rPr>
          <w:rFonts w:hint="cs"/>
          <w:b/>
          <w:bCs/>
          <w:rtl/>
        </w:rPr>
        <w:t>'</w:t>
      </w:r>
      <w:r w:rsidRPr="00A97493">
        <w:rPr>
          <w:b/>
          <w:bCs/>
          <w:rtl/>
        </w:rPr>
        <w:t>פרי עץ חיים</w:t>
      </w:r>
      <w:r w:rsidRPr="00A97493">
        <w:rPr>
          <w:rFonts w:hint="cs"/>
          <w:b/>
          <w:bCs/>
          <w:rtl/>
        </w:rPr>
        <w:t>'</w:t>
      </w:r>
      <w:r w:rsidRPr="009B6E90">
        <w:rPr>
          <w:rtl/>
        </w:rPr>
        <w:t xml:space="preserve"> שהביא </w:t>
      </w:r>
      <w:r w:rsidRPr="00A97493">
        <w:rPr>
          <w:b/>
          <w:bCs/>
          <w:rtl/>
        </w:rPr>
        <w:t>בברכ"י.</w:t>
      </w:r>
    </w:p>
    <w:p w:rsidR="002F0CA3" w:rsidRPr="009B6E90" w:rsidRDefault="002F0CA3" w:rsidP="002F0CA3">
      <w:pPr>
        <w:pStyle w:val="a3"/>
        <w:rPr>
          <w:rtl/>
        </w:rPr>
      </w:pPr>
      <w:r w:rsidRPr="009B6E90">
        <w:rPr>
          <w:rtl/>
        </w:rPr>
        <w:t xml:space="preserve">ומה שכתב </w:t>
      </w:r>
      <w:r w:rsidRPr="009B6E90">
        <w:rPr>
          <w:b/>
          <w:bCs/>
          <w:rtl/>
        </w:rPr>
        <w:t>רבנו החיד"א</w:t>
      </w:r>
      <w:r w:rsidRPr="009B6E90">
        <w:rPr>
          <w:rtl/>
        </w:rPr>
        <w:t xml:space="preserve"> </w:t>
      </w:r>
      <w:r w:rsidRPr="009B6E90">
        <w:rPr>
          <w:b/>
          <w:bCs/>
          <w:rtl/>
        </w:rPr>
        <w:t>ב'מראית העין'</w:t>
      </w:r>
      <w:r w:rsidRPr="009B6E90">
        <w:rPr>
          <w:rtl/>
        </w:rPr>
        <w:t xml:space="preserve"> (ליקוטים סי' ז אות ח): </w:t>
      </w:r>
      <w:r w:rsidRPr="009B6E90">
        <w:rPr>
          <w:b/>
          <w:bCs/>
          <w:rtl/>
        </w:rPr>
        <w:t xml:space="preserve">"ומה שכתבתי בברכי יוסף בסימן זה </w:t>
      </w:r>
      <w:r w:rsidRPr="009B6E90">
        <w:rPr>
          <w:b/>
          <w:bCs/>
          <w:u w:val="single"/>
          <w:rtl/>
        </w:rPr>
        <w:t xml:space="preserve">דיש שכתב דפטירת רשב"י ע"ה זי"ע בל"ג לעומר, כן כתב בפרי עץ חיים. אך כבר נודע דבנסחאות כתבי האר"י ז"ל היה ערבוב וט"ס </w:t>
      </w:r>
      <w:r w:rsidRPr="009B6E90">
        <w:rPr>
          <w:b/>
          <w:bCs/>
          <w:rtl/>
        </w:rPr>
        <w:t xml:space="preserve">והנסחא אמיתית היא נסחת הח' שערים שסידר הרב מהר"ש ויטאל ז"ל בנו של רבינו מהרח"ו ז"ל. ובשער הכונות האריך בסוד יומי העומר וטעם שמתו כ"ד אלף ואח"כ למדו ה' [תלמידים] אצל ר' עקיבא ר"ש ור"מ וכו' והיא שמחת רשב"י. וכתב שיש שרש בשמחה זו שעושים. והוא האריך בזה </w:t>
      </w:r>
      <w:r w:rsidRPr="009B6E90">
        <w:rPr>
          <w:b/>
          <w:bCs/>
          <w:u w:val="single"/>
          <w:rtl/>
        </w:rPr>
        <w:t>ולא בא בפיו לומר שהוא פטירת רשב"י ע"ה.</w:t>
      </w:r>
      <w:r w:rsidRPr="009B6E90">
        <w:rPr>
          <w:b/>
          <w:bCs/>
          <w:rtl/>
        </w:rPr>
        <w:t xml:space="preserve"> ואפשר שהכונה כמ"ש אני עני בטוב עין דביום ל"ג התחיל ללמד ר' עקיבא לרשב"י וחביריו ודוק היטב", </w:t>
      </w:r>
      <w:r w:rsidRPr="009B6E90">
        <w:rPr>
          <w:rtl/>
        </w:rPr>
        <w:t>עכ"ל.</w:t>
      </w:r>
    </w:p>
    <w:p w:rsidR="002F0CA3" w:rsidRPr="009B6E90" w:rsidRDefault="002F0CA3" w:rsidP="002F0CA3">
      <w:pPr>
        <w:pStyle w:val="a3"/>
        <w:rPr>
          <w:rtl/>
        </w:rPr>
      </w:pPr>
      <w:r w:rsidRPr="009B6E90">
        <w:rPr>
          <w:rtl/>
        </w:rPr>
        <w:lastRenderedPageBreak/>
        <w:t>היוצא מדבריו:</w:t>
      </w:r>
    </w:p>
    <w:p w:rsidR="002F0CA3" w:rsidRPr="009B6E90" w:rsidRDefault="002F0CA3" w:rsidP="002F0CA3">
      <w:pPr>
        <w:pStyle w:val="a3"/>
        <w:rPr>
          <w:rtl/>
        </w:rPr>
      </w:pPr>
      <w:r w:rsidRPr="009B6E90">
        <w:rPr>
          <w:rtl/>
        </w:rPr>
        <w:t>א. דמה שכתב בברכי יוסף ד'יש שכתב' דפטירת רשב"י ע"ה זי"ע בל"ג לעומר, הכוונה הוא לדברי ה'פרי עץ חיים', [כי כן היה ידוע לכל מתוך כתה"י אפילו טרם הדפסת הפע"ח. וכמבואר גם ב'דברי נחמיה': "ובפרי עץ חיים שם נזכר עוד טעם לענין שמחת ל"ג בעומר שבו ביום מת רשב"י ע"ה. ועם היות שמה שכתוב שם כי הוא מתלמידי רבי עקיבא שמתו בספירת העומר, צריך עיון גדול לכאורה . . אבל מכל מקום גוף הדבר ודאי אמת נכון הדבר שהסתלקות רשב"י היה בל"ג בעומר והיינו הלולא דרשב"י בו ביום, אשר כבר נודע ומפורסם בכל העולם . . (ואולי יש טעות סופר בפרי עץ חיים שם במה שכתב כי הוא כו' כנ"ל, וצ"ע בדפוס קארעץ ששמעתי ששם נשמט זה)".</w:t>
      </w:r>
    </w:p>
    <w:p w:rsidR="002F0CA3" w:rsidRPr="009B6E90" w:rsidRDefault="002F0CA3" w:rsidP="002F0CA3">
      <w:pPr>
        <w:pStyle w:val="a3"/>
        <w:rPr>
          <w:rtl/>
        </w:rPr>
      </w:pPr>
      <w:r w:rsidRPr="009B6E90">
        <w:rPr>
          <w:rtl/>
        </w:rPr>
        <w:t xml:space="preserve">וממשיך: "והן אמת שגם עיקר הדבר נעלם ממני כעת המקור ושרש לזה . . ובמשנת חסידים מס' אייר וסיון (דקי"ז) ראיתי שהשמיט דברי פרי עץ חיים הנ"ל, אלא כתב בטעם שמחת רשב"י שבל"ג בעומר לפי שהיו מהה' תלמידים שנסמכו אז שע"י זה נתקיים העולם ע"ש (ומעין זה כיון הפרי חדש מדעתו ע"ש) וצ"ע. </w:t>
      </w:r>
      <w:r w:rsidRPr="007771A0">
        <w:rPr>
          <w:b/>
          <w:bCs/>
          <w:u w:val="single"/>
          <w:rtl/>
        </w:rPr>
        <w:t>אך המפורסמות אין צריך ראיה שכבר נתפרסם בכל העולם מכמה דורות ענין הלולא דרשב"י בל"ג בעומר</w:t>
      </w:r>
      <w:r w:rsidRPr="007771A0">
        <w:rPr>
          <w:b/>
          <w:bCs/>
          <w:rtl/>
        </w:rPr>
        <w:t>,</w:t>
      </w:r>
      <w:r w:rsidRPr="009B6E90">
        <w:rPr>
          <w:rtl/>
        </w:rPr>
        <w:t xml:space="preserve"> [ע"ד שהעירני הרב אייזיק בלוי מהך דשמואל בפסחים (קיט, ב), שכתבו רש"י ורשב"ם שם: "מלחמתו של זרח במצרים </w:t>
      </w:r>
      <w:r w:rsidRPr="007771A0">
        <w:rPr>
          <w:b/>
          <w:bCs/>
          <w:rtl/>
        </w:rPr>
        <w:t>גמרא"</w:t>
      </w:r>
      <w:r w:rsidRPr="009B6E90">
        <w:rPr>
          <w:rtl/>
        </w:rPr>
        <w:t>, ואכמ"ל] עכ"ל מלבד החצ"ר].</w:t>
      </w:r>
    </w:p>
    <w:p w:rsidR="002F0CA3" w:rsidRPr="009B6E90" w:rsidRDefault="002F0CA3" w:rsidP="002F0CA3">
      <w:pPr>
        <w:pStyle w:val="a3"/>
        <w:rPr>
          <w:rtl/>
        </w:rPr>
      </w:pPr>
      <w:r w:rsidRPr="009B6E90">
        <w:rPr>
          <w:rtl/>
        </w:rPr>
        <w:t>ב.</w:t>
      </w:r>
      <w:r w:rsidRPr="009B6E90">
        <w:rPr>
          <w:rFonts w:ascii="Cambria" w:hAnsi="Cambria" w:cs="Cambria" w:hint="cs"/>
          <w:rtl/>
        </w:rPr>
        <w:t>  </w:t>
      </w:r>
      <w:r w:rsidRPr="009B6E90">
        <w:rPr>
          <w:rFonts w:hint="cs"/>
          <w:rtl/>
        </w:rPr>
        <w:t>ומ</w:t>
      </w:r>
      <w:r w:rsidRPr="009B6E90">
        <w:rPr>
          <w:rtl/>
        </w:rPr>
        <w:t>"</w:t>
      </w:r>
      <w:r w:rsidRPr="009B6E90">
        <w:rPr>
          <w:rFonts w:hint="cs"/>
          <w:rtl/>
        </w:rPr>
        <w:t>ש</w:t>
      </w:r>
      <w:r w:rsidRPr="009B6E90">
        <w:rPr>
          <w:rtl/>
        </w:rPr>
        <w:t>: "</w:t>
      </w:r>
      <w:r w:rsidRPr="009B6E90">
        <w:rPr>
          <w:rFonts w:hint="cs"/>
          <w:rtl/>
        </w:rPr>
        <w:t>אך</w:t>
      </w:r>
      <w:r w:rsidRPr="009B6E90">
        <w:rPr>
          <w:rtl/>
        </w:rPr>
        <w:t xml:space="preserve"> </w:t>
      </w:r>
      <w:r w:rsidRPr="009B6E90">
        <w:rPr>
          <w:rFonts w:hint="cs"/>
          <w:rtl/>
        </w:rPr>
        <w:t>כבר</w:t>
      </w:r>
      <w:r w:rsidRPr="009B6E90">
        <w:rPr>
          <w:rtl/>
        </w:rPr>
        <w:t xml:space="preserve"> </w:t>
      </w:r>
      <w:r w:rsidRPr="009B6E90">
        <w:rPr>
          <w:rFonts w:hint="cs"/>
          <w:rtl/>
        </w:rPr>
        <w:t>נודע</w:t>
      </w:r>
      <w:r w:rsidRPr="009B6E90">
        <w:rPr>
          <w:rtl/>
        </w:rPr>
        <w:t xml:space="preserve"> </w:t>
      </w:r>
      <w:r w:rsidRPr="009B6E90">
        <w:rPr>
          <w:rFonts w:hint="cs"/>
          <w:rtl/>
        </w:rPr>
        <w:t>דבנסחאות</w:t>
      </w:r>
      <w:r w:rsidRPr="009B6E90">
        <w:rPr>
          <w:rtl/>
        </w:rPr>
        <w:t xml:space="preserve"> </w:t>
      </w:r>
      <w:r w:rsidRPr="009B6E90">
        <w:rPr>
          <w:rFonts w:hint="cs"/>
          <w:rtl/>
        </w:rPr>
        <w:t>כתבי</w:t>
      </w:r>
      <w:r w:rsidRPr="009B6E90">
        <w:rPr>
          <w:rtl/>
        </w:rPr>
        <w:t xml:space="preserve"> </w:t>
      </w:r>
      <w:r w:rsidRPr="009B6E90">
        <w:rPr>
          <w:rFonts w:hint="cs"/>
          <w:rtl/>
        </w:rPr>
        <w:t>האר</w:t>
      </w:r>
      <w:r w:rsidRPr="009B6E90">
        <w:rPr>
          <w:rtl/>
        </w:rPr>
        <w:t>"</w:t>
      </w:r>
      <w:r w:rsidRPr="009B6E90">
        <w:rPr>
          <w:rFonts w:hint="cs"/>
          <w:rtl/>
        </w:rPr>
        <w:t>י</w:t>
      </w:r>
      <w:r w:rsidRPr="009B6E90">
        <w:rPr>
          <w:rtl/>
        </w:rPr>
        <w:t xml:space="preserve"> </w:t>
      </w:r>
      <w:r w:rsidRPr="009B6E90">
        <w:rPr>
          <w:rFonts w:hint="cs"/>
          <w:rtl/>
        </w:rPr>
        <w:t>ז</w:t>
      </w:r>
      <w:r w:rsidRPr="009B6E90">
        <w:rPr>
          <w:rtl/>
        </w:rPr>
        <w:t>"</w:t>
      </w:r>
      <w:r w:rsidRPr="009B6E90">
        <w:rPr>
          <w:rFonts w:hint="cs"/>
          <w:rtl/>
        </w:rPr>
        <w:t>ל</w:t>
      </w:r>
      <w:r w:rsidRPr="009B6E90">
        <w:rPr>
          <w:rtl/>
        </w:rPr>
        <w:t xml:space="preserve"> </w:t>
      </w:r>
      <w:r w:rsidRPr="009B6E90">
        <w:rPr>
          <w:rFonts w:hint="cs"/>
          <w:rtl/>
        </w:rPr>
        <w:t>היה</w:t>
      </w:r>
      <w:r w:rsidRPr="009B6E90">
        <w:rPr>
          <w:rtl/>
        </w:rPr>
        <w:t xml:space="preserve"> </w:t>
      </w:r>
      <w:r w:rsidRPr="009B6E90">
        <w:rPr>
          <w:rFonts w:hint="cs"/>
          <w:rtl/>
        </w:rPr>
        <w:t>ערבוב</w:t>
      </w:r>
      <w:r w:rsidRPr="009B6E90">
        <w:rPr>
          <w:rtl/>
        </w:rPr>
        <w:t xml:space="preserve"> </w:t>
      </w:r>
      <w:r w:rsidRPr="009B6E90">
        <w:rPr>
          <w:rFonts w:hint="cs"/>
          <w:rtl/>
        </w:rPr>
        <w:t>וט</w:t>
      </w:r>
      <w:r w:rsidRPr="009B6E90">
        <w:rPr>
          <w:rtl/>
        </w:rPr>
        <w:t>"</w:t>
      </w:r>
      <w:r w:rsidRPr="009B6E90">
        <w:rPr>
          <w:rFonts w:hint="cs"/>
          <w:rtl/>
        </w:rPr>
        <w:t>ס</w:t>
      </w:r>
      <w:r w:rsidRPr="009B6E90">
        <w:rPr>
          <w:rtl/>
        </w:rPr>
        <w:t xml:space="preserve">", </w:t>
      </w:r>
      <w:r w:rsidRPr="009B6E90">
        <w:rPr>
          <w:rFonts w:hint="cs"/>
          <w:rtl/>
        </w:rPr>
        <w:t>הכוונה</w:t>
      </w:r>
      <w:r w:rsidRPr="009B6E90">
        <w:rPr>
          <w:rtl/>
        </w:rPr>
        <w:t xml:space="preserve"> </w:t>
      </w:r>
      <w:r w:rsidRPr="009B6E90">
        <w:rPr>
          <w:rFonts w:hint="cs"/>
          <w:rtl/>
        </w:rPr>
        <w:t>בזה</w:t>
      </w:r>
      <w:r w:rsidRPr="009B6E90">
        <w:rPr>
          <w:rtl/>
        </w:rPr>
        <w:t xml:space="preserve"> </w:t>
      </w:r>
      <w:r w:rsidRPr="009B6E90">
        <w:rPr>
          <w:rFonts w:hint="cs"/>
          <w:rtl/>
        </w:rPr>
        <w:t>שאמנ</w:t>
      </w:r>
      <w:r w:rsidRPr="009B6E90">
        <w:rPr>
          <w:rtl/>
        </w:rPr>
        <w:t>ם זה דבר בטוח שכך נאמר בפע"ח, וזה היה ידוע לכל מתוך כתה"י, [כי ה'ברכי יוסף' נדפס לפני הדפוס של הפע"ח והיה עדיין בכת"י], אבל אח"כ בכל הדפוסים של ה'פרי עץ חיים' זה השתבש מאד וה'מראית העין' כתב כך רק לאחר שנדפס כבר כמה פעמים [בקארעץ תקמ"ב-תקמ"ה, אוסטרהא תקנ"ד, ובדובראוונא תקס"ג-ד] עם הטעויות.</w:t>
      </w:r>
    </w:p>
    <w:p w:rsidR="002F0CA3" w:rsidRPr="009B6E90" w:rsidRDefault="002F0CA3" w:rsidP="002F0CA3">
      <w:pPr>
        <w:pStyle w:val="a3"/>
        <w:rPr>
          <w:rtl/>
        </w:rPr>
      </w:pPr>
      <w:r w:rsidRPr="009B6E90">
        <w:rPr>
          <w:rtl/>
        </w:rPr>
        <w:t xml:space="preserve">אבל לפי </w:t>
      </w:r>
      <w:r>
        <w:rPr>
          <w:rFonts w:hint="cs"/>
          <w:rtl/>
        </w:rPr>
        <w:t xml:space="preserve">3 </w:t>
      </w:r>
      <w:r w:rsidRPr="009B6E90">
        <w:rPr>
          <w:rtl/>
        </w:rPr>
        <w:t>כתב</w:t>
      </w:r>
      <w:r>
        <w:rPr>
          <w:rFonts w:hint="cs"/>
          <w:rtl/>
        </w:rPr>
        <w:t>י</w:t>
      </w:r>
      <w:r w:rsidRPr="009B6E90">
        <w:rPr>
          <w:rtl/>
        </w:rPr>
        <w:t xml:space="preserve"> יד הקדו</w:t>
      </w:r>
      <w:r>
        <w:rPr>
          <w:rFonts w:hint="cs"/>
          <w:rtl/>
        </w:rPr>
        <w:t>מים</w:t>
      </w:r>
      <w:r w:rsidRPr="009B6E90">
        <w:rPr>
          <w:rtl/>
        </w:rPr>
        <w:t xml:space="preserve"> האמיתי</w:t>
      </w:r>
      <w:r>
        <w:rPr>
          <w:rFonts w:hint="cs"/>
          <w:rtl/>
        </w:rPr>
        <w:t>ם</w:t>
      </w:r>
      <w:r w:rsidRPr="009B6E90">
        <w:rPr>
          <w:rtl/>
        </w:rPr>
        <w:t xml:space="preserve"> נאמר כך: </w:t>
      </w:r>
      <w:r w:rsidRPr="007771A0">
        <w:rPr>
          <w:b/>
          <w:bCs/>
          <w:rtl/>
        </w:rPr>
        <w:t xml:space="preserve">"וטעם שמחת רשב"י ביום ל"ג לעומר כי הוא מתלמידי רבי עקיבא שהוא שמת ל"ג לעומר", </w:t>
      </w:r>
      <w:r w:rsidRPr="009B6E90">
        <w:rPr>
          <w:rtl/>
        </w:rPr>
        <w:t>והכל בא על מקומו בשלום, ושל"ג בעומר הוא ממש מה שחשבנו תמיד, יום הסתלקותו של רשב"י!</w:t>
      </w:r>
    </w:p>
    <w:p w:rsidR="002F0CA3" w:rsidRPr="009B6E90" w:rsidRDefault="002F0CA3" w:rsidP="002F0CA3">
      <w:pPr>
        <w:pStyle w:val="a3"/>
        <w:rPr>
          <w:rtl/>
        </w:rPr>
      </w:pPr>
      <w:r w:rsidRPr="009B6E90">
        <w:rPr>
          <w:rtl/>
        </w:rPr>
        <w:t xml:space="preserve">אבל לרבנו החיד"א שלא היה לנגד עיניו הכת"י </w:t>
      </w:r>
      <w:r>
        <w:rPr>
          <w:rFonts w:hint="cs"/>
          <w:rtl/>
        </w:rPr>
        <w:t xml:space="preserve">הנ"ל </w:t>
      </w:r>
      <w:r w:rsidRPr="009B6E90">
        <w:rPr>
          <w:rtl/>
        </w:rPr>
        <w:t>לכן נשאר במבוכה אודות מה שנאמר בפע"ח שם, וכמו שנשאר במבוכה ה'דברי נחמיה' הנ"ל. אבל לגבי עצם דבר הסתלקותו אז, לא שללו זאת כלל, אלא אדרבה:</w:t>
      </w:r>
      <w:r w:rsidRPr="009B6E90">
        <w:rPr>
          <w:rFonts w:ascii="Cambria" w:hAnsi="Cambria" w:cs="Cambria" w:hint="cs"/>
          <w:rtl/>
        </w:rPr>
        <w:t> </w:t>
      </w:r>
      <w:r w:rsidRPr="007771A0">
        <w:rPr>
          <w:b/>
          <w:bCs/>
          <w:rtl/>
        </w:rPr>
        <w:t>"אך המפורסמות אין צריך ראיה שכבר נתפרסם בכל העולם מכמה דורות ענין הלולא דרשב"י בל"ג בעומר . . ומסתמא יש מקור לזה בזוהר או בכתבי האר"י ז"ל"</w:t>
      </w:r>
      <w:r w:rsidRPr="009B6E90">
        <w:rPr>
          <w:rtl/>
        </w:rPr>
        <w:t>.</w:t>
      </w:r>
    </w:p>
    <w:p w:rsidR="002F0CA3" w:rsidRPr="009B6E90" w:rsidRDefault="002F0CA3" w:rsidP="002F0CA3">
      <w:pPr>
        <w:pStyle w:val="a3"/>
        <w:rPr>
          <w:rtl/>
        </w:rPr>
      </w:pPr>
      <w:r w:rsidRPr="009B6E90">
        <w:rPr>
          <w:rtl/>
        </w:rPr>
        <w:t>ג.</w:t>
      </w:r>
      <w:r w:rsidRPr="009B6E90">
        <w:rPr>
          <w:rFonts w:ascii="Cambria" w:hAnsi="Cambria" w:cs="Cambria" w:hint="cs"/>
          <w:rtl/>
        </w:rPr>
        <w:t> </w:t>
      </w:r>
      <w:r w:rsidRPr="009B6E90">
        <w:rPr>
          <w:rFonts w:hint="cs"/>
          <w:rtl/>
        </w:rPr>
        <w:t>ש</w:t>
      </w:r>
      <w:r w:rsidRPr="009B6E90">
        <w:rPr>
          <w:rtl/>
        </w:rPr>
        <w:t>"</w:t>
      </w:r>
      <w:r w:rsidRPr="009B6E90">
        <w:rPr>
          <w:rFonts w:hint="cs"/>
          <w:rtl/>
        </w:rPr>
        <w:t>הנוסחא</w:t>
      </w:r>
      <w:r w:rsidRPr="009B6E90">
        <w:rPr>
          <w:rtl/>
        </w:rPr>
        <w:t xml:space="preserve"> </w:t>
      </w:r>
      <w:r w:rsidRPr="009B6E90">
        <w:rPr>
          <w:rFonts w:hint="cs"/>
          <w:rtl/>
        </w:rPr>
        <w:t>אמיתית</w:t>
      </w:r>
      <w:r w:rsidRPr="009B6E90">
        <w:rPr>
          <w:rtl/>
        </w:rPr>
        <w:t xml:space="preserve"> </w:t>
      </w:r>
      <w:r w:rsidRPr="009B6E90">
        <w:rPr>
          <w:rFonts w:hint="cs"/>
          <w:rtl/>
        </w:rPr>
        <w:t>היא</w:t>
      </w:r>
      <w:r w:rsidRPr="009B6E90">
        <w:rPr>
          <w:rtl/>
        </w:rPr>
        <w:t xml:space="preserve"> </w:t>
      </w:r>
      <w:r w:rsidRPr="009B6E90">
        <w:rPr>
          <w:rFonts w:hint="cs"/>
          <w:rtl/>
        </w:rPr>
        <w:t>נוסחת</w:t>
      </w:r>
      <w:r w:rsidRPr="009B6E90">
        <w:rPr>
          <w:rtl/>
        </w:rPr>
        <w:t xml:space="preserve"> </w:t>
      </w:r>
      <w:r w:rsidRPr="009B6E90">
        <w:rPr>
          <w:rFonts w:hint="cs"/>
          <w:rtl/>
        </w:rPr>
        <w:t>הח</w:t>
      </w:r>
      <w:r w:rsidRPr="009B6E90">
        <w:rPr>
          <w:rtl/>
        </w:rPr>
        <w:t xml:space="preserve">' </w:t>
      </w:r>
      <w:r w:rsidRPr="009B6E90">
        <w:rPr>
          <w:rFonts w:hint="cs"/>
          <w:rtl/>
        </w:rPr>
        <w:t>שערים</w:t>
      </w:r>
      <w:r w:rsidRPr="009B6E90">
        <w:rPr>
          <w:rtl/>
        </w:rPr>
        <w:t xml:space="preserve"> </w:t>
      </w:r>
      <w:r w:rsidRPr="009B6E90">
        <w:rPr>
          <w:rFonts w:hint="cs"/>
          <w:rtl/>
        </w:rPr>
        <w:t>שסידר</w:t>
      </w:r>
      <w:r w:rsidRPr="009B6E90">
        <w:rPr>
          <w:rtl/>
        </w:rPr>
        <w:t xml:space="preserve"> </w:t>
      </w:r>
      <w:r w:rsidRPr="009B6E90">
        <w:rPr>
          <w:rFonts w:hint="cs"/>
          <w:rtl/>
        </w:rPr>
        <w:t>הרב</w:t>
      </w:r>
      <w:r w:rsidRPr="009B6E90">
        <w:rPr>
          <w:rtl/>
        </w:rPr>
        <w:t xml:space="preserve"> </w:t>
      </w:r>
      <w:r w:rsidRPr="009B6E90">
        <w:rPr>
          <w:rFonts w:hint="cs"/>
          <w:rtl/>
        </w:rPr>
        <w:t>מהר</w:t>
      </w:r>
      <w:r w:rsidRPr="009B6E90">
        <w:rPr>
          <w:rtl/>
        </w:rPr>
        <w:t>"</w:t>
      </w:r>
      <w:r w:rsidRPr="009B6E90">
        <w:rPr>
          <w:rFonts w:hint="cs"/>
          <w:rtl/>
        </w:rPr>
        <w:t>ש</w:t>
      </w:r>
      <w:r w:rsidRPr="009B6E90">
        <w:rPr>
          <w:rtl/>
        </w:rPr>
        <w:t xml:space="preserve"> </w:t>
      </w:r>
      <w:r w:rsidRPr="009B6E90">
        <w:rPr>
          <w:rFonts w:hint="cs"/>
          <w:rtl/>
        </w:rPr>
        <w:t>ויטאל</w:t>
      </w:r>
      <w:r w:rsidRPr="009B6E90">
        <w:rPr>
          <w:rtl/>
        </w:rPr>
        <w:t xml:space="preserve"> </w:t>
      </w:r>
      <w:r w:rsidRPr="009B6E90">
        <w:rPr>
          <w:rFonts w:hint="cs"/>
          <w:rtl/>
        </w:rPr>
        <w:t>ז</w:t>
      </w:r>
      <w:r w:rsidRPr="009B6E90">
        <w:rPr>
          <w:rtl/>
        </w:rPr>
        <w:t>"</w:t>
      </w:r>
      <w:r w:rsidRPr="009B6E90">
        <w:rPr>
          <w:rFonts w:hint="cs"/>
          <w:rtl/>
        </w:rPr>
        <w:t>ל</w:t>
      </w:r>
      <w:r w:rsidRPr="009B6E90">
        <w:rPr>
          <w:rtl/>
        </w:rPr>
        <w:t xml:space="preserve"> </w:t>
      </w:r>
      <w:r w:rsidRPr="009B6E90">
        <w:rPr>
          <w:rFonts w:hint="cs"/>
          <w:rtl/>
        </w:rPr>
        <w:t>בנו</w:t>
      </w:r>
      <w:r w:rsidRPr="009B6E90">
        <w:rPr>
          <w:rtl/>
        </w:rPr>
        <w:t xml:space="preserve"> </w:t>
      </w:r>
      <w:r w:rsidRPr="009B6E90">
        <w:rPr>
          <w:rFonts w:hint="cs"/>
          <w:rtl/>
        </w:rPr>
        <w:t>של</w:t>
      </w:r>
      <w:r w:rsidRPr="009B6E90">
        <w:rPr>
          <w:rtl/>
        </w:rPr>
        <w:t xml:space="preserve"> </w:t>
      </w:r>
      <w:r w:rsidRPr="009B6E90">
        <w:rPr>
          <w:rFonts w:hint="cs"/>
          <w:rtl/>
        </w:rPr>
        <w:t>רבינו</w:t>
      </w:r>
      <w:r w:rsidRPr="009B6E90">
        <w:rPr>
          <w:rtl/>
        </w:rPr>
        <w:t xml:space="preserve"> </w:t>
      </w:r>
      <w:r w:rsidRPr="009B6E90">
        <w:rPr>
          <w:rFonts w:hint="cs"/>
          <w:rtl/>
        </w:rPr>
        <w:t>מהרח</w:t>
      </w:r>
      <w:r w:rsidRPr="009B6E90">
        <w:rPr>
          <w:rtl/>
        </w:rPr>
        <w:t>"</w:t>
      </w:r>
      <w:r w:rsidRPr="009B6E90">
        <w:rPr>
          <w:rFonts w:hint="cs"/>
          <w:rtl/>
        </w:rPr>
        <w:t>ו</w:t>
      </w:r>
      <w:r w:rsidRPr="009B6E90">
        <w:rPr>
          <w:rtl/>
        </w:rPr>
        <w:t xml:space="preserve"> </w:t>
      </w:r>
      <w:r w:rsidRPr="009B6E90">
        <w:rPr>
          <w:rFonts w:hint="cs"/>
          <w:rtl/>
        </w:rPr>
        <w:t>ז</w:t>
      </w:r>
      <w:r w:rsidRPr="009B6E90">
        <w:rPr>
          <w:rtl/>
        </w:rPr>
        <w:t>"</w:t>
      </w:r>
      <w:r w:rsidRPr="009B6E90">
        <w:rPr>
          <w:rFonts w:hint="cs"/>
          <w:rtl/>
        </w:rPr>
        <w:t>ל</w:t>
      </w:r>
      <w:r w:rsidRPr="009B6E90">
        <w:rPr>
          <w:rtl/>
        </w:rPr>
        <w:t xml:space="preserve">. </w:t>
      </w:r>
      <w:r w:rsidRPr="009B6E90">
        <w:rPr>
          <w:rFonts w:hint="cs"/>
          <w:rtl/>
        </w:rPr>
        <w:t>ובשער</w:t>
      </w:r>
      <w:r w:rsidRPr="009B6E90">
        <w:rPr>
          <w:rtl/>
        </w:rPr>
        <w:t xml:space="preserve"> </w:t>
      </w:r>
      <w:r w:rsidRPr="009B6E90">
        <w:rPr>
          <w:rFonts w:hint="cs"/>
          <w:rtl/>
        </w:rPr>
        <w:t>הכונות</w:t>
      </w:r>
      <w:r w:rsidRPr="009B6E90">
        <w:rPr>
          <w:rtl/>
        </w:rPr>
        <w:t xml:space="preserve"> </w:t>
      </w:r>
      <w:r w:rsidRPr="009B6E90">
        <w:rPr>
          <w:rFonts w:hint="cs"/>
          <w:rtl/>
        </w:rPr>
        <w:t>האריך</w:t>
      </w:r>
      <w:r w:rsidRPr="009B6E90">
        <w:rPr>
          <w:rtl/>
        </w:rPr>
        <w:t xml:space="preserve"> </w:t>
      </w:r>
      <w:r w:rsidRPr="009B6E90">
        <w:rPr>
          <w:rFonts w:hint="cs"/>
          <w:rtl/>
        </w:rPr>
        <w:t>בסוד</w:t>
      </w:r>
      <w:r w:rsidRPr="009B6E90">
        <w:rPr>
          <w:rtl/>
        </w:rPr>
        <w:t xml:space="preserve"> </w:t>
      </w:r>
      <w:r w:rsidRPr="009B6E90">
        <w:rPr>
          <w:rFonts w:hint="cs"/>
          <w:rtl/>
        </w:rPr>
        <w:t>יומי</w:t>
      </w:r>
      <w:r w:rsidRPr="009B6E90">
        <w:rPr>
          <w:rtl/>
        </w:rPr>
        <w:t xml:space="preserve"> </w:t>
      </w:r>
      <w:r w:rsidRPr="009B6E90">
        <w:rPr>
          <w:rFonts w:hint="cs"/>
          <w:rtl/>
        </w:rPr>
        <w:t>העומר</w:t>
      </w:r>
      <w:r w:rsidRPr="009B6E90">
        <w:rPr>
          <w:rtl/>
        </w:rPr>
        <w:t xml:space="preserve"> </w:t>
      </w:r>
      <w:r w:rsidRPr="009B6E90">
        <w:rPr>
          <w:rFonts w:hint="cs"/>
          <w:rtl/>
        </w:rPr>
        <w:t>וטעם</w:t>
      </w:r>
      <w:r w:rsidRPr="009B6E90">
        <w:rPr>
          <w:rtl/>
        </w:rPr>
        <w:t xml:space="preserve"> </w:t>
      </w:r>
      <w:r w:rsidRPr="009B6E90">
        <w:rPr>
          <w:rFonts w:hint="cs"/>
          <w:rtl/>
        </w:rPr>
        <w:t>שמתו</w:t>
      </w:r>
      <w:r w:rsidRPr="009B6E90">
        <w:rPr>
          <w:rtl/>
        </w:rPr>
        <w:t xml:space="preserve"> </w:t>
      </w:r>
      <w:r w:rsidRPr="009B6E90">
        <w:rPr>
          <w:rFonts w:hint="cs"/>
          <w:rtl/>
        </w:rPr>
        <w:t>כ</w:t>
      </w:r>
      <w:r w:rsidRPr="009B6E90">
        <w:rPr>
          <w:rtl/>
        </w:rPr>
        <w:t>"</w:t>
      </w:r>
      <w:r w:rsidRPr="009B6E90">
        <w:rPr>
          <w:rFonts w:hint="cs"/>
          <w:rtl/>
        </w:rPr>
        <w:t>ד</w:t>
      </w:r>
      <w:r w:rsidRPr="009B6E90">
        <w:rPr>
          <w:rtl/>
        </w:rPr>
        <w:t xml:space="preserve"> </w:t>
      </w:r>
      <w:r w:rsidRPr="009B6E90">
        <w:rPr>
          <w:rFonts w:hint="cs"/>
          <w:rtl/>
        </w:rPr>
        <w:t>אלף</w:t>
      </w:r>
      <w:r w:rsidRPr="009B6E90">
        <w:rPr>
          <w:rtl/>
        </w:rPr>
        <w:t xml:space="preserve"> </w:t>
      </w:r>
      <w:r w:rsidRPr="009B6E90">
        <w:rPr>
          <w:rFonts w:hint="cs"/>
          <w:rtl/>
        </w:rPr>
        <w:t>ואח</w:t>
      </w:r>
      <w:r w:rsidRPr="009B6E90">
        <w:rPr>
          <w:rtl/>
        </w:rPr>
        <w:t>"</w:t>
      </w:r>
      <w:r w:rsidRPr="009B6E90">
        <w:rPr>
          <w:rFonts w:hint="cs"/>
          <w:rtl/>
        </w:rPr>
        <w:t>כ</w:t>
      </w:r>
      <w:r w:rsidRPr="009B6E90">
        <w:rPr>
          <w:rtl/>
        </w:rPr>
        <w:t xml:space="preserve"> </w:t>
      </w:r>
      <w:r w:rsidRPr="009B6E90">
        <w:rPr>
          <w:rFonts w:hint="cs"/>
          <w:rtl/>
        </w:rPr>
        <w:t>למדו</w:t>
      </w:r>
      <w:r w:rsidRPr="009B6E90">
        <w:rPr>
          <w:rtl/>
        </w:rPr>
        <w:t xml:space="preserve"> </w:t>
      </w:r>
      <w:r w:rsidRPr="009B6E90">
        <w:rPr>
          <w:rFonts w:hint="cs"/>
          <w:rtl/>
        </w:rPr>
        <w:t>ה</w:t>
      </w:r>
      <w:r w:rsidRPr="009B6E90">
        <w:rPr>
          <w:rtl/>
        </w:rPr>
        <w:t>' [</w:t>
      </w:r>
      <w:r w:rsidRPr="009B6E90">
        <w:rPr>
          <w:rFonts w:hint="cs"/>
          <w:rtl/>
        </w:rPr>
        <w:t>תלמידים</w:t>
      </w:r>
      <w:r w:rsidRPr="009B6E90">
        <w:rPr>
          <w:rtl/>
        </w:rPr>
        <w:t xml:space="preserve">] </w:t>
      </w:r>
      <w:r w:rsidRPr="009B6E90">
        <w:rPr>
          <w:rFonts w:hint="cs"/>
          <w:rtl/>
        </w:rPr>
        <w:t>אצל</w:t>
      </w:r>
      <w:r w:rsidRPr="009B6E90">
        <w:rPr>
          <w:rtl/>
        </w:rPr>
        <w:t xml:space="preserve"> </w:t>
      </w:r>
      <w:r w:rsidRPr="009B6E90">
        <w:rPr>
          <w:rFonts w:hint="cs"/>
          <w:rtl/>
        </w:rPr>
        <w:t>ר</w:t>
      </w:r>
      <w:r w:rsidRPr="009B6E90">
        <w:rPr>
          <w:rtl/>
        </w:rPr>
        <w:t xml:space="preserve">' </w:t>
      </w:r>
      <w:r w:rsidRPr="009B6E90">
        <w:rPr>
          <w:rFonts w:hint="cs"/>
          <w:rtl/>
        </w:rPr>
        <w:t>עקיבא</w:t>
      </w:r>
      <w:r w:rsidRPr="009B6E90">
        <w:rPr>
          <w:rtl/>
        </w:rPr>
        <w:t xml:space="preserve"> </w:t>
      </w:r>
      <w:r w:rsidRPr="009B6E90">
        <w:rPr>
          <w:rFonts w:hint="cs"/>
          <w:rtl/>
        </w:rPr>
        <w:t>ר</w:t>
      </w:r>
      <w:r w:rsidRPr="009B6E90">
        <w:rPr>
          <w:rtl/>
        </w:rPr>
        <w:t>"</w:t>
      </w:r>
      <w:r w:rsidRPr="009B6E90">
        <w:rPr>
          <w:rFonts w:hint="cs"/>
          <w:rtl/>
        </w:rPr>
        <w:t>ש</w:t>
      </w:r>
      <w:r w:rsidRPr="009B6E90">
        <w:rPr>
          <w:rtl/>
        </w:rPr>
        <w:t xml:space="preserve"> ור"מ וכו' והיא שמחת רשב"י. וכתב שיש שרש בשמחה זו שעושים. והוא האריך בזה, </w:t>
      </w:r>
      <w:r w:rsidRPr="007771A0">
        <w:rPr>
          <w:b/>
          <w:bCs/>
          <w:u w:val="single"/>
          <w:rtl/>
        </w:rPr>
        <w:t>ולא בא בפיו לומר שהוא פטירת רשב"י ע"ה</w:t>
      </w:r>
      <w:r w:rsidRPr="009B6E90">
        <w:rPr>
          <w:rtl/>
        </w:rPr>
        <w:t xml:space="preserve">. ואפשר שהכונה כמ"ש אני עני בטוב עין דביום ל"ג התחיל ללמד ר' עקיבא לרשב"י וחביריו ודוק היטב". והיינו דלרבנו החיד"א היה לפניו שם רק הגירסא של </w:t>
      </w:r>
      <w:r w:rsidRPr="007771A0">
        <w:rPr>
          <w:b/>
          <w:bCs/>
          <w:rtl/>
        </w:rPr>
        <w:t>'ביום שמחתינו' בלבד</w:t>
      </w:r>
      <w:r w:rsidRPr="009B6E90">
        <w:rPr>
          <w:rtl/>
        </w:rPr>
        <w:t>,</w:t>
      </w:r>
      <w:r>
        <w:rPr>
          <w:rFonts w:hint="cs"/>
          <w:rtl/>
        </w:rPr>
        <w:t xml:space="preserve"> </w:t>
      </w:r>
      <w:r w:rsidRPr="009B6E90">
        <w:rPr>
          <w:rtl/>
        </w:rPr>
        <w:t xml:space="preserve">ולא ראה את הגירסא של גוף כתי"ק של </w:t>
      </w:r>
      <w:r w:rsidRPr="007771A0">
        <w:rPr>
          <w:b/>
          <w:bCs/>
          <w:rtl/>
        </w:rPr>
        <w:t>"ביום שמועתינו",</w:t>
      </w:r>
      <w:r w:rsidRPr="009B6E90">
        <w:rPr>
          <w:rtl/>
        </w:rPr>
        <w:t xml:space="preserve"> שהכוונה ליום של לימוד תורותיו וחידושיו (שעל יד </w:t>
      </w:r>
      <w:r w:rsidRPr="009B6E90">
        <w:rPr>
          <w:rtl/>
        </w:rPr>
        <w:lastRenderedPageBreak/>
        <w:t xml:space="preserve">קברו) </w:t>
      </w:r>
      <w:r w:rsidRPr="009B6E90">
        <w:rPr>
          <w:rFonts w:hint="cs"/>
          <w:rtl/>
        </w:rPr>
        <w:t xml:space="preserve">- </w:t>
      </w:r>
      <w:r w:rsidRPr="009B6E90">
        <w:rPr>
          <w:rtl/>
        </w:rPr>
        <w:t>וגם לימוד השיא של חידושיו ושמעותיו עם החברים בעת ההסתלקות כנ"ל</w:t>
      </w:r>
      <w:r w:rsidRPr="009B6E90">
        <w:rPr>
          <w:rFonts w:hint="cs"/>
          <w:rtl/>
        </w:rPr>
        <w:t xml:space="preserve"> -</w:t>
      </w:r>
      <w:r w:rsidRPr="009B6E90">
        <w:rPr>
          <w:rtl/>
        </w:rPr>
        <w:t xml:space="preserve"> ביום פטירתו</w:t>
      </w:r>
      <w:r>
        <w:rPr>
          <w:rFonts w:hint="cs"/>
          <w:rtl/>
        </w:rPr>
        <w:t>,</w:t>
      </w:r>
      <w:r w:rsidRPr="009B6E90">
        <w:rPr>
          <w:rtl/>
        </w:rPr>
        <w:t xml:space="preserve"> ולכן בצדק</w:t>
      </w:r>
      <w:r w:rsidRPr="009B6E90">
        <w:rPr>
          <w:rFonts w:ascii="Cambria" w:hAnsi="Cambria" w:cs="Cambria" w:hint="cs"/>
          <w:rtl/>
        </w:rPr>
        <w:t> </w:t>
      </w:r>
      <w:r w:rsidRPr="009B6E90">
        <w:rPr>
          <w:rFonts w:hint="cs"/>
          <w:rtl/>
        </w:rPr>
        <w:t>אומר</w:t>
      </w:r>
      <w:r w:rsidRPr="009B6E90">
        <w:rPr>
          <w:rtl/>
        </w:rPr>
        <w:t xml:space="preserve"> </w:t>
      </w:r>
      <w:r w:rsidRPr="009B6E90">
        <w:rPr>
          <w:u w:val="single"/>
          <w:rtl/>
        </w:rPr>
        <w:t>ש'לא בא בפיו לומר</w:t>
      </w:r>
      <w:r w:rsidRPr="009B6E90">
        <w:rPr>
          <w:rtl/>
        </w:rPr>
        <w:t xml:space="preserve"> שהוא פטירת רשב"י ע"ה', כלומר דשם לא נאמר מה שידוע לכל העולם זה דורי דורות מכבר ושנאמר בפע"ח </w:t>
      </w:r>
      <w:r w:rsidRPr="009B6E90">
        <w:rPr>
          <w:u w:val="single"/>
          <w:rtl/>
        </w:rPr>
        <w:t>['שהוא שמת ל"ג לעומר'</w:t>
      </w:r>
      <w:r w:rsidRPr="009B6E90">
        <w:rPr>
          <w:rtl/>
        </w:rPr>
        <w:t>], אבל זה לא אומר ולא סותר כלל וכלל שאכן במציאות רשב"י אמנם נסתלק בל"ג בעומר, (כי דברי תורה עניים במקום אחד ועשירים במקום אחר).</w:t>
      </w:r>
    </w:p>
    <w:p w:rsidR="002F0CA3" w:rsidRPr="009B6E90" w:rsidRDefault="002F0CA3" w:rsidP="002F0CA3">
      <w:pPr>
        <w:pStyle w:val="a3"/>
        <w:rPr>
          <w:u w:val="single"/>
          <w:rtl/>
        </w:rPr>
      </w:pPr>
      <w:r w:rsidRPr="009B6E90">
        <w:rPr>
          <w:rtl/>
        </w:rPr>
        <w:t>ומעתה פליאה</w:t>
      </w:r>
      <w:r w:rsidRPr="009B6E90">
        <w:rPr>
          <w:rFonts w:ascii="Cambria" w:hAnsi="Cambria" w:cs="Cambria" w:hint="cs"/>
          <w:rtl/>
        </w:rPr>
        <w:t> </w:t>
      </w:r>
      <w:r w:rsidRPr="009B6E90">
        <w:rPr>
          <w:rFonts w:hint="cs"/>
          <w:rtl/>
        </w:rPr>
        <w:t>נשגבה</w:t>
      </w:r>
      <w:r w:rsidRPr="009B6E90">
        <w:rPr>
          <w:rtl/>
        </w:rPr>
        <w:t xml:space="preserve"> </w:t>
      </w:r>
      <w:r w:rsidRPr="009B6E90">
        <w:rPr>
          <w:rFonts w:hint="cs"/>
          <w:rtl/>
        </w:rPr>
        <w:t>לומר</w:t>
      </w:r>
      <w:r w:rsidRPr="009B6E90">
        <w:rPr>
          <w:rtl/>
        </w:rPr>
        <w:t xml:space="preserve"> "</w:t>
      </w:r>
      <w:r w:rsidRPr="009B6E90">
        <w:rPr>
          <w:rFonts w:hint="cs"/>
          <w:rtl/>
        </w:rPr>
        <w:t>אבל</w:t>
      </w:r>
      <w:r w:rsidRPr="009B6E90">
        <w:rPr>
          <w:rtl/>
        </w:rPr>
        <w:t xml:space="preserve"> </w:t>
      </w:r>
      <w:r w:rsidRPr="009B6E90">
        <w:rPr>
          <w:rFonts w:hint="cs"/>
          <w:rtl/>
        </w:rPr>
        <w:t>בספריו</w:t>
      </w:r>
      <w:r w:rsidRPr="009B6E90">
        <w:rPr>
          <w:rtl/>
        </w:rPr>
        <w:t xml:space="preserve"> </w:t>
      </w:r>
      <w:r w:rsidRPr="009B6E90">
        <w:rPr>
          <w:rFonts w:hint="cs"/>
          <w:rtl/>
        </w:rPr>
        <w:t>מר</w:t>
      </w:r>
      <w:r w:rsidRPr="009B6E90">
        <w:rPr>
          <w:rtl/>
        </w:rPr>
        <w:t xml:space="preserve">אית [ה]עין וטוב עין </w:t>
      </w:r>
      <w:r w:rsidRPr="007771A0">
        <w:rPr>
          <w:b/>
          <w:bCs/>
          <w:rtl/>
        </w:rPr>
        <w:t>חזר בו וכתב שיום ל"ג בעומר אינו פטירת רשב"י"</w:t>
      </w:r>
      <w:r w:rsidRPr="009B6E90">
        <w:rPr>
          <w:rtl/>
        </w:rPr>
        <w:t xml:space="preserve"> מנין לומר זאת? והרי המילים</w:t>
      </w:r>
      <w:r w:rsidRPr="009B6E90">
        <w:rPr>
          <w:rFonts w:ascii="Cambria" w:hAnsi="Cambria" w:cs="Cambria" w:hint="cs"/>
          <w:rtl/>
        </w:rPr>
        <w:t> </w:t>
      </w:r>
      <w:r w:rsidRPr="009B6E90">
        <w:rPr>
          <w:u w:val="single"/>
          <w:rtl/>
        </w:rPr>
        <w:t>"ולא בא בפיו לומר</w:t>
      </w:r>
      <w:r w:rsidRPr="009B6E90">
        <w:rPr>
          <w:rtl/>
        </w:rPr>
        <w:t xml:space="preserve"> שהוא פטירת רשב"י ע"ה" אינו אומר עדיין כלל שאינו אכן כך במציאות, אלא שהכוונה הוא רק שכאן זה לא נזכר ומופיע, ותו לא. וגם לפי האמת ההיפך הוא הנכון, דלאחר שאומר "ולא בא בפיו לומר שהוא פטירת רשב"י ע"ה" הרי מסיים: "ואפשר שהכונה כמ"ש אני עני בטוב עין דביום ל"ג התחיל ללמד ר' עקיבא לרשב"י וחביריו ודוק היטב",</w:t>
      </w:r>
      <w:r w:rsidRPr="009B6E90">
        <w:rPr>
          <w:rFonts w:ascii="Cambria" w:hAnsi="Cambria" w:cs="Cambria" w:hint="cs"/>
          <w:rtl/>
        </w:rPr>
        <w:t> </w:t>
      </w:r>
      <w:r w:rsidRPr="00C044D8">
        <w:rPr>
          <w:b/>
          <w:bCs/>
          <w:u w:val="single"/>
          <w:rtl/>
        </w:rPr>
        <w:t>והרי שם בהדיא כותב</w:t>
      </w:r>
      <w:r w:rsidRPr="00C044D8">
        <w:rPr>
          <w:rFonts w:ascii="Cambria" w:hAnsi="Cambria" w:cs="Cambria" w:hint="cs"/>
          <w:b/>
          <w:bCs/>
          <w:u w:val="single"/>
          <w:rtl/>
        </w:rPr>
        <w:t> </w:t>
      </w:r>
      <w:r w:rsidRPr="00C044D8">
        <w:rPr>
          <w:b/>
          <w:bCs/>
          <w:u w:val="single"/>
          <w:rtl/>
        </w:rPr>
        <w:t>"</w:t>
      </w:r>
      <w:r w:rsidRPr="00C044D8">
        <w:rPr>
          <w:rFonts w:hint="cs"/>
          <w:b/>
          <w:bCs/>
          <w:u w:val="single"/>
          <w:rtl/>
        </w:rPr>
        <w:t>וגם</w:t>
      </w:r>
      <w:r w:rsidRPr="00C044D8">
        <w:rPr>
          <w:b/>
          <w:bCs/>
          <w:u w:val="single"/>
          <w:rtl/>
        </w:rPr>
        <w:t xml:space="preserve"> </w:t>
      </w:r>
      <w:r w:rsidRPr="00C044D8">
        <w:rPr>
          <w:rFonts w:hint="cs"/>
          <w:b/>
          <w:bCs/>
          <w:u w:val="single"/>
          <w:rtl/>
        </w:rPr>
        <w:t>אמרו</w:t>
      </w:r>
      <w:r w:rsidRPr="00C044D8">
        <w:rPr>
          <w:b/>
          <w:bCs/>
          <w:u w:val="single"/>
          <w:rtl/>
        </w:rPr>
        <w:t xml:space="preserve"> </w:t>
      </w:r>
      <w:r w:rsidRPr="00C044D8">
        <w:rPr>
          <w:rFonts w:hint="cs"/>
          <w:b/>
          <w:bCs/>
          <w:u w:val="single"/>
          <w:rtl/>
        </w:rPr>
        <w:t>דהלולא</w:t>
      </w:r>
      <w:r w:rsidRPr="00C044D8">
        <w:rPr>
          <w:b/>
          <w:bCs/>
          <w:u w:val="single"/>
          <w:rtl/>
        </w:rPr>
        <w:t xml:space="preserve"> </w:t>
      </w:r>
      <w:r w:rsidRPr="00C044D8">
        <w:rPr>
          <w:rFonts w:hint="cs"/>
          <w:b/>
          <w:bCs/>
          <w:u w:val="single"/>
          <w:rtl/>
        </w:rPr>
        <w:t>דרשב</w:t>
      </w:r>
      <w:r w:rsidRPr="00C044D8">
        <w:rPr>
          <w:b/>
          <w:bCs/>
          <w:u w:val="single"/>
          <w:rtl/>
        </w:rPr>
        <w:t>"</w:t>
      </w:r>
      <w:r w:rsidRPr="00C044D8">
        <w:rPr>
          <w:rFonts w:hint="cs"/>
          <w:b/>
          <w:bCs/>
          <w:u w:val="single"/>
          <w:rtl/>
        </w:rPr>
        <w:t>י</w:t>
      </w:r>
      <w:r w:rsidRPr="00C044D8">
        <w:rPr>
          <w:b/>
          <w:bCs/>
          <w:u w:val="single"/>
          <w:rtl/>
        </w:rPr>
        <w:t xml:space="preserve"> </w:t>
      </w:r>
      <w:r w:rsidRPr="00C044D8">
        <w:rPr>
          <w:rFonts w:hint="cs"/>
          <w:b/>
          <w:bCs/>
          <w:u w:val="single"/>
          <w:rtl/>
        </w:rPr>
        <w:t>ביום</w:t>
      </w:r>
      <w:r w:rsidRPr="00C044D8">
        <w:rPr>
          <w:b/>
          <w:bCs/>
          <w:u w:val="single"/>
          <w:rtl/>
        </w:rPr>
        <w:t xml:space="preserve"> </w:t>
      </w:r>
      <w:r w:rsidRPr="00C044D8">
        <w:rPr>
          <w:rFonts w:hint="cs"/>
          <w:b/>
          <w:bCs/>
          <w:u w:val="single"/>
          <w:rtl/>
        </w:rPr>
        <w:t>ל</w:t>
      </w:r>
      <w:r w:rsidRPr="00C044D8">
        <w:rPr>
          <w:b/>
          <w:bCs/>
          <w:u w:val="single"/>
          <w:rtl/>
        </w:rPr>
        <w:t>"</w:t>
      </w:r>
      <w:r w:rsidRPr="00C044D8">
        <w:rPr>
          <w:rFonts w:hint="cs"/>
          <w:b/>
          <w:bCs/>
          <w:u w:val="single"/>
          <w:rtl/>
        </w:rPr>
        <w:t>ג</w:t>
      </w:r>
      <w:r w:rsidRPr="009B6E90">
        <w:rPr>
          <w:u w:val="single"/>
          <w:rtl/>
        </w:rPr>
        <w:t>",</w:t>
      </w:r>
      <w:r w:rsidRPr="009B6E90">
        <w:rPr>
          <w:rtl/>
        </w:rPr>
        <w:t xml:space="preserve"> וא"כ איך בכלל ניתן לומר ש"כתב שיום ל"ג בעומר </w:t>
      </w:r>
      <w:r w:rsidRPr="009B6E90">
        <w:rPr>
          <w:u w:val="single"/>
          <w:rtl/>
        </w:rPr>
        <w:t>אינו פטירת רשב"י"</w:t>
      </w:r>
      <w:r>
        <w:rPr>
          <w:rFonts w:hint="cs"/>
          <w:u w:val="single"/>
          <w:rtl/>
        </w:rPr>
        <w:t>?</w:t>
      </w:r>
    </w:p>
    <w:p w:rsidR="002F0CA3" w:rsidRPr="009B6E90" w:rsidRDefault="002F0CA3" w:rsidP="002F0CA3">
      <w:pPr>
        <w:pStyle w:val="a3"/>
        <w:rPr>
          <w:u w:val="single"/>
          <w:rtl/>
        </w:rPr>
      </w:pPr>
      <w:r w:rsidRPr="009B6E90">
        <w:rPr>
          <w:rtl/>
        </w:rPr>
        <w:t xml:space="preserve">עוד תמוה, שהרי אלו </w:t>
      </w:r>
      <w:r>
        <w:rPr>
          <w:rFonts w:hint="cs"/>
          <w:rtl/>
        </w:rPr>
        <w:t xml:space="preserve">ה'חוקרים' </w:t>
      </w:r>
      <w:r w:rsidRPr="009B6E90">
        <w:rPr>
          <w:rtl/>
        </w:rPr>
        <w:t xml:space="preserve">שמביאים את דברי ה'דברי נחמיה' הנ"ל כותבים: "מסקנת הדברי נחמיה כנ"ל שיש טעות סופר בדברי הפע"ח, וכעי"ז כתב החיד"א בספרו האחרון (שחיבר כשנה לפני פטירתו) מראית עין" וכו'. - והרי מודים כולם שהדברי נחמיה ס"ל בהדיא שרשב"י נסתלק בל"ג בעומר דוקא, ושמקורו הוא בפע"ח, [הגם שאינו יודע להראות איה מקומו משום שגיאות הדפוס, ולא היה לפניו 3 כתה"י הנ"ל], וא"כ דבריהם ש"כעי"ז [כמו הדברי נחמיה] כתב החיד"א בספרו האחרון (שחיבר כשנה לפני פטירתו) מראית עין" סותרים בהדיא את דבריהם מקודם ש"בספריו מראית [ה]עין וטוב עין </w:t>
      </w:r>
      <w:r w:rsidRPr="009B6E90">
        <w:rPr>
          <w:u w:val="single"/>
          <w:rtl/>
        </w:rPr>
        <w:t>חזר בו וכתב שיום ל"ג בעומר אינו פטירת רשב"י</w:t>
      </w:r>
      <w:r w:rsidRPr="009B6E90">
        <w:rPr>
          <w:rtl/>
        </w:rPr>
        <w:t>".</w:t>
      </w:r>
    </w:p>
    <w:p w:rsidR="002F0CA3" w:rsidRPr="00D33161" w:rsidRDefault="002F0CA3" w:rsidP="002F0CA3">
      <w:pPr>
        <w:pStyle w:val="a3"/>
        <w:rPr>
          <w:color w:val="0000FF"/>
          <w:rtl/>
        </w:rPr>
      </w:pPr>
      <w:r w:rsidRPr="009B6E90">
        <w:rPr>
          <w:rFonts w:hint="cs"/>
          <w:rtl/>
        </w:rPr>
        <w:t xml:space="preserve">עוד ראיתי שה'חוקרים' מנסים לגייס גם את רבנו </w:t>
      </w:r>
      <w:r w:rsidRPr="009B6E90">
        <w:rPr>
          <w:rFonts w:hint="cs"/>
          <w:b/>
          <w:bCs/>
          <w:rtl/>
        </w:rPr>
        <w:t>ה'בן איש חי'</w:t>
      </w:r>
      <w:r w:rsidRPr="009B6E90">
        <w:rPr>
          <w:rFonts w:hint="cs"/>
          <w:rtl/>
        </w:rPr>
        <w:t xml:space="preserve"> להכחשת יום הסתלקותו של רשב"י בל"ג בעומר, </w:t>
      </w:r>
      <w:r w:rsidRPr="00D33161">
        <w:rPr>
          <w:rFonts w:hint="cs"/>
          <w:rtl/>
        </w:rPr>
        <w:t xml:space="preserve">ממה שכתב </w:t>
      </w:r>
      <w:r w:rsidRPr="00D33161">
        <w:rPr>
          <w:rtl/>
        </w:rPr>
        <w:t xml:space="preserve">בשו"ת רב פעלים או"ח </w:t>
      </w:r>
      <w:r w:rsidRPr="00D33161">
        <w:rPr>
          <w:rFonts w:hint="cs"/>
          <w:rtl/>
        </w:rPr>
        <w:t>(</w:t>
      </w:r>
      <w:r w:rsidRPr="00D33161">
        <w:rPr>
          <w:rtl/>
        </w:rPr>
        <w:t>סי' יא</w:t>
      </w:r>
      <w:r w:rsidRPr="00D33161">
        <w:rPr>
          <w:rFonts w:hint="cs"/>
          <w:rtl/>
        </w:rPr>
        <w:t>)</w:t>
      </w:r>
      <w:r w:rsidRPr="00D33161">
        <w:rPr>
          <w:rtl/>
        </w:rPr>
        <w:t xml:space="preserve"> כתב: "ואני אומר מאחר דאמירת חצי פסוק זה הובאה בספר פרי עץ חיים שהם דברי רבינו הגדול אר"י החי זלה"ה, דרוח אלקין קדישין ביה, אין לפקפק בהם כלום, כי מי יחוש יותר ממנו. ואף על גב דאמירת פסוק זה לא נזכרה בשער הכונות שסידר מהרש"ו ז"ל, </w:t>
      </w:r>
      <w:r w:rsidRPr="00D33161">
        <w:rPr>
          <w:b/>
          <w:bCs/>
          <w:rtl/>
        </w:rPr>
        <w:t>ומצינו להגאון חיד"א ז"ל בשיו"ב א"ח סי' תצ"ג, בענין פטירת רשב"י זיע"א ביום ל"ג לעומר, שנזכרה בספר פרי עץ חיים ולא נזכרה בשער הכונות כתב שאין לסמוך על זה כ"כ,</w:t>
      </w:r>
      <w:r w:rsidRPr="00D33161">
        <w:rPr>
          <w:rtl/>
        </w:rPr>
        <w:t xml:space="preserve"> התם שאני, כי גם בספר פרי עץ חיים לא נזכר דבר זה בכל ספרי פע"ח, שיש דפוסים שלא נזכר בהם ד"ז, ועוד התם מצא טעם לטעון משום דבספר הכונות נחית לעשות שייכות לאותו היום עם רשב"י, ואמאי לא זכר שם גם דבר זה, והן אמת כי על זו הטענה יש פה להשיב, עכ"ז נראה דודאי יש לסמוך על ספר פע"ח באמירת חצי פסוק הנז', וכן נהוג עלמא, על כן חובה עלינו ליישב הדבר". </w:t>
      </w:r>
      <w:r w:rsidRPr="009B6E90">
        <w:rPr>
          <w:rFonts w:hint="cs"/>
          <w:rtl/>
        </w:rPr>
        <w:t xml:space="preserve">ע"ש היטב. </w:t>
      </w:r>
    </w:p>
    <w:p w:rsidR="002F0CA3" w:rsidRPr="002F0CA3" w:rsidRDefault="002F0CA3" w:rsidP="002F0CA3">
      <w:pPr>
        <w:pStyle w:val="a3"/>
        <w:rPr>
          <w:rtl/>
        </w:rPr>
      </w:pPr>
      <w:r w:rsidRPr="002F0CA3">
        <w:rPr>
          <w:rFonts w:hint="cs"/>
          <w:rtl/>
        </w:rPr>
        <w:t xml:space="preserve">אבל לפי האמת שם </w:t>
      </w:r>
      <w:r w:rsidRPr="002F0CA3">
        <w:rPr>
          <w:rtl/>
        </w:rPr>
        <w:t xml:space="preserve">המשמעות היא שבנדו"ד סובר בהדיא שרק בשער הכוונות זה </w:t>
      </w:r>
      <w:r w:rsidRPr="002F0CA3">
        <w:rPr>
          <w:rFonts w:hint="cs"/>
          <w:rtl/>
        </w:rPr>
        <w:t xml:space="preserve">בלבד </w:t>
      </w:r>
      <w:r w:rsidRPr="002F0CA3">
        <w:rPr>
          <w:rtl/>
        </w:rPr>
        <w:t>רק לא מופיע, אבל שפיר "בא אל פיו" בפע"ח [רק ששם יש בעיה עם נוסחת הדפוס שהיא משובשת מאד. ע"ש היטב. ואילו ראה ה'רב פעלים' את מה שכתוב ב</w:t>
      </w:r>
      <w:r w:rsidRPr="002F0CA3">
        <w:rPr>
          <w:rFonts w:hint="cs"/>
          <w:rtl/>
        </w:rPr>
        <w:t xml:space="preserve">-3 </w:t>
      </w:r>
      <w:r w:rsidRPr="002F0CA3">
        <w:rPr>
          <w:rtl/>
        </w:rPr>
        <w:t xml:space="preserve">כת"י </w:t>
      </w:r>
      <w:r w:rsidRPr="002F0CA3">
        <w:rPr>
          <w:rFonts w:hint="cs"/>
          <w:rtl/>
        </w:rPr>
        <w:t xml:space="preserve">של </w:t>
      </w:r>
      <w:r w:rsidRPr="002F0CA3">
        <w:rPr>
          <w:rtl/>
        </w:rPr>
        <w:t>פע"ח "והוא שמת בל"ג בעומר", היה כותב בדיוק כמ"ש בתשו</w:t>
      </w:r>
      <w:r w:rsidRPr="002F0CA3">
        <w:rPr>
          <w:rFonts w:hint="cs"/>
          <w:rtl/>
        </w:rPr>
        <w:t>בתו</w:t>
      </w:r>
      <w:r w:rsidRPr="002F0CA3">
        <w:rPr>
          <w:rtl/>
        </w:rPr>
        <w:t xml:space="preserve"> שם בנוגע לאמירת "על כן ברך" וגו', שהגם שזה חצי פסוק ואסור לאומרו, בכל זאת כיון שזה מופיע בפע"ח, א"כ הפע"ח "הם דברי </w:t>
      </w:r>
      <w:r w:rsidRPr="002F0CA3">
        <w:rPr>
          <w:rtl/>
        </w:rPr>
        <w:lastRenderedPageBreak/>
        <w:t xml:space="preserve">רבינו הגדול אר"י החי זלה"ה דרוח אלקין קדישין ביה, אין לפקפק בהם כלום, כי מי יחוש יותר ממנו [על האיסור לומר חצי פסוק, ועל כל דברי תורה חז"ל בתנ"ך בש"ס משניות בבלי וירושלמי זוהר ומדרשים שו"ע ופוסקים, וכל דברי הגאונים ראשונים ואחרונים פוסקים וכל גדולי הדורות בענין העצב והתענית שיש לנהוג בו בזמן פטירת צדיקים], ואע"ג . . זה לא נזכרה בשער הכונות שסידר מהרש"ו"! </w:t>
      </w:r>
    </w:p>
    <w:p w:rsidR="002F0CA3" w:rsidRPr="002F0CA3" w:rsidRDefault="002F0CA3" w:rsidP="002F0CA3">
      <w:pPr>
        <w:pStyle w:val="a3"/>
        <w:rPr>
          <w:rtl/>
        </w:rPr>
      </w:pPr>
      <w:r w:rsidRPr="002F0CA3">
        <w:rPr>
          <w:rFonts w:hint="cs"/>
          <w:rtl/>
        </w:rPr>
        <w:t>עוד טוענים ה'חוקרים' שלנו ש"</w:t>
      </w:r>
      <w:r w:rsidRPr="002F0CA3">
        <w:rPr>
          <w:rtl/>
        </w:rPr>
        <w:t xml:space="preserve">מהותו של הספר </w:t>
      </w:r>
      <w:bookmarkStart w:id="185" w:name="_Hlk39648316"/>
      <w:r w:rsidRPr="002F0CA3">
        <w:rPr>
          <w:rFonts w:hint="cs"/>
          <w:rtl/>
        </w:rPr>
        <w:t>'</w:t>
      </w:r>
      <w:r w:rsidRPr="002F0CA3">
        <w:rPr>
          <w:rtl/>
        </w:rPr>
        <w:t>פרי עץ חיים</w:t>
      </w:r>
      <w:r w:rsidRPr="002F0CA3">
        <w:rPr>
          <w:rFonts w:hint="cs"/>
          <w:rtl/>
        </w:rPr>
        <w:t>'</w:t>
      </w:r>
      <w:r w:rsidRPr="002F0CA3">
        <w:rPr>
          <w:rtl/>
        </w:rPr>
        <w:t xml:space="preserve"> </w:t>
      </w:r>
      <w:bookmarkEnd w:id="185"/>
      <w:r w:rsidRPr="002F0CA3">
        <w:rPr>
          <w:rtl/>
        </w:rPr>
        <w:t xml:space="preserve">- מי שכתבו - סדר הדורות דתלמידי האר"י - ואיך כתבו המהר"ם פאפריש, ושכל רצונו היה להעתיק את ספר </w:t>
      </w:r>
      <w:r w:rsidRPr="002F0CA3">
        <w:rPr>
          <w:rFonts w:hint="cs"/>
          <w:rtl/>
        </w:rPr>
        <w:t>'</w:t>
      </w:r>
      <w:r w:rsidRPr="002F0CA3">
        <w:rPr>
          <w:rtl/>
        </w:rPr>
        <w:t>שער הכוונות</w:t>
      </w:r>
      <w:r w:rsidRPr="002F0CA3">
        <w:rPr>
          <w:rFonts w:hint="cs"/>
          <w:rtl/>
        </w:rPr>
        <w:t>'</w:t>
      </w:r>
      <w:r w:rsidRPr="002F0CA3">
        <w:rPr>
          <w:rtl/>
        </w:rPr>
        <w:t xml:space="preserve"> כפי ששמעם בע"פ מתלמיד תלמיד תלמידו של האר"י</w:t>
      </w:r>
      <w:r w:rsidRPr="002F0CA3">
        <w:rPr>
          <w:rFonts w:hint="cs"/>
          <w:rtl/>
        </w:rPr>
        <w:t xml:space="preserve"> וכו'.</w:t>
      </w:r>
      <w:r w:rsidRPr="002F0CA3">
        <w:rPr>
          <w:rtl/>
        </w:rPr>
        <w:t xml:space="preserve"> </w:t>
      </w:r>
      <w:r w:rsidRPr="002F0CA3">
        <w:rPr>
          <w:rFonts w:hint="cs"/>
          <w:rtl/>
        </w:rPr>
        <w:t xml:space="preserve">הנה </w:t>
      </w:r>
      <w:r w:rsidRPr="002F0CA3">
        <w:rPr>
          <w:rtl/>
        </w:rPr>
        <w:t xml:space="preserve">לא </w:t>
      </w:r>
      <w:r w:rsidRPr="002F0CA3">
        <w:rPr>
          <w:rFonts w:hint="cs"/>
          <w:rtl/>
        </w:rPr>
        <w:t>ש</w:t>
      </w:r>
      <w:r w:rsidRPr="002F0CA3">
        <w:rPr>
          <w:rtl/>
        </w:rPr>
        <w:t>אני שמתעלם מכל זה, אלא רבנו ה'בן איש חי' ב'רב פעלים' (ח"א סי' יא) שכותב: ש</w:t>
      </w:r>
      <w:r w:rsidRPr="002F0CA3">
        <w:rPr>
          <w:rFonts w:hint="cs"/>
          <w:rtl/>
        </w:rPr>
        <w:t>'</w:t>
      </w:r>
      <w:r w:rsidRPr="002F0CA3">
        <w:rPr>
          <w:rtl/>
        </w:rPr>
        <w:t>פרי עץ חיים</w:t>
      </w:r>
      <w:r w:rsidRPr="002F0CA3">
        <w:rPr>
          <w:rFonts w:hint="cs"/>
          <w:rtl/>
        </w:rPr>
        <w:t>'</w:t>
      </w:r>
      <w:r w:rsidRPr="002F0CA3">
        <w:rPr>
          <w:rtl/>
        </w:rPr>
        <w:t xml:space="preserve"> "הם דברי רבינו הגדול אר"י החי זלה"ה דרוח אלקין קדישין ביה, אין לפקפק בהם כלום, כי מי יחוש יותר ממנו. ואע"ג . . זה לא נזכרה בשער הכונות שסידר מהרש"ו". דברים אלו אומרים הכל מה זה מהותו של ה'פרי עץ חיים' - </w:t>
      </w:r>
      <w:r w:rsidRPr="002F0CA3">
        <w:rPr>
          <w:rFonts w:hint="cs"/>
          <w:rtl/>
        </w:rPr>
        <w:t>ש</w:t>
      </w:r>
      <w:r w:rsidRPr="002F0CA3">
        <w:rPr>
          <w:rtl/>
        </w:rPr>
        <w:t>אפילו שלא נזכרו הדברים ב</w:t>
      </w:r>
      <w:r w:rsidRPr="002F0CA3">
        <w:rPr>
          <w:rFonts w:hint="cs"/>
          <w:rtl/>
        </w:rPr>
        <w:t>'</w:t>
      </w:r>
      <w:r w:rsidRPr="002F0CA3">
        <w:rPr>
          <w:rtl/>
        </w:rPr>
        <w:t>שער הכוונות</w:t>
      </w:r>
      <w:r w:rsidRPr="002F0CA3">
        <w:rPr>
          <w:rFonts w:hint="cs"/>
          <w:rtl/>
        </w:rPr>
        <w:t>'</w:t>
      </w:r>
      <w:r w:rsidRPr="002F0CA3">
        <w:rPr>
          <w:rtl/>
        </w:rPr>
        <w:t xml:space="preserve"> (כי דברי תורה עניים במקום אחד ועשירים במקום אחר)</w:t>
      </w:r>
      <w:r w:rsidRPr="002F0CA3">
        <w:rPr>
          <w:rFonts w:hint="cs"/>
          <w:rtl/>
        </w:rPr>
        <w:t>.</w:t>
      </w:r>
    </w:p>
    <w:p w:rsidR="002F0CA3" w:rsidRPr="002F0CA3" w:rsidRDefault="002F0CA3" w:rsidP="002F0CA3">
      <w:pPr>
        <w:pStyle w:val="a3"/>
        <w:rPr>
          <w:rtl/>
        </w:rPr>
      </w:pPr>
      <w:r w:rsidRPr="002F0CA3">
        <w:rPr>
          <w:rFonts w:hint="cs"/>
          <w:rtl/>
        </w:rPr>
        <w:t>עוד טענה בפי ה'חוקרים' הללו: ש"</w:t>
      </w:r>
      <w:r w:rsidRPr="002F0CA3">
        <w:rPr>
          <w:rtl/>
        </w:rPr>
        <w:t xml:space="preserve">אתם מתעלמים גם מאחת מטענות הגדולות - לא יתכן כלל וכלל שהאר"י רצה לעקור את דברי תורה חז"ל בתנ"ך בש"ס משניות בבלי וירושלמי זוהר ומדרשים שו"ע ופוסקים [אם אתם רוצים - אביא עשרות ומאות מראי מקום ע"ז] וכל דברי הגאונים ראשונים ואחרונים פוסקים וכל גדולי הדורות בענין העצב והתענית שיש לנהוג בו בזמן פטירת צדיקים - באיזכור של מילה אחת "יום שמועתינו" לפי פירושכם, וודאי שאנו איננו יכולים לנהוג מנהגי שמחה ביום פטירה ע"פ ס"ס של גירסא בפע"ח </w:t>
      </w:r>
      <w:r w:rsidRPr="002F0CA3">
        <w:rPr>
          <w:rFonts w:hint="cs"/>
          <w:rtl/>
        </w:rPr>
        <w:t xml:space="preserve">. . </w:t>
      </w:r>
      <w:r w:rsidRPr="002F0CA3">
        <w:rPr>
          <w:rtl/>
        </w:rPr>
        <w:t>לכזו עקירה של דעת חז"ל - צריך היה רבי חיים ויטאל לכתוב שבע עמודים של הסבר, ולא מילה אחת המוטלת בס"ס גדול. כל דברי שאינו בהכרח יום פטירה - אינם אלא יישוב מנהג ישראל ויישוב תמיהות החת"ס והשואל ומשיב</w:t>
      </w:r>
      <w:r w:rsidRPr="002F0CA3">
        <w:rPr>
          <w:rFonts w:hint="cs"/>
          <w:rtl/>
        </w:rPr>
        <w:t>"</w:t>
      </w:r>
      <w:r w:rsidRPr="002F0CA3">
        <w:rPr>
          <w:rtl/>
        </w:rPr>
        <w:t xml:space="preserve">. </w:t>
      </w:r>
    </w:p>
    <w:p w:rsidR="002F0CA3" w:rsidRPr="002F0CA3" w:rsidRDefault="002F0CA3" w:rsidP="002F0CA3">
      <w:pPr>
        <w:pStyle w:val="a3"/>
        <w:rPr>
          <w:rtl/>
        </w:rPr>
      </w:pPr>
      <w:r w:rsidRPr="002F0CA3">
        <w:rPr>
          <w:rFonts w:hint="cs"/>
          <w:rtl/>
        </w:rPr>
        <w:t xml:space="preserve">ראשית </w:t>
      </w:r>
      <w:r w:rsidRPr="002F0CA3">
        <w:rPr>
          <w:rtl/>
        </w:rPr>
        <w:t>תמוה</w:t>
      </w:r>
      <w:r w:rsidRPr="002F0CA3">
        <w:rPr>
          <w:rFonts w:hint="cs"/>
          <w:rtl/>
        </w:rPr>
        <w:t xml:space="preserve"> ביותר</w:t>
      </w:r>
      <w:r w:rsidRPr="002F0CA3">
        <w:rPr>
          <w:rtl/>
        </w:rPr>
        <w:t xml:space="preserve">, אם הח"ס והשו"מ קבעו של"ג בעומר הוא יום פטירתו, איך ניתן "להזיז" את זה </w:t>
      </w:r>
      <w:r w:rsidRPr="002F0CA3">
        <w:rPr>
          <w:rFonts w:hint="cs"/>
          <w:rtl/>
        </w:rPr>
        <w:t>(מפני קושיא) ל</w:t>
      </w:r>
      <w:r w:rsidRPr="002F0CA3">
        <w:rPr>
          <w:rtl/>
        </w:rPr>
        <w:t>תאריך אחר? מה זה? משחק דומינו?</w:t>
      </w:r>
    </w:p>
    <w:p w:rsidR="002F0CA3" w:rsidRPr="002F0CA3" w:rsidRDefault="002F0CA3" w:rsidP="002F0CA3">
      <w:pPr>
        <w:pStyle w:val="a3"/>
        <w:rPr>
          <w:rtl/>
        </w:rPr>
      </w:pPr>
      <w:r w:rsidRPr="002F0CA3">
        <w:rPr>
          <w:rFonts w:hint="cs"/>
          <w:rtl/>
        </w:rPr>
        <w:t xml:space="preserve">ולפי האמת </w:t>
      </w:r>
      <w:r w:rsidRPr="002F0CA3">
        <w:rPr>
          <w:rtl/>
        </w:rPr>
        <w:t xml:space="preserve">אין כאן שום עקירה מדברי תורה ח"ו, </w:t>
      </w:r>
      <w:r w:rsidRPr="002F0CA3">
        <w:rPr>
          <w:rFonts w:hint="cs"/>
          <w:rtl/>
        </w:rPr>
        <w:t>דאיתא ב</w:t>
      </w:r>
      <w:r w:rsidRPr="002F0CA3">
        <w:rPr>
          <w:rtl/>
        </w:rPr>
        <w:t xml:space="preserve">שו"ע יו"ד סי' שד"מ ס"י: "מי שצוה שלא יספדוהו, שומעין לו" ומוסיף הרמ"א בהג"ה: "אבל אם צוה שלא לנהוג עליו ז' וגזרת שלשים אין שומעין לו". ובש"ך שם ס"ק ט: "אבל ציום האב ואם שלא לנהוג בהם י"ב חדש . . מצוה לקיים דבריהם. עי' באה"ט. ובפ"ת שם סק"ב </w:t>
      </w:r>
      <w:r w:rsidRPr="002F0CA3">
        <w:rPr>
          <w:rFonts w:hint="cs"/>
          <w:rtl/>
        </w:rPr>
        <w:t>ש</w:t>
      </w:r>
      <w:r w:rsidRPr="002F0CA3">
        <w:rPr>
          <w:rtl/>
        </w:rPr>
        <w:t>מביא מה</w:t>
      </w:r>
      <w:r w:rsidRPr="002F0CA3">
        <w:rPr>
          <w:rFonts w:hint="cs"/>
          <w:rtl/>
        </w:rPr>
        <w:t>'</w:t>
      </w:r>
      <w:r w:rsidRPr="002F0CA3">
        <w:rPr>
          <w:rtl/>
        </w:rPr>
        <w:t>שבות יעקב</w:t>
      </w:r>
      <w:r w:rsidRPr="002F0CA3">
        <w:rPr>
          <w:rFonts w:hint="cs"/>
          <w:rtl/>
        </w:rPr>
        <w:t>'</w:t>
      </w:r>
      <w:r w:rsidRPr="002F0CA3">
        <w:rPr>
          <w:rtl/>
        </w:rPr>
        <w:t xml:space="preserve"> דה"ה לענין אבילות שבעה וקריעה שומעין לו, שלא כהרמ"א. - והשתא מכיון שרשב"י צוה לשמוח בו [אדרא זוטא ופע"ח 3 כת"י]</w:t>
      </w:r>
      <w:r w:rsidRPr="002F0CA3">
        <w:rPr>
          <w:rFonts w:hint="cs"/>
          <w:rtl/>
        </w:rPr>
        <w:t>, א"כ</w:t>
      </w:r>
      <w:r w:rsidRPr="002F0CA3">
        <w:rPr>
          <w:rtl/>
        </w:rPr>
        <w:t xml:space="preserve"> פשוט דהדין הוא דשומעין לו.</w:t>
      </w:r>
    </w:p>
    <w:p w:rsidR="002F0CA3" w:rsidRPr="002F0CA3" w:rsidRDefault="002F0CA3" w:rsidP="002F0CA3">
      <w:pPr>
        <w:pStyle w:val="a3"/>
        <w:rPr>
          <w:rtl/>
        </w:rPr>
      </w:pPr>
      <w:r w:rsidRPr="002F0CA3">
        <w:rPr>
          <w:rtl/>
        </w:rPr>
        <w:t xml:space="preserve">והשתא </w:t>
      </w:r>
      <w:r w:rsidRPr="002F0CA3">
        <w:rPr>
          <w:rFonts w:hint="cs"/>
          <w:rtl/>
        </w:rPr>
        <w:t>ש</w:t>
      </w:r>
      <w:r w:rsidRPr="002F0CA3">
        <w:rPr>
          <w:rtl/>
        </w:rPr>
        <w:t>הרח"ו כותב מה ששומע מרבו האריז"ל שאמר לו רשב"י שקבור שם אומר לו: "כי למה אומר נחם ביום שמועתינו", והרי אלו הם דברי רשב"י, ולא דברי האר"י והרח"ו! ורשב"י לשיטתיה שס"ל שיש לשמוח ביום פטירתו, אז מה אתם רוצים לדרוש ממנו ש"לכזו עקירה של דעת חז"ל - צריך היה רבי חיים ויטאל לכתוב שבע עמודים של הסבר, ולא מילה אחת המוטלת בס"ס גדול". והרי אצל רשב"י לא היה שום ספק בדבר, ולכן איזכור של מילה אחת "יום שמועתינו" די והותר בשבילו, ומיותר לגמרי לרשב"י לכתוב שבע עמודים של הסבר. וגם אין כאן שום עקירת תורה ח"ו כ</w:t>
      </w:r>
      <w:r w:rsidRPr="002F0CA3">
        <w:rPr>
          <w:rFonts w:hint="cs"/>
          <w:rtl/>
        </w:rPr>
        <w:t xml:space="preserve">דלעיל </w:t>
      </w:r>
      <w:r w:rsidRPr="002F0CA3">
        <w:rPr>
          <w:rtl/>
        </w:rPr>
        <w:t>מש"ך יו"ד סי' שדמ סק"ט</w:t>
      </w:r>
      <w:r w:rsidRPr="002F0CA3">
        <w:rPr>
          <w:rFonts w:hint="cs"/>
          <w:rtl/>
        </w:rPr>
        <w:t xml:space="preserve"> וכו'</w:t>
      </w:r>
      <w:r w:rsidRPr="002F0CA3">
        <w:rPr>
          <w:rtl/>
        </w:rPr>
        <w:t xml:space="preserve">, דאם ביקש </w:t>
      </w:r>
      <w:r w:rsidRPr="002F0CA3">
        <w:rPr>
          <w:rtl/>
        </w:rPr>
        <w:lastRenderedPageBreak/>
        <w:t>לשמוח דשומעין לו ע"פ דין שו"ע.</w:t>
      </w:r>
    </w:p>
    <w:p w:rsidR="002F0CA3" w:rsidRPr="009B6E90" w:rsidRDefault="002F0CA3" w:rsidP="002F0CA3">
      <w:pPr>
        <w:pStyle w:val="a3"/>
        <w:rPr>
          <w:rtl/>
        </w:rPr>
      </w:pPr>
      <w:r w:rsidRPr="009B6E90">
        <w:rPr>
          <w:rtl/>
        </w:rPr>
        <w:t xml:space="preserve">בספר </w:t>
      </w:r>
      <w:r w:rsidRPr="00C044D8">
        <w:rPr>
          <w:b/>
          <w:bCs/>
          <w:rtl/>
        </w:rPr>
        <w:t>'מנהגי החיד"א' [ה' חלקים - ע"י מכון 'משנת חכמים' ירושלים] -</w:t>
      </w:r>
      <w:r w:rsidRPr="009B6E90">
        <w:rPr>
          <w:rtl/>
        </w:rPr>
        <w:t xml:space="preserve"> או"ח ח"ב (עמ' לח-ט) נאמר: "יום ל"ג לעומר מרבים בשמחה לכבוד רשב"י זיע"א, כי הוא יומא דהילולא דיליה".</w:t>
      </w:r>
    </w:p>
    <w:p w:rsidR="002F0CA3" w:rsidRPr="00C044D8" w:rsidRDefault="002F0CA3" w:rsidP="002F0CA3">
      <w:pPr>
        <w:pStyle w:val="a3"/>
        <w:rPr>
          <w:b/>
          <w:bCs/>
          <w:rtl/>
        </w:rPr>
      </w:pPr>
      <w:r w:rsidRPr="009B6E90">
        <w:rPr>
          <w:rtl/>
        </w:rPr>
        <w:t xml:space="preserve">ובהערה ג שם כתב: </w:t>
      </w:r>
      <w:r w:rsidRPr="00C044D8">
        <w:rPr>
          <w:b/>
          <w:bCs/>
          <w:rtl/>
        </w:rPr>
        <w:t>"מורה באצבע אות רכ"ג, וברכי יוסף סי' תצ"ג סק"ד. ונקט הכא רבינו במורה באצבע דיום פטירת רשב"י ע"ה שהוא יומא דהילולא הוא ביום ל"ג לעומר. הגם שבמקומות אחרים בספריו כתב בזה דברים מעורבבים, ונראה דס"ל דזהו עיקר טעם השמחה ביום ל"ג לעומר, דהיינו משום דהוא יומא דהילולא דיליה"</w:t>
      </w:r>
      <w:r w:rsidRPr="00C044D8">
        <w:rPr>
          <w:b/>
          <w:bCs/>
        </w:rPr>
        <w:t>.</w:t>
      </w:r>
    </w:p>
    <w:p w:rsidR="002F0CA3" w:rsidRPr="009B6E90" w:rsidRDefault="002F0CA3" w:rsidP="002F0CA3">
      <w:pPr>
        <w:spacing w:line="240" w:lineRule="auto"/>
        <w:ind w:firstLine="720"/>
        <w:jc w:val="center"/>
        <w:rPr>
          <w:rFonts w:asciiTheme="minorBidi" w:hAnsiTheme="minorBidi" w:cs="Arial"/>
        </w:rPr>
      </w:pPr>
      <w:r w:rsidRPr="006E31A6">
        <w:rPr>
          <w:rFonts w:ascii="Nymphette" w:eastAsia="Times New Roman" w:hAnsi="Nymphette" w:cs="Nymphette"/>
          <w:sz w:val="44"/>
          <w:szCs w:val="44"/>
        </w:rPr>
        <w:t>g</w:t>
      </w:r>
    </w:p>
    <w:p w:rsidR="005D1881" w:rsidRDefault="005D1881" w:rsidP="005D1881">
      <w:pPr>
        <w:pStyle w:val="a0"/>
        <w:rPr>
          <w:rFonts w:eastAsia="David Libre"/>
        </w:rPr>
      </w:pPr>
      <w:bookmarkStart w:id="186" w:name="_Toc39817479"/>
      <w:r>
        <w:rPr>
          <w:rFonts w:eastAsia="David Libre"/>
          <w:rtl/>
        </w:rPr>
        <w:t>תפוח שאכל אדה"ר</w:t>
      </w:r>
      <w:bookmarkEnd w:id="186"/>
    </w:p>
    <w:p w:rsidR="005D1881" w:rsidRPr="00AC425E" w:rsidRDefault="005D1881" w:rsidP="00C93F24">
      <w:pPr>
        <w:pStyle w:val="a"/>
        <w:rPr>
          <w:rtl/>
        </w:rPr>
      </w:pPr>
      <w:bookmarkStart w:id="187" w:name="_Toc39817480"/>
      <w:r w:rsidRPr="00AC425E">
        <w:rPr>
          <w:rtl/>
        </w:rPr>
        <w:t>הרב מרדכי דובער ווילהעלם</w:t>
      </w:r>
      <w:bookmarkEnd w:id="187"/>
      <w:r w:rsidRPr="00AC425E">
        <w:rPr>
          <w:rtl/>
        </w:rPr>
        <w:t xml:space="preserve"> </w:t>
      </w:r>
    </w:p>
    <w:p w:rsidR="005D1881" w:rsidRPr="00C60FEE" w:rsidRDefault="005D1881" w:rsidP="005D1881">
      <w:pPr>
        <w:pStyle w:val="a1"/>
        <w:rPr>
          <w:rtl/>
        </w:rPr>
      </w:pPr>
      <w:r>
        <w:rPr>
          <w:rtl/>
        </w:rPr>
        <w:t>ר"מ במתיבתא לויבאוויטש, טאראנטא</w:t>
      </w:r>
    </w:p>
    <w:p w:rsidR="005D1881" w:rsidRPr="00E533D1" w:rsidRDefault="005D1881" w:rsidP="00E533D1">
      <w:pPr>
        <w:pStyle w:val="a3"/>
      </w:pPr>
      <w:r w:rsidRPr="00E533D1">
        <w:rPr>
          <w:rtl/>
        </w:rPr>
        <w:t>בספר המאמרים תש"ג סוף עמוד 150 כתוב "וכמו תפוח הרוחני שאכל אדה"ר כשלא הי' עדיין גוף גשמי וחומרי"</w:t>
      </w:r>
      <w:r w:rsidR="00E533D1" w:rsidRPr="00E533D1">
        <w:rPr>
          <w:vertAlign w:val="superscript"/>
        </w:rPr>
        <w:footnoteReference w:id="85"/>
      </w:r>
      <w:r w:rsidR="00E533D1" w:rsidRPr="00E533D1">
        <w:rPr>
          <w:vertAlign w:val="superscript"/>
        </w:rPr>
        <w:t xml:space="preserve"> </w:t>
      </w:r>
      <w:r w:rsidRPr="00E533D1">
        <w:rPr>
          <w:rtl/>
        </w:rPr>
        <w:t>.</w:t>
      </w:r>
      <w:r w:rsidRPr="00E533D1">
        <w:t xml:space="preserve"> </w:t>
      </w:r>
    </w:p>
    <w:p w:rsidR="005D1881" w:rsidRDefault="005D1881" w:rsidP="005D1881">
      <w:pPr>
        <w:pStyle w:val="a3"/>
      </w:pPr>
      <w:r>
        <w:rPr>
          <w:rtl/>
        </w:rPr>
        <w:t>ובשולי הגליון העיר ע"ז כ"ק אדמו"ר זי"ע "כנראה הוא למ"ד עץ הדעת אתרוג הי' (ב"ר פט"ו,ג.) וע"פ תוד"ה פריו (שבת פח ע"א)</w:t>
      </w:r>
      <w:r>
        <w:rPr>
          <w:vertAlign w:val="superscript"/>
        </w:rPr>
        <w:footnoteReference w:id="86"/>
      </w:r>
      <w:r>
        <w:rPr>
          <w:rtl/>
        </w:rPr>
        <w:t>. ועצ"ע.</w:t>
      </w:r>
    </w:p>
    <w:p w:rsidR="005D1881" w:rsidRDefault="005D1881" w:rsidP="005D1881">
      <w:pPr>
        <w:pStyle w:val="a3"/>
      </w:pPr>
      <w:r>
        <w:rPr>
          <w:rtl/>
        </w:rPr>
        <w:t>ואולי יש לומר ע"ד הרמז תפוח הוא סימן להא דאיתא בברכות מ' ע"א "תניא אילן שאכל ממנו אדם הראשון רבי מאיר אומר ג</w:t>
      </w:r>
      <w:r>
        <w:rPr>
          <w:b/>
          <w:rtl/>
        </w:rPr>
        <w:t>פ</w:t>
      </w:r>
      <w:r>
        <w:rPr>
          <w:rtl/>
        </w:rPr>
        <w:t xml:space="preserve">ן היה . . רבי נחמיה אומר </w:t>
      </w:r>
      <w:r>
        <w:rPr>
          <w:b/>
          <w:rtl/>
        </w:rPr>
        <w:t>ת</w:t>
      </w:r>
      <w:r>
        <w:rPr>
          <w:rtl/>
        </w:rPr>
        <w:t xml:space="preserve">אנה היתה . . ר"י אומר </w:t>
      </w:r>
      <w:r>
        <w:rPr>
          <w:b/>
          <w:rtl/>
        </w:rPr>
        <w:t>ח</w:t>
      </w:r>
      <w:r>
        <w:rPr>
          <w:rtl/>
        </w:rPr>
        <w:t xml:space="preserve">טה היתה" </w:t>
      </w:r>
      <w:r>
        <w:rPr>
          <w:b/>
          <w:rtl/>
        </w:rPr>
        <w:t>ת</w:t>
      </w:r>
      <w:r>
        <w:rPr>
          <w:rtl/>
        </w:rPr>
        <w:t>אנה</w:t>
      </w:r>
      <w:r>
        <w:rPr>
          <w:vertAlign w:val="superscript"/>
        </w:rPr>
        <w:footnoteReference w:id="87"/>
      </w:r>
      <w:r>
        <w:rPr>
          <w:rtl/>
        </w:rPr>
        <w:t xml:space="preserve"> ג</w:t>
      </w:r>
      <w:r>
        <w:rPr>
          <w:b/>
          <w:rtl/>
        </w:rPr>
        <w:t>פ</w:t>
      </w:r>
      <w:r>
        <w:rPr>
          <w:rtl/>
        </w:rPr>
        <w:t>ן</w:t>
      </w:r>
      <w:r>
        <w:rPr>
          <w:vertAlign w:val="superscript"/>
        </w:rPr>
        <w:footnoteReference w:id="88"/>
      </w:r>
      <w:r>
        <w:t xml:space="preserve"> </w:t>
      </w:r>
      <w:r>
        <w:rPr>
          <w:b/>
          <w:rtl/>
        </w:rPr>
        <w:t>ח</w:t>
      </w:r>
      <w:r>
        <w:rPr>
          <w:rtl/>
        </w:rPr>
        <w:t>טה</w:t>
      </w:r>
      <w:r>
        <w:rPr>
          <w:vertAlign w:val="superscript"/>
        </w:rPr>
        <w:footnoteReference w:id="89"/>
      </w:r>
      <w:r>
        <w:rPr>
          <w:rtl/>
        </w:rPr>
        <w:t xml:space="preserve"> [=תפו"ח] ויומתק יותר ע"פ מ"ש בזהר חדש בתיקונים</w:t>
      </w:r>
      <w:r>
        <w:rPr>
          <w:vertAlign w:val="superscript"/>
        </w:rPr>
        <w:footnoteReference w:id="90"/>
      </w:r>
      <w:r>
        <w:rPr>
          <w:rtl/>
        </w:rPr>
        <w:t xml:space="preserve"> (קז ע"א) "אמרי רבנן דמתני' אילן שאכל אדה"ר חטה ואחרנין אמרין גפן הוה ואחרנין אמרין תאנה היתה ולא הוו חולקין במילולייהו דכלא קשט". </w:t>
      </w:r>
    </w:p>
    <w:p w:rsidR="002F0CA3" w:rsidRPr="00C9794D" w:rsidRDefault="002F0CA3" w:rsidP="002F0CA3">
      <w:pPr>
        <w:pStyle w:val="a0"/>
        <w:bidi w:val="0"/>
        <w:rPr>
          <w:rtl/>
        </w:rPr>
      </w:pPr>
      <w:bookmarkStart w:id="188" w:name="_Toc39817481"/>
      <w:r w:rsidRPr="00C9794D">
        <w:rPr>
          <w:rFonts w:hint="cs"/>
          <w:rtl/>
        </w:rPr>
        <w:lastRenderedPageBreak/>
        <w:t xml:space="preserve">בירור בחיי </w:t>
      </w:r>
      <w:r>
        <w:rPr>
          <w:rFonts w:hint="cs"/>
          <w:rtl/>
        </w:rPr>
        <w:t xml:space="preserve">החסיד </w:t>
      </w:r>
      <w:r w:rsidRPr="00C9794D">
        <w:rPr>
          <w:rFonts w:hint="cs"/>
          <w:rtl/>
        </w:rPr>
        <w:t>ר' שמואל מונקעס</w:t>
      </w:r>
      <w:bookmarkEnd w:id="188"/>
    </w:p>
    <w:p w:rsidR="002F0CA3" w:rsidRDefault="002F0CA3" w:rsidP="00C93F24">
      <w:pPr>
        <w:pStyle w:val="a"/>
        <w:rPr>
          <w:rtl/>
        </w:rPr>
      </w:pPr>
      <w:bookmarkStart w:id="189" w:name="_Toc39817482"/>
      <w:r>
        <w:rPr>
          <w:rFonts w:hint="cs"/>
          <w:rtl/>
        </w:rPr>
        <w:t>הת' אשר זך</w:t>
      </w:r>
      <w:bookmarkEnd w:id="189"/>
    </w:p>
    <w:p w:rsidR="002F0CA3" w:rsidRPr="002F0CA3" w:rsidRDefault="002F0CA3" w:rsidP="002F0CA3">
      <w:pPr>
        <w:pStyle w:val="a1"/>
        <w:rPr>
          <w:rtl/>
          <w:lang w:val="en-GB"/>
        </w:rPr>
      </w:pPr>
      <w:r>
        <w:rPr>
          <w:rtl/>
          <w:lang w:val="en-GB"/>
        </w:rPr>
        <w:t>תל אביב, אה</w:t>
      </w:r>
      <w:r>
        <w:rPr>
          <w:rFonts w:hint="cs"/>
          <w:rtl/>
          <w:lang w:val="en-GB"/>
        </w:rPr>
        <w:t>"ק</w:t>
      </w:r>
    </w:p>
    <w:p w:rsidR="002F0CA3" w:rsidRDefault="002F0CA3" w:rsidP="002F0CA3">
      <w:pPr>
        <w:pStyle w:val="a3"/>
        <w:rPr>
          <w:rtl/>
        </w:rPr>
      </w:pPr>
      <w:r>
        <w:rPr>
          <w:rFonts w:hint="cs"/>
          <w:rtl/>
        </w:rPr>
        <w:t>אודות ר' שמואל מונקעס נכתב ב'בית רבי' (חלק א עז, ב), "</w:t>
      </w:r>
      <w:r w:rsidRPr="00F20A4D">
        <w:rPr>
          <w:rtl/>
        </w:rPr>
        <w:t xml:space="preserve">הרב החסיד המפורסם ר' שמואל זלה"ה מקאליסק </w:t>
      </w:r>
      <w:r>
        <w:rPr>
          <w:rFonts w:hint="cs"/>
          <w:rtl/>
        </w:rPr>
        <w:t>. .</w:t>
      </w:r>
      <w:r w:rsidRPr="00F20A4D">
        <w:rPr>
          <w:rtl/>
        </w:rPr>
        <w:t xml:space="preserve"> היה אדם גדול מאוד, חסיד גדול </w:t>
      </w:r>
      <w:r>
        <w:rPr>
          <w:rFonts w:hint="cs"/>
          <w:rtl/>
        </w:rPr>
        <w:t>וערום</w:t>
      </w:r>
      <w:r w:rsidRPr="00F20A4D">
        <w:rPr>
          <w:rtl/>
        </w:rPr>
        <w:t xml:space="preserve"> ביראה, והיה חשוב מאוד אצל רבנו</w:t>
      </w:r>
      <w:r>
        <w:rPr>
          <w:rFonts w:hint="cs"/>
          <w:rtl/>
        </w:rPr>
        <w:t>".</w:t>
      </w:r>
    </w:p>
    <w:p w:rsidR="002F0CA3" w:rsidRDefault="002F0CA3" w:rsidP="002F0CA3">
      <w:pPr>
        <w:pStyle w:val="a3"/>
        <w:rPr>
          <w:rtl/>
        </w:rPr>
      </w:pPr>
      <w:r>
        <w:rPr>
          <w:rFonts w:hint="cs"/>
          <w:rtl/>
        </w:rPr>
        <w:t>יש סיפורים רבים מפוזרים אודות ר' שמואל מונקעס אשר קובצו במספר רשימות: (א) ישראל אלפנביין, חסידים הראשונים, רמלה(?) תשס"ה, א, עמ' 67-76; (ב) אליהו יוחנן גוראריה, תולדות שמואל מונקעס, כפר חב"ד תשע"א; (ג) זאב גינוסר [=ש.ה.], סודם של חסידים, תל אביב תשע"א, עמ' 27-40.</w:t>
      </w:r>
    </w:p>
    <w:p w:rsidR="002F0CA3" w:rsidRDefault="002F0CA3" w:rsidP="002F0CA3">
      <w:pPr>
        <w:pStyle w:val="a3"/>
        <w:rPr>
          <w:rtl/>
        </w:rPr>
      </w:pPr>
      <w:r>
        <w:rPr>
          <w:rFonts w:hint="cs"/>
          <w:rtl/>
        </w:rPr>
        <w:t>מהסיפורים עולה כי הוא התקרב לחסידות באמצע שנות ה'תק"מ. נקודה זו עולה מצירוף כמה מקורות, ואלו הם:</w:t>
      </w:r>
    </w:p>
    <w:p w:rsidR="002F0CA3" w:rsidRDefault="002F0CA3" w:rsidP="002F0CA3">
      <w:pPr>
        <w:pStyle w:val="a3"/>
        <w:rPr>
          <w:rtl/>
        </w:rPr>
      </w:pPr>
      <w:r>
        <w:rPr>
          <w:rFonts w:hint="cs"/>
          <w:rtl/>
        </w:rPr>
        <w:t>א) בואו לאדמו"ר הזקן היה בעת שכבר התיישב בליאזנא</w:t>
      </w:r>
      <w:r>
        <w:rPr>
          <w:rStyle w:val="FootnoteReference"/>
          <w:rtl/>
        </w:rPr>
        <w:footnoteReference w:id="91"/>
      </w:r>
      <w:r>
        <w:rPr>
          <w:rFonts w:hint="cs"/>
          <w:rtl/>
        </w:rPr>
        <w:t>. היות שאדמו"ר הזקן התיישב בליאזנא רק אחר שנת תקמ"ג</w:t>
      </w:r>
      <w:r>
        <w:rPr>
          <w:rStyle w:val="FootnoteReference"/>
          <w:rtl/>
        </w:rPr>
        <w:footnoteReference w:id="92"/>
      </w:r>
      <w:r>
        <w:rPr>
          <w:rFonts w:hint="cs"/>
          <w:rtl/>
        </w:rPr>
        <w:t>.</w:t>
      </w:r>
    </w:p>
    <w:p w:rsidR="002F0CA3" w:rsidRDefault="002F0CA3" w:rsidP="002F0CA3">
      <w:pPr>
        <w:pStyle w:val="a3"/>
        <w:rPr>
          <w:rtl/>
        </w:rPr>
      </w:pPr>
      <w:r>
        <w:rPr>
          <w:rFonts w:hint="cs"/>
          <w:rtl/>
        </w:rPr>
        <w:t>ב) הרבי הריי"צ סיפר</w:t>
      </w:r>
      <w:r>
        <w:rPr>
          <w:rStyle w:val="FootnoteReference"/>
          <w:rtl/>
        </w:rPr>
        <w:footnoteReference w:id="93"/>
      </w:r>
      <w:r>
        <w:rPr>
          <w:rFonts w:hint="cs"/>
          <w:rtl/>
        </w:rPr>
        <w:t xml:space="preserve"> כי הוא היה משתעשע עם אדמו"ר האמצעי. היות שאדמו"ר האמצעי נולד בשנת תקל"ד והתחתן בהיותו בגיל 14 בשנת תקמ"ח, הרי שטווח השנים מצטמצם לשנים תקמ"ד-תקמ"ז.</w:t>
      </w:r>
    </w:p>
    <w:p w:rsidR="002F0CA3" w:rsidRDefault="002F0CA3" w:rsidP="002F0CA3">
      <w:pPr>
        <w:pStyle w:val="a3"/>
        <w:rPr>
          <w:rtl/>
        </w:rPr>
      </w:pPr>
      <w:r>
        <w:rPr>
          <w:rFonts w:hint="cs"/>
          <w:rtl/>
        </w:rPr>
        <w:t>ג) במקום אחר</w:t>
      </w:r>
      <w:r>
        <w:rPr>
          <w:rStyle w:val="FootnoteReference"/>
          <w:rtl/>
        </w:rPr>
        <w:footnoteReference w:id="94"/>
      </w:r>
      <w:r>
        <w:rPr>
          <w:rFonts w:hint="cs"/>
          <w:rtl/>
        </w:rPr>
        <w:t xml:space="preserve"> מתוארת אפיזודה בה נכח אצל אדמו"ר הזקן בליאזנא, בשלהי סיון תקמ"ה.</w:t>
      </w:r>
    </w:p>
    <w:p w:rsidR="002F0CA3" w:rsidRDefault="002F0CA3" w:rsidP="002F0CA3">
      <w:pPr>
        <w:pStyle w:val="a3"/>
        <w:rPr>
          <w:rtl/>
        </w:rPr>
      </w:pPr>
      <w:r>
        <w:rPr>
          <w:rFonts w:hint="cs"/>
          <w:rtl/>
        </w:rPr>
        <w:t>סביר להניח שהגיע לליאזנא בשנות העשרים לחייו,</w:t>
      </w:r>
      <w:r w:rsidRPr="009B1876">
        <w:rPr>
          <w:rFonts w:hint="cs"/>
          <w:rtl/>
        </w:rPr>
        <w:t xml:space="preserve"> </w:t>
      </w:r>
      <w:r>
        <w:rPr>
          <w:rFonts w:hint="cs"/>
          <w:rtl/>
        </w:rPr>
        <w:t>לכל הפחות. וא"כ נולד לכל המאוחר בראשית שנות ה'תק"כ.</w:t>
      </w:r>
    </w:p>
    <w:p w:rsidR="002F0CA3" w:rsidRDefault="002F0CA3" w:rsidP="002F0CA3">
      <w:pPr>
        <w:pStyle w:val="a3"/>
        <w:rPr>
          <w:rtl/>
        </w:rPr>
      </w:pPr>
      <w:r>
        <w:rPr>
          <w:rFonts w:hint="cs"/>
          <w:rtl/>
        </w:rPr>
        <w:t>וע"פ מכתב הרבי הריי"צ מט' אייר תש"ד</w:t>
      </w:r>
      <w:r>
        <w:rPr>
          <w:rStyle w:val="FootnoteReference"/>
          <w:rtl/>
        </w:rPr>
        <w:footnoteReference w:id="95"/>
      </w:r>
      <w:r>
        <w:rPr>
          <w:rFonts w:hint="cs"/>
          <w:rtl/>
        </w:rPr>
        <w:t xml:space="preserve"> נראה שיש לתארך את שנת לידתו בסמיכות לתקי"ח, שכן מספר שם אודות החסיד ר' שאול שלום הכהן מהורודוק, ממחונכי הר"ר מנחם </w:t>
      </w:r>
      <w:r>
        <w:rPr>
          <w:rFonts w:hint="cs"/>
          <w:rtl/>
        </w:rPr>
        <w:lastRenderedPageBreak/>
        <w:t xml:space="preserve">מענדל מויטבסק, בעל "פרי הארץ", אשר </w:t>
      </w:r>
      <w:r w:rsidRPr="00987211">
        <w:rPr>
          <w:rtl/>
        </w:rPr>
        <w:t>"בשנת תר"ח נתמלאו להחסיד רש"ש תשעים שנה"</w:t>
      </w:r>
      <w:r>
        <w:rPr>
          <w:rFonts w:hint="cs"/>
          <w:rtl/>
        </w:rPr>
        <w:t>, ומוסיף שם שגם בגיל זה היה מרקד</w:t>
      </w:r>
      <w:r w:rsidRPr="00987211">
        <w:rPr>
          <w:rtl/>
        </w:rPr>
        <w:t xml:space="preserve"> "</w:t>
      </w:r>
      <w:r w:rsidRPr="002E1395">
        <w:rPr>
          <w:rtl/>
        </w:rPr>
        <w:t>כרגילותו בימי עלומיו עם</w:t>
      </w:r>
      <w:r>
        <w:rPr>
          <w:rFonts w:hint="cs"/>
          <w:rtl/>
        </w:rPr>
        <w:t xml:space="preserve"> </w:t>
      </w:r>
      <w:r w:rsidRPr="00987211">
        <w:rPr>
          <w:rtl/>
        </w:rPr>
        <w:t>בן גילו החסיד ר' שמואל מונקעס"</w:t>
      </w:r>
      <w:r>
        <w:rPr>
          <w:rFonts w:hint="cs"/>
          <w:rtl/>
        </w:rPr>
        <w:t>.</w:t>
      </w:r>
    </w:p>
    <w:p w:rsidR="002F0CA3" w:rsidRDefault="002F0CA3" w:rsidP="002F0CA3">
      <w:pPr>
        <w:pStyle w:val="a3"/>
        <w:rPr>
          <w:rtl/>
        </w:rPr>
      </w:pPr>
      <w:r>
        <w:rPr>
          <w:rFonts w:hint="cs"/>
          <w:rtl/>
        </w:rPr>
        <w:t>ואם אין לדייק מזה שנולד בתקי"ח ממש, הרי שעדיין יש להסיק כי לפי המסורת שבפי הרבי הריי"צ ר' שמואל מונקעס נולד בערך בשנת תק"כ.</w:t>
      </w:r>
    </w:p>
    <w:p w:rsidR="002F0CA3" w:rsidRDefault="002F0CA3" w:rsidP="002F0CA3">
      <w:pPr>
        <w:pStyle w:val="a3"/>
        <w:rPr>
          <w:rtl/>
        </w:rPr>
      </w:pPr>
      <w:r>
        <w:rPr>
          <w:rFonts w:hint="cs"/>
          <w:rtl/>
        </w:rPr>
        <w:t>לעניין תקופת חייו האחרונה אין מקורות מחודדים בנושא זה. הרב אליהו יוחנן גוראריה כתב בספרו הנ"ל (עמ' 46), "ידוע ש[הרבי מהר"ש] הי' שטיפער [=שובב] גדול בהיותו ילד, ופעם קפץ על החסיד ר' שמואל מונקעס ואמר: אני שמואל א' והוא שמואל ב'. לפי סיפור זה אשר סופר על ידי הרב מנחם זאב גרינגלאס ע"ה הרי שר' שמואל מונקעס האריך ימים ולפחות חי שמונים שנה, שהרי היה מראשוני החסידים של אדמוה"ז וחי עד תקופת ילדות אדמו"ר המהר"ש. מאידך יש לציין כי סיפורים ומסמכים אודותו מצויים אך ורק בתקופת אדמוה"ז".</w:t>
      </w:r>
    </w:p>
    <w:p w:rsidR="002F0CA3" w:rsidRDefault="002F0CA3" w:rsidP="002F0CA3">
      <w:pPr>
        <w:pStyle w:val="a3"/>
        <w:rPr>
          <w:rtl/>
        </w:rPr>
      </w:pPr>
      <w:r>
        <w:rPr>
          <w:rFonts w:hint="cs"/>
          <w:rtl/>
        </w:rPr>
        <w:t>ויש להעיר, כי יש סיפורים אודותו המתייחס לתקופה מאוחרת יותר מתקופת אדמו"ר הזקן, אשר על פיהם נראה שחי בשנות ה'תק"פ. סיפורים אלו מתייחסים לשהותו בבישנקוביץ', בעת היות שם הרב פרץ חן.</w:t>
      </w:r>
      <w:r>
        <w:rPr>
          <w:rStyle w:val="FootnoteReference"/>
          <w:rtl/>
        </w:rPr>
        <w:footnoteReference w:id="96"/>
      </w:r>
      <w:r>
        <w:rPr>
          <w:rFonts w:hint="cs"/>
          <w:rtl/>
        </w:rPr>
        <w:t xml:space="preserve">  וא"כ יוצא שר' שמואל חי עד לאחר תחילת שנות ה'תק"פ. ייתכן שנפטר בסמוך לתקופה זו. לעצם השמועה שהובאה מפי ר' מנחם זאב גרינגלאס, מקור השמועה לא התגלה, ונראה שיש לפקפק בה מכמה טעמים, ואכ"מ.</w:t>
      </w:r>
    </w:p>
    <w:p w:rsidR="002F0CA3" w:rsidRDefault="002F0CA3" w:rsidP="002F0CA3">
      <w:pPr>
        <w:pStyle w:val="a3"/>
        <w:rPr>
          <w:rtl/>
        </w:rPr>
      </w:pPr>
      <w:r>
        <w:rPr>
          <w:rFonts w:hint="cs"/>
          <w:rtl/>
        </w:rPr>
        <w:t>ועוד יש להעיר, לעניין מקום מגוריו:</w:t>
      </w:r>
    </w:p>
    <w:p w:rsidR="002F0CA3" w:rsidRDefault="002F0CA3" w:rsidP="002F0CA3">
      <w:pPr>
        <w:pStyle w:val="a3"/>
        <w:rPr>
          <w:rtl/>
        </w:rPr>
      </w:pPr>
      <w:r>
        <w:rPr>
          <w:rFonts w:hint="cs"/>
          <w:rtl/>
        </w:rPr>
        <w:t>ב'סודם של חסידים' נכתב (עמ' 37), "בשנותיו המאוחרות של ר' שמואל הייתה העיירה בישנקוביץ' מקום מגוריו". לא הוברר לי מקור הנחה זו,</w:t>
      </w:r>
      <w:r w:rsidRPr="002E1395">
        <w:rPr>
          <w:rFonts w:hint="cs"/>
          <w:rtl/>
        </w:rPr>
        <w:t xml:space="preserve"> </w:t>
      </w:r>
      <w:r>
        <w:rPr>
          <w:rFonts w:hint="cs"/>
          <w:rtl/>
        </w:rPr>
        <w:t>אך נראה שהמחבר לא דקדק אחר הדיוק בפרטים ביוגרפיים, אלא נמשך לתאר את דמותו של ר' שמואל מנקודת מבט ספרותית משהו.</w:t>
      </w:r>
    </w:p>
    <w:p w:rsidR="002F0CA3" w:rsidRDefault="002F0CA3" w:rsidP="002F0CA3">
      <w:pPr>
        <w:pStyle w:val="a3"/>
        <w:rPr>
          <w:rtl/>
        </w:rPr>
      </w:pPr>
      <w:r>
        <w:rPr>
          <w:rFonts w:hint="cs"/>
          <w:rtl/>
        </w:rPr>
        <w:t xml:space="preserve">ר' יהושע מונדשיין כתב </w:t>
      </w:r>
      <w:r>
        <w:rPr>
          <w:rtl/>
        </w:rPr>
        <w:t>–</w:t>
      </w:r>
      <w:r>
        <w:rPr>
          <w:rFonts w:hint="cs"/>
          <w:rtl/>
        </w:rPr>
        <w:t xml:space="preserve"> בקשר למעשייה בדויה שסופרה על ר' שמואל מונקעס, בה צוין כי התגורר בבישנקוביץ' </w:t>
      </w:r>
      <w:r>
        <w:rPr>
          <w:rtl/>
        </w:rPr>
        <w:t>–</w:t>
      </w:r>
      <w:r>
        <w:rPr>
          <w:rFonts w:hint="cs"/>
          <w:rtl/>
        </w:rPr>
        <w:t xml:space="preserve"> בפרק עד מסדרת 'על ספורים וגלגוליהם' שהתפרסמה באתר שטורעם נט, ואלו דבריו: "</w:t>
      </w:r>
      <w:r>
        <w:rPr>
          <w:rtl/>
        </w:rPr>
        <w:t>ר' שמואל מונקעס היה גר בביעשנקוביץ?! הלא הוא התגורר בקאליסק ולא בביעשנקוביץ! ואם תאמר שהוא עקר את דירתו לביעשנקוביץ, כיצד זה לא הגיעה שמועה זו לאזניו של בעל ה'בית רבי' – שהיה מלעפליא הסמוכה לביעשנקוביץ – שמזכיר בספרו הנ"ל רק את קאליסק?!</w:t>
      </w:r>
      <w:r>
        <w:rPr>
          <w:rFonts w:hint="cs"/>
          <w:rtl/>
        </w:rPr>
        <w:t xml:space="preserve"> </w:t>
      </w:r>
      <w:r>
        <w:rPr>
          <w:rtl/>
        </w:rPr>
        <w:t>אדרבה! ידוע סיפור אחר על ר' שמואל שבא לביקור בביעשנקוביץ, והר"ר פרץ משם לא הכירו!</w:t>
      </w:r>
      <w:r>
        <w:rPr>
          <w:rFonts w:hint="cs"/>
          <w:rtl/>
        </w:rPr>
        <w:t>".</w:t>
      </w:r>
    </w:p>
    <w:p w:rsidR="002F0CA3" w:rsidRDefault="002F0CA3" w:rsidP="002F0CA3">
      <w:pPr>
        <w:pStyle w:val="a3"/>
        <w:rPr>
          <w:rtl/>
        </w:rPr>
      </w:pPr>
      <w:r>
        <w:rPr>
          <w:rFonts w:hint="cs"/>
          <w:rtl/>
        </w:rPr>
        <w:t xml:space="preserve">אך אין בדברים אלו כדי להפקיע ולקבוע שלא התגורר בבישנקוביץ' כלל, וייתכן </w:t>
      </w:r>
      <w:r>
        <w:rPr>
          <w:rFonts w:hint="cs"/>
          <w:rtl/>
        </w:rPr>
        <w:lastRenderedPageBreak/>
        <w:t>שפגישתו עם ר' פרץ חן הייתה עם בואו להתיישב בבישנקוביץ'. וק"ל.</w:t>
      </w:r>
    </w:p>
    <w:p w:rsidR="005D1881" w:rsidRDefault="005D1881" w:rsidP="002F0CA3">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6E31A6">
        <w:rPr>
          <w:rFonts w:ascii="Nymphette" w:eastAsia="Times New Roman" w:hAnsi="Nymphette" w:cs="Nymphette"/>
          <w:sz w:val="44"/>
          <w:szCs w:val="44"/>
        </w:rPr>
        <w:t>g</w:t>
      </w:r>
    </w:p>
    <w:p w:rsidR="002F0CA3" w:rsidRPr="007E0C58" w:rsidRDefault="002F0CA3" w:rsidP="002F0CA3">
      <w:pPr>
        <w:pStyle w:val="a0"/>
        <w:bidi w:val="0"/>
        <w:rPr>
          <w:rtl/>
        </w:rPr>
      </w:pPr>
      <w:bookmarkStart w:id="190" w:name="_Toc39817483"/>
      <w:r w:rsidRPr="007E0C58">
        <w:rPr>
          <w:rFonts w:hint="cs"/>
          <w:rtl/>
        </w:rPr>
        <w:t>כמה הערות קטנות בעניין "הרב מ</w:t>
      </w:r>
      <w:bookmarkStart w:id="191" w:name="_Hlk38742898"/>
      <w:r w:rsidRPr="007E0C58">
        <w:rPr>
          <w:rFonts w:hint="cs"/>
          <w:rtl/>
        </w:rPr>
        <w:t>ווא</w:t>
      </w:r>
      <w:r w:rsidRPr="007E0C58">
        <w:rPr>
          <w:rFonts w:asciiTheme="minorBidi" w:hAnsiTheme="minorBidi"/>
          <w:rtl/>
        </w:rPr>
        <w:t>ָ</w:t>
      </w:r>
      <w:r w:rsidRPr="007E0C58">
        <w:rPr>
          <w:rFonts w:hint="cs"/>
          <w:rtl/>
        </w:rPr>
        <w:t>לפ</w:t>
      </w:r>
      <w:r w:rsidRPr="007E0C58">
        <w:rPr>
          <w:rFonts w:asciiTheme="minorBidi" w:hAnsiTheme="minorBidi"/>
          <w:rtl/>
        </w:rPr>
        <w:t>ַ</w:t>
      </w:r>
      <w:r>
        <w:rPr>
          <w:rFonts w:asciiTheme="minorBidi" w:hAnsiTheme="minorBidi"/>
          <w:rtl/>
        </w:rPr>
        <w:t>ּ</w:t>
      </w:r>
      <w:r w:rsidRPr="007E0C58">
        <w:rPr>
          <w:rFonts w:hint="cs"/>
          <w:rtl/>
        </w:rPr>
        <w:t>א</w:t>
      </w:r>
      <w:bookmarkEnd w:id="191"/>
      <w:r w:rsidRPr="007E0C58">
        <w:rPr>
          <w:rFonts w:hint="cs"/>
          <w:rtl/>
        </w:rPr>
        <w:t>"</w:t>
      </w:r>
      <w:bookmarkEnd w:id="190"/>
    </w:p>
    <w:p w:rsidR="002F0CA3" w:rsidRDefault="002F0CA3" w:rsidP="00C93F24">
      <w:pPr>
        <w:pStyle w:val="a"/>
        <w:rPr>
          <w:rtl/>
        </w:rPr>
      </w:pPr>
      <w:bookmarkStart w:id="192" w:name="_Toc39817484"/>
      <w:r>
        <w:rPr>
          <w:rFonts w:hint="cs"/>
          <w:rtl/>
        </w:rPr>
        <w:t>הנ"ל</w:t>
      </w:r>
      <w:bookmarkEnd w:id="192"/>
    </w:p>
    <w:p w:rsidR="002F0CA3" w:rsidRDefault="002F0CA3" w:rsidP="002F0CA3">
      <w:pPr>
        <w:pStyle w:val="a3"/>
        <w:rPr>
          <w:rtl/>
        </w:rPr>
      </w:pPr>
      <w:r>
        <w:rPr>
          <w:rFonts w:hint="cs"/>
          <w:rtl/>
        </w:rPr>
        <w:t>אודות הר"ר חיים ב"ר קרפיל, תלמיד הרב המגיד ממעזריטש, נכתב בארוכה ע"י מספר כותבים, ומדברי כולם התבררו יותר תולדות חייו הנעלמים של המפורסם בכינוי הנעלם "הרב מ</w:t>
      </w:r>
      <w:r w:rsidRPr="00610F56">
        <w:rPr>
          <w:rFonts w:cs="Arial"/>
          <w:rtl/>
        </w:rPr>
        <w:t>וואָלפַּא</w:t>
      </w:r>
      <w:r>
        <w:rPr>
          <w:rFonts w:hint="cs"/>
          <w:rtl/>
        </w:rPr>
        <w:t>", ובפרטים שונים המסתעפים ממנו. אין באמתחתי חידושים של ממש, אלא רק תוספת חידוד לדברי הכותבים הקודמים אשר יצויינו להלן במקומם.</w:t>
      </w:r>
    </w:p>
    <w:p w:rsidR="002F0CA3" w:rsidRPr="002F0CA3" w:rsidRDefault="002F0CA3" w:rsidP="002F0CA3">
      <w:pPr>
        <w:pStyle w:val="a3"/>
        <w:rPr>
          <w:rtl/>
        </w:rPr>
      </w:pPr>
      <w:r>
        <w:rPr>
          <w:rFonts w:hint="cs"/>
          <w:rtl/>
        </w:rPr>
        <w:t>(א) היו שהבינו את דברי אדמו"ר הזקן באגרתו (אגרת ט</w:t>
      </w:r>
      <w:r>
        <w:rPr>
          <w:rStyle w:val="FootnoteReference"/>
          <w:rtl/>
        </w:rPr>
        <w:footnoteReference w:id="97"/>
      </w:r>
      <w:r>
        <w:rPr>
          <w:rFonts w:hint="cs"/>
          <w:rtl/>
        </w:rPr>
        <w:t xml:space="preserve">), "ואודות מה שאמר </w:t>
      </w:r>
      <w:r w:rsidRPr="00A25A79">
        <w:rPr>
          <w:rFonts w:hint="cs"/>
          <w:b/>
          <w:bCs/>
          <w:rtl/>
        </w:rPr>
        <w:t>חיים</w:t>
      </w:r>
      <w:r>
        <w:rPr>
          <w:rFonts w:hint="cs"/>
          <w:rtl/>
        </w:rPr>
        <w:t xml:space="preserve"> משמי" כמתייחסים אל הרב הנ"ל. אך ר' חיים אליעזר אשכנזי</w:t>
      </w:r>
      <w:r>
        <w:rPr>
          <w:rStyle w:val="FootnoteReference"/>
          <w:rtl/>
        </w:rPr>
        <w:footnoteReference w:id="98"/>
      </w:r>
      <w:r>
        <w:rPr>
          <w:rFonts w:hint="cs"/>
          <w:rtl/>
        </w:rPr>
        <w:t xml:space="preserve"> העלה בטוב טעם דלא כך, ומסקנתו היא "שאין שו</w:t>
      </w:r>
      <w:r w:rsidRPr="002F0CA3">
        <w:rPr>
          <w:rFonts w:hint="cs"/>
          <w:rtl/>
        </w:rPr>
        <w:t>ם סיבה לזהות את חיים זה עם הרב מוואלפא, שבוודאי לא היה מוסר שמועות מרבינו . . ובכלל אין תימוכין שהתגורר בזמן כלשהו בעיר אושאץ". ונראים דבריו. ולהוסיף, כי לא סביר שאדמו"ר הזקן יזכירו בשמו לבד, "חיים" סתם, בלא תוספת תואר "הרב" או כיו"ב. לאור זאת, נראה כי אין באזכור זה כדי להוסיף בירור בתולדות חייו של הרב הנ"ל.</w:t>
      </w:r>
    </w:p>
    <w:p w:rsidR="002F0CA3" w:rsidRPr="002F0CA3" w:rsidRDefault="002F0CA3" w:rsidP="002F0CA3">
      <w:pPr>
        <w:pStyle w:val="a3"/>
        <w:rPr>
          <w:rtl/>
        </w:rPr>
      </w:pPr>
      <w:r w:rsidRPr="002F0CA3">
        <w:rPr>
          <w:rFonts w:hint="cs"/>
          <w:rtl/>
        </w:rPr>
        <w:t>(ב) אודות תאריך פטירתו כתב ר' אברהם אביש שור "היה זה כנראה לפני שנת תקנ"ח"</w:t>
      </w:r>
      <w:r w:rsidRPr="002F0CA3">
        <w:rPr>
          <w:rStyle w:val="FootnoteReference"/>
          <w:vertAlign w:val="baseline"/>
          <w:rtl/>
        </w:rPr>
        <w:footnoteReference w:id="99"/>
      </w:r>
      <w:r w:rsidRPr="002F0CA3">
        <w:rPr>
          <w:rFonts w:hint="cs"/>
          <w:rtl/>
        </w:rPr>
        <w:t>, אך ר' דוד קמנצקי הראה כי שגיאה נפלה לו, וכי נפטר לאחר שנת זו</w:t>
      </w:r>
      <w:r w:rsidRPr="002F0CA3">
        <w:rPr>
          <w:rStyle w:val="FootnoteReference"/>
          <w:vertAlign w:val="baseline"/>
          <w:rtl/>
        </w:rPr>
        <w:footnoteReference w:id="100"/>
      </w:r>
      <w:r w:rsidRPr="002F0CA3">
        <w:rPr>
          <w:rFonts w:hint="cs"/>
          <w:rtl/>
        </w:rPr>
        <w:t>. ויש להוסיף, במסמכי חקירתו של אדמו"ר הזקן נכתב</w:t>
      </w:r>
      <w:r w:rsidRPr="002F0CA3">
        <w:rPr>
          <w:rStyle w:val="FootnoteReference"/>
          <w:vertAlign w:val="baseline"/>
          <w:rtl/>
        </w:rPr>
        <w:footnoteReference w:id="101"/>
      </w:r>
      <w:r w:rsidRPr="002F0CA3">
        <w:rPr>
          <w:rFonts w:hint="cs"/>
          <w:rtl/>
        </w:rPr>
        <w:t xml:space="preserve"> "הרבנים וואלפא ואהרן, שנפטרו כבר מזמן", אך ניכר השיבוש בדברי אדמו"ר הזקן, שכתב</w:t>
      </w:r>
      <w:r w:rsidRPr="002F0CA3">
        <w:rPr>
          <w:rStyle w:val="FootnoteReference"/>
          <w:vertAlign w:val="baseline"/>
          <w:rtl/>
        </w:rPr>
        <w:footnoteReference w:id="102"/>
      </w:r>
      <w:r w:rsidRPr="002F0CA3">
        <w:rPr>
          <w:rFonts w:hint="cs"/>
          <w:rtl/>
        </w:rPr>
        <w:t xml:space="preserve"> "מ' אהרן הלך לעולמו זה יותר מכ"ה שנים. ומ' שלמה ג"כ נפטר זה זמן רב", ואילו על הרב הנ"ל לא רשם כלל כי לא היה בין החיים, ומהמובן </w:t>
      </w:r>
      <w:r w:rsidRPr="002F0CA3">
        <w:rPr>
          <w:rFonts w:hint="cs"/>
          <w:rtl/>
        </w:rPr>
        <w:lastRenderedPageBreak/>
        <w:t>עולה כי נמצא עוד בין החיים. אך כנראה נפטר זמן מה לאחר מכן, שכן מכלל המקורות המתייחסים אליו לא נמצא התי חסות אליו שניתן לייחסו לתקופת מאוחרת משנת תקס"א, ובפרט שעוד קודם כבר תפסו תלמידיו את מקומו בקרלין. על כן כנראה נפטר בקרב זמן זה</w:t>
      </w:r>
      <w:r w:rsidRPr="002F0CA3">
        <w:rPr>
          <w:rStyle w:val="FootnoteReference"/>
          <w:vertAlign w:val="baseline"/>
          <w:rtl/>
        </w:rPr>
        <w:footnoteReference w:id="103"/>
      </w:r>
      <w:r w:rsidRPr="002F0CA3">
        <w:rPr>
          <w:rFonts w:hint="cs"/>
          <w:rtl/>
        </w:rPr>
        <w:t>.</w:t>
      </w:r>
    </w:p>
    <w:p w:rsidR="002F0CA3" w:rsidRPr="002F0CA3" w:rsidRDefault="002F0CA3" w:rsidP="002F0CA3">
      <w:pPr>
        <w:pStyle w:val="a3"/>
        <w:rPr>
          <w:rtl/>
        </w:rPr>
      </w:pPr>
      <w:r w:rsidRPr="002F0CA3">
        <w:rPr>
          <w:rFonts w:hint="cs"/>
          <w:rtl/>
        </w:rPr>
        <w:t>(ג) גלגול נוסף שלא מצאתיו ברשימתו של ר' יהושע מונדשיין נשמע מפי הר"ר דוד צבי חן, רב העיר צ'רניגוב, "</w:t>
      </w:r>
      <w:r w:rsidRPr="002F0CA3">
        <w:rPr>
          <w:rtl/>
        </w:rPr>
        <w:t>כשיצא, – אמר, כמדומני, לחבורת אברכים-"יושבים" – ה"וואלפער" (אחד מראשוני תלמידיו של המגיד הגדול דמיזריטש) לתרבות רעה, נענה רבנו הזקן (בעל התניא) ואמר: "אני ידעתי מכבר, כי כך יהי סופו. פעם אחת ישבנו אצל רבנו ושמענו ממנו תורה, ובאמצע דרשת הרב קרא הוואלפער - "מה זה, מעושן"... בבית.</w:t>
      </w:r>
      <w:r w:rsidRPr="002F0CA3">
        <w:rPr>
          <w:rFonts w:hint="cs"/>
          <w:rtl/>
        </w:rPr>
        <w:t xml:space="preserve"> </w:t>
      </w:r>
      <w:r w:rsidRPr="002F0CA3">
        <w:rPr>
          <w:rtl/>
        </w:rPr>
        <w:t>כשיכול להרגיש עשן ומה עוד שיכאיב לו עשן בשעת דבורו של הרב, סימן הוא שנשמתו פגומה</w:t>
      </w:r>
      <w:r w:rsidRPr="002F0CA3">
        <w:rPr>
          <w:rFonts w:hint="cs"/>
          <w:rtl/>
        </w:rPr>
        <w:t>"</w:t>
      </w:r>
      <w:r w:rsidRPr="002F0CA3">
        <w:rPr>
          <w:rStyle w:val="FootnoteReference"/>
          <w:vertAlign w:val="baseline"/>
          <w:rtl/>
        </w:rPr>
        <w:footnoteReference w:id="104"/>
      </w:r>
      <w:r w:rsidRPr="002F0CA3">
        <w:rPr>
          <w:rFonts w:hint="cs"/>
          <w:rtl/>
        </w:rPr>
        <w:t>.</w:t>
      </w:r>
    </w:p>
    <w:p w:rsidR="002F0CA3" w:rsidRDefault="002F0CA3" w:rsidP="002F0CA3">
      <w:pPr>
        <w:pStyle w:val="a3"/>
        <w:rPr>
          <w:rtl/>
        </w:rPr>
      </w:pPr>
      <w:r w:rsidRPr="002F0CA3">
        <w:rPr>
          <w:rFonts w:hint="cs"/>
          <w:rtl/>
        </w:rPr>
        <w:t>(ד) לעניין הא דכתב בעל ה'בית רבי' כי הרב הנ"ל "נפל בשכרות", ר' יהושע מונדשיין אשר בספרו "המאסר הראשון" חירף נפשו להוכיח בארוכה דקדוקים קלים של סיפורי חסידים, טיפל גם בפרט ז</w:t>
      </w:r>
      <w:r>
        <w:rPr>
          <w:rFonts w:hint="cs"/>
          <w:rtl/>
        </w:rPr>
        <w:t>ה. ובכל זאת נראה לומר כי הרב הנ"ל לא היה 'שיכור'. שכן לא מצינו עובדה זו, אלא רק ב'בית רבי', כמאה שנים לאחריו! וברור ששאר הכותבים עובדה זו נמשכו אחריו, וכדרכם של גלגולי שמועות התווספו ציצים ופרחים</w:t>
      </w:r>
      <w:r>
        <w:rPr>
          <w:rStyle w:val="FootnoteReference"/>
          <w:rtl/>
        </w:rPr>
        <w:footnoteReference w:id="105"/>
      </w:r>
      <w:r>
        <w:rPr>
          <w:rFonts w:hint="cs"/>
          <w:rtl/>
        </w:rPr>
        <w:t>. ייתכן שעובדה זו צמחה על רקע הסיפור שהביא בעל ה'בית רבי' אודות ר' ידל רבה של ליעפלי</w:t>
      </w:r>
      <w:r>
        <w:rPr>
          <w:rStyle w:val="FootnoteReference"/>
          <w:rtl/>
        </w:rPr>
        <w:footnoteReference w:id="106"/>
      </w:r>
      <w:r>
        <w:rPr>
          <w:rFonts w:hint="cs"/>
          <w:rtl/>
        </w:rPr>
        <w:t>. סיפור זה הוא הסיפור היחידי המתייחס לשתייתו של הרב הנ"ל. ונראה שאין בשתייה חד-פעמית כדי לקבוע שהיה שתיין. והבן</w:t>
      </w:r>
      <w:r>
        <w:rPr>
          <w:rStyle w:val="FootnoteReference"/>
          <w:rtl/>
        </w:rPr>
        <w:footnoteReference w:id="107"/>
      </w:r>
      <w:r>
        <w:rPr>
          <w:rFonts w:hint="cs"/>
          <w:rtl/>
        </w:rPr>
        <w:t>.</w:t>
      </w:r>
    </w:p>
    <w:p w:rsidR="00825FC6" w:rsidRPr="004C3C17" w:rsidRDefault="00825FC6" w:rsidP="00825FC6">
      <w:pPr>
        <w:pStyle w:val="a0"/>
      </w:pPr>
      <w:bookmarkStart w:id="193" w:name="_Toc39817485"/>
      <w:r w:rsidRPr="004C3C17">
        <w:rPr>
          <w:rFonts w:hint="cs"/>
          <w:rtl/>
        </w:rPr>
        <w:lastRenderedPageBreak/>
        <w:t>ביאור פתגם "לכתחילה אריבער"</w:t>
      </w:r>
      <w:bookmarkEnd w:id="193"/>
    </w:p>
    <w:p w:rsidR="00825FC6" w:rsidRPr="004C3C17" w:rsidRDefault="00825FC6" w:rsidP="00C93F24">
      <w:pPr>
        <w:pStyle w:val="a"/>
        <w:rPr>
          <w:rtl/>
        </w:rPr>
      </w:pPr>
      <w:bookmarkStart w:id="194" w:name="_Toc39817486"/>
      <w:r w:rsidRPr="004C3C17">
        <w:rPr>
          <w:rFonts w:hint="cs"/>
          <w:rtl/>
        </w:rPr>
        <w:t>הרב אליהו מטוסוב</w:t>
      </w:r>
      <w:bookmarkEnd w:id="194"/>
    </w:p>
    <w:p w:rsidR="00825FC6" w:rsidRPr="004C3C17" w:rsidRDefault="00825FC6" w:rsidP="00825FC6">
      <w:pPr>
        <w:pStyle w:val="a1"/>
        <w:rPr>
          <w:rtl/>
        </w:rPr>
      </w:pPr>
      <w:r w:rsidRPr="004C3C17">
        <w:rPr>
          <w:rFonts w:hint="cs"/>
          <w:rtl/>
        </w:rPr>
        <w:t>מערכת "אוצר החסידים"</w:t>
      </w:r>
      <w:r w:rsidRPr="004C3C17">
        <w:rPr>
          <w:rFonts w:hint="cs"/>
        </w:rPr>
        <w:t xml:space="preserve"> </w:t>
      </w:r>
      <w:r w:rsidRPr="004C3C17">
        <w:rPr>
          <w:rFonts w:hint="cs"/>
          <w:rtl/>
        </w:rPr>
        <w:t>קה"ת</w:t>
      </w:r>
    </w:p>
    <w:p w:rsidR="00825FC6" w:rsidRPr="004C3C17" w:rsidRDefault="00825FC6" w:rsidP="00825FC6">
      <w:pPr>
        <w:pStyle w:val="a3"/>
        <w:rPr>
          <w:rtl/>
        </w:rPr>
      </w:pPr>
      <w:r w:rsidRPr="004C3C17">
        <w:rPr>
          <w:rFonts w:hint="cs"/>
          <w:rtl/>
        </w:rPr>
        <w:t>איזה ידידים ביקשוני לרשום קיצור ומראי מקומות, על מה שנאמר במסיבת חברים של ליל ב' אייר שנה זו (ע"י אינטרנט), יום הולדת כ"ק אדמו"ר מהר"ש:</w:t>
      </w:r>
    </w:p>
    <w:p w:rsidR="00825FC6" w:rsidRPr="004C3C17" w:rsidRDefault="00825FC6" w:rsidP="00825FC6">
      <w:pPr>
        <w:pStyle w:val="a3"/>
        <w:rPr>
          <w:rtl/>
        </w:rPr>
      </w:pPr>
      <w:r>
        <w:rPr>
          <w:rFonts w:hint="cs"/>
          <w:rtl/>
        </w:rPr>
        <w:t>הרבי מביא בשיחות את</w:t>
      </w:r>
      <w:r w:rsidRPr="004C3C17">
        <w:rPr>
          <w:rFonts w:hint="cs"/>
          <w:rtl/>
        </w:rPr>
        <w:t xml:space="preserve"> פתגם אדמו"ר מהר"ש: "</w:t>
      </w:r>
      <w:r w:rsidRPr="004C3C17">
        <w:rPr>
          <w:rFonts w:hint="cs"/>
          <w:b/>
          <w:bCs/>
          <w:rtl/>
        </w:rPr>
        <w:t>די וועלט זאגט אז מען קאן ניט ארונטער גייט מען אריבער, און איך זאג:</w:t>
      </w:r>
      <w:r w:rsidRPr="004C3C17">
        <w:rPr>
          <w:rFonts w:hint="cs"/>
          <w:b/>
          <w:bCs/>
        </w:rPr>
        <w:t xml:space="preserve"> </w:t>
      </w:r>
      <w:r w:rsidRPr="004C3C17">
        <w:rPr>
          <w:rFonts w:hint="cs"/>
          <w:b/>
          <w:bCs/>
          <w:rtl/>
        </w:rPr>
        <w:t>לכתחילה אריבער</w:t>
      </w:r>
      <w:r w:rsidRPr="004C3C17">
        <w:rPr>
          <w:rFonts w:hint="cs"/>
          <w:rtl/>
        </w:rPr>
        <w:t>".</w:t>
      </w:r>
    </w:p>
    <w:p w:rsidR="00825FC6" w:rsidRPr="004C3C17" w:rsidRDefault="00825FC6" w:rsidP="00825FC6">
      <w:pPr>
        <w:pStyle w:val="a3"/>
      </w:pPr>
      <w:r w:rsidRPr="004C3C17">
        <w:rPr>
          <w:rFonts w:hint="cs"/>
          <w:rtl/>
        </w:rPr>
        <w:t>[עיין לדוגמא: לקוטי שיחות ח"א ע' 124. חי"ב ע' 186. "רשימות" חוברת ט' ע' 263. ומקורו באגרות קודש אדמו"ר מוהריי"צ ח"א ע' תריז בשם כ"ק אדמו"ר מוהרש"ב. ויש ספר מיוחד בשם "לכתחילה אריבער" והוא ליקוט מכל השיחות קודש בענין זה].</w:t>
      </w:r>
    </w:p>
    <w:p w:rsidR="00825FC6" w:rsidRPr="004C3C17" w:rsidRDefault="00825FC6" w:rsidP="00825FC6">
      <w:pPr>
        <w:pStyle w:val="a3"/>
        <w:rPr>
          <w:rtl/>
        </w:rPr>
      </w:pPr>
      <w:r w:rsidRPr="004C3C17">
        <w:rPr>
          <w:rFonts w:hint="cs"/>
          <w:rtl/>
        </w:rPr>
        <w:t>ננסה לעמוד על שורש ומקור הדברים, ועל פירוש הפשוט של מושגים אלו.</w:t>
      </w:r>
    </w:p>
    <w:p w:rsidR="00825FC6" w:rsidRPr="004C3C17" w:rsidRDefault="00825FC6" w:rsidP="00825FC6">
      <w:pPr>
        <w:pStyle w:val="11"/>
        <w:bidi/>
        <w:rPr>
          <w:rtl/>
        </w:rPr>
      </w:pPr>
      <w:r w:rsidRPr="004C3C17">
        <w:rPr>
          <w:rFonts w:hint="cs"/>
          <w:rtl/>
        </w:rPr>
        <w:t>שאלה על פתגם אדמו"ר מהר"ש</w:t>
      </w:r>
    </w:p>
    <w:p w:rsidR="00825FC6" w:rsidRPr="004C3C17" w:rsidRDefault="00825FC6" w:rsidP="00825FC6">
      <w:pPr>
        <w:pStyle w:val="a3"/>
        <w:rPr>
          <w:rtl/>
        </w:rPr>
      </w:pPr>
      <w:r w:rsidRPr="004C3C17">
        <w:rPr>
          <w:rFonts w:hint="cs"/>
          <w:rtl/>
        </w:rPr>
        <w:t>רבינו הזקן ושאר רבותינו נשיאינו</w:t>
      </w:r>
      <w:r>
        <w:rPr>
          <w:rFonts w:hint="cs"/>
          <w:rtl/>
        </w:rPr>
        <w:t>,</w:t>
      </w:r>
      <w:r w:rsidRPr="004C3C17">
        <w:rPr>
          <w:rFonts w:hint="cs"/>
          <w:rtl/>
        </w:rPr>
        <w:t xml:space="preserve"> מביאים בכמה מקומות </w:t>
      </w:r>
      <w:r>
        <w:rPr>
          <w:rFonts w:hint="cs"/>
          <w:rtl/>
        </w:rPr>
        <w:t xml:space="preserve">את </w:t>
      </w:r>
      <w:r w:rsidRPr="004C3C17">
        <w:rPr>
          <w:rFonts w:hint="cs"/>
          <w:rtl/>
        </w:rPr>
        <w:t>מאמר העולם "אז מען קאן ניט ארונטער, מוז מען אריבער". ואדה"ז קובע כן למסקנא אשר זוהי הדרך בעבודת ה' (המקורות יצויינו להלן).</w:t>
      </w:r>
    </w:p>
    <w:p w:rsidR="00825FC6" w:rsidRPr="004C3C17" w:rsidRDefault="00825FC6" w:rsidP="00825FC6">
      <w:pPr>
        <w:pStyle w:val="a3"/>
        <w:rPr>
          <w:rtl/>
        </w:rPr>
      </w:pPr>
      <w:r w:rsidRPr="004C3C17">
        <w:rPr>
          <w:rFonts w:hint="cs"/>
          <w:rtl/>
        </w:rPr>
        <w:t>ומעתה נשאלה שאלה עצומה, אם אדמו"ר הזקן ואדמו"ר האמצעי ואדמו"ר הצ"צ, אמרו למסקנא בעבודת ה' שצריך ללכת ישר ורק כשאי אפשר ישר אז "אריבער", אם כן איך אומר אדמו"ר מהר"ש "און איך זאג אז מען דארף לכתחילה אריבער". ולא מצאנו כדבר הזה בשום מקום שהרבי יחלוק על קודמיו [ועמד על שאלה זו, הרב יי"צ יעקבסון ב"הערות וביאורים" פ' פקודי תש"ס ע' 87].</w:t>
      </w:r>
    </w:p>
    <w:p w:rsidR="00825FC6" w:rsidRPr="004C3C17" w:rsidRDefault="00825FC6" w:rsidP="00825FC6">
      <w:pPr>
        <w:pStyle w:val="11"/>
        <w:bidi/>
        <w:rPr>
          <w:rtl/>
        </w:rPr>
      </w:pPr>
      <w:r w:rsidRPr="004C3C17">
        <w:rPr>
          <w:rFonts w:hint="cs"/>
          <w:rtl/>
        </w:rPr>
        <w:t>שיטת תלמידי המגיד בסדר עבודת ה'</w:t>
      </w:r>
    </w:p>
    <w:p w:rsidR="00825FC6" w:rsidRPr="004C3C17" w:rsidRDefault="00825FC6" w:rsidP="00825FC6">
      <w:pPr>
        <w:pStyle w:val="a3"/>
        <w:rPr>
          <w:rtl/>
        </w:rPr>
      </w:pPr>
      <w:r w:rsidRPr="004C3C17">
        <w:rPr>
          <w:rFonts w:hint="cs"/>
          <w:rtl/>
        </w:rPr>
        <w:t>ולביאור הדבר, נעמוד מתחילה על שורש הדברים בענין זה</w:t>
      </w:r>
      <w:r>
        <w:rPr>
          <w:rFonts w:hint="cs"/>
          <w:rtl/>
        </w:rPr>
        <w:t xml:space="preserve"> </w:t>
      </w:r>
      <w:r w:rsidRPr="004C3C17">
        <w:rPr>
          <w:rFonts w:hint="cs"/>
          <w:rtl/>
        </w:rPr>
        <w:t>במרוצת הדורות,</w:t>
      </w:r>
    </w:p>
    <w:p w:rsidR="00825FC6" w:rsidRPr="004C3C17" w:rsidRDefault="00825FC6" w:rsidP="00825FC6">
      <w:pPr>
        <w:pStyle w:val="a3"/>
        <w:rPr>
          <w:rtl/>
        </w:rPr>
      </w:pPr>
      <w:r w:rsidRPr="004C3C17">
        <w:rPr>
          <w:rFonts w:hint="cs"/>
          <w:rtl/>
        </w:rPr>
        <w:t>בספרים הקדושים של בעל התולדות יעקב יוסף, מוצאים אנו כי קיימת רק דרך אחת בעבודת ה', והיא עבודה בסדר והדרגה דוקא. בעל התולדות שולל לגמרי בכל ספריו את עבודת ה' בדילוג שלא ע"פ סדר והדרגה, מטעם כי יפול הנופל.</w:t>
      </w:r>
    </w:p>
    <w:p w:rsidR="00825FC6" w:rsidRPr="004C3C17" w:rsidRDefault="00825FC6" w:rsidP="00825FC6">
      <w:pPr>
        <w:pStyle w:val="a3"/>
        <w:rPr>
          <w:rtl/>
        </w:rPr>
      </w:pPr>
      <w:r w:rsidRPr="004C3C17">
        <w:rPr>
          <w:rFonts w:hint="cs"/>
          <w:rtl/>
        </w:rPr>
        <w:t xml:space="preserve">[עיין בתולדות יעקב יוסף פ' בשלח בשם הרמ"א בספרו מחיר יין על יעשו עץ גבוה נ' אמה, כי המן רצה שמרדכי ידלג ויפול למטה. אגב בענין מרדכי שעבודתו היתה בדרך דילוג עיין גם באוה"ת מג"א ע' מה. וגם בר"פ משפטים מאריך בס' התולדות בשם הבעש"ט על מאמר הרבה עשו כרשב"י ולא עלתה בידם, השמרו לכם מעלות בהר, ומפרש כן גם עה"פ לא תעלה במעלות על מזבחי. ועוד מקומות רבים בספרו, ובכמה מקומות הוא מאריך גם לענין </w:t>
      </w:r>
      <w:r w:rsidRPr="004C3C17">
        <w:rPr>
          <w:rFonts w:hint="cs"/>
          <w:rtl/>
        </w:rPr>
        <w:lastRenderedPageBreak/>
        <w:t>פסח וגם לענין בע"ת שצריך להיות דוקא עבודה בסדר והדרגה ולא בדרך דילוג. והובא כל זה במאמרי ב"היכל הבעש"ט" חוברת כ"ה ע' מג. ושם כתבנו קצת גם על שיטת הקדמונים הרמב"ם והשל"ה כו', בסוגיא זו]</w:t>
      </w:r>
    </w:p>
    <w:p w:rsidR="00825FC6" w:rsidRPr="004C3C17" w:rsidRDefault="00825FC6" w:rsidP="00825FC6">
      <w:pPr>
        <w:pStyle w:val="a3"/>
        <w:rPr>
          <w:rtl/>
        </w:rPr>
      </w:pPr>
      <w:r w:rsidRPr="004C3C17">
        <w:rPr>
          <w:rFonts w:hint="cs"/>
          <w:rtl/>
        </w:rPr>
        <w:t>גם בס' נועם אלימלך להה"ק הר"א מליזענסק, נקט תמיד אשר עבודת ה' גם עבודת התשובה, צריכה להיות רק בהליכה ממדריגה למדריגה ולא בדרך דילוג, וגם הוא מפרש כן עה"פ "ולא תעלה במעלות" שלא לילך במעלות עליונות אלא להרגיל עצמו בהדרגה ממדריגה למדריגה.</w:t>
      </w:r>
    </w:p>
    <w:p w:rsidR="00825FC6" w:rsidRPr="004C3C17" w:rsidRDefault="00825FC6" w:rsidP="00825FC6">
      <w:pPr>
        <w:pStyle w:val="a3"/>
        <w:rPr>
          <w:rtl/>
        </w:rPr>
      </w:pPr>
      <w:r w:rsidRPr="004C3C17">
        <w:rPr>
          <w:rFonts w:hint="cs"/>
          <w:rtl/>
        </w:rPr>
        <w:t>[ומצויין המקורות במאמרי שם, לפ' לך לך, ס"פ שמות, משפטים, צו, מצורע תבוא. ורק במקום אחד מצאתי בנועם אלימלך ר"פ תצוה, שכותב כי לעתים מזומנות באיש השלם העושה מצוה בשלימות אפשר לו לדלג את כל המדריגות בפעם אחת לבוא אל אהבה שלימה, ועליו נרמז "ודילוגו עלי אהבה"].</w:t>
      </w:r>
    </w:p>
    <w:p w:rsidR="00825FC6" w:rsidRPr="004C3C17" w:rsidRDefault="00825FC6" w:rsidP="00825FC6">
      <w:pPr>
        <w:pStyle w:val="a3"/>
        <w:rPr>
          <w:rtl/>
        </w:rPr>
      </w:pPr>
      <w:r w:rsidRPr="004C3C17">
        <w:rPr>
          <w:rFonts w:hint="cs"/>
          <w:rtl/>
        </w:rPr>
        <w:t>גם שיטת הרה"ק הר"ר מנחם נחום מטשערנאביל, בספרו מאור עיניים, היא קרובה לשיטת הנועם אלימלך [הבאנו המקורות ב"היכל הבעש"ט שם. וגם הוא דרש עה"פ "ולא תעלה במעלות"].</w:t>
      </w:r>
    </w:p>
    <w:p w:rsidR="00825FC6" w:rsidRPr="004C3C17" w:rsidRDefault="00825FC6" w:rsidP="00825FC6">
      <w:pPr>
        <w:pStyle w:val="11"/>
        <w:bidi/>
        <w:rPr>
          <w:rtl/>
        </w:rPr>
      </w:pPr>
      <w:r w:rsidRPr="004C3C17">
        <w:rPr>
          <w:rFonts w:hint="cs"/>
          <w:rtl/>
        </w:rPr>
        <w:t>שיטת אדמו"ר הזקן, הבדל בין צדיקים לבעלי תשובה</w:t>
      </w:r>
    </w:p>
    <w:p w:rsidR="00825FC6" w:rsidRPr="004C3C17" w:rsidRDefault="00825FC6" w:rsidP="00825FC6">
      <w:pPr>
        <w:pStyle w:val="a3"/>
        <w:rPr>
          <w:rtl/>
        </w:rPr>
      </w:pPr>
      <w:r w:rsidRPr="004C3C17">
        <w:rPr>
          <w:rFonts w:hint="cs"/>
          <w:rtl/>
        </w:rPr>
        <w:t>אולם לרבינו הזקן שיטה אחרת בזה, ברוב המקומות הוא מחלק בין עבודת הצדיק ישר הולך, שעבודתו היא בסדר והדרגה מן הקל אל הכבד, תחילה בדרגות התחתונות והולך ועולה בדרגות עליונות יותר [שזהו בל"א "ארונטער", למטה בקומה הישרה], לעומתו האדם שחטא ופגם את הדרך ועוונותיו מבדילים והם מונעים ממנו התקדמות בעבודת ה', הוא צ"ל בדילוג [לדלג מיד אל קומת העלייה], ובלשון הזהר (ח"א קכ"ט) "בחילא יתיר", וכמו תשובת רבי אלעזר בן דורדייא שבשעה אחת הוא דילג מן הקצה אל הקצה. כל זה מבואר במקומות רביםעיין  ובתניא ס"פ מ"ג. לקו"ת דרושים לשבת שובה סד, ד. ובהרבה מקומות באדה"ז כמצויין להלן.</w:t>
      </w:r>
    </w:p>
    <w:p w:rsidR="00825FC6" w:rsidRPr="004C3C17" w:rsidRDefault="00825FC6" w:rsidP="00825FC6">
      <w:pPr>
        <w:pStyle w:val="a3"/>
        <w:rPr>
          <w:rtl/>
        </w:rPr>
      </w:pPr>
      <w:r w:rsidRPr="004C3C17">
        <w:rPr>
          <w:rFonts w:hint="cs"/>
          <w:rtl/>
        </w:rPr>
        <w:t>[בקדושת לוי להרה"ק הרלוי"צ מבארדיטשוב, ס"ל כשיטת אדה"ז אשר חלוקים צדיקים ובעלי תשובה, כי הצדיקים עולים במעלות המדריגות, ואילו בע"ת עולה לפני עצמות הבורא ב"ה. וגם שם דרש הדברים ע"פ שובה ישראל עד ה' אלקיך, שבע"ת עולים לפני עצמותו יתברך].</w:t>
      </w:r>
    </w:p>
    <w:p w:rsidR="00825FC6" w:rsidRPr="004C3C17" w:rsidRDefault="00825FC6" w:rsidP="00825FC6">
      <w:pPr>
        <w:pStyle w:val="11"/>
        <w:bidi/>
        <w:rPr>
          <w:rtl/>
        </w:rPr>
      </w:pPr>
      <w:r w:rsidRPr="004C3C17">
        <w:rPr>
          <w:rFonts w:hint="cs"/>
          <w:rtl/>
        </w:rPr>
        <w:t>בחינת "דילוג", גם בעבודת הצדיק</w:t>
      </w:r>
    </w:p>
    <w:p w:rsidR="00825FC6" w:rsidRPr="004C3C17" w:rsidRDefault="00825FC6" w:rsidP="00825FC6">
      <w:pPr>
        <w:pStyle w:val="a3"/>
        <w:rPr>
          <w:rtl/>
        </w:rPr>
      </w:pPr>
      <w:r w:rsidRPr="004C3C17">
        <w:rPr>
          <w:rFonts w:hint="cs"/>
          <w:rtl/>
        </w:rPr>
        <w:t>ויש לפעמים שנקט אדה"ז עבודה בדרך דילוג ושלא בסדר והדרגה, גם בדרכי עבודה אחרים ובמי שאינו בע"ת. ראה במאמרי אדמו"ר הזקן הקצרים ע' סב (ד"ה כתיב לא תעלה במעלות על מזבחי, שם מבאר דמעלות הוא הסדר והדרגה של אור הממלא כל עלמין). סה"מ תקס"ה ח"ב ע' תשמו (ד"ה להבין מה שארז"ל בירבעם בן נבט שגסות הרוח טרדתו, שם שמדת הענוה גורמת הגעת המעלה שלא לפי ההדרגה). סה"מ תקע"א ע' א (המצויין לקמן בסמוך, שם לענין דרגת אהבה כרשפי אש). ועוד.</w:t>
      </w:r>
    </w:p>
    <w:p w:rsidR="00825FC6" w:rsidRPr="004C3C17" w:rsidRDefault="00825FC6" w:rsidP="00825FC6">
      <w:pPr>
        <w:pStyle w:val="a3"/>
        <w:rPr>
          <w:rtl/>
        </w:rPr>
      </w:pPr>
      <w:r w:rsidRPr="004C3C17">
        <w:rPr>
          <w:rFonts w:hint="cs"/>
          <w:rtl/>
        </w:rPr>
        <w:t xml:space="preserve">ואולי הביאור בכל זה הוא לפי מה שנמצא במקומות רבים באדה"ז, שכל אדם גם צדיק, </w:t>
      </w:r>
      <w:r w:rsidRPr="004C3C17">
        <w:rPr>
          <w:rFonts w:hint="cs"/>
          <w:rtl/>
        </w:rPr>
        <w:lastRenderedPageBreak/>
        <w:t>הוא צריך להיות כל ימיו בעבודת התשובה, עיין לקו"ת בלק עד, א. שם דרושי ר"ה ס, ד. ר"פ האזינו. וגם בתניא בכ"מ. ועל כן עבודה בדרך דילוג תימצא גם באדם צדיק ישר הולך.</w:t>
      </w:r>
    </w:p>
    <w:p w:rsidR="00825FC6" w:rsidRPr="004C3C17" w:rsidRDefault="00825FC6" w:rsidP="00825FC6">
      <w:pPr>
        <w:pStyle w:val="a3"/>
        <w:rPr>
          <w:rtl/>
        </w:rPr>
      </w:pPr>
      <w:r w:rsidRPr="004C3C17">
        <w:rPr>
          <w:rFonts w:hint="cs"/>
          <w:rtl/>
        </w:rPr>
        <w:t>אך בכל זאת, לא מצאנו בשום מקום שאדה"ז יכתוב אזהרה מיוחדת שלא לדלג במדריגות העבודה, כאשר הזהירו מזה בספרי תלמידי הרב המגיד שהבאנו למעלה. רק מצינו בדבריו שדרך הצדיק הוא עלייה בסדר והדרגה.</w:t>
      </w:r>
    </w:p>
    <w:p w:rsidR="00825FC6" w:rsidRPr="004C3C17" w:rsidRDefault="00825FC6" w:rsidP="00825FC6">
      <w:pPr>
        <w:pStyle w:val="11"/>
        <w:bidi/>
        <w:rPr>
          <w:rtl/>
        </w:rPr>
      </w:pPr>
      <w:r w:rsidRPr="004C3C17">
        <w:rPr>
          <w:rFonts w:hint="cs"/>
          <w:rtl/>
        </w:rPr>
        <w:t>המקור</w:t>
      </w:r>
      <w:r>
        <w:rPr>
          <w:rFonts w:hint="cs"/>
          <w:rtl/>
        </w:rPr>
        <w:t>ות</w:t>
      </w:r>
      <w:r w:rsidRPr="004C3C17">
        <w:rPr>
          <w:rFonts w:hint="cs"/>
          <w:rtl/>
        </w:rPr>
        <w:t xml:space="preserve"> באדמו"ר הזקן</w:t>
      </w:r>
    </w:p>
    <w:p w:rsidR="00825FC6" w:rsidRPr="004C3C17" w:rsidRDefault="00825FC6" w:rsidP="00825FC6">
      <w:pPr>
        <w:pStyle w:val="a3"/>
        <w:rPr>
          <w:rtl/>
        </w:rPr>
      </w:pPr>
      <w:r w:rsidRPr="004C3C17">
        <w:rPr>
          <w:rFonts w:hint="cs"/>
          <w:rtl/>
        </w:rPr>
        <w:t>ונפרט כאן המאמרים שנזכר בהם מאמר העולם "אז מען קאן ניט ארונטער גייט מען אריבער":</w:t>
      </w:r>
    </w:p>
    <w:p w:rsidR="00825FC6" w:rsidRPr="004C3C17" w:rsidRDefault="00825FC6" w:rsidP="00825FC6">
      <w:pPr>
        <w:pStyle w:val="a3"/>
        <w:rPr>
          <w:rtl/>
        </w:rPr>
      </w:pPr>
      <w:r w:rsidRPr="004C3C17">
        <w:rPr>
          <w:rFonts w:hint="cs"/>
          <w:rtl/>
        </w:rPr>
        <w:t>סה"מ תקס"ה ח"ב (ד"ה שובה ישראל): "</w:t>
      </w:r>
      <w:r w:rsidRPr="004C3C17">
        <w:rPr>
          <w:rFonts w:hint="cs"/>
          <w:b/>
          <w:bCs/>
          <w:rtl/>
        </w:rPr>
        <w:t>כמו שידוע במילי דעלמא המשל למי שלא יוכל מלמטה שמוכרח לעלות מלמעלה</w:t>
      </w:r>
      <w:r w:rsidRPr="004C3C17">
        <w:rPr>
          <w:rFonts w:hint="cs"/>
          <w:rtl/>
        </w:rPr>
        <w:t>".</w:t>
      </w:r>
    </w:p>
    <w:p w:rsidR="00825FC6" w:rsidRPr="004C3C17" w:rsidRDefault="00825FC6" w:rsidP="00825FC6">
      <w:pPr>
        <w:pStyle w:val="a3"/>
        <w:rPr>
          <w:rtl/>
        </w:rPr>
      </w:pPr>
      <w:r w:rsidRPr="004C3C17">
        <w:rPr>
          <w:rFonts w:hint="cs"/>
          <w:rtl/>
        </w:rPr>
        <w:t>וראה תקע"א ע' א: "</w:t>
      </w:r>
      <w:r w:rsidRPr="004C3C17">
        <w:rPr>
          <w:rFonts w:hint="cs"/>
          <w:b/>
          <w:bCs/>
          <w:rtl/>
        </w:rPr>
        <w:t>שלא כדעת העולם שסוברים שהאם הולך ממדרגה למדרגה בעבודתו כסדר השתלשלות אלא דוקא בבחי' דילוג</w:t>
      </w:r>
      <w:r w:rsidRPr="004C3C17">
        <w:rPr>
          <w:rFonts w:hint="cs"/>
          <w:rtl/>
        </w:rPr>
        <w:t>".</w:t>
      </w:r>
    </w:p>
    <w:p w:rsidR="00825FC6" w:rsidRPr="004C3C17" w:rsidRDefault="00825FC6" w:rsidP="00825FC6">
      <w:pPr>
        <w:pStyle w:val="a3"/>
        <w:rPr>
          <w:rtl/>
        </w:rPr>
      </w:pPr>
      <w:r w:rsidRPr="004C3C17">
        <w:rPr>
          <w:rFonts w:hint="cs"/>
          <w:rtl/>
        </w:rPr>
        <w:t xml:space="preserve">מאמרי אדהאמ"צ דברים ח"ד ע' א'פו (ד"ה שובה ישראל): </w:t>
      </w:r>
      <w:r w:rsidRPr="004C3C17">
        <w:rPr>
          <w:rFonts w:hint="cs"/>
          <w:b/>
          <w:bCs/>
          <w:rtl/>
        </w:rPr>
        <w:t>כמשל שאומרים העולם אם לא יוכל לכנוס מלמטה יהי' מוכרח לעלות מלמעלה וכמו מחיצה המפסקת שמוכרח לעלות מלמעלה דוקא</w:t>
      </w:r>
      <w:r w:rsidRPr="004C3C17">
        <w:rPr>
          <w:rFonts w:hint="cs"/>
          <w:rtl/>
        </w:rPr>
        <w:t>.</w:t>
      </w:r>
    </w:p>
    <w:p w:rsidR="00825FC6" w:rsidRPr="004C3C17" w:rsidRDefault="00825FC6" w:rsidP="00825FC6">
      <w:pPr>
        <w:pStyle w:val="a3"/>
        <w:rPr>
          <w:rtl/>
        </w:rPr>
      </w:pPr>
      <w:r w:rsidRPr="004C3C17">
        <w:rPr>
          <w:rFonts w:hint="cs"/>
          <w:rtl/>
        </w:rPr>
        <w:t xml:space="preserve">אוה"ת נ"ך ע' רפח: </w:t>
      </w:r>
      <w:r w:rsidRPr="004C3C17">
        <w:rPr>
          <w:rFonts w:hint="cs"/>
          <w:b/>
          <w:bCs/>
          <w:rtl/>
        </w:rPr>
        <w:t>וזהו המשל הנזכר סד"ה שובה ישראל אז מיא קען ניט ארונטער מוז מען אריבער</w:t>
      </w:r>
      <w:r w:rsidRPr="004C3C17">
        <w:rPr>
          <w:rFonts w:hint="cs"/>
          <w:rtl/>
        </w:rPr>
        <w:t>.</w:t>
      </w:r>
    </w:p>
    <w:p w:rsidR="00825FC6" w:rsidRPr="004C3C17" w:rsidRDefault="00825FC6" w:rsidP="00825FC6">
      <w:pPr>
        <w:pStyle w:val="a3"/>
        <w:rPr>
          <w:rtl/>
        </w:rPr>
      </w:pPr>
      <w:r w:rsidRPr="004C3C17">
        <w:rPr>
          <w:rFonts w:hint="cs"/>
          <w:rtl/>
        </w:rPr>
        <w:t>חידוש לשון יש באוה"ת מגילת אסתר עמוד מה: "</w:t>
      </w:r>
      <w:r w:rsidRPr="004C3C17">
        <w:rPr>
          <w:rFonts w:hint="cs"/>
          <w:b/>
          <w:bCs/>
          <w:rtl/>
        </w:rPr>
        <w:t>שאמר תמיד בלשון אידיש אז מיא קען ניט ארונטער מוז מען אריבער</w:t>
      </w:r>
      <w:r w:rsidRPr="004C3C17">
        <w:rPr>
          <w:rFonts w:hint="cs"/>
          <w:rtl/>
        </w:rPr>
        <w:t>",</w:t>
      </w:r>
    </w:p>
    <w:p w:rsidR="00825FC6" w:rsidRPr="004C3C17" w:rsidRDefault="00825FC6" w:rsidP="00825FC6">
      <w:pPr>
        <w:pStyle w:val="a3"/>
        <w:rPr>
          <w:rtl/>
        </w:rPr>
      </w:pPr>
      <w:r w:rsidRPr="004C3C17">
        <w:rPr>
          <w:rFonts w:hint="cs"/>
          <w:rtl/>
        </w:rPr>
        <w:t>[מכאן למדים שכן אמר רבינו הזקן</w:t>
      </w:r>
      <w:r w:rsidRPr="004C3C17">
        <w:rPr>
          <w:rFonts w:hint="cs"/>
          <w:b/>
          <w:bCs/>
          <w:rtl/>
        </w:rPr>
        <w:t xml:space="preserve"> </w:t>
      </w:r>
      <w:r w:rsidRPr="004C3C17">
        <w:rPr>
          <w:rFonts w:hint="cs"/>
          <w:rtl/>
        </w:rPr>
        <w:t>"תמיד", דהיינו פעמים רבות, כעין הלשון "מרגלא בפומיה"].</w:t>
      </w:r>
    </w:p>
    <w:p w:rsidR="00825FC6" w:rsidRPr="004C3C17" w:rsidRDefault="00825FC6" w:rsidP="00825FC6">
      <w:pPr>
        <w:pStyle w:val="a3"/>
        <w:rPr>
          <w:rtl/>
        </w:rPr>
      </w:pPr>
      <w:r w:rsidRPr="004C3C17">
        <w:rPr>
          <w:rFonts w:hint="cs"/>
          <w:rtl/>
        </w:rPr>
        <w:t>הענין הובא גם בסה"מ תרס"ד ע' רמז (מהדורת תשנ"ד, ובמהד' תשמ"ה הוא בע' שס).</w:t>
      </w:r>
    </w:p>
    <w:p w:rsidR="00825FC6" w:rsidRPr="004C3C17" w:rsidRDefault="00825FC6" w:rsidP="00825FC6">
      <w:pPr>
        <w:pStyle w:val="a3"/>
        <w:rPr>
          <w:rtl/>
        </w:rPr>
      </w:pPr>
      <w:r w:rsidRPr="004C3C17">
        <w:rPr>
          <w:rFonts w:hint="cs"/>
          <w:rtl/>
        </w:rPr>
        <w:t>ועיין עוד ב"כרם חב"ד" גליון ראשון ע' 67, מאמר בכותרת "לכתחילה אריבער", שם הזכרנו כמה מהמקורות כאן, ובתוספת איזה ביאורים.</w:t>
      </w:r>
    </w:p>
    <w:p w:rsidR="00825FC6" w:rsidRPr="004C3C17" w:rsidRDefault="00825FC6" w:rsidP="00825FC6">
      <w:pPr>
        <w:pStyle w:val="11"/>
        <w:bidi/>
      </w:pPr>
      <w:r w:rsidRPr="004C3C17">
        <w:rPr>
          <w:rFonts w:hint="cs"/>
          <w:rtl/>
        </w:rPr>
        <w:t>ביאור פתגם אדמו"ר מהר"ש</w:t>
      </w:r>
    </w:p>
    <w:p w:rsidR="00825FC6" w:rsidRPr="004C3C17" w:rsidRDefault="00825FC6" w:rsidP="00825FC6">
      <w:pPr>
        <w:pStyle w:val="a3"/>
        <w:rPr>
          <w:rtl/>
        </w:rPr>
      </w:pPr>
      <w:r w:rsidRPr="004C3C17">
        <w:rPr>
          <w:rFonts w:hint="cs"/>
          <w:rtl/>
        </w:rPr>
        <w:t>ומעתה יבואר דברי אדמו"ר מהר"ש: "און איך זאג אז מען דארף לכתחילה אריבער",</w:t>
      </w:r>
    </w:p>
    <w:p w:rsidR="00825FC6" w:rsidRPr="004C3C17" w:rsidRDefault="00825FC6" w:rsidP="00825FC6">
      <w:pPr>
        <w:pStyle w:val="a3"/>
        <w:rPr>
          <w:rtl/>
        </w:rPr>
      </w:pPr>
      <w:r w:rsidRPr="004C3C17">
        <w:rPr>
          <w:rFonts w:hint="cs"/>
          <w:rtl/>
        </w:rPr>
        <w:t>כי אדמו"ר הזקן כתב ספריו ואמר דרושיו גם עבור דרגת עובדי ה' כמו צדיקים ו"בינונים", ובתניא הוא כותב על הבינוני "שלא עבר עבירה מימיו ולא יעבור לעולם". ועל אלו מבאר בדרושי אדה"ז שהם אינם צריכים לדלג בחילא יתיר אלא עלייה בסדר המדריגות.</w:t>
      </w:r>
    </w:p>
    <w:p w:rsidR="00825FC6" w:rsidRPr="004C3C17" w:rsidRDefault="00825FC6" w:rsidP="00825FC6">
      <w:pPr>
        <w:pStyle w:val="a3"/>
        <w:rPr>
          <w:rtl/>
        </w:rPr>
      </w:pPr>
      <w:r w:rsidRPr="004C3C17">
        <w:rPr>
          <w:rFonts w:hint="cs"/>
          <w:rtl/>
        </w:rPr>
        <w:t xml:space="preserve">אולם אדמו"ר מהר"ש, בא לפרש ולדרוש מאת בני דורותינו, שבני עלייה מועטים ואין מצוי דרגות צדיקים ובינונים אלו [כידוע בענין הלשון בתניא "והלואי בינוני"], </w:t>
      </w:r>
      <w:r>
        <w:rPr>
          <w:rFonts w:hint="cs"/>
          <w:rtl/>
        </w:rPr>
        <w:t>ו</w:t>
      </w:r>
      <w:r w:rsidRPr="004C3C17">
        <w:rPr>
          <w:rFonts w:hint="cs"/>
          <w:rtl/>
        </w:rPr>
        <w:t xml:space="preserve">על זה הוא אומר כי כעת שכל אחד סורו רע מצד </w:t>
      </w:r>
      <w:r>
        <w:rPr>
          <w:rFonts w:hint="cs"/>
          <w:rtl/>
        </w:rPr>
        <w:t>ועונותיו מבדילין</w:t>
      </w:r>
      <w:r w:rsidRPr="004C3C17">
        <w:rPr>
          <w:rFonts w:hint="cs"/>
          <w:rtl/>
        </w:rPr>
        <w:t xml:space="preserve"> מלעלות בהר ה', ועל כן אין לנסות </w:t>
      </w:r>
      <w:r w:rsidRPr="004C3C17">
        <w:rPr>
          <w:rFonts w:hint="cs"/>
          <w:rtl/>
        </w:rPr>
        <w:lastRenderedPageBreak/>
        <w:t xml:space="preserve">לעבוד ה' בסדר מדריגות אלא </w:t>
      </w:r>
      <w:r>
        <w:rPr>
          <w:rFonts w:hint="cs"/>
          <w:rtl/>
        </w:rPr>
        <w:t>כ</w:t>
      </w:r>
      <w:r w:rsidRPr="004C3C17">
        <w:rPr>
          <w:rFonts w:hint="cs"/>
          <w:rtl/>
        </w:rPr>
        <w:t>ל אחד צריך לכתחילה להתעסק בעליות בדרך דילוג. וכמו שאמר אדה"ז לגבי עבודת בעלי תשובה.</w:t>
      </w:r>
    </w:p>
    <w:p w:rsidR="00825FC6" w:rsidRPr="004C3C17" w:rsidRDefault="00825FC6" w:rsidP="00825FC6">
      <w:pPr>
        <w:pStyle w:val="a3"/>
        <w:rPr>
          <w:rtl/>
        </w:rPr>
      </w:pPr>
      <w:r w:rsidRPr="004C3C17">
        <w:rPr>
          <w:rFonts w:hint="cs"/>
          <w:rtl/>
        </w:rPr>
        <w:t>ועיין בהקדמת "קונטרס ומעיין" ע' 22 שמביא אגרת כ"ק אדמו"ר מוהרש"ב, שכיום אין סדר והדרגה בעבודה הבירורים אלא צ"ל בבחינת "חטוף ואכול חטוף ושתי". וזהו ענין מקביל ועולה בקנה אחד, עם פתגם אדמו"ר מהר"ש בענין שכעת העבודה היא "לכתחילה אריבער".</w:t>
      </w:r>
    </w:p>
    <w:p w:rsidR="00825FC6" w:rsidRPr="004C3C17" w:rsidRDefault="00825FC6" w:rsidP="00825FC6">
      <w:pPr>
        <w:pStyle w:val="a3"/>
        <w:rPr>
          <w:rtl/>
        </w:rPr>
      </w:pPr>
      <w:r w:rsidRPr="004C3C17">
        <w:rPr>
          <w:rFonts w:hint="cs"/>
          <w:rtl/>
        </w:rPr>
        <w:t xml:space="preserve">ואת כל זה הדגיש ומימש הרבי במיוחד בדורינו זו, אשר כל הרוצה להתקרב לה', אין לו אלא דרך אחת והיא הדילוג וקפיצה, על דרך המבואר בכ"מ על עבודת פסח ויציאת מצרים, כי ברח העם עלייה מן הקצה אל הקצה. </w:t>
      </w:r>
    </w:p>
    <w:p w:rsidR="00825FC6" w:rsidRPr="004C3C17" w:rsidRDefault="00825FC6" w:rsidP="00825FC6">
      <w:pPr>
        <w:pStyle w:val="11"/>
        <w:bidi/>
        <w:rPr>
          <w:rtl/>
        </w:rPr>
      </w:pPr>
      <w:r w:rsidRPr="004C3C17">
        <w:rPr>
          <w:rFonts w:hint="cs"/>
          <w:rtl/>
        </w:rPr>
        <w:t>סיכום</w:t>
      </w:r>
    </w:p>
    <w:p w:rsidR="00825FC6" w:rsidRPr="004C3C17" w:rsidRDefault="00825FC6" w:rsidP="00825FC6">
      <w:pPr>
        <w:pStyle w:val="a3"/>
        <w:rPr>
          <w:rtl/>
        </w:rPr>
      </w:pPr>
      <w:r w:rsidRPr="004C3C17">
        <w:rPr>
          <w:rFonts w:hint="cs"/>
          <w:rtl/>
        </w:rPr>
        <w:t>אם כן, לפנינו ג' שלבים:</w:t>
      </w:r>
    </w:p>
    <w:p w:rsidR="00825FC6" w:rsidRPr="004C3C17" w:rsidRDefault="00825FC6" w:rsidP="00825FC6">
      <w:pPr>
        <w:pStyle w:val="a3"/>
        <w:rPr>
          <w:rtl/>
        </w:rPr>
      </w:pPr>
      <w:r w:rsidRPr="004C3C17">
        <w:rPr>
          <w:rFonts w:hint="cs"/>
          <w:rtl/>
        </w:rPr>
        <w:t>א) שיטת כמה תלמידי הבעש"ט והרב המגיד, אשר כל אדם צריך להיות ישר הולך בסדר המדריגות [לפי שיטה זו, אפשר הדרך בעבודת ה' היא רק באופן הזה: מתחילה קיום המצוות, סור מרע ועשה טוב. אחר כך הידורי מצוה אחר כך מדות חסידות, אחר כך אהבה ויראה, אחר כך דביקות בבורא וידיעת ה' כו'. אולם כל סדר אחר לא תצלח, כי יפול הנופל, וצ"ע].</w:t>
      </w:r>
    </w:p>
    <w:p w:rsidR="00825FC6" w:rsidRPr="004C3C17" w:rsidRDefault="00825FC6" w:rsidP="00825FC6">
      <w:pPr>
        <w:pStyle w:val="a3"/>
        <w:rPr>
          <w:rtl/>
        </w:rPr>
      </w:pPr>
      <w:r w:rsidRPr="004C3C17">
        <w:rPr>
          <w:rFonts w:hint="cs"/>
          <w:rtl/>
        </w:rPr>
        <w:t>ב) חידוש רבינו הזקן, אשר מי שפגם ועבר את הדרך עליו לדלג "בחילא יתיר", על דרך תשובת רבי אלעזר בן דורדיא.</w:t>
      </w:r>
    </w:p>
    <w:p w:rsidR="00825FC6" w:rsidRPr="004C3C17" w:rsidRDefault="00825FC6" w:rsidP="00825FC6">
      <w:pPr>
        <w:pStyle w:val="a3"/>
        <w:rPr>
          <w:rtl/>
        </w:rPr>
      </w:pPr>
      <w:r w:rsidRPr="004C3C17">
        <w:rPr>
          <w:rFonts w:hint="cs"/>
          <w:rtl/>
        </w:rPr>
        <w:t>ג) חידוש המהר"ש, אשר בדורותינו נשארה רק עבודת הדילוג וקפיצה לדרגות עליונות בעבודת ה', שלא בסדר והדרגה. ואין לנסות דרך אחרת אלא "לכתחילה אריבער".</w:t>
      </w:r>
    </w:p>
    <w:p w:rsidR="00825FC6" w:rsidRPr="004C3C17" w:rsidRDefault="00825FC6" w:rsidP="00825FC6">
      <w:pPr>
        <w:pStyle w:val="a3"/>
        <w:rPr>
          <w:rtl/>
        </w:rPr>
      </w:pPr>
      <w:r w:rsidRPr="004C3C17">
        <w:rPr>
          <w:rFonts w:hint="cs"/>
          <w:rtl/>
        </w:rPr>
        <w:t>[יש עוד ענינים הקשורים אל פתגם אדמו"ר מהר"ש זה, כגון ביחס להנהגה טבעית שהיא "ארונטער", והנהגה נסית "אריבער", וראה בקובץ "מגדל דוד" חוברת י"ג ע' 329 במאמר מאת הרב מנחם דוברוסקין, שהביא הרבה בענין זה. וכאשר אמרו חז"ל, ה</w:t>
      </w:r>
      <w:r>
        <w:rPr>
          <w:rFonts w:hint="cs"/>
          <w:rtl/>
        </w:rPr>
        <w:t>לא</w:t>
      </w:r>
      <w:r w:rsidRPr="004C3C17">
        <w:rPr>
          <w:rFonts w:hint="cs"/>
          <w:rtl/>
        </w:rPr>
        <w:t xml:space="preserve"> כל ענין בתורה מתחלק לניצוצות הרבה].</w:t>
      </w:r>
    </w:p>
    <w:p w:rsidR="00825FC6" w:rsidRPr="004C3C17" w:rsidRDefault="00825FC6" w:rsidP="00825FC6">
      <w:pPr>
        <w:pStyle w:val="a3"/>
        <w:jc w:val="center"/>
        <w:rPr>
          <w:sz w:val="20"/>
          <w:szCs w:val="20"/>
          <w:rtl/>
        </w:rPr>
      </w:pPr>
      <w:r w:rsidRPr="004C3C17">
        <w:rPr>
          <w:rFonts w:hint="cs"/>
          <w:sz w:val="20"/>
          <w:szCs w:val="20"/>
          <w:rtl/>
        </w:rPr>
        <w:t>*     *     *</w:t>
      </w:r>
    </w:p>
    <w:p w:rsidR="00825FC6" w:rsidRPr="004C3C17" w:rsidRDefault="00825FC6" w:rsidP="00825FC6">
      <w:pPr>
        <w:pStyle w:val="11"/>
        <w:bidi/>
        <w:rPr>
          <w:rtl/>
        </w:rPr>
      </w:pPr>
      <w:r w:rsidRPr="004C3C17">
        <w:rPr>
          <w:rFonts w:hint="cs"/>
          <w:rtl/>
        </w:rPr>
        <w:t>מאורעות הזמן</w:t>
      </w:r>
    </w:p>
    <w:p w:rsidR="00825FC6" w:rsidRPr="004C3C17" w:rsidRDefault="00825FC6" w:rsidP="00825FC6">
      <w:pPr>
        <w:pStyle w:val="a3"/>
        <w:rPr>
          <w:rtl/>
        </w:rPr>
      </w:pPr>
      <w:r w:rsidRPr="004C3C17">
        <w:rPr>
          <w:rFonts w:hint="cs"/>
          <w:rtl/>
        </w:rPr>
        <w:t>על יסוד הרמב"ם ריש תעניות, שאין לומר על מאורעות כאלו שזהו ממנהג העולם ונקרה מקרה כו'.</w:t>
      </w:r>
    </w:p>
    <w:p w:rsidR="00825FC6" w:rsidRPr="004C3C17" w:rsidRDefault="00825FC6" w:rsidP="00825FC6">
      <w:pPr>
        <w:pStyle w:val="a3"/>
        <w:rPr>
          <w:rtl/>
        </w:rPr>
      </w:pPr>
      <w:r w:rsidRPr="004C3C17">
        <w:rPr>
          <w:rFonts w:hint="cs"/>
          <w:rtl/>
        </w:rPr>
        <w:t>הנה הרבי אמר כמה פעמים, אשר "לעומת זה" מנסה להתגבר דוקא במה שהוא רואה הצלחת עבודת בנ"י ושקרובה ישועתם לבוא, אז ויבוא השטן להתייצב ולמנוע.</w:t>
      </w:r>
    </w:p>
    <w:p w:rsidR="00825FC6" w:rsidRPr="004C3C17" w:rsidRDefault="00825FC6" w:rsidP="00825FC6">
      <w:pPr>
        <w:pStyle w:val="a3"/>
        <w:rPr>
          <w:rtl/>
        </w:rPr>
      </w:pPr>
      <w:r w:rsidRPr="004C3C17">
        <w:rPr>
          <w:rFonts w:hint="cs"/>
          <w:rtl/>
        </w:rPr>
        <w:t>כן היה אצל אבות העולם, כאשר ה</w:t>
      </w:r>
      <w:r>
        <w:rPr>
          <w:rFonts w:hint="cs"/>
          <w:rtl/>
        </w:rPr>
        <w:t>מקטרג</w:t>
      </w:r>
      <w:r w:rsidRPr="004C3C17">
        <w:rPr>
          <w:rFonts w:hint="cs"/>
          <w:rtl/>
        </w:rPr>
        <w:t xml:space="preserve"> רואה שמתקרב להיקבע לדורות זכות העקידה, והיא תעמוד לישראל לדורי דורות (כלשון התניא באגה"ק סכ"א), וקרובה ישועתם לבוא, דוקא על זה הוא בא וניסה לעצור בכל דרכים.</w:t>
      </w:r>
    </w:p>
    <w:p w:rsidR="00825FC6" w:rsidRPr="004C3C17" w:rsidRDefault="00825FC6" w:rsidP="00825FC6">
      <w:pPr>
        <w:pStyle w:val="a3"/>
        <w:rPr>
          <w:rtl/>
        </w:rPr>
      </w:pPr>
      <w:r w:rsidRPr="004C3C17">
        <w:rPr>
          <w:rFonts w:hint="cs"/>
          <w:rtl/>
        </w:rPr>
        <w:t>כמ"ש במדרש בענין העקידה שהשטן הלך ונעשה לפניהם כנהר גדול כו' תלה אברהם את עיניו לשמים כו' [תנחומא וירא כב. עיין על מדרש זה בספר השיחות תשמ"ז ח"א ע' 265].</w:t>
      </w:r>
    </w:p>
    <w:p w:rsidR="00825FC6" w:rsidRPr="004C3C17" w:rsidRDefault="00825FC6" w:rsidP="00825FC6">
      <w:pPr>
        <w:pStyle w:val="a3"/>
        <w:rPr>
          <w:rtl/>
        </w:rPr>
      </w:pPr>
      <w:r w:rsidRPr="004C3C17">
        <w:rPr>
          <w:rFonts w:hint="cs"/>
          <w:rtl/>
        </w:rPr>
        <w:lastRenderedPageBreak/>
        <w:t>ועל ידי עיכובים אלו דילג אברהם והתעלה לדרגות עליונות יותר, כלשון המדרש שם "תלה את עיניו לשמים", ועי"ז נתבטל הקיטרוג מכל וכל.</w:t>
      </w:r>
    </w:p>
    <w:p w:rsidR="00825FC6" w:rsidRPr="004C3C17" w:rsidRDefault="00825FC6" w:rsidP="00825FC6">
      <w:pPr>
        <w:pStyle w:val="a3"/>
        <w:rPr>
          <w:rtl/>
        </w:rPr>
      </w:pPr>
      <w:r w:rsidRPr="004C3C17">
        <w:rPr>
          <w:rFonts w:hint="cs"/>
          <w:rtl/>
        </w:rPr>
        <w:t>[ועיין בלקו"ת חוקת סא, ג. בדרוש "נחש הנחושת", שאמרו במפרשים שהיו רואים בו את כל הגוונים, ומביא את מארז"ל על זה "בזמן שישראל מסתכלין כלפי מעלה כו' היו מתרפאים", כי כאשר מדלגים לדרגות עליונות ומעיינים בשורש הדבר רואים ששם הוא כולו טוב ואין רע מלמעלה, ויש שביכולתם להמשיך את זה שיהיה כן גם למטה, טוב הנראה, וכאשר עשה נחום איש גם זו שעלה לשורש והמשיך למטה את הטוב המחייהו של הרע.</w:t>
      </w:r>
    </w:p>
    <w:p w:rsidR="00825FC6" w:rsidRPr="004C3C17" w:rsidRDefault="00825FC6" w:rsidP="00825FC6">
      <w:pPr>
        <w:pStyle w:val="a3"/>
        <w:rPr>
          <w:rtl/>
        </w:rPr>
      </w:pPr>
      <w:r w:rsidRPr="004C3C17">
        <w:rPr>
          <w:rFonts w:hint="cs"/>
          <w:rtl/>
        </w:rPr>
        <w:t>יש להעיר מסיפור המובא בשיחות הרבי על הרה"ק ר' מאיר  מפרימישלאן כשהיה ילד וטיפס למעלה, כששאלוהו איך אינו נופל, הוא ענה שכאשר קשורים ומסתכלים למעלה אין נופלים למטה. וזה שונה ממאחז"ל לעולם ישים אדם עיניו למטה ולבו למעלה ואכ"מ. ואפשר זה קשור עם מה שיש ב' מדריגות, עבודת "ארונטער" ועבודת "אריבער"].</w:t>
      </w:r>
    </w:p>
    <w:p w:rsidR="00825FC6" w:rsidRDefault="00825FC6" w:rsidP="00825FC6">
      <w:pPr>
        <w:pStyle w:val="a3"/>
        <w:rPr>
          <w:rtl/>
        </w:rPr>
      </w:pPr>
      <w:r w:rsidRPr="004C3C17">
        <w:rPr>
          <w:rFonts w:hint="cs"/>
          <w:rtl/>
        </w:rPr>
        <w:t>ויש שיחת הרבי בתשנ"ב, שדוקא בענין הדיבור שהוא עיקר עניינו של אדמו"ר מוהריי"צ, דוקא בזה היה קטרוגים שהוקשה עליו הדיבור בשנותיו האחרונים.</w:t>
      </w:r>
    </w:p>
    <w:p w:rsidR="00825FC6" w:rsidRPr="00B14AF1" w:rsidRDefault="00825FC6" w:rsidP="00825FC6">
      <w:pPr>
        <w:pStyle w:val="11"/>
        <w:bidi/>
        <w:rPr>
          <w:rtl/>
        </w:rPr>
      </w:pPr>
      <w:r w:rsidRPr="00B14AF1">
        <w:rPr>
          <w:rFonts w:hint="cs"/>
          <w:rtl/>
        </w:rPr>
        <w:t>שליחות הדור, הפצת המעיינות חוצה</w:t>
      </w:r>
    </w:p>
    <w:p w:rsidR="00825FC6" w:rsidRPr="004C3C17" w:rsidRDefault="00825FC6" w:rsidP="00825FC6">
      <w:pPr>
        <w:pStyle w:val="a3"/>
        <w:rPr>
          <w:rtl/>
        </w:rPr>
      </w:pPr>
      <w:r w:rsidRPr="004C3C17">
        <w:rPr>
          <w:rFonts w:hint="cs"/>
          <w:rtl/>
        </w:rPr>
        <w:t>בנדו"ד הורונו רבותינו, ובפרט הרבי נשיא דורינו אשר שליחות הדור היא הפצת התורה והפצת המעיינות חוצה דוקא, עבודה עם הזולת דוקא, וזה כל האדם. נקודה זו חוזרת ונשנית בכל תורת רבינו.</w:t>
      </w:r>
    </w:p>
    <w:p w:rsidR="00825FC6" w:rsidRPr="004C3C17" w:rsidRDefault="00825FC6" w:rsidP="00825FC6">
      <w:pPr>
        <w:pStyle w:val="a3"/>
        <w:rPr>
          <w:rtl/>
        </w:rPr>
      </w:pPr>
      <w:r w:rsidRPr="004C3C17">
        <w:rPr>
          <w:rFonts w:hint="cs"/>
          <w:rtl/>
        </w:rPr>
        <w:t>וכידוע השיחה (על פי הדרוש בסה"מ אידיש) על פסוק "ואתה קדוש יושב תהלות ישראל", שכאשר הבעש"ט בא לישוב וראה צדיק פרוש שיושב ולומד תורה כל היום בביתו ושרוי בתענית ומתעלה בקודש, אמר לו הבעש"ט שקדושת הקב"ה "ואתה קדוש" היא על ידי תהלות ישראל, לצאת לחוץ וללמד תורה ותהלות ה' לבני ישראל.</w:t>
      </w:r>
    </w:p>
    <w:p w:rsidR="00825FC6" w:rsidRPr="004C3C17" w:rsidRDefault="00825FC6" w:rsidP="00825FC6">
      <w:pPr>
        <w:pStyle w:val="a3"/>
        <w:rPr>
          <w:rtl/>
        </w:rPr>
      </w:pPr>
      <w:r w:rsidRPr="004C3C17">
        <w:rPr>
          <w:rFonts w:hint="cs"/>
          <w:rtl/>
        </w:rPr>
        <w:t>וגם ב"ה זכה דורינו בהקמת ריבוי ישיבות ומוסדות חינוך הכשר לילדי ישראל, במידה רבה ועצומה.</w:t>
      </w:r>
    </w:p>
    <w:p w:rsidR="00825FC6" w:rsidRPr="004C3C17" w:rsidRDefault="00825FC6" w:rsidP="00825FC6">
      <w:pPr>
        <w:pStyle w:val="a3"/>
        <w:rPr>
          <w:rtl/>
        </w:rPr>
      </w:pPr>
      <w:r w:rsidRPr="004C3C17">
        <w:rPr>
          <w:rFonts w:hint="cs"/>
          <w:rtl/>
        </w:rPr>
        <w:t>ואפשר על כן בא הקטרוג</w:t>
      </w:r>
      <w:r>
        <w:rPr>
          <w:rFonts w:hint="cs"/>
          <w:rtl/>
        </w:rPr>
        <w:t xml:space="preserve"> </w:t>
      </w:r>
      <w:r w:rsidRPr="004C3C17">
        <w:rPr>
          <w:rFonts w:hint="cs"/>
          <w:rtl/>
        </w:rPr>
        <w:t xml:space="preserve">ויתייצב בתוכם, במאורעות האחרונים למנוע היציאה לפעול בחוץ (מצד המחלה </w:t>
      </w:r>
      <w:r>
        <w:rPr>
          <w:rFonts w:hint="cs"/>
          <w:rtl/>
        </w:rPr>
        <w:t>המידבקת</w:t>
      </w:r>
      <w:r w:rsidRPr="004C3C17">
        <w:rPr>
          <w:rFonts w:hint="cs"/>
          <w:rtl/>
        </w:rPr>
        <w:t xml:space="preserve">), ונצרך כל אדם להיות מסוגר רק לעצמו. וכן </w:t>
      </w:r>
      <w:r>
        <w:rPr>
          <w:rFonts w:hint="cs"/>
          <w:rtl/>
        </w:rPr>
        <w:t xml:space="preserve">הוא הקיטרוג </w:t>
      </w:r>
      <w:r w:rsidRPr="004C3C17">
        <w:rPr>
          <w:rFonts w:hint="cs"/>
          <w:rtl/>
        </w:rPr>
        <w:t>בענין מניעת לימוד ילדי ישראל (שעל זה מתקיים עלמא כידוע בגמ' שבת, ובגמ' ב"ב דכ"א שכל שעה ורגע שתשב"ר מתבטלים הוא מעוות שלא יוכל לתקון, ועיין תניא בתחילת פ"א).</w:t>
      </w:r>
    </w:p>
    <w:p w:rsidR="00825FC6" w:rsidRPr="004C3C17" w:rsidRDefault="00825FC6" w:rsidP="00825FC6">
      <w:pPr>
        <w:pStyle w:val="a3"/>
        <w:rPr>
          <w:rtl/>
        </w:rPr>
      </w:pPr>
      <w:r w:rsidRPr="004C3C17">
        <w:rPr>
          <w:rFonts w:hint="cs"/>
          <w:rtl/>
        </w:rPr>
        <w:t>ותמיד הורנו רבינו אשר הדרך להתגבר על המניעות, זהו דוקא בהוספת "השכם והערב בדברי תורה" שאז המקטרג כלין מאליהן, וכן בהוספה בלימוד וידיעת התורה עבור תשב"ר, וכידוע ריבוי שיחות הרבי בענין "מפי עוללים ויונקים יסדת עוז" גו'. וכאשר רבים הוסיפו בעז"ה על ידי הטכנולוגיות, ויותר מבעבר.</w:t>
      </w:r>
    </w:p>
    <w:p w:rsidR="00825FC6" w:rsidRPr="004C3C17" w:rsidRDefault="00825FC6" w:rsidP="00825FC6">
      <w:pPr>
        <w:pStyle w:val="a3"/>
        <w:rPr>
          <w:rtl/>
        </w:rPr>
      </w:pPr>
      <w:r w:rsidRPr="004C3C17">
        <w:rPr>
          <w:rFonts w:hint="cs"/>
          <w:rtl/>
        </w:rPr>
        <w:t>ולפי מאמר רבינו הזקן בכמה מקומות על פסוק "מי יעלה בהר ה'", שכאשר עומדים בשיפוע ההר או עולים או יורדים, אבל בודאי לא עומדים במקום אחד. גם בזה קיים לכאורה או דרך דילוג למעלה מהמניעות, או ירידה למטה ח"ו.</w:t>
      </w:r>
    </w:p>
    <w:p w:rsidR="00825FC6" w:rsidRPr="004C3C17" w:rsidRDefault="00825FC6" w:rsidP="00825FC6">
      <w:pPr>
        <w:pStyle w:val="a3"/>
        <w:jc w:val="center"/>
        <w:rPr>
          <w:sz w:val="20"/>
          <w:szCs w:val="20"/>
          <w:rtl/>
        </w:rPr>
      </w:pPr>
      <w:r w:rsidRPr="004C3C17">
        <w:rPr>
          <w:rFonts w:hint="cs"/>
          <w:sz w:val="20"/>
          <w:szCs w:val="20"/>
          <w:rtl/>
        </w:rPr>
        <w:lastRenderedPageBreak/>
        <w:t>*     *     *</w:t>
      </w:r>
    </w:p>
    <w:p w:rsidR="00825FC6" w:rsidRPr="004C3C17" w:rsidRDefault="00825FC6" w:rsidP="00825FC6">
      <w:pPr>
        <w:pStyle w:val="11"/>
        <w:bidi/>
        <w:rPr>
          <w:rtl/>
        </w:rPr>
      </w:pPr>
      <w:r w:rsidRPr="004C3C17">
        <w:rPr>
          <w:rFonts w:hint="cs"/>
          <w:rtl/>
        </w:rPr>
        <w:t>אהבת ישראל "אשר קרהו"</w:t>
      </w:r>
    </w:p>
    <w:p w:rsidR="00825FC6" w:rsidRPr="004C3C17" w:rsidRDefault="00825FC6" w:rsidP="00825FC6">
      <w:pPr>
        <w:pStyle w:val="a3"/>
        <w:rPr>
          <w:rtl/>
        </w:rPr>
      </w:pPr>
      <w:r w:rsidRPr="004C3C17">
        <w:rPr>
          <w:rFonts w:hint="cs"/>
          <w:rtl/>
        </w:rPr>
        <w:t>ענין שלישי דובר באותו כינוס חברים, בענין יום הולדת אדמו"ר מהר"ש, שהוא בב' אייר ספירת "תפארת שבתפארת".</w:t>
      </w:r>
    </w:p>
    <w:p w:rsidR="00825FC6" w:rsidRPr="004C3C17" w:rsidRDefault="00825FC6" w:rsidP="00825FC6">
      <w:pPr>
        <w:pStyle w:val="a3"/>
        <w:rPr>
          <w:rtl/>
        </w:rPr>
      </w:pPr>
      <w:r w:rsidRPr="004C3C17">
        <w:rPr>
          <w:rFonts w:hint="cs"/>
          <w:rtl/>
        </w:rPr>
        <w:t>בס' השיחות פורים תש"ה וכן פורים תשי"ט, מדובר באורך בענין "אהבת ישראל"</w:t>
      </w:r>
      <w:r w:rsidRPr="004C3C17">
        <w:rPr>
          <w:rFonts w:hint="cs"/>
        </w:rPr>
        <w:t xml:space="preserve"> </w:t>
      </w:r>
      <w:r w:rsidRPr="004C3C17">
        <w:rPr>
          <w:rFonts w:hint="cs"/>
          <w:rtl/>
        </w:rPr>
        <w:t>של החסידים, שזהו ע"פ האמור במרדכי "אשר קרהו", אף כי הגזירה לא היתה עליו ממש מכיון שהיה ראש הסנהדרין ויושב בשער המלך כו'. וחסיד כשקורה צער לחבירו, ומכ"ש שמחה, איננו רק משתתף בצער חבירו, אלא זהו "אשר קרהו" קרה לו בעצמו (ואח"כ נאמר במגילה "ויספר גו' אשר קרהו" בהמן, כי "אשר קרהו" הראשון גרם לביטול גזירת המן). ומוסיף שם אשר מלמד חסיד שאינו מחנך את הילדים לדרגת "אשר קרהו"</w:t>
      </w:r>
      <w:r w:rsidRPr="004C3C17">
        <w:rPr>
          <w:rFonts w:hint="cs"/>
        </w:rPr>
        <w:t xml:space="preserve"> </w:t>
      </w:r>
      <w:r w:rsidRPr="004C3C17">
        <w:rPr>
          <w:rFonts w:hint="cs"/>
          <w:rtl/>
        </w:rPr>
        <w:t>זו הוא בכלל "עושה מלאכת ה' ברמייה".</w:t>
      </w:r>
    </w:p>
    <w:p w:rsidR="00825FC6" w:rsidRPr="004C3C17" w:rsidRDefault="00825FC6" w:rsidP="00825FC6">
      <w:pPr>
        <w:pStyle w:val="11"/>
        <w:bidi/>
        <w:rPr>
          <w:rtl/>
        </w:rPr>
      </w:pPr>
      <w:r w:rsidRPr="004C3C17">
        <w:rPr>
          <w:rFonts w:hint="cs"/>
          <w:rtl/>
        </w:rPr>
        <w:t>"נפשו עיקר וגופו טפל"</w:t>
      </w:r>
    </w:p>
    <w:p w:rsidR="00825FC6" w:rsidRPr="004C3C17" w:rsidRDefault="00825FC6" w:rsidP="00825FC6">
      <w:pPr>
        <w:pStyle w:val="a3"/>
        <w:rPr>
          <w:rtl/>
        </w:rPr>
      </w:pPr>
      <w:r w:rsidRPr="004C3C17">
        <w:rPr>
          <w:rFonts w:hint="cs"/>
          <w:rtl/>
        </w:rPr>
        <w:t>ולכאורה אם כל צער זולתו הוא צער עצמו, מנין האפשרות לקבל מדות אלו של צער?</w:t>
      </w:r>
    </w:p>
    <w:p w:rsidR="00825FC6" w:rsidRPr="004C3C17" w:rsidRDefault="00825FC6" w:rsidP="00825FC6">
      <w:pPr>
        <w:pStyle w:val="a3"/>
        <w:rPr>
          <w:rtl/>
        </w:rPr>
      </w:pPr>
      <w:r w:rsidRPr="004C3C17">
        <w:rPr>
          <w:rFonts w:hint="cs"/>
          <w:rtl/>
        </w:rPr>
        <w:t>וי"ל כי זהו ע"ד המבואר בתניא פל"ב באהבת ישראל אמיתית שבאה דוקא על ידי הרגשת הנפש עיקר והגוף טפל, שאז כל הנשמות מתאימות ואב אחד לכולנה כו'.</w:t>
      </w:r>
    </w:p>
    <w:p w:rsidR="00825FC6" w:rsidRPr="004C3C17" w:rsidRDefault="00825FC6" w:rsidP="00825FC6">
      <w:pPr>
        <w:pStyle w:val="a3"/>
        <w:rPr>
          <w:rtl/>
        </w:rPr>
      </w:pPr>
      <w:r w:rsidRPr="004C3C17">
        <w:rPr>
          <w:rFonts w:hint="cs"/>
          <w:rtl/>
        </w:rPr>
        <w:t>אם כן מי שמגיע לדרגת בינוני זו, איננו מרגיש כל כך צער היסורים, כי אצלו הנפש עיקר ולא הגוף, וכמבואר בכמה מקומות, ובתניא באגה"ק (וגם בלקו"ת חוקת שנזכר מקודם. ובדרגא עליונה יותר הוא מה שמובא בלקו"ש מהרה"ק ר"ז מאניפאלי שלא ידע מהו יסורים).</w:t>
      </w:r>
    </w:p>
    <w:p w:rsidR="00825FC6" w:rsidRPr="004C3C17" w:rsidRDefault="00825FC6" w:rsidP="00825FC6">
      <w:pPr>
        <w:pStyle w:val="11"/>
        <w:bidi/>
        <w:rPr>
          <w:rtl/>
        </w:rPr>
      </w:pPr>
      <w:r w:rsidRPr="004C3C17">
        <w:rPr>
          <w:rFonts w:hint="cs"/>
          <w:rtl/>
        </w:rPr>
        <w:t>השייכות אל דורינו</w:t>
      </w:r>
    </w:p>
    <w:p w:rsidR="00825FC6" w:rsidRPr="004C3C17" w:rsidRDefault="00825FC6" w:rsidP="00825FC6">
      <w:pPr>
        <w:pStyle w:val="a3"/>
        <w:rPr>
          <w:rtl/>
        </w:rPr>
      </w:pPr>
      <w:r w:rsidRPr="004C3C17">
        <w:rPr>
          <w:rFonts w:hint="cs"/>
          <w:rtl/>
        </w:rPr>
        <w:t>ובימינו צ"ל עכ"פ השאיפה והרצון להגיע לדרגא זו, אף כי יתכן שהדרך עדיין ארוכה, אבל לפחות האדם עובד ומתקרב לדרגת "אשר קרהו". ואפשר על ידי "אריבער" יש להגיע לקצת ממידה זו. ולפי השיחה אם לא זהו שאיפתו ועבודתו, אז לא בשם חסיד ייקרא.</w:t>
      </w:r>
    </w:p>
    <w:p w:rsidR="00825FC6" w:rsidRPr="004C3C17" w:rsidRDefault="00825FC6" w:rsidP="00825FC6">
      <w:pPr>
        <w:pStyle w:val="a3"/>
        <w:rPr>
          <w:rtl/>
        </w:rPr>
      </w:pPr>
      <w:r w:rsidRPr="004C3C17">
        <w:rPr>
          <w:rFonts w:hint="cs"/>
          <w:rtl/>
        </w:rPr>
        <w:t>[יש לציין אל מאמר אדה"ז הידוע בענין "והסירותי את לב האבן", על מדריגות גבוהות שנמצא בדא"ח, הלא רואים מהשומעים שאין אצלם אפילו דרגות פחותות מאלו. וענה רבינו הזקן: לעת"ל יגיע האדם לדרגות הנעלות ע"י אתערותא דלעילא, וכל עניני דרגות הגבוהות שיופעלו לעתיד לבא בלב האדם, צריך להיות נקלט עתה במוחין אף שאינו מאיר בלב, ורק על ידי שיוקלט במוח יהי' לעת"ל והסירותי את לב האבן. עיי"ש ביתר ביאור.</w:t>
      </w:r>
    </w:p>
    <w:p w:rsidR="00FA5CCA" w:rsidRDefault="00825FC6" w:rsidP="00825FC6">
      <w:pPr>
        <w:pStyle w:val="a3"/>
        <w:rPr>
          <w:rtl/>
        </w:rPr>
      </w:pPr>
      <w:r w:rsidRPr="004C3C17">
        <w:rPr>
          <w:rFonts w:hint="cs"/>
          <w:rtl/>
        </w:rPr>
        <w:t>א"כ גם בנדו"ד, מהחסיד נדרש ההבנה במוח והשאיפה להגיע לדרגת אהבת ישראל הנעלית "אשר קרהו].</w:t>
      </w:r>
    </w:p>
    <w:p w:rsidR="00FA5CCA" w:rsidRDefault="00FA5CCA">
      <w:pPr>
        <w:rPr>
          <w:rFonts w:ascii="FbFrankReal" w:eastAsia="Calibri" w:hAnsi="FbFrankReal" w:cs="FbFrankReal"/>
          <w:color w:val="000000" w:themeColor="text1"/>
          <w:bdr w:val="nil"/>
          <w:rtl/>
          <w:lang w:val="bg-BG"/>
        </w:rPr>
      </w:pPr>
      <w:r>
        <w:rPr>
          <w:rtl/>
        </w:rPr>
        <w:br w:type="page"/>
      </w:r>
    </w:p>
    <w:p w:rsidR="00825FC6" w:rsidRPr="004C3C17" w:rsidRDefault="00825FC6" w:rsidP="00825FC6">
      <w:pPr>
        <w:pStyle w:val="11"/>
        <w:bidi/>
        <w:rPr>
          <w:rtl/>
        </w:rPr>
      </w:pPr>
      <w:r w:rsidRPr="004C3C17">
        <w:rPr>
          <w:rFonts w:hint="cs"/>
          <w:rtl/>
        </w:rPr>
        <w:lastRenderedPageBreak/>
        <w:t>תפארת שבתפארת</w:t>
      </w:r>
    </w:p>
    <w:p w:rsidR="00825FC6" w:rsidRPr="004C3C17" w:rsidRDefault="00825FC6" w:rsidP="00825FC6">
      <w:pPr>
        <w:pStyle w:val="a3"/>
        <w:rPr>
          <w:rtl/>
        </w:rPr>
      </w:pPr>
      <w:r w:rsidRPr="004C3C17">
        <w:rPr>
          <w:rFonts w:hint="cs"/>
          <w:rtl/>
        </w:rPr>
        <w:t>יום הולדת כ"ק אדמו"ר מהר"ש, הוא בב' אייר, שזהו ספירת "תפארת שבתפארת", ולפי הנ"ל אולי הפירוש: הלא תפארת הוא רחמים כמ"ש תמיד בזוהר ובחסידות, ויש שני סוגי רחמים, א' רחמנות והרגשה בצער חבירו, ב' דרגא עליונה יותר ברחמים היא שהרחמים כובשים אותו שצער חבירו הוא צער של עצמו.</w:t>
      </w:r>
    </w:p>
    <w:p w:rsidR="00825FC6" w:rsidRPr="004C3C17" w:rsidRDefault="00825FC6" w:rsidP="00825FC6">
      <w:pPr>
        <w:pStyle w:val="a3"/>
        <w:rPr>
          <w:rtl/>
        </w:rPr>
      </w:pPr>
      <w:r w:rsidRPr="004C3C17">
        <w:rPr>
          <w:rFonts w:hint="cs"/>
          <w:rtl/>
        </w:rPr>
        <w:t>[אפשר בלשון החסידות כי הקו הוא מדת התפארת, א' הוא היושר שבקו, ב' הוא העיגולים שבקו].</w:t>
      </w:r>
    </w:p>
    <w:p w:rsidR="002F0CA3" w:rsidRPr="006E31A6" w:rsidRDefault="002F0CA3" w:rsidP="002F0CA3">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6E31A6">
        <w:rPr>
          <w:rFonts w:ascii="Nymphette" w:eastAsia="Times New Roman" w:hAnsi="Nymphette" w:cs="Nymphette"/>
          <w:sz w:val="44"/>
          <w:szCs w:val="44"/>
        </w:rPr>
        <w:t>g</w:t>
      </w:r>
    </w:p>
    <w:p w:rsidR="00E533D1" w:rsidRDefault="00E533D1">
      <w:pPr>
        <w:rPr>
          <w:sz w:val="36"/>
          <w:szCs w:val="36"/>
          <w:rtl/>
        </w:rPr>
      </w:pPr>
      <w:r>
        <w:rPr>
          <w:sz w:val="36"/>
          <w:szCs w:val="36"/>
          <w:rtl/>
        </w:rPr>
        <w:br w:type="page"/>
      </w:r>
    </w:p>
    <w:p w:rsidR="00E533D1" w:rsidRDefault="00E533D1" w:rsidP="00470ABF">
      <w:pPr>
        <w:bidi/>
        <w:spacing w:after="120" w:line="288" w:lineRule="auto"/>
        <w:jc w:val="center"/>
        <w:rPr>
          <w:rFonts w:ascii="Narkisim" w:eastAsia="Times New Roman" w:hAnsi="Narkisim" w:cs="1ShefaClassic"/>
          <w:b/>
          <w:sz w:val="27"/>
          <w:szCs w:val="27"/>
          <w:rtl/>
        </w:rPr>
      </w:pPr>
    </w:p>
    <w:p w:rsidR="00C25DC9" w:rsidRDefault="00C25DC9" w:rsidP="00C25DC9">
      <w:pPr>
        <w:bidi/>
        <w:spacing w:after="120" w:line="288" w:lineRule="auto"/>
        <w:jc w:val="center"/>
        <w:rPr>
          <w:rFonts w:ascii="Narkisim" w:eastAsia="Times New Roman" w:hAnsi="Narkisim" w:cs="1ShefaClassic"/>
          <w:b/>
          <w:sz w:val="27"/>
          <w:szCs w:val="27"/>
          <w:rtl/>
        </w:rPr>
      </w:pPr>
    </w:p>
    <w:p w:rsidR="00C25DC9" w:rsidRPr="00AD0970" w:rsidRDefault="00C25DC9" w:rsidP="00C25DC9">
      <w:pPr>
        <w:bidi/>
        <w:spacing w:after="120" w:line="288" w:lineRule="auto"/>
        <w:jc w:val="center"/>
        <w:rPr>
          <w:rFonts w:ascii="Narkisim" w:eastAsia="Times New Roman" w:hAnsi="Narkisim" w:cs="1ShefaClassic"/>
          <w:b/>
          <w:sz w:val="28"/>
          <w:szCs w:val="28"/>
          <w:rtl/>
        </w:rPr>
      </w:pPr>
    </w:p>
    <w:p w:rsidR="00760DB7" w:rsidRPr="00AD0970" w:rsidRDefault="00470ABF" w:rsidP="00E533D1">
      <w:pPr>
        <w:bidi/>
        <w:spacing w:after="120" w:line="288" w:lineRule="auto"/>
        <w:jc w:val="center"/>
        <w:rPr>
          <w:rFonts w:ascii="Narkisim" w:eastAsia="Times New Roman" w:hAnsi="Narkisim" w:cs="1ShefaClassic"/>
          <w:b/>
          <w:sz w:val="30"/>
          <w:szCs w:val="30"/>
          <w:rtl/>
        </w:rPr>
      </w:pPr>
      <w:r w:rsidRPr="00AD0970">
        <w:rPr>
          <w:rFonts w:ascii="Narkisim" w:eastAsia="Times New Roman" w:hAnsi="Narkisim" w:cs="1ShefaClassic" w:hint="cs"/>
          <w:b/>
          <w:sz w:val="30"/>
          <w:szCs w:val="30"/>
          <w:rtl/>
        </w:rPr>
        <w:t xml:space="preserve">לזכות </w:t>
      </w:r>
    </w:p>
    <w:p w:rsidR="00470ABF" w:rsidRPr="00AD0970" w:rsidRDefault="00470ABF" w:rsidP="00470ABF">
      <w:pPr>
        <w:bidi/>
        <w:spacing w:after="120" w:line="288" w:lineRule="auto"/>
        <w:jc w:val="center"/>
        <w:rPr>
          <w:rFonts w:ascii="Narkisim" w:eastAsia="Times New Roman" w:hAnsi="Narkisim" w:cs="1ShefaClassic"/>
          <w:b/>
          <w:sz w:val="30"/>
          <w:szCs w:val="30"/>
          <w:rtl/>
        </w:rPr>
      </w:pPr>
      <w:r w:rsidRPr="00AD0970">
        <w:rPr>
          <w:rFonts w:ascii="Narkisim" w:eastAsia="Times New Roman" w:hAnsi="Narkisim" w:cs="1ShefaClassic" w:hint="cs"/>
          <w:b/>
          <w:sz w:val="30"/>
          <w:szCs w:val="30"/>
          <w:rtl/>
        </w:rPr>
        <w:t xml:space="preserve">ידידנו היקר עסקן בעל מרץ </w:t>
      </w:r>
    </w:p>
    <w:p w:rsidR="00470ABF" w:rsidRPr="00AD0970" w:rsidRDefault="00470ABF" w:rsidP="00470ABF">
      <w:pPr>
        <w:bidi/>
        <w:spacing w:after="120" w:line="288" w:lineRule="auto"/>
        <w:jc w:val="center"/>
        <w:rPr>
          <w:rFonts w:ascii="Narkisim" w:eastAsia="Times New Roman" w:hAnsi="Narkisim" w:cs="1ShefaClassic"/>
          <w:b/>
          <w:sz w:val="30"/>
          <w:szCs w:val="30"/>
          <w:rtl/>
        </w:rPr>
      </w:pPr>
      <w:r w:rsidRPr="00AD0970">
        <w:rPr>
          <w:rFonts w:ascii="Narkisim" w:eastAsia="Times New Roman" w:hAnsi="Narkisim" w:cs="1ShefaClassic" w:hint="cs"/>
          <w:b/>
          <w:sz w:val="30"/>
          <w:szCs w:val="30"/>
          <w:rtl/>
        </w:rPr>
        <w:t xml:space="preserve">ראש לכל דבר שבקדושה </w:t>
      </w:r>
    </w:p>
    <w:p w:rsidR="00470ABF" w:rsidRPr="00AD0970" w:rsidRDefault="00470ABF" w:rsidP="00470ABF">
      <w:pPr>
        <w:bidi/>
        <w:spacing w:after="120" w:line="288" w:lineRule="auto"/>
        <w:jc w:val="center"/>
        <w:rPr>
          <w:rFonts w:ascii="Narkisim" w:eastAsia="Times New Roman" w:hAnsi="Narkisim" w:cs="1ShefaClassic"/>
          <w:b/>
          <w:sz w:val="30"/>
          <w:szCs w:val="30"/>
          <w:rtl/>
        </w:rPr>
      </w:pPr>
      <w:r w:rsidRPr="00AD0970">
        <w:rPr>
          <w:rFonts w:ascii="Narkisim" w:eastAsia="Times New Roman" w:hAnsi="Narkisim" w:cs="1ShefaClassic" w:hint="cs"/>
          <w:b/>
          <w:sz w:val="30"/>
          <w:szCs w:val="30"/>
          <w:rtl/>
        </w:rPr>
        <w:t xml:space="preserve">מקושר בלו"נ לכ"ק אדמו"ר </w:t>
      </w:r>
    </w:p>
    <w:p w:rsidR="00470ABF" w:rsidRPr="00AD0970" w:rsidRDefault="00470ABF" w:rsidP="00470ABF">
      <w:pPr>
        <w:bidi/>
        <w:spacing w:after="120" w:line="288" w:lineRule="auto"/>
        <w:jc w:val="center"/>
        <w:rPr>
          <w:rFonts w:ascii="Narkisim" w:eastAsia="Times New Roman" w:hAnsi="Narkisim" w:cs="1ShefaClassic"/>
          <w:b/>
          <w:sz w:val="30"/>
          <w:szCs w:val="30"/>
          <w:rtl/>
        </w:rPr>
      </w:pPr>
      <w:r w:rsidRPr="00AD0970">
        <w:rPr>
          <w:rFonts w:ascii="Narkisim" w:eastAsia="Times New Roman" w:hAnsi="Narkisim" w:cs="1ShefaClassic" w:hint="cs"/>
          <w:b/>
          <w:sz w:val="30"/>
          <w:szCs w:val="30"/>
          <w:rtl/>
        </w:rPr>
        <w:t>ה"ה הת' הנע' והנכבד</w:t>
      </w:r>
    </w:p>
    <w:p w:rsidR="00DD7B49" w:rsidRPr="00AD0970" w:rsidRDefault="00470ABF" w:rsidP="00470ABF">
      <w:pPr>
        <w:bidi/>
        <w:spacing w:after="120" w:line="288" w:lineRule="auto"/>
        <w:jc w:val="center"/>
        <w:rPr>
          <w:rFonts w:ascii="Narkisim" w:eastAsia="Times New Roman" w:hAnsi="Narkisim" w:cs="1ShefaClassic"/>
          <w:b/>
          <w:sz w:val="28"/>
          <w:szCs w:val="28"/>
          <w:rtl/>
        </w:rPr>
      </w:pPr>
      <w:r w:rsidRPr="00AD0970">
        <w:rPr>
          <w:rFonts w:ascii="Narkisim" w:eastAsia="Times New Roman" w:hAnsi="Narkisim" w:cs="1ShefaClassic" w:hint="cs"/>
          <w:bCs/>
          <w:sz w:val="32"/>
          <w:szCs w:val="32"/>
          <w:rtl/>
        </w:rPr>
        <w:t>מנחם מענדל ברוין</w:t>
      </w:r>
      <w:r w:rsidRPr="00AD0970">
        <w:rPr>
          <w:rFonts w:ascii="Narkisim" w:eastAsia="Times New Roman" w:hAnsi="Narkisim" w:cs="1ShefaClassic" w:hint="cs"/>
          <w:b/>
          <w:sz w:val="28"/>
          <w:szCs w:val="28"/>
          <w:rtl/>
        </w:rPr>
        <w:t xml:space="preserve"> </w:t>
      </w:r>
      <w:r w:rsidR="00E533D1" w:rsidRPr="00AD0970">
        <w:rPr>
          <w:rFonts w:ascii="Narkisim" w:eastAsia="Times New Roman" w:hAnsi="Narkisim" w:cs="1ShefaClassic" w:hint="cs"/>
          <w:b/>
          <w:sz w:val="28"/>
          <w:szCs w:val="28"/>
          <w:rtl/>
        </w:rPr>
        <w:t>שי'</w:t>
      </w:r>
    </w:p>
    <w:p w:rsidR="00E533D1" w:rsidRPr="00AD0970" w:rsidRDefault="00E533D1" w:rsidP="00E533D1">
      <w:pPr>
        <w:bidi/>
        <w:spacing w:after="120" w:line="288" w:lineRule="auto"/>
        <w:jc w:val="center"/>
        <w:rPr>
          <w:rFonts w:ascii="Narkisim" w:eastAsia="Times New Roman" w:hAnsi="Narkisim" w:cs="1ShefaClassic"/>
          <w:sz w:val="30"/>
          <w:szCs w:val="30"/>
        </w:rPr>
      </w:pPr>
      <w:r w:rsidRPr="00AD0970">
        <w:rPr>
          <w:rFonts w:ascii="Narkisim" w:eastAsia="Times New Roman" w:hAnsi="Narkisim" w:cs="1ShefaClassic"/>
          <w:sz w:val="30"/>
          <w:szCs w:val="30"/>
        </w:rPr>
        <w:sym w:font="Wingdings 2" w:char="F0B1"/>
      </w:r>
    </w:p>
    <w:p w:rsidR="00470ABF" w:rsidRPr="00AD0970" w:rsidRDefault="00470ABF" w:rsidP="00470ABF">
      <w:pPr>
        <w:bidi/>
        <w:spacing w:after="120" w:line="288" w:lineRule="auto"/>
        <w:jc w:val="center"/>
        <w:rPr>
          <w:rFonts w:ascii="Narkisim" w:eastAsia="Times New Roman" w:hAnsi="Narkisim" w:cs="1ShefaClassic"/>
          <w:b/>
          <w:sz w:val="30"/>
          <w:szCs w:val="30"/>
          <w:rtl/>
        </w:rPr>
      </w:pPr>
      <w:r w:rsidRPr="00AD0970">
        <w:rPr>
          <w:rFonts w:ascii="Narkisim" w:eastAsia="Times New Roman" w:hAnsi="Narkisim" w:cs="1ShefaClassic" w:hint="cs"/>
          <w:b/>
          <w:sz w:val="30"/>
          <w:szCs w:val="30"/>
          <w:rtl/>
        </w:rPr>
        <w:t>לרגל יום הולדתו ביום ט"ז אייר הבעל"ט</w:t>
      </w:r>
    </w:p>
    <w:p w:rsidR="00470ABF" w:rsidRPr="00AD0970" w:rsidRDefault="00470ABF" w:rsidP="00470ABF">
      <w:pPr>
        <w:bidi/>
        <w:spacing w:after="120" w:line="288" w:lineRule="auto"/>
        <w:jc w:val="center"/>
        <w:rPr>
          <w:rFonts w:ascii="Narkisim" w:eastAsia="Times New Roman" w:hAnsi="Narkisim" w:cs="1ShefaClassic"/>
          <w:b/>
          <w:sz w:val="30"/>
          <w:szCs w:val="30"/>
          <w:rtl/>
        </w:rPr>
      </w:pPr>
      <w:r w:rsidRPr="00AD0970">
        <w:rPr>
          <w:rFonts w:ascii="Narkisim" w:eastAsia="Times New Roman" w:hAnsi="Narkisim" w:cs="1ShefaClassic" w:hint="cs"/>
          <w:b/>
          <w:sz w:val="30"/>
          <w:szCs w:val="30"/>
          <w:rtl/>
        </w:rPr>
        <w:t>ויה"ר מהשי"ת שיעלה מעלה ויצליח בכל פעולותי</w:t>
      </w:r>
      <w:r w:rsidRPr="00AD0970">
        <w:rPr>
          <w:rFonts w:ascii="Narkisim" w:eastAsia="Times New Roman" w:hAnsi="Narkisim" w:cs="1ShefaClassic" w:hint="eastAsia"/>
          <w:b/>
          <w:sz w:val="30"/>
          <w:szCs w:val="30"/>
          <w:rtl/>
        </w:rPr>
        <w:t>ו</w:t>
      </w:r>
      <w:r w:rsidRPr="00AD0970">
        <w:rPr>
          <w:rFonts w:ascii="Narkisim" w:eastAsia="Times New Roman" w:hAnsi="Narkisim" w:cs="1ShefaClassic" w:hint="cs"/>
          <w:b/>
          <w:sz w:val="30"/>
          <w:szCs w:val="30"/>
          <w:rtl/>
        </w:rPr>
        <w:t xml:space="preserve"> </w:t>
      </w:r>
    </w:p>
    <w:p w:rsidR="00470ABF" w:rsidRPr="00AD0970" w:rsidRDefault="00470ABF" w:rsidP="00470ABF">
      <w:pPr>
        <w:bidi/>
        <w:spacing w:after="120" w:line="288" w:lineRule="auto"/>
        <w:jc w:val="center"/>
        <w:rPr>
          <w:rFonts w:ascii="Narkisim" w:eastAsia="Times New Roman" w:hAnsi="Narkisim" w:cs="1ShefaClassic"/>
          <w:b/>
          <w:sz w:val="30"/>
          <w:szCs w:val="30"/>
          <w:rtl/>
        </w:rPr>
      </w:pPr>
      <w:r w:rsidRPr="00AD0970">
        <w:rPr>
          <w:rFonts w:ascii="Narkisim" w:eastAsia="Times New Roman" w:hAnsi="Narkisim" w:cs="1ShefaClassic" w:hint="cs"/>
          <w:b/>
          <w:sz w:val="30"/>
          <w:szCs w:val="30"/>
          <w:rtl/>
        </w:rPr>
        <w:t>ויגרום נחר"ר לנשיא דורנו</w:t>
      </w:r>
    </w:p>
    <w:p w:rsidR="00DD7B49" w:rsidRPr="00AD0970" w:rsidRDefault="00DD7B49" w:rsidP="00DD7B49">
      <w:pPr>
        <w:bidi/>
        <w:spacing w:after="120" w:line="288" w:lineRule="auto"/>
        <w:jc w:val="center"/>
        <w:rPr>
          <w:rFonts w:ascii="Narkisim" w:eastAsia="Times New Roman" w:hAnsi="Narkisim" w:cs="1ShefaClassic"/>
          <w:sz w:val="30"/>
          <w:szCs w:val="30"/>
        </w:rPr>
      </w:pPr>
      <w:r w:rsidRPr="00AD0970">
        <w:rPr>
          <w:rFonts w:ascii="Narkisim" w:eastAsia="Times New Roman" w:hAnsi="Narkisim" w:cs="1ShefaClassic"/>
          <w:sz w:val="30"/>
          <w:szCs w:val="30"/>
        </w:rPr>
        <w:sym w:font="Wingdings 2" w:char="F0B2"/>
      </w:r>
    </w:p>
    <w:p w:rsidR="00470ABF" w:rsidRPr="00AD0970" w:rsidRDefault="00470ABF" w:rsidP="00470ABF">
      <w:pPr>
        <w:bidi/>
        <w:spacing w:after="120" w:line="288" w:lineRule="auto"/>
        <w:jc w:val="center"/>
        <w:rPr>
          <w:rFonts w:ascii="Narkisim" w:eastAsia="Times New Roman" w:hAnsi="Narkisim" w:cs="1ShefaClassic"/>
          <w:b/>
          <w:sz w:val="30"/>
          <w:szCs w:val="30"/>
          <w:rtl/>
        </w:rPr>
      </w:pPr>
      <w:r w:rsidRPr="00AD0970">
        <w:rPr>
          <w:rFonts w:ascii="Narkisim" w:eastAsia="Times New Roman" w:hAnsi="Narkisim" w:cs="1ShefaClassic" w:hint="cs"/>
          <w:b/>
          <w:sz w:val="30"/>
          <w:szCs w:val="30"/>
          <w:rtl/>
        </w:rPr>
        <w:t xml:space="preserve">נדפס ע"י ולזכות </w:t>
      </w:r>
    </w:p>
    <w:p w:rsidR="00E533D1" w:rsidRPr="00AD0970" w:rsidRDefault="00E533D1" w:rsidP="00E533D1">
      <w:pPr>
        <w:bidi/>
        <w:spacing w:after="120" w:line="288" w:lineRule="auto"/>
        <w:jc w:val="center"/>
        <w:rPr>
          <w:rFonts w:ascii="Narkisim" w:eastAsia="Times New Roman" w:hAnsi="Narkisim" w:cs="1ShefaClassic"/>
          <w:b/>
          <w:sz w:val="30"/>
          <w:szCs w:val="30"/>
          <w:rtl/>
        </w:rPr>
      </w:pPr>
      <w:r w:rsidRPr="00AD0970">
        <w:rPr>
          <w:rFonts w:ascii="Narkisim" w:eastAsia="Times New Roman" w:hAnsi="Narkisim" w:cs="1ShefaClassic" w:hint="cs"/>
          <w:b/>
          <w:sz w:val="30"/>
          <w:szCs w:val="30"/>
          <w:rtl/>
        </w:rPr>
        <w:t>חבריו שיחיו</w:t>
      </w:r>
    </w:p>
    <w:p w:rsidR="00DD7B49" w:rsidRPr="00AD0970" w:rsidRDefault="00DD7B49" w:rsidP="00DD7B49">
      <w:pPr>
        <w:pStyle w:val="a3"/>
        <w:rPr>
          <w:sz w:val="24"/>
          <w:szCs w:val="24"/>
          <w:rtl/>
        </w:rPr>
      </w:pPr>
    </w:p>
    <w:p w:rsidR="00760DB7" w:rsidRPr="00760DB7" w:rsidRDefault="00760DB7" w:rsidP="00760DB7">
      <w:pPr>
        <w:tabs>
          <w:tab w:val="left" w:pos="2171"/>
          <w:tab w:val="center" w:pos="3096"/>
        </w:tabs>
        <w:bidi/>
        <w:spacing w:after="100" w:line="360" w:lineRule="auto"/>
        <w:ind w:firstLine="288"/>
        <w:jc w:val="center"/>
        <w:rPr>
          <w:rFonts w:ascii="Nymphette" w:eastAsia="Times New Roman" w:hAnsi="Nymphette" w:cs="Nymphette"/>
          <w:sz w:val="44"/>
          <w:szCs w:val="44"/>
          <w:rtl/>
        </w:rPr>
      </w:pPr>
    </w:p>
    <w:p w:rsidR="00760DB7" w:rsidRPr="00760DB7" w:rsidRDefault="00760DB7" w:rsidP="00760DB7">
      <w:pPr>
        <w:bidi/>
        <w:spacing w:after="120" w:line="240" w:lineRule="auto"/>
        <w:jc w:val="center"/>
        <w:rPr>
          <w:rFonts w:ascii="Nymphette" w:eastAsia="Times New Roman" w:hAnsi="Nymphette" w:cs="Nymphette"/>
          <w:sz w:val="44"/>
          <w:szCs w:val="44"/>
          <w:rtl/>
        </w:rPr>
      </w:pPr>
      <w:r w:rsidRPr="00760DB7">
        <w:rPr>
          <w:rFonts w:ascii="Narkisim" w:eastAsia="Times New Roman" w:hAnsi="Narkisim" w:cs="Narkisim"/>
          <w:sz w:val="24"/>
          <w:szCs w:val="24"/>
        </w:rPr>
        <w:br w:type="page"/>
      </w:r>
    </w:p>
    <w:p w:rsidR="00760DB7" w:rsidRDefault="00760DB7" w:rsidP="00760DB7">
      <w:pPr>
        <w:bidi/>
        <w:jc w:val="center"/>
        <w:rPr>
          <w:rFonts w:cs="1ShefaClassic"/>
          <w:sz w:val="27"/>
          <w:szCs w:val="27"/>
          <w:rtl/>
        </w:rPr>
      </w:pPr>
    </w:p>
    <w:p w:rsidR="00C74526" w:rsidRDefault="00C74526" w:rsidP="00C74526">
      <w:pPr>
        <w:bidi/>
        <w:jc w:val="center"/>
        <w:rPr>
          <w:rFonts w:cs="1ShefaClassic"/>
          <w:sz w:val="27"/>
          <w:szCs w:val="27"/>
          <w:rtl/>
        </w:rPr>
      </w:pPr>
    </w:p>
    <w:p w:rsidR="00C74526" w:rsidRDefault="00C74526" w:rsidP="00C74526">
      <w:pPr>
        <w:bidi/>
        <w:jc w:val="center"/>
        <w:rPr>
          <w:rFonts w:cs="1ShefaClassic"/>
          <w:sz w:val="27"/>
          <w:szCs w:val="27"/>
          <w:rtl/>
        </w:rPr>
      </w:pPr>
    </w:p>
    <w:p w:rsidR="00C74526" w:rsidRDefault="00C74526" w:rsidP="00C74526">
      <w:pPr>
        <w:bidi/>
        <w:jc w:val="center"/>
        <w:rPr>
          <w:rFonts w:cs="1ShefaClassic"/>
          <w:sz w:val="27"/>
          <w:szCs w:val="27"/>
          <w:rtl/>
        </w:rPr>
      </w:pPr>
    </w:p>
    <w:p w:rsidR="00C74526" w:rsidRPr="00760DB7" w:rsidRDefault="00C74526" w:rsidP="00C74526">
      <w:pPr>
        <w:bidi/>
        <w:jc w:val="center"/>
        <w:rPr>
          <w:rFonts w:cs="1ShefaClassic"/>
          <w:sz w:val="27"/>
          <w:szCs w:val="27"/>
          <w:rtl/>
        </w:rPr>
      </w:pPr>
    </w:p>
    <w:p w:rsidR="00760DB7" w:rsidRPr="00760DB7" w:rsidRDefault="00760DB7" w:rsidP="00760DB7">
      <w:pPr>
        <w:bidi/>
        <w:spacing w:before="100" w:after="0" w:line="240" w:lineRule="auto"/>
        <w:jc w:val="center"/>
        <w:rPr>
          <w:rFonts w:cs="1ShefaClassic"/>
          <w:b/>
          <w:bCs/>
          <w:sz w:val="24"/>
          <w:szCs w:val="24"/>
          <w:rtl/>
        </w:rPr>
      </w:pPr>
    </w:p>
    <w:p w:rsidR="00760DB7" w:rsidRPr="00760DB7" w:rsidRDefault="00760DB7" w:rsidP="00760DB7">
      <w:pPr>
        <w:bidi/>
        <w:spacing w:before="100" w:after="0" w:line="240" w:lineRule="auto"/>
        <w:jc w:val="center"/>
        <w:rPr>
          <w:rFonts w:cs="1ShefaClassic"/>
          <w:b/>
          <w:bCs/>
          <w:sz w:val="24"/>
          <w:szCs w:val="24"/>
          <w:rtl/>
        </w:rPr>
      </w:pPr>
    </w:p>
    <w:p w:rsidR="00760DB7" w:rsidRPr="00FA5CCA" w:rsidRDefault="00760DB7" w:rsidP="00760DB7">
      <w:pPr>
        <w:bidi/>
        <w:spacing w:after="120" w:line="288" w:lineRule="auto"/>
        <w:jc w:val="center"/>
        <w:rPr>
          <w:rFonts w:ascii="Narkisim" w:eastAsia="Times New Roman" w:hAnsi="Narkisim" w:cs="1ShefaClassic"/>
          <w:sz w:val="32"/>
          <w:szCs w:val="32"/>
        </w:rPr>
      </w:pPr>
      <w:r w:rsidRPr="00FA5CCA">
        <w:rPr>
          <w:rFonts w:ascii="Narkisim" w:eastAsia="Times New Roman" w:hAnsi="Narkisim" w:cs="1ShefaClassic" w:hint="cs"/>
          <w:sz w:val="32"/>
          <w:szCs w:val="32"/>
          <w:rtl/>
        </w:rPr>
        <w:t>לזכות</w:t>
      </w:r>
    </w:p>
    <w:p w:rsidR="00CF324F" w:rsidRPr="00FA5CCA" w:rsidRDefault="00CF324F" w:rsidP="00CF324F">
      <w:pPr>
        <w:bidi/>
        <w:spacing w:after="120" w:line="288" w:lineRule="auto"/>
        <w:jc w:val="center"/>
        <w:rPr>
          <w:rFonts w:ascii="Narkisim" w:eastAsia="Times New Roman" w:hAnsi="Narkisim" w:cs="1ShefaClassic"/>
          <w:b/>
          <w:sz w:val="32"/>
          <w:szCs w:val="32"/>
          <w:rtl/>
        </w:rPr>
      </w:pPr>
      <w:r w:rsidRPr="00FA5CCA">
        <w:rPr>
          <w:rFonts w:ascii="Narkisim" w:eastAsia="Times New Roman" w:hAnsi="Narkisim" w:cs="1ShefaClassic"/>
          <w:b/>
          <w:sz w:val="32"/>
          <w:szCs w:val="32"/>
          <w:rtl/>
        </w:rPr>
        <w:t>ידידנו הנכבד והנעלה כותב חשוב ו</w:t>
      </w:r>
      <w:r w:rsidRPr="00FA5CCA">
        <w:rPr>
          <w:rFonts w:ascii="Narkisim" w:eastAsia="Times New Roman" w:hAnsi="Narkisim" w:cs="1ShefaClassic" w:hint="cs"/>
          <w:b/>
          <w:sz w:val="32"/>
          <w:szCs w:val="32"/>
          <w:rtl/>
        </w:rPr>
        <w:t>קבוע</w:t>
      </w:r>
      <w:r w:rsidRPr="00FA5CCA">
        <w:rPr>
          <w:rFonts w:ascii="Narkisim" w:eastAsia="Times New Roman" w:hAnsi="Narkisim" w:cs="1ShefaClassic"/>
          <w:b/>
          <w:sz w:val="32"/>
          <w:szCs w:val="32"/>
          <w:rtl/>
        </w:rPr>
        <w:t xml:space="preserve"> בהקובץ</w:t>
      </w:r>
    </w:p>
    <w:p w:rsidR="00CF324F" w:rsidRPr="00FA5CCA" w:rsidRDefault="00CF324F" w:rsidP="00CF324F">
      <w:pPr>
        <w:bidi/>
        <w:spacing w:after="120" w:line="288" w:lineRule="auto"/>
        <w:jc w:val="center"/>
        <w:rPr>
          <w:rFonts w:ascii="Narkisim" w:eastAsia="Times New Roman" w:hAnsi="Narkisim" w:cs="1ShefaClassic"/>
          <w:b/>
          <w:sz w:val="32"/>
          <w:szCs w:val="32"/>
          <w:rtl/>
        </w:rPr>
      </w:pPr>
      <w:r w:rsidRPr="00FA5CCA">
        <w:rPr>
          <w:rFonts w:ascii="Narkisim" w:eastAsia="Times New Roman" w:hAnsi="Narkisim" w:cs="1ShefaClassic"/>
          <w:b/>
          <w:sz w:val="32"/>
          <w:szCs w:val="32"/>
          <w:rtl/>
        </w:rPr>
        <w:t>הרה"ת הרה"ח ר'</w:t>
      </w:r>
      <w:r w:rsidRPr="00FA5CCA">
        <w:rPr>
          <w:rFonts w:ascii="Narkisim" w:eastAsia="Times New Roman" w:hAnsi="Narkisim" w:cs="1ShefaClassic"/>
          <w:bCs/>
          <w:sz w:val="32"/>
          <w:szCs w:val="32"/>
          <w:rtl/>
        </w:rPr>
        <w:t xml:space="preserve"> </w:t>
      </w:r>
      <w:r w:rsidRPr="00FA5CCA">
        <w:rPr>
          <w:rFonts w:ascii="Narkisim" w:eastAsia="Times New Roman" w:hAnsi="Narkisim" w:cs="1ShefaClassic" w:hint="cs"/>
          <w:bCs/>
          <w:sz w:val="32"/>
          <w:szCs w:val="32"/>
          <w:rtl/>
        </w:rPr>
        <w:t xml:space="preserve">רפאל </w:t>
      </w:r>
      <w:r w:rsidRPr="00FA5CCA">
        <w:rPr>
          <w:rFonts w:ascii="Narkisim" w:eastAsia="Times New Roman" w:hAnsi="Narkisim" w:cs="1ShefaClassic"/>
          <w:bCs/>
          <w:sz w:val="32"/>
          <w:szCs w:val="32"/>
          <w:rtl/>
        </w:rPr>
        <w:t>זאב</w:t>
      </w:r>
      <w:r w:rsidRPr="00FA5CCA">
        <w:rPr>
          <w:rFonts w:ascii="Narkisim" w:eastAsia="Times New Roman" w:hAnsi="Narkisim" w:cs="1ShefaClassic"/>
          <w:b/>
          <w:sz w:val="32"/>
          <w:szCs w:val="32"/>
          <w:rtl/>
        </w:rPr>
        <w:t xml:space="preserve"> </w:t>
      </w:r>
      <w:r w:rsidRPr="00FA5CCA">
        <w:rPr>
          <w:rFonts w:ascii="Narkisim" w:eastAsia="Times New Roman" w:hAnsi="Narkisim" w:cs="1ShefaClassic" w:hint="cs"/>
          <w:b/>
          <w:sz w:val="32"/>
          <w:szCs w:val="32"/>
          <w:rtl/>
        </w:rPr>
        <w:t xml:space="preserve">שי' </w:t>
      </w:r>
      <w:r w:rsidRPr="00FA5CCA">
        <w:rPr>
          <w:rFonts w:ascii="Narkisim" w:eastAsia="Times New Roman" w:hAnsi="Narkisim" w:cs="1ShefaClassic"/>
          <w:b/>
          <w:sz w:val="32"/>
          <w:szCs w:val="32"/>
          <w:rtl/>
        </w:rPr>
        <w:t xml:space="preserve">בן </w:t>
      </w:r>
      <w:r w:rsidRPr="00FA5CCA">
        <w:rPr>
          <w:rFonts w:ascii="Narkisim" w:eastAsia="Times New Roman" w:hAnsi="Narkisim" w:cs="1ShefaClassic"/>
          <w:bCs/>
          <w:sz w:val="32"/>
          <w:szCs w:val="32"/>
          <w:rtl/>
        </w:rPr>
        <w:t>ריקל</w:t>
      </w:r>
      <w:r w:rsidRPr="00FA5CCA">
        <w:rPr>
          <w:rFonts w:ascii="Narkisim" w:eastAsia="Times New Roman" w:hAnsi="Narkisim" w:cs="1ShefaClassic"/>
          <w:b/>
          <w:sz w:val="32"/>
          <w:szCs w:val="32"/>
          <w:rtl/>
        </w:rPr>
        <w:t xml:space="preserve"> </w:t>
      </w:r>
      <w:r w:rsidRPr="00FA5CCA">
        <w:rPr>
          <w:rFonts w:ascii="Narkisim" w:eastAsia="Times New Roman" w:hAnsi="Narkisim" w:cs="1ShefaClassic" w:hint="cs"/>
          <w:b/>
          <w:sz w:val="32"/>
          <w:szCs w:val="32"/>
          <w:rtl/>
        </w:rPr>
        <w:br/>
        <w:t xml:space="preserve">שישלח לו השי"ת </w:t>
      </w:r>
      <w:r w:rsidRPr="00FA5CCA">
        <w:rPr>
          <w:rFonts w:ascii="Narkisim" w:eastAsia="Times New Roman" w:hAnsi="Narkisim" w:cs="1ShefaClassic"/>
          <w:b/>
          <w:sz w:val="32"/>
          <w:szCs w:val="32"/>
          <w:rtl/>
        </w:rPr>
        <w:t>רפואה שלימה ברמ"ח אבריו ושס"ה גידיו</w:t>
      </w:r>
      <w:r w:rsidRPr="00FA5CCA">
        <w:rPr>
          <w:rFonts w:ascii="Narkisim" w:eastAsia="Times New Roman" w:hAnsi="Narkisim" w:cs="1ShefaClassic" w:hint="cs"/>
          <w:b/>
          <w:sz w:val="32"/>
          <w:szCs w:val="32"/>
          <w:rtl/>
        </w:rPr>
        <w:t xml:space="preserve"> </w:t>
      </w:r>
    </w:p>
    <w:p w:rsidR="00CF324F" w:rsidRPr="00FA5CCA" w:rsidRDefault="00CF324F" w:rsidP="00CF324F">
      <w:pPr>
        <w:bidi/>
        <w:spacing w:after="120" w:line="288" w:lineRule="auto"/>
        <w:jc w:val="center"/>
        <w:rPr>
          <w:rFonts w:ascii="Narkisim" w:eastAsia="Times New Roman" w:hAnsi="Narkisim" w:cs="1ShefaClassic"/>
          <w:b/>
          <w:sz w:val="32"/>
          <w:szCs w:val="32"/>
        </w:rPr>
      </w:pPr>
      <w:r w:rsidRPr="00FA5CCA">
        <w:rPr>
          <w:rFonts w:ascii="Narkisim" w:eastAsia="Times New Roman" w:hAnsi="Narkisim" w:cs="1ShefaClassic" w:hint="cs"/>
          <w:b/>
          <w:sz w:val="32"/>
          <w:szCs w:val="32"/>
          <w:rtl/>
        </w:rPr>
        <w:t>ויחזור לאיתנו בקרוב ממש</w:t>
      </w:r>
    </w:p>
    <w:p w:rsidR="00760DB7" w:rsidRPr="00760DB7" w:rsidRDefault="00760DB7" w:rsidP="00760DB7">
      <w:pPr>
        <w:bidi/>
        <w:spacing w:after="120" w:line="288" w:lineRule="auto"/>
        <w:jc w:val="center"/>
        <w:rPr>
          <w:rFonts w:ascii="Narkisim" w:eastAsia="Times New Roman" w:hAnsi="Narkisim" w:cs="1ShefaClassic"/>
          <w:sz w:val="27"/>
          <w:szCs w:val="27"/>
        </w:rPr>
      </w:pPr>
    </w:p>
    <w:p w:rsidR="00760DB7" w:rsidRPr="00CF324F" w:rsidRDefault="00760DB7" w:rsidP="00CF324F">
      <w:pPr>
        <w:bidi/>
        <w:spacing w:after="120" w:line="288" w:lineRule="auto"/>
        <w:jc w:val="center"/>
        <w:rPr>
          <w:rFonts w:ascii="Narkisim" w:eastAsia="Times New Roman" w:hAnsi="Narkisim" w:cs="1ShefaClassic"/>
          <w:b/>
          <w:sz w:val="27"/>
          <w:szCs w:val="27"/>
        </w:rPr>
      </w:pPr>
    </w:p>
    <w:p w:rsidR="00760DB7" w:rsidRPr="00760DB7" w:rsidRDefault="00760DB7" w:rsidP="00760DB7"/>
    <w:p w:rsidR="00C25DC9" w:rsidRDefault="00C25DC9"/>
    <w:p w:rsidR="00C25DC9" w:rsidRDefault="00C25DC9">
      <w:r>
        <w:br w:type="page"/>
      </w:r>
    </w:p>
    <w:p w:rsidR="00C25DC9" w:rsidRDefault="00C25DC9" w:rsidP="00C25DC9">
      <w:pPr>
        <w:bidi/>
        <w:spacing w:after="120" w:line="288" w:lineRule="auto"/>
        <w:jc w:val="center"/>
        <w:rPr>
          <w:rFonts w:ascii="Narkisim" w:eastAsia="Times New Roman" w:hAnsi="Narkisim" w:cs="1ShefaClassic"/>
          <w:b/>
          <w:sz w:val="27"/>
          <w:szCs w:val="27"/>
          <w:rtl/>
        </w:rPr>
      </w:pPr>
    </w:p>
    <w:p w:rsidR="00C25DC9" w:rsidRDefault="00C25DC9" w:rsidP="00C25DC9">
      <w:pPr>
        <w:bidi/>
        <w:spacing w:after="120" w:line="288" w:lineRule="auto"/>
        <w:jc w:val="center"/>
        <w:rPr>
          <w:rFonts w:ascii="Narkisim" w:eastAsia="Times New Roman" w:hAnsi="Narkisim" w:cs="1ShefaClassic"/>
          <w:b/>
          <w:sz w:val="27"/>
          <w:szCs w:val="27"/>
          <w:rtl/>
        </w:rPr>
      </w:pPr>
    </w:p>
    <w:p w:rsidR="00C25DC9" w:rsidRDefault="00C25DC9" w:rsidP="00C25DC9">
      <w:pPr>
        <w:bidi/>
        <w:spacing w:after="120" w:line="288" w:lineRule="auto"/>
        <w:jc w:val="center"/>
        <w:rPr>
          <w:rFonts w:ascii="Narkisim" w:eastAsia="Times New Roman" w:hAnsi="Narkisim" w:cs="1ShefaClassic"/>
          <w:b/>
          <w:sz w:val="27"/>
          <w:szCs w:val="27"/>
          <w:rtl/>
        </w:rPr>
      </w:pPr>
    </w:p>
    <w:p w:rsidR="00C25DC9" w:rsidRDefault="00C25DC9" w:rsidP="00C25DC9">
      <w:pPr>
        <w:bidi/>
        <w:spacing w:after="120" w:line="288" w:lineRule="auto"/>
        <w:jc w:val="center"/>
        <w:rPr>
          <w:rFonts w:ascii="Narkisim" w:eastAsia="Times New Roman" w:hAnsi="Narkisim" w:cs="1ShefaClassic"/>
          <w:b/>
          <w:sz w:val="27"/>
          <w:szCs w:val="27"/>
          <w:rtl/>
        </w:rPr>
      </w:pPr>
    </w:p>
    <w:p w:rsidR="00C25DC9" w:rsidRDefault="00C25DC9" w:rsidP="00C25DC9">
      <w:pPr>
        <w:bidi/>
        <w:spacing w:after="120" w:line="288" w:lineRule="auto"/>
        <w:jc w:val="center"/>
        <w:rPr>
          <w:rFonts w:ascii="Narkisim" w:eastAsia="Times New Roman" w:hAnsi="Narkisim" w:cs="1ShefaClassic"/>
          <w:b/>
          <w:sz w:val="27"/>
          <w:szCs w:val="27"/>
          <w:rtl/>
        </w:rPr>
      </w:pPr>
    </w:p>
    <w:p w:rsidR="00C25DC9" w:rsidRPr="00C25DC9" w:rsidRDefault="00C25DC9" w:rsidP="00C25DC9">
      <w:pPr>
        <w:bidi/>
        <w:spacing w:after="120" w:line="288" w:lineRule="auto"/>
        <w:jc w:val="center"/>
        <w:rPr>
          <w:rFonts w:ascii="Narkisim" w:eastAsia="Times New Roman" w:hAnsi="Narkisim" w:cs="1ShefaClassic"/>
          <w:b/>
          <w:sz w:val="32"/>
          <w:szCs w:val="32"/>
        </w:rPr>
      </w:pPr>
      <w:r w:rsidRPr="00C25DC9">
        <w:rPr>
          <w:rFonts w:ascii="Narkisim" w:eastAsia="Times New Roman" w:hAnsi="Narkisim" w:cs="1ShefaClassic"/>
          <w:b/>
          <w:sz w:val="32"/>
          <w:szCs w:val="32"/>
          <w:rtl/>
        </w:rPr>
        <w:t>לזכרון</w:t>
      </w:r>
    </w:p>
    <w:p w:rsidR="00C25DC9" w:rsidRPr="00C25DC9" w:rsidRDefault="00C25DC9" w:rsidP="00C25DC9">
      <w:pPr>
        <w:bidi/>
        <w:spacing w:after="120" w:line="288" w:lineRule="auto"/>
        <w:jc w:val="center"/>
        <w:rPr>
          <w:rFonts w:ascii="Narkisim" w:eastAsia="Times New Roman" w:hAnsi="Narkisim" w:cs="1ShefaClassic"/>
          <w:b/>
          <w:sz w:val="32"/>
          <w:szCs w:val="32"/>
        </w:rPr>
      </w:pPr>
      <w:r w:rsidRPr="00C25DC9">
        <w:rPr>
          <w:rFonts w:ascii="Narkisim" w:eastAsia="Times New Roman" w:hAnsi="Narkisim" w:cs="1ShefaClassic"/>
          <w:b/>
          <w:sz w:val="32"/>
          <w:szCs w:val="32"/>
          <w:rtl/>
        </w:rPr>
        <w:t xml:space="preserve">הוו"ח אי"א נו"מ ובעל מדות </w:t>
      </w:r>
      <w:r w:rsidRPr="00C25DC9">
        <w:rPr>
          <w:rFonts w:ascii="Narkisim" w:eastAsia="Times New Roman" w:hAnsi="Narkisim" w:cs="1ShefaClassic"/>
          <w:bCs/>
          <w:sz w:val="32"/>
          <w:szCs w:val="32"/>
          <w:rtl/>
        </w:rPr>
        <w:t>ישראל אריה לייב</w:t>
      </w:r>
    </w:p>
    <w:p w:rsidR="00C25DC9" w:rsidRPr="00C25DC9" w:rsidRDefault="00C25DC9" w:rsidP="00C25DC9">
      <w:pPr>
        <w:bidi/>
        <w:spacing w:after="120" w:line="288" w:lineRule="auto"/>
        <w:jc w:val="center"/>
        <w:rPr>
          <w:rFonts w:ascii="Narkisim" w:eastAsia="Times New Roman" w:hAnsi="Narkisim" w:cs="1ShefaClassic"/>
          <w:b/>
          <w:sz w:val="32"/>
          <w:szCs w:val="32"/>
        </w:rPr>
      </w:pPr>
      <w:r w:rsidRPr="00C25DC9">
        <w:rPr>
          <w:rFonts w:ascii="Narkisim" w:eastAsia="Times New Roman" w:hAnsi="Narkisim" w:cs="1ShefaClassic"/>
          <w:b/>
          <w:sz w:val="32"/>
          <w:szCs w:val="32"/>
          <w:rtl/>
        </w:rPr>
        <w:t xml:space="preserve">אחיו של הוו"ח אי"א נו"מ ובעל מדות </w:t>
      </w:r>
      <w:r w:rsidRPr="00C25DC9">
        <w:rPr>
          <w:rFonts w:ascii="Narkisim" w:eastAsia="Times New Roman" w:hAnsi="Narkisim" w:cs="1ShefaClassic"/>
          <w:bCs/>
          <w:sz w:val="32"/>
          <w:szCs w:val="32"/>
          <w:rtl/>
        </w:rPr>
        <w:t>דובער</w:t>
      </w:r>
      <w:r w:rsidRPr="00C25DC9">
        <w:rPr>
          <w:rFonts w:ascii="Narkisim" w:eastAsia="Times New Roman" w:hAnsi="Narkisim" w:cs="1ShefaClassic"/>
          <w:b/>
          <w:sz w:val="32"/>
          <w:szCs w:val="32"/>
          <w:rtl/>
        </w:rPr>
        <w:t xml:space="preserve"> הי"ד</w:t>
      </w:r>
    </w:p>
    <w:p w:rsidR="00C25DC9" w:rsidRPr="00C25DC9" w:rsidRDefault="00C25DC9" w:rsidP="00C25DC9">
      <w:pPr>
        <w:bidi/>
        <w:spacing w:after="120" w:line="288" w:lineRule="auto"/>
        <w:jc w:val="center"/>
        <w:rPr>
          <w:rFonts w:ascii="Narkisim" w:eastAsia="Times New Roman" w:hAnsi="Narkisim" w:cs="1ShefaClassic"/>
          <w:b/>
          <w:sz w:val="32"/>
          <w:szCs w:val="32"/>
        </w:rPr>
      </w:pPr>
      <w:r w:rsidRPr="00C25DC9">
        <w:rPr>
          <w:rFonts w:ascii="Narkisim" w:eastAsia="Times New Roman" w:hAnsi="Narkisim" w:cs="1ShefaClassic"/>
          <w:b/>
          <w:sz w:val="32"/>
          <w:szCs w:val="32"/>
          <w:rtl/>
        </w:rPr>
        <w:t>בנו של כ"ק הרה"ג והרה"ח ומקובל</w:t>
      </w:r>
    </w:p>
    <w:p w:rsidR="00C25DC9" w:rsidRPr="00C25DC9" w:rsidRDefault="00C25DC9" w:rsidP="00C25DC9">
      <w:pPr>
        <w:bidi/>
        <w:spacing w:after="120" w:line="288" w:lineRule="auto"/>
        <w:jc w:val="center"/>
        <w:rPr>
          <w:rFonts w:ascii="Narkisim" w:eastAsia="Times New Roman" w:hAnsi="Narkisim" w:cs="1ShefaClassic"/>
          <w:b/>
          <w:sz w:val="32"/>
          <w:szCs w:val="32"/>
        </w:rPr>
      </w:pPr>
      <w:r w:rsidRPr="00C25DC9">
        <w:rPr>
          <w:rFonts w:ascii="Narkisim" w:eastAsia="Times New Roman" w:hAnsi="Narkisim" w:cs="1ShefaClassic"/>
          <w:b/>
          <w:sz w:val="32"/>
          <w:szCs w:val="32"/>
          <w:rtl/>
        </w:rPr>
        <w:t>רב פעלים לתורה ולמצות</w:t>
      </w:r>
    </w:p>
    <w:p w:rsidR="00C25DC9" w:rsidRPr="00C25DC9" w:rsidRDefault="00C25DC9" w:rsidP="00C25DC9">
      <w:pPr>
        <w:bidi/>
        <w:spacing w:after="120" w:line="288" w:lineRule="auto"/>
        <w:jc w:val="center"/>
        <w:rPr>
          <w:rFonts w:ascii="Narkisim" w:eastAsia="Times New Roman" w:hAnsi="Narkisim" w:cs="1ShefaClassic"/>
          <w:b/>
          <w:sz w:val="32"/>
          <w:szCs w:val="32"/>
        </w:rPr>
      </w:pPr>
      <w:r w:rsidRPr="00C25DC9">
        <w:rPr>
          <w:rFonts w:ascii="Narkisim" w:eastAsia="Times New Roman" w:hAnsi="Narkisim" w:cs="1ShefaClassic"/>
          <w:b/>
          <w:sz w:val="32"/>
          <w:szCs w:val="32"/>
          <w:rtl/>
        </w:rPr>
        <w:t xml:space="preserve">ורבים השיב מעון </w:t>
      </w:r>
      <w:r w:rsidRPr="00C25DC9">
        <w:rPr>
          <w:rFonts w:ascii="Narkisim" w:eastAsia="Times New Roman" w:hAnsi="Narkisim" w:cs="1ShefaClassic"/>
          <w:bCs/>
          <w:sz w:val="32"/>
          <w:szCs w:val="32"/>
          <w:rtl/>
        </w:rPr>
        <w:t>לוי יצחק</w:t>
      </w:r>
    </w:p>
    <w:p w:rsidR="00C25DC9" w:rsidRPr="00C25DC9" w:rsidRDefault="00C25DC9" w:rsidP="00C25DC9">
      <w:pPr>
        <w:bidi/>
        <w:spacing w:after="120" w:line="288" w:lineRule="auto"/>
        <w:jc w:val="center"/>
        <w:rPr>
          <w:rFonts w:ascii="Narkisim" w:eastAsia="Times New Roman" w:hAnsi="Narkisim" w:cs="1ShefaClassic"/>
          <w:b/>
          <w:sz w:val="32"/>
          <w:szCs w:val="32"/>
        </w:rPr>
      </w:pPr>
      <w:r w:rsidRPr="00C25DC9">
        <w:rPr>
          <w:rFonts w:ascii="Narkisim" w:eastAsia="Times New Roman" w:hAnsi="Narkisim" w:cs="1ShefaClassic"/>
          <w:b/>
          <w:sz w:val="32"/>
          <w:szCs w:val="32"/>
          <w:rtl/>
        </w:rPr>
        <w:t>דור רביעי לכ"ק אדמו"ר הצמח צדק</w:t>
      </w:r>
    </w:p>
    <w:p w:rsidR="00C25DC9" w:rsidRPr="00C25DC9" w:rsidRDefault="00C25DC9" w:rsidP="00C25DC9">
      <w:pPr>
        <w:bidi/>
        <w:spacing w:after="120" w:line="288" w:lineRule="auto"/>
        <w:jc w:val="center"/>
        <w:rPr>
          <w:rFonts w:ascii="Narkisim" w:eastAsia="Times New Roman" w:hAnsi="Narkisim" w:cs="1ShefaClassic"/>
          <w:b/>
          <w:sz w:val="32"/>
          <w:szCs w:val="32"/>
        </w:rPr>
      </w:pPr>
      <w:r w:rsidRPr="00C25DC9">
        <w:rPr>
          <w:rFonts w:ascii="Narkisim" w:eastAsia="Times New Roman" w:hAnsi="Narkisim" w:cs="1ShefaClassic"/>
          <w:b/>
          <w:sz w:val="32"/>
          <w:szCs w:val="32"/>
          <w:rtl/>
        </w:rPr>
        <w:t>נפטר י"ג אייר ה'תשי"ב</w:t>
      </w:r>
    </w:p>
    <w:p w:rsidR="00C25DC9" w:rsidRPr="00C25DC9" w:rsidRDefault="00C25DC9" w:rsidP="00C25DC9">
      <w:pPr>
        <w:bidi/>
        <w:spacing w:after="120" w:line="288" w:lineRule="auto"/>
        <w:jc w:val="center"/>
        <w:rPr>
          <w:rFonts w:ascii="Narkisim" w:eastAsia="Times New Roman" w:hAnsi="Narkisim" w:cs="1ShefaClassic"/>
          <w:b/>
          <w:sz w:val="32"/>
          <w:szCs w:val="32"/>
          <w:rtl/>
        </w:rPr>
      </w:pPr>
      <w:r w:rsidRPr="00C25DC9">
        <w:rPr>
          <w:rFonts w:ascii="Narkisim" w:eastAsia="Times New Roman" w:hAnsi="Narkisim" w:cs="1ShefaClassic"/>
          <w:b/>
          <w:sz w:val="32"/>
          <w:szCs w:val="32"/>
          <w:rtl/>
        </w:rPr>
        <w:t>ת' נ' צ' ב' ה</w:t>
      </w:r>
      <w:r w:rsidRPr="00C25DC9">
        <w:rPr>
          <w:rFonts w:ascii="Narkisim" w:eastAsia="Times New Roman" w:hAnsi="Narkisim" w:cs="1ShefaClassic"/>
          <w:b/>
          <w:sz w:val="32"/>
          <w:szCs w:val="32"/>
        </w:rPr>
        <w:t>'</w:t>
      </w:r>
    </w:p>
    <w:p w:rsidR="00C25DC9" w:rsidRPr="00C25DC9" w:rsidRDefault="00C25DC9" w:rsidP="00C25DC9">
      <w:pPr>
        <w:bidi/>
        <w:spacing w:after="120" w:line="288" w:lineRule="auto"/>
        <w:jc w:val="center"/>
        <w:rPr>
          <w:rFonts w:ascii="Narkisim" w:eastAsia="Times New Roman" w:hAnsi="Narkisim" w:cs="1ShefaClassic"/>
          <w:sz w:val="32"/>
          <w:szCs w:val="32"/>
        </w:rPr>
      </w:pPr>
      <w:r w:rsidRPr="00C25DC9">
        <w:rPr>
          <w:rFonts w:ascii="Narkisim" w:eastAsia="Times New Roman" w:hAnsi="Narkisim" w:cs="1ShefaClassic"/>
          <w:sz w:val="32"/>
          <w:szCs w:val="32"/>
        </w:rPr>
        <w:sym w:font="Wingdings 2" w:char="F0B2"/>
      </w:r>
    </w:p>
    <w:p w:rsidR="0092759E" w:rsidRPr="00C25DC9" w:rsidRDefault="00C25DC9" w:rsidP="00C64F44">
      <w:pPr>
        <w:bidi/>
        <w:spacing w:after="120" w:line="288" w:lineRule="auto"/>
        <w:jc w:val="center"/>
        <w:rPr>
          <w:sz w:val="28"/>
          <w:szCs w:val="28"/>
        </w:rPr>
      </w:pPr>
      <w:r w:rsidRPr="00C25DC9">
        <w:rPr>
          <w:rFonts w:ascii="Narkisim" w:eastAsia="Times New Roman" w:hAnsi="Narkisim" w:cs="1ShefaClassic"/>
          <w:b/>
          <w:sz w:val="32"/>
          <w:szCs w:val="32"/>
          <w:rtl/>
        </w:rPr>
        <w:t>אחיו של כ"ק אדמו"ר נשיא דור</w:t>
      </w:r>
      <w:bookmarkStart w:id="195" w:name="_GoBack"/>
      <w:bookmarkEnd w:id="195"/>
      <w:r w:rsidRPr="00C25DC9">
        <w:rPr>
          <w:rFonts w:ascii="Narkisim" w:eastAsia="Times New Roman" w:hAnsi="Narkisim" w:cs="1ShefaClassic"/>
          <w:b/>
          <w:sz w:val="32"/>
          <w:szCs w:val="32"/>
          <w:rtl/>
        </w:rPr>
        <w:t>נ</w:t>
      </w:r>
      <w:r w:rsidR="00C64F44" w:rsidRPr="00C64F44">
        <w:rPr>
          <w:rFonts w:ascii="Narkisim" w:eastAsia="Times New Roman" w:hAnsi="Narkisim" w:cs="1ShefaClassic" w:hint="cs"/>
          <w:b/>
          <w:sz w:val="32"/>
          <w:szCs w:val="32"/>
          <w:rtl/>
        </w:rPr>
        <w:t>ו</w:t>
      </w:r>
    </w:p>
    <w:sectPr w:rsidR="0092759E" w:rsidRPr="00C25DC9" w:rsidSect="00E22432">
      <w:headerReference w:type="even" r:id="rId12"/>
      <w:headerReference w:type="default" r:id="rId13"/>
      <w:footnotePr>
        <w:numRestart w:val="eachSect"/>
      </w:footnotePr>
      <w:type w:val="continuous"/>
      <w:pgSz w:w="7920" w:h="12240"/>
      <w:pgMar w:top="-810" w:right="864" w:bottom="720" w:left="864" w:header="27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713A" w:rsidRDefault="00E2713A" w:rsidP="00760DB7">
      <w:pPr>
        <w:spacing w:after="0" w:line="240" w:lineRule="auto"/>
      </w:pPr>
      <w:r>
        <w:separator/>
      </w:r>
    </w:p>
  </w:endnote>
  <w:endnote w:type="continuationSeparator" w:id="0">
    <w:p w:rsidR="00E2713A" w:rsidRDefault="00E2713A" w:rsidP="00760D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20000A87" w:usb1="00000000" w:usb2="00000000" w:usb3="00000000" w:csb0="000001B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0A87" w:usb1="00000000" w:usb2="00000000" w:usb3="00000000" w:csb0="000001B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Miriam">
    <w:panose1 w:val="020B0502050101010101"/>
    <w:charset w:val="B1"/>
    <w:family w:val="auto"/>
    <w:pitch w:val="variable"/>
    <w:sig w:usb0="00000801" w:usb1="00000000" w:usb2="00000000" w:usb3="00000000" w:csb0="00000020" w:csb1="00000000"/>
  </w:font>
  <w:font w:name="FbFrankReal">
    <w:panose1 w:val="02020603050405020304"/>
    <w:charset w:val="00"/>
    <w:family w:val="roman"/>
    <w:pitch w:val="variable"/>
    <w:sig w:usb0="80000827" w:usb1="50000000" w:usb2="00000000" w:usb3="00000000" w:csb0="00000021" w:csb1="00000000"/>
  </w:font>
  <w:font w:name="David">
    <w:panose1 w:val="020E0502060401010101"/>
    <w:charset w:val="B1"/>
    <w:family w:val="auto"/>
    <w:pitch w:val="variable"/>
    <w:sig w:usb0="00000801" w:usb1="00000000" w:usb2="00000000" w:usb3="00000000" w:csb0="00000020" w:csb1="00000000"/>
  </w:font>
  <w:font w:name="AAd_Livorna">
    <w:panose1 w:val="00000000000000000000"/>
    <w:charset w:val="B1"/>
    <w:family w:val="auto"/>
    <w:pitch w:val="variable"/>
    <w:sig w:usb0="00000801" w:usb1="00000000" w:usb2="00000000" w:usb3="00000000" w:csb0="00000020" w:csb1="00000000"/>
  </w:font>
  <w:font w:name="FbFRealBelet Bold">
    <w:panose1 w:val="02020803050405020304"/>
    <w:charset w:val="00"/>
    <w:family w:val="roman"/>
    <w:pitch w:val="variable"/>
    <w:sig w:usb0="80000827" w:usb1="50000000" w:usb2="00000000" w:usb3="00000000" w:csb0="00000021" w:csb1="00000000"/>
  </w:font>
  <w:font w:name="AAd_Livorna4">
    <w:panose1 w:val="02020603050405020304"/>
    <w:charset w:val="00"/>
    <w:family w:val="roman"/>
    <w:pitch w:val="variable"/>
    <w:sig w:usb0="80000827" w:usb1="50000000" w:usb2="00000000" w:usb3="00000000" w:csb0="00000021" w:csb1="00000000"/>
  </w:font>
  <w:font w:name="FbSfaradi Medium">
    <w:panose1 w:val="02020603050405020304"/>
    <w:charset w:val="00"/>
    <w:family w:val="roman"/>
    <w:pitch w:val="variable"/>
    <w:sig w:usb0="80000827" w:usb1="50000000" w:usb2="00000000" w:usb3="00000000" w:csb0="00000021" w:csb1="00000000"/>
  </w:font>
  <w:font w:name="FbSfaradi">
    <w:panose1 w:val="02020603050405020304"/>
    <w:charset w:val="00"/>
    <w:family w:val="roman"/>
    <w:pitch w:val="variable"/>
    <w:sig w:usb0="80000827" w:usb1="50000000" w:usb2="00000000" w:usb3="00000000" w:csb0="00000021" w:csb1="00000000"/>
  </w:font>
  <w:font w:name="FbTehilaMedium">
    <w:panose1 w:val="02020603050405020304"/>
    <w:charset w:val="00"/>
    <w:family w:val="roman"/>
    <w:pitch w:val="variable"/>
    <w:sig w:usb0="80000827" w:usb1="50000000" w:usb2="00000000" w:usb3="00000000" w:csb0="00000021" w:csb1="00000000"/>
  </w:font>
  <w:font w:name="Nymphette">
    <w:panose1 w:val="02000505000000020000"/>
    <w:charset w:val="00"/>
    <w:family w:val="auto"/>
    <w:pitch w:val="variable"/>
    <w:sig w:usb0="00000003" w:usb1="00000000" w:usb2="00000000" w:usb3="00000000" w:csb0="00000001" w:csb1="00000000"/>
  </w:font>
  <w:font w:name="FrankRuehl">
    <w:panose1 w:val="020E0503060101010101"/>
    <w:charset w:val="B1"/>
    <w:family w:val="auto"/>
    <w:pitch w:val="variable"/>
    <w:sig w:usb0="00000801" w:usb1="00000000" w:usb2="00000000" w:usb3="00000000" w:csb0="00000020" w:csb1="00000000"/>
  </w:font>
  <w:font w:name="Narkisim">
    <w:panose1 w:val="020E0502050101010101"/>
    <w:charset w:val="B1"/>
    <w:family w:val="auto"/>
    <w:pitch w:val="variable"/>
    <w:sig w:usb0="00000801" w:usb1="00000000" w:usb2="00000000" w:usb3="00000000" w:csb0="00000020" w:csb1="00000000"/>
  </w:font>
  <w:font w:name="Segoe UI">
    <w:panose1 w:val="020B0502040204020203"/>
    <w:charset w:val="00"/>
    <w:family w:val="swiss"/>
    <w:pitch w:val="variable"/>
    <w:sig w:usb0="E00022FF" w:usb1="C000205B" w:usb2="00000009" w:usb3="00000000" w:csb0="000001DF" w:csb1="00000000"/>
  </w:font>
  <w:font w:name="WinSoft Pro">
    <w:panose1 w:val="020B0600060200000000"/>
    <w:charset w:val="00"/>
    <w:family w:val="auto"/>
    <w:pitch w:val="variable"/>
    <w:sig w:usb0="0000280F" w:usb1="80000000" w:usb2="00000008" w:usb3="00000000" w:csb0="00000063" w:csb1="00000000"/>
  </w:font>
  <w:font w:name="Ashkenazy">
    <w:panose1 w:val="00000000000000000000"/>
    <w:charset w:val="B1"/>
    <w:family w:val="auto"/>
    <w:pitch w:val="variable"/>
    <w:sig w:usb0="00000801" w:usb1="00000000" w:usb2="00000000" w:usb3="00000000" w:csb0="00000020" w:csb1="00000000"/>
  </w:font>
  <w:font w:name="VTvilnacopy01">
    <w:panose1 w:val="00000000000000000000"/>
    <w:charset w:val="B1"/>
    <w:family w:val="auto"/>
    <w:pitch w:val="variable"/>
    <w:sig w:usb0="00000801" w:usb1="00000000" w:usb2="00000000" w:usb3="00000000" w:csb0="00000020" w:csb1="00000000"/>
  </w:font>
  <w:font w:name="Consolas">
    <w:panose1 w:val="020B0609020204030204"/>
    <w:charset w:val="00"/>
    <w:family w:val="modern"/>
    <w:pitch w:val="fixed"/>
    <w:sig w:usb0="E10002FF" w:usb1="4000FCFF" w:usb2="00000009" w:usb3="00000000" w:csb0="0000019F" w:csb1="00000000"/>
  </w:font>
  <w:font w:name="Dor">
    <w:panose1 w:val="00000000000000000000"/>
    <w:charset w:val="B1"/>
    <w:family w:val="auto"/>
    <w:pitch w:val="variable"/>
    <w:sig w:usb0="00000801" w:usb1="00000000" w:usb2="00000000" w:usb3="00000000" w:csb0="00000020" w:csb1="00000000"/>
  </w:font>
  <w:font w:name="Levenim MT">
    <w:panose1 w:val="02010502060101010101"/>
    <w:charset w:val="B1"/>
    <w:family w:val="auto"/>
    <w:pitch w:val="variable"/>
    <w:sig w:usb0="00000801" w:usb1="00000000" w:usb2="00000000" w:usb3="00000000" w:csb0="00000020" w:csb1="00000000"/>
  </w:font>
  <w:font w:name="FbFrankReal Light">
    <w:panose1 w:val="02020603050405020304"/>
    <w:charset w:val="00"/>
    <w:family w:val="roman"/>
    <w:pitch w:val="variable"/>
    <w:sig w:usb0="80000827" w:usb1="50000000" w:usb2="00000000" w:usb3="00000000" w:csb0="00000021" w:csb1="00000000"/>
  </w:font>
  <w:font w:name="Helvetica Neue">
    <w:altName w:val="Times New Roman"/>
    <w:charset w:val="00"/>
    <w:family w:val="roman"/>
    <w:pitch w:val="variable"/>
    <w:sig w:usb0="00000003" w:usb1="00000000" w:usb2="00000000" w:usb3="00000000" w:csb0="00000001" w:csb1="00000000"/>
  </w:font>
  <w:font w:name="FbHadasaNew">
    <w:panose1 w:val="02020603050405020304"/>
    <w:charset w:val="00"/>
    <w:family w:val="roman"/>
    <w:pitch w:val="variable"/>
    <w:sig w:usb0="80000827" w:usb1="5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1ShefaClassic">
    <w:panose1 w:val="00000000000000000000"/>
    <w:charset w:val="B1"/>
    <w:family w:val="auto"/>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FbLivornaRegular">
    <w:charset w:val="00"/>
    <w:family w:val="roman"/>
    <w:pitch w:val="default"/>
  </w:font>
  <w:font w:name="MNarkisim">
    <w:panose1 w:val="00000000000000000000"/>
    <w:charset w:val="B1"/>
    <w:family w:val="auto"/>
    <w:pitch w:val="variable"/>
    <w:sig w:usb0="00000801" w:usb1="00000000" w:usb2="00000000" w:usb3="00000000" w:csb0="00000020" w:csb1="00000000"/>
  </w:font>
  <w:font w:name="Guttman Rashi">
    <w:panose1 w:val="00000000000000000000"/>
    <w:charset w:val="B1"/>
    <w:family w:val="auto"/>
    <w:pitch w:val="variable"/>
    <w:sig w:usb0="00000801" w:usb1="00000000" w:usb2="00000000" w:usb3="00000000" w:csb0="00000020" w:csb1="00000000"/>
  </w:font>
  <w:font w:name="TopType Mantova-Decor">
    <w:panose1 w:val="00000000000000000000"/>
    <w:charset w:val="B1"/>
    <w:family w:val="auto"/>
    <w:pitch w:val="variable"/>
    <w:sig w:usb0="00000801" w:usb1="00000000" w:usb2="00000000" w:usb3="00000000" w:csb0="00000020" w:csb1="00000000"/>
  </w:font>
  <w:font w:name="Hadassa Light">
    <w:panose1 w:val="00000000000000000000"/>
    <w:charset w:val="B1"/>
    <w:family w:val="auto"/>
    <w:pitch w:val="variable"/>
    <w:sig w:usb0="00000801" w:usb1="00000000" w:usb2="00000000" w:usb3="00000000" w:csb0="00000020" w:csb1="00000000"/>
  </w:font>
  <w:font w:name="Hadassa Bold">
    <w:panose1 w:val="00000000000000000000"/>
    <w:charset w:val="B1"/>
    <w:family w:val="auto"/>
    <w:pitch w:val="variable"/>
    <w:sig w:usb0="00000801" w:usb1="00000000" w:usb2="00000000" w:usb3="00000000" w:csb0="00000020" w:csb1="00000000"/>
  </w:font>
  <w:font w:name="Monotype Hadassah">
    <w:panose1 w:val="00000000000000000000"/>
    <w:charset w:val="B1"/>
    <w:family w:val="auto"/>
    <w:pitch w:val="variable"/>
    <w:sig w:usb0="00000801" w:usb1="00000000" w:usb2="00000000" w:usb3="00000000" w:csb0="00000020" w:csb1="00000000"/>
  </w:font>
  <w:font w:name="FbSfaradi Bold">
    <w:panose1 w:val="02020803050405020304"/>
    <w:charset w:val="00"/>
    <w:family w:val="roman"/>
    <w:pitch w:val="variable"/>
    <w:sig w:usb0="80000827" w:usb1="50000000" w:usb2="00000000" w:usb3="00000000" w:csb0="00000021" w:csb1="00000000"/>
  </w:font>
  <w:font w:name="PFT_Vilna">
    <w:panose1 w:val="01000503000000020003"/>
    <w:charset w:val="B1"/>
    <w:family w:val="auto"/>
    <w:pitch w:val="variable"/>
    <w:sig w:usb0="80000827" w:usb1="5000004A" w:usb2="00000000" w:usb3="00000000" w:csb0="00000020" w:csb1="00000000"/>
  </w:font>
  <w:font w:name="FbSfaradi Regular">
    <w:panose1 w:val="02020803050405020304"/>
    <w:charset w:val="00"/>
    <w:family w:val="roman"/>
    <w:pitch w:val="variable"/>
    <w:sig w:usb0="80000827" w:usb1="50000000" w:usb2="00000000" w:usb3="00000000" w:csb0="00000021" w:csb1="00000000"/>
  </w:font>
  <w:font w:name="AAd_Ashcnazi">
    <w:panose1 w:val="00000000000000000000"/>
    <w:charset w:val="B1"/>
    <w:family w:val="auto"/>
    <w:pitch w:val="variable"/>
    <w:sig w:usb0="00000801" w:usb1="00000000" w:usb2="00000000" w:usb3="00000000" w:csb0="00000020" w:csb1="00000000"/>
  </w:font>
  <w:font w:name="FbCarizmaBook Medium">
    <w:panose1 w:val="02020603050405020304"/>
    <w:charset w:val="00"/>
    <w:family w:val="roman"/>
    <w:pitch w:val="variable"/>
    <w:sig w:usb0="80000827" w:usb1="50000000" w:usb2="00000000" w:usb3="00000000" w:csb0="00000021" w:csb1="00000000"/>
  </w:font>
  <w:font w:name="David Libre">
    <w:altName w:val="Times New Roman"/>
    <w:charset w:val="00"/>
    <w:family w:val="auto"/>
    <w:pitch w:val="default"/>
  </w:font>
  <w:font w:name="SimSun">
    <w:altName w:val="宋体"/>
    <w:panose1 w:val="02010600030101010101"/>
    <w:charset w:val="86"/>
    <w:family w:val="auto"/>
    <w:pitch w:val="variable"/>
    <w:sig w:usb0="00000003" w:usb1="080E0000" w:usb2="00000010" w:usb3="00000000" w:csb0="00040001" w:csb1="00000000"/>
  </w:font>
  <w:font w:name="Wingdings 2">
    <w:panose1 w:val="05020102010507070707"/>
    <w:charset w:val="02"/>
    <w:family w:val="roman"/>
    <w:pitch w:val="variable"/>
    <w:sig w:usb0="00000000" w:usb1="10000000" w:usb2="00000000" w:usb3="00000000" w:csb0="80000000" w:csb1="00000000"/>
  </w:font>
  <w:font w:name="Helvetica">
    <w:panose1 w:val="020B0604020202030204"/>
    <w:charset w:val="00"/>
    <w:family w:val="swiss"/>
    <w:pitch w:val="variable"/>
    <w:sig w:usb0="00000007" w:usb1="00000000" w:usb2="00000000" w:usb3="00000000" w:csb0="00000093" w:csb1="00000000"/>
  </w:font>
  <w:font w:name="AAd_LivornaB4">
    <w:panose1 w:val="00000000000000000000"/>
    <w:charset w:val="B1"/>
    <w:family w:val="auto"/>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713A" w:rsidRDefault="00E2713A" w:rsidP="00BF0497">
      <w:pPr>
        <w:bidi/>
        <w:spacing w:after="0" w:line="240" w:lineRule="auto"/>
      </w:pPr>
      <w:r>
        <w:separator/>
      </w:r>
    </w:p>
  </w:footnote>
  <w:footnote w:type="continuationSeparator" w:id="0">
    <w:p w:rsidR="00E2713A" w:rsidRDefault="00E2713A" w:rsidP="00760DB7">
      <w:pPr>
        <w:spacing w:after="0" w:line="240" w:lineRule="auto"/>
      </w:pPr>
      <w:r>
        <w:continuationSeparator/>
      </w:r>
    </w:p>
  </w:footnote>
  <w:footnote w:id="1">
    <w:p w:rsidR="004C3605" w:rsidRPr="00FD2ECE" w:rsidRDefault="004C3605" w:rsidP="00FD2ECE">
      <w:pPr>
        <w:pStyle w:val="FootnoteText"/>
      </w:pPr>
      <w:r w:rsidRPr="00FD2ECE">
        <w:rPr>
          <w:rStyle w:val="FootnoteReference"/>
          <w:vertAlign w:val="baseline"/>
        </w:rPr>
        <w:footnoteRef/>
      </w:r>
      <w:r>
        <w:rPr>
          <w:rFonts w:hint="cs"/>
          <w:rtl/>
        </w:rPr>
        <w:t>)</w:t>
      </w:r>
      <w:r w:rsidRPr="00FD2ECE">
        <w:rPr>
          <w:rFonts w:hint="cs"/>
          <w:rtl/>
        </w:rPr>
        <w:t xml:space="preserve"> </w:t>
      </w:r>
      <w:r w:rsidRPr="00FD2ECE">
        <w:t xml:space="preserve"> </w:t>
      </w:r>
      <w:r w:rsidRPr="00FD2ECE">
        <w:rPr>
          <w:rFonts w:hint="cs"/>
          <w:rtl/>
        </w:rPr>
        <w:t>כפי שכבר נרמז בדברי הרמב"ם (הלכות מלכים פי"ב ה"ב) אודות המאורעות שיארעו לפני ביאת המשיח "דברים סתומים הם", ויש גורסים (ראה שינויי נוסחאות להרמב"ם שם. יפה תואר הארוך על בראשית רבה כו, ג ד"ה "אין מיתה כו' להבין") "דברים סתורים הם". ואין אדם יודע איך יהיו עד שיהיו.</w:t>
      </w:r>
    </w:p>
  </w:footnote>
  <w:footnote w:id="2">
    <w:p w:rsidR="004C3605" w:rsidRPr="00FD2ECE" w:rsidRDefault="004C3605" w:rsidP="00FD2ECE">
      <w:pPr>
        <w:pStyle w:val="FootnoteText"/>
        <w:rPr>
          <w:rtl/>
        </w:rPr>
      </w:pPr>
      <w:r w:rsidRPr="00FD2ECE">
        <w:rPr>
          <w:rStyle w:val="FootnoteReference"/>
          <w:vertAlign w:val="baseline"/>
        </w:rPr>
        <w:footnoteRef/>
      </w:r>
      <w:r>
        <w:rPr>
          <w:rFonts w:hint="cs"/>
          <w:rtl/>
        </w:rPr>
        <w:t>)</w:t>
      </w:r>
      <w:r w:rsidRPr="00FD2ECE">
        <w:rPr>
          <w:rFonts w:hint="cs"/>
          <w:rtl/>
        </w:rPr>
        <w:t xml:space="preserve"> אע"פ שבפרטיות, הענינים של עקבתא דמשיחא, חבלי משיח, מלחמת גוג ומגוג, הם סוגים נפרדים כל א' לעצמו, מ"מ מהמבואר בכ"מ משמע שבכללות הם קשורים זל"ז. ואכ"מ. </w:t>
      </w:r>
    </w:p>
  </w:footnote>
  <w:footnote w:id="3">
    <w:p w:rsidR="004C3605" w:rsidRPr="00BF0497" w:rsidRDefault="004C3605" w:rsidP="00BF0497">
      <w:pPr>
        <w:pStyle w:val="FootnoteText"/>
        <w:rPr>
          <w:rtl/>
        </w:rPr>
      </w:pPr>
      <w:r w:rsidRPr="00FD2ECE">
        <w:rPr>
          <w:rStyle w:val="FootnoteReference"/>
          <w:vertAlign w:val="baseline"/>
        </w:rPr>
        <w:footnoteRef/>
      </w:r>
      <w:r>
        <w:rPr>
          <w:rFonts w:hint="cs"/>
          <w:rtl/>
        </w:rPr>
        <w:t>)</w:t>
      </w:r>
      <w:r w:rsidRPr="00FD2ECE">
        <w:rPr>
          <w:rFonts w:hint="cs"/>
          <w:rtl/>
        </w:rPr>
        <w:t xml:space="preserve"> ראה שיחו"ק תשמ"א ח</w:t>
      </w:r>
      <w:r w:rsidRPr="00BF0497">
        <w:rPr>
          <w:rFonts w:hint="cs"/>
          <w:rtl/>
        </w:rPr>
        <w:t>"ג ע' 673 ואילך על החילוק בין המדובר במס' סוטה למס' סהנדרין.</w:t>
      </w:r>
    </w:p>
  </w:footnote>
  <w:footnote w:id="4">
    <w:p w:rsidR="004C3605" w:rsidRPr="00BF0497" w:rsidRDefault="004C3605" w:rsidP="00BF0497">
      <w:pPr>
        <w:pStyle w:val="FootnoteText"/>
        <w:rPr>
          <w:rtl/>
        </w:rPr>
      </w:pPr>
      <w:r w:rsidRPr="00BF0497">
        <w:rPr>
          <w:rStyle w:val="FootnoteReference"/>
          <w:vertAlign w:val="baseline"/>
        </w:rPr>
        <w:footnoteRef/>
      </w:r>
      <w:r>
        <w:rPr>
          <w:rFonts w:hint="cs"/>
          <w:rtl/>
        </w:rPr>
        <w:t>)</w:t>
      </w:r>
      <w:r w:rsidRPr="00BF0497">
        <w:rPr>
          <w:rFonts w:hint="cs"/>
          <w:rtl/>
        </w:rPr>
        <w:t xml:space="preserve"> </w:t>
      </w:r>
      <w:r w:rsidRPr="00BF0497">
        <w:t xml:space="preserve"> </w:t>
      </w:r>
      <w:r w:rsidRPr="00BF0497">
        <w:rPr>
          <w:rFonts w:hint="cs"/>
          <w:rtl/>
        </w:rPr>
        <w:t xml:space="preserve">ראה באספקלריא, ערך "משיח </w:t>
      </w:r>
      <w:r w:rsidRPr="00BF0497">
        <w:rPr>
          <w:rtl/>
        </w:rPr>
        <w:t>–</w:t>
      </w:r>
      <w:r w:rsidRPr="00BF0497">
        <w:rPr>
          <w:rFonts w:hint="cs"/>
          <w:rtl/>
        </w:rPr>
        <w:t xml:space="preserve"> חבלי", וש"נ.</w:t>
      </w:r>
    </w:p>
  </w:footnote>
  <w:footnote w:id="5">
    <w:p w:rsidR="004C3605" w:rsidRPr="00BF0497" w:rsidRDefault="004C3605" w:rsidP="00BF0497">
      <w:pPr>
        <w:pStyle w:val="FootnoteText"/>
        <w:rPr>
          <w:rtl/>
        </w:rPr>
      </w:pPr>
      <w:r w:rsidRPr="00BF0497">
        <w:rPr>
          <w:rStyle w:val="FootnoteReference"/>
          <w:vertAlign w:val="baseline"/>
        </w:rPr>
        <w:footnoteRef/>
      </w:r>
      <w:r>
        <w:rPr>
          <w:rFonts w:hint="cs"/>
          <w:rtl/>
        </w:rPr>
        <w:t>)</w:t>
      </w:r>
      <w:r w:rsidRPr="00BF0497">
        <w:rPr>
          <w:rFonts w:hint="cs"/>
          <w:rtl/>
        </w:rPr>
        <w:t xml:space="preserve"> ראה סנהדרין צח,א, אין לך קץ מגולה מזה וכו', וראה במהרש"א שם. וע"ע לקו"ש ח"ד ע' 1119 הערה 34, ח"א ע' 148, תורת מנחם תשמ"ה ח"ה ע' 3091, תשמ"ד ח"א ע' 314, מכתב להרב זוין מיום יט' מרחשון תשי"ט (נדפס כהוספה להשיחה שי"ל לימים הראשונים דחג הסוכות תשע"א).</w:t>
      </w:r>
    </w:p>
  </w:footnote>
  <w:footnote w:id="6">
    <w:p w:rsidR="004C3605" w:rsidRPr="00BF0497" w:rsidRDefault="004C3605" w:rsidP="00BF0497">
      <w:pPr>
        <w:pStyle w:val="FootnoteText"/>
        <w:rPr>
          <w:rtl/>
        </w:rPr>
      </w:pPr>
      <w:r w:rsidRPr="00BF0497">
        <w:rPr>
          <w:rStyle w:val="FootnoteReference"/>
          <w:vertAlign w:val="baseline"/>
        </w:rPr>
        <w:footnoteRef/>
      </w:r>
      <w:r>
        <w:rPr>
          <w:rFonts w:hint="cs"/>
          <w:rtl/>
        </w:rPr>
        <w:t>)</w:t>
      </w:r>
      <w:r w:rsidRPr="00BF0497">
        <w:rPr>
          <w:rFonts w:hint="cs"/>
          <w:rtl/>
        </w:rPr>
        <w:t xml:space="preserve"> </w:t>
      </w:r>
      <w:r w:rsidRPr="00BF0497">
        <w:t xml:space="preserve"> </w:t>
      </w:r>
      <w:r w:rsidRPr="00BF0497">
        <w:rPr>
          <w:rFonts w:hint="cs"/>
          <w:rtl/>
        </w:rPr>
        <w:t>רמב"ם אגרת תימן. וראה לקו"ש ח"ב ע' 588 ואילך. שיחת ש"פ שופטים תשנ"א ס"י.</w:t>
      </w:r>
    </w:p>
    <w:p w:rsidR="004C3605" w:rsidRPr="00BF0497" w:rsidRDefault="004C3605" w:rsidP="00BF0497">
      <w:pPr>
        <w:pStyle w:val="FootnoteText"/>
        <w:rPr>
          <w:rtl/>
        </w:rPr>
      </w:pPr>
      <w:r w:rsidRPr="00BF0497">
        <w:rPr>
          <w:rFonts w:hint="cs"/>
          <w:rtl/>
        </w:rPr>
        <w:t xml:space="preserve">ענין זה קשור גם למ"ש בסוף מלאכי וברמב"ם הלכות מלכים פי"ב ה"ב אודות ביאת אלי' הנביא (לפני מלחמת גוג ומגוג), ראה תורת מנחם תשכ"ט ח"ד ע' 235 הערה 25, והוא כנראה ע"פ המבואר בילקוט שמעוני עה"פ תהלים ג, ו, זהר חדש קג, א, ובפירוש הרמ"ק שם (אור יקר על תיקוני זוהר כרך ב' ע' סז). ואע"פ שלשיטת הרמב"ם שייך גם נבואה בזמן הזה, וא"כ מהו"ע של חזרת הנבואה לע"ל, (ראה גם הנסמן והנתבאר בס' ימות המשיח בהלכה ח"א סי' ד, וח"ב סי' י"ג) י"ל ע"פ המבואר בלקו"ש חל"א ע' 157 בשוה"ג. ואכ"מ.  </w:t>
      </w:r>
    </w:p>
  </w:footnote>
  <w:footnote w:id="7">
    <w:p w:rsidR="004C3605" w:rsidRPr="00FD2ECE" w:rsidRDefault="004C3605" w:rsidP="00FD2ECE">
      <w:pPr>
        <w:pStyle w:val="FootnoteText"/>
        <w:rPr>
          <w:rtl/>
        </w:rPr>
      </w:pPr>
      <w:r w:rsidRPr="00FD2ECE">
        <w:rPr>
          <w:rStyle w:val="FootnoteReference"/>
          <w:vertAlign w:val="baseline"/>
        </w:rPr>
        <w:footnoteRef/>
      </w:r>
      <w:r>
        <w:rPr>
          <w:rFonts w:hint="cs"/>
          <w:rtl/>
        </w:rPr>
        <w:t>)</w:t>
      </w:r>
      <w:r w:rsidRPr="00FD2ECE">
        <w:rPr>
          <w:rFonts w:hint="cs"/>
          <w:rtl/>
        </w:rPr>
        <w:t xml:space="preserve"> </w:t>
      </w:r>
      <w:r w:rsidRPr="00FD2ECE">
        <w:t xml:space="preserve"> </w:t>
      </w:r>
      <w:r w:rsidRPr="00FD2ECE">
        <w:rPr>
          <w:rFonts w:hint="cs"/>
          <w:rtl/>
        </w:rPr>
        <w:t>להעיר מהל' תשובה להרמב"ם פ"ט ה"ב, ששם מבואר אודות ימות המשיח שאז "תרבה הדעה (וי"ג: הדעת) והחכמה והאמת", ואוי"ל שלשון הרמב"ם "תרבה הדעה" מיוסד (גם) על הפסוק בדניאל יב, ד "ותרבה הדעת", שמדבר בהזמן לפני ביאת המשיח. וראה גם סה"ש תש"נ ח"ב ע' 458.</w:t>
      </w:r>
    </w:p>
  </w:footnote>
  <w:footnote w:id="8">
    <w:p w:rsidR="004C3605" w:rsidRPr="00FD2ECE" w:rsidRDefault="004C3605" w:rsidP="00FD2ECE">
      <w:pPr>
        <w:pStyle w:val="FootnoteText"/>
        <w:rPr>
          <w:rtl/>
        </w:rPr>
      </w:pPr>
      <w:r w:rsidRPr="00FD2ECE">
        <w:rPr>
          <w:rStyle w:val="FootnoteReference"/>
          <w:vertAlign w:val="baseline"/>
        </w:rPr>
        <w:footnoteRef/>
      </w:r>
      <w:r>
        <w:rPr>
          <w:rFonts w:hint="cs"/>
          <w:rtl/>
        </w:rPr>
        <w:t>)</w:t>
      </w:r>
      <w:r w:rsidRPr="00FD2ECE">
        <w:rPr>
          <w:rFonts w:hint="cs"/>
          <w:rtl/>
        </w:rPr>
        <w:t xml:space="preserve"> </w:t>
      </w:r>
      <w:r w:rsidRPr="00FD2ECE">
        <w:t xml:space="preserve"> </w:t>
      </w:r>
      <w:r w:rsidRPr="00FD2ECE">
        <w:rPr>
          <w:rFonts w:hint="cs"/>
          <w:rtl/>
        </w:rPr>
        <w:t>ראה פירוש המשניות להרמב"ם סנהדרין פרק א' משנה ג'. שיחת ש"פ שופטים תשנ"א בארוכה, ובהנסמן שם.</w:t>
      </w:r>
    </w:p>
  </w:footnote>
  <w:footnote w:id="9">
    <w:p w:rsidR="004C3605" w:rsidRPr="00FD2ECE" w:rsidRDefault="004C3605" w:rsidP="00FD2ECE">
      <w:pPr>
        <w:pStyle w:val="FootnoteText"/>
        <w:rPr>
          <w:rtl/>
        </w:rPr>
      </w:pPr>
      <w:r w:rsidRPr="00FD2ECE">
        <w:rPr>
          <w:rStyle w:val="FootnoteReference"/>
          <w:vertAlign w:val="baseline"/>
        </w:rPr>
        <w:footnoteRef/>
      </w:r>
      <w:r>
        <w:rPr>
          <w:rFonts w:hint="cs"/>
          <w:rtl/>
        </w:rPr>
        <w:t>)</w:t>
      </w:r>
      <w:r w:rsidRPr="00FD2ECE">
        <w:rPr>
          <w:rFonts w:hint="cs"/>
          <w:rtl/>
        </w:rPr>
        <w:t xml:space="preserve"> </w:t>
      </w:r>
      <w:r w:rsidRPr="00FD2ECE">
        <w:t xml:space="preserve"> </w:t>
      </w:r>
      <w:r w:rsidRPr="00FD2ECE">
        <w:rPr>
          <w:rFonts w:hint="cs"/>
          <w:rtl/>
        </w:rPr>
        <w:t>ראה לקו"ש חט"ו ע' 42 ובהנסמן שם. ח"כ ע' 173. ח"ל ע' 172 ואילך. ובכ"מ.</w:t>
      </w:r>
    </w:p>
  </w:footnote>
  <w:footnote w:id="10">
    <w:p w:rsidR="004C3605" w:rsidRPr="00FD2ECE" w:rsidRDefault="004C3605" w:rsidP="00CE4E4A">
      <w:pPr>
        <w:pStyle w:val="FootnoteText"/>
        <w:rPr>
          <w:rtl/>
        </w:rPr>
      </w:pPr>
      <w:r w:rsidRPr="00FD2ECE">
        <w:rPr>
          <w:rStyle w:val="FootnoteReference"/>
          <w:vertAlign w:val="baseline"/>
        </w:rPr>
        <w:footnoteRef/>
      </w:r>
      <w:r>
        <w:rPr>
          <w:rFonts w:hint="cs"/>
          <w:rtl/>
        </w:rPr>
        <w:t>)</w:t>
      </w:r>
      <w:r w:rsidRPr="00FD2ECE">
        <w:t xml:space="preserve"> </w:t>
      </w:r>
      <w:r w:rsidRPr="00FD2ECE">
        <w:rPr>
          <w:rFonts w:hint="cs"/>
          <w:rtl/>
        </w:rPr>
        <w:t>סנהדרין צח, א.</w:t>
      </w:r>
    </w:p>
  </w:footnote>
  <w:footnote w:id="11">
    <w:p w:rsidR="004C3605" w:rsidRPr="00FD2ECE" w:rsidRDefault="004C3605" w:rsidP="00FD2ECE">
      <w:pPr>
        <w:pStyle w:val="FootnoteText"/>
        <w:rPr>
          <w:rtl/>
        </w:rPr>
      </w:pPr>
      <w:r w:rsidRPr="00FD2ECE">
        <w:rPr>
          <w:rStyle w:val="FootnoteReference"/>
          <w:vertAlign w:val="baseline"/>
        </w:rPr>
        <w:footnoteRef/>
      </w:r>
      <w:r>
        <w:rPr>
          <w:rFonts w:hint="cs"/>
          <w:rtl/>
        </w:rPr>
        <w:t>)</w:t>
      </w:r>
      <w:r w:rsidRPr="00FD2ECE">
        <w:rPr>
          <w:rFonts w:hint="cs"/>
          <w:rtl/>
        </w:rPr>
        <w:t xml:space="preserve"> ראה בס' מגולה לגאולה עמודים 53 ואילך, 281, 288. וראה סה"ש תש"נ ח"א ע' 161 הערה 87. בן יהוידע על סנהדרין שם. ס' הפדות והישועה (להרב שלום מנצורה) ע' לג ואילך. ועוד. ולהעיר מס' קדושת לוי עה"פ בהעלותך יא, כח. </w:t>
      </w:r>
    </w:p>
  </w:footnote>
  <w:footnote w:id="12">
    <w:p w:rsidR="004C3605" w:rsidRPr="00FD2ECE" w:rsidRDefault="004C3605" w:rsidP="00FD2ECE">
      <w:pPr>
        <w:pStyle w:val="FootnoteText"/>
        <w:rPr>
          <w:rtl/>
        </w:rPr>
      </w:pPr>
      <w:r w:rsidRPr="00FD2ECE">
        <w:rPr>
          <w:rStyle w:val="FootnoteReference"/>
          <w:vertAlign w:val="baseline"/>
        </w:rPr>
        <w:footnoteRef/>
      </w:r>
      <w:r>
        <w:rPr>
          <w:rFonts w:hint="cs"/>
          <w:rtl/>
        </w:rPr>
        <w:t>)</w:t>
      </w:r>
      <w:r w:rsidRPr="00FD2ECE">
        <w:rPr>
          <w:rFonts w:hint="cs"/>
          <w:rtl/>
        </w:rPr>
        <w:t xml:space="preserve"> </w:t>
      </w:r>
      <w:r w:rsidRPr="00FD2ECE">
        <w:t xml:space="preserve"> </w:t>
      </w:r>
      <w:r w:rsidRPr="00FD2ECE">
        <w:rPr>
          <w:rFonts w:hint="cs"/>
          <w:rtl/>
        </w:rPr>
        <w:t xml:space="preserve">ולאידך גיסא, גם כמה מהיעודים הטובים שייכים בעיקר לזמן דלא זכו. כמו שמבואר בכ"מ שבמצב ד"זכו", יבוא משיח מיד בלי הקדמת אלי' הנביא. ולכאורה יש לפרש זה בב' פנים. א) במצד דזכו, הרי בנ"י כבר מוכנים ועומדים לביאת המשיח, ואין צורך לביאת אלי' שיבא "ליישר ישראל ולהיכן לבם" (ל' הרמב"ם הל' מלכים שם). וראה עד"ז בס' שערי אברהם (ליפשיץ) ע' נא, א. ברכי נפשי (רולר) ע' קעד, ב. ב) הצורך בביאת אלי' להכין בנ"י, הוא בכדי שביאת המשיח לא יהי' שינוי פתאומי בהעולם, כמבואר בלקו"ש ח"ל שם הע' 29. ובמצד ד"זכו" הרי ביאת המשיח והגילויים בעולם שעי"ז תהי' למעלה מסדר והדרגה, באופן של שינוי מנהגו של עולם. ואכ"מ.  </w:t>
      </w:r>
    </w:p>
  </w:footnote>
  <w:footnote w:id="13">
    <w:p w:rsidR="004C3605" w:rsidRPr="00FD2ECE" w:rsidRDefault="004C3605" w:rsidP="00FD2ECE">
      <w:pPr>
        <w:pStyle w:val="FootnoteText"/>
        <w:rPr>
          <w:rtl/>
        </w:rPr>
      </w:pPr>
      <w:r w:rsidRPr="00FD2ECE">
        <w:rPr>
          <w:rStyle w:val="FootnoteReference"/>
          <w:vertAlign w:val="baseline"/>
        </w:rPr>
        <w:footnoteRef/>
      </w:r>
      <w:r>
        <w:rPr>
          <w:rFonts w:hint="cs"/>
          <w:rtl/>
        </w:rPr>
        <w:t>)</w:t>
      </w:r>
      <w:r w:rsidRPr="00FD2ECE">
        <w:rPr>
          <w:rFonts w:hint="cs"/>
          <w:rtl/>
        </w:rPr>
        <w:t xml:space="preserve"> </w:t>
      </w:r>
      <w:r w:rsidRPr="00FD2ECE">
        <w:t xml:space="preserve"> </w:t>
      </w:r>
      <w:r w:rsidRPr="00FD2ECE">
        <w:rPr>
          <w:rFonts w:hint="cs"/>
          <w:rtl/>
        </w:rPr>
        <w:t xml:space="preserve">לדוגמא באגרת תימן הנ"ל, הרי הרמב"ם מדבר על הצרות וכו' שלפני ביאת המשיח, וביחד עם זה כותב אודות החזרת הנבואה לישראל שיהי' אז. ובהל' מלכים פי"ב מדבר על ביאת אלי' הנביא (ענין טוב) לפני מלחמת גוג ומגוג (ענין בלתי רצוי). ובלקו"ש ח"כ שם וח"ל שם מבואר ב' טעמים על גילוי תורת החסידות, א' מפני חושך הגלות וב' כהכנה לגאולה. ועד"ז בכו"כ מקומות. </w:t>
      </w:r>
    </w:p>
  </w:footnote>
  <w:footnote w:id="14">
    <w:p w:rsidR="004C3605" w:rsidRPr="00FD2ECE" w:rsidRDefault="004C3605" w:rsidP="00FD2ECE">
      <w:pPr>
        <w:pStyle w:val="FootnoteText"/>
        <w:rPr>
          <w:rtl/>
        </w:rPr>
      </w:pPr>
      <w:r w:rsidRPr="00FD2ECE">
        <w:rPr>
          <w:rStyle w:val="FootnoteReference"/>
          <w:vertAlign w:val="baseline"/>
        </w:rPr>
        <w:footnoteRef/>
      </w:r>
      <w:r>
        <w:rPr>
          <w:rFonts w:hint="cs"/>
          <w:rtl/>
        </w:rPr>
        <w:t>)</w:t>
      </w:r>
      <w:r w:rsidRPr="00FD2ECE">
        <w:rPr>
          <w:rFonts w:hint="cs"/>
          <w:rtl/>
        </w:rPr>
        <w:t xml:space="preserve"> ראה מגולה לגאולה ע' 117 ואילך. שיחת ש"פ משפטים תשנ"ב. ועוד.</w:t>
      </w:r>
    </w:p>
  </w:footnote>
  <w:footnote w:id="15">
    <w:p w:rsidR="004C3605" w:rsidRPr="00FD2ECE" w:rsidRDefault="004C3605" w:rsidP="00FD2ECE">
      <w:pPr>
        <w:pStyle w:val="FootnoteText"/>
        <w:rPr>
          <w:rtl/>
        </w:rPr>
      </w:pPr>
      <w:r w:rsidRPr="00FD2ECE">
        <w:rPr>
          <w:rStyle w:val="FootnoteReference"/>
          <w:vertAlign w:val="baseline"/>
        </w:rPr>
        <w:footnoteRef/>
      </w:r>
      <w:r>
        <w:rPr>
          <w:rFonts w:hint="cs"/>
          <w:rtl/>
        </w:rPr>
        <w:t>)</w:t>
      </w:r>
      <w:r w:rsidRPr="00FD2ECE">
        <w:rPr>
          <w:rFonts w:hint="cs"/>
          <w:rtl/>
        </w:rPr>
        <w:t xml:space="preserve"> ראה מאמרי אדמו" האמצעי קונטרסים ע' תז ואילך ובהנסמן שם.</w:t>
      </w:r>
    </w:p>
  </w:footnote>
  <w:footnote w:id="16">
    <w:p w:rsidR="004C3605" w:rsidRPr="00FD2ECE" w:rsidRDefault="004C3605" w:rsidP="00CE4E4A">
      <w:pPr>
        <w:pStyle w:val="FootnoteText"/>
        <w:rPr>
          <w:rtl/>
        </w:rPr>
      </w:pPr>
      <w:r w:rsidRPr="00FD2ECE">
        <w:rPr>
          <w:rStyle w:val="FootnoteReference"/>
          <w:vertAlign w:val="baseline"/>
        </w:rPr>
        <w:footnoteRef/>
      </w:r>
      <w:r>
        <w:rPr>
          <w:rFonts w:hint="cs"/>
          <w:rtl/>
        </w:rPr>
        <w:t>)</w:t>
      </w:r>
      <w:r w:rsidRPr="00FD2ECE">
        <w:t xml:space="preserve"> </w:t>
      </w:r>
      <w:r w:rsidRPr="00FD2ECE">
        <w:rPr>
          <w:rtl/>
        </w:rPr>
        <w:t>בתורת מנחם תשמ"ז ח"ב ע' 627 ואילך. ח"ד ע' 7 ואילך</w:t>
      </w:r>
      <w:r w:rsidRPr="00FD2ECE">
        <w:rPr>
          <w:rFonts w:hint="cs"/>
          <w:rtl/>
        </w:rPr>
        <w:t>. לקו"ש חל"ב ע' 205.</w:t>
      </w:r>
    </w:p>
  </w:footnote>
  <w:footnote w:id="17">
    <w:p w:rsidR="004C3605" w:rsidRPr="00FD2ECE" w:rsidRDefault="004C3605" w:rsidP="00FD2ECE">
      <w:pPr>
        <w:pStyle w:val="FootnoteText"/>
        <w:rPr>
          <w:rtl/>
        </w:rPr>
      </w:pPr>
      <w:r w:rsidRPr="00FD2ECE">
        <w:rPr>
          <w:rStyle w:val="FootnoteReference"/>
          <w:vertAlign w:val="baseline"/>
        </w:rPr>
        <w:footnoteRef/>
      </w:r>
      <w:r>
        <w:rPr>
          <w:rFonts w:hint="cs"/>
          <w:rtl/>
        </w:rPr>
        <w:t>)</w:t>
      </w:r>
      <w:r w:rsidRPr="00FD2ECE">
        <w:rPr>
          <w:rFonts w:hint="cs"/>
          <w:rtl/>
        </w:rPr>
        <w:t xml:space="preserve"> נצח ישראל פל"ב, ל"ה, ועיי"ש רפל"ו. וע"ע ישועות משיחו העיון הראשון פ"ה. ועוד. </w:t>
      </w:r>
    </w:p>
  </w:footnote>
  <w:footnote w:id="18">
    <w:p w:rsidR="004C3605" w:rsidRPr="00FD2ECE" w:rsidRDefault="004C3605" w:rsidP="00FD2ECE">
      <w:pPr>
        <w:pStyle w:val="FootnoteText"/>
        <w:rPr>
          <w:rtl/>
        </w:rPr>
      </w:pPr>
      <w:r w:rsidRPr="00FD2ECE">
        <w:rPr>
          <w:rStyle w:val="FootnoteReference"/>
          <w:vertAlign w:val="baseline"/>
        </w:rPr>
        <w:footnoteRef/>
      </w:r>
      <w:r>
        <w:rPr>
          <w:rFonts w:hint="cs"/>
          <w:rtl/>
        </w:rPr>
        <w:t>)</w:t>
      </w:r>
      <w:r w:rsidRPr="00FD2ECE">
        <w:rPr>
          <w:rFonts w:hint="cs"/>
          <w:rtl/>
        </w:rPr>
        <w:t xml:space="preserve"> ויש לקשר זה </w:t>
      </w:r>
      <w:r w:rsidRPr="00FD2ECE">
        <w:rPr>
          <w:rtl/>
        </w:rPr>
        <w:t>–</w:t>
      </w:r>
      <w:r w:rsidRPr="00FD2ECE">
        <w:rPr>
          <w:rFonts w:hint="cs"/>
          <w:rtl/>
        </w:rPr>
        <w:t xml:space="preserve"> בסגנון דתורת הקבלה והחסידות </w:t>
      </w:r>
      <w:r w:rsidRPr="00FD2ECE">
        <w:rPr>
          <w:rtl/>
        </w:rPr>
        <w:t>–</w:t>
      </w:r>
      <w:r w:rsidRPr="00FD2ECE">
        <w:rPr>
          <w:rFonts w:hint="cs"/>
          <w:rtl/>
        </w:rPr>
        <w:t xml:space="preserve"> ע"פ המבואר בענין חבלי משיח שהוא מפני ענין הנסירה. ראה </w:t>
      </w:r>
      <w:r w:rsidRPr="00FD2ECE">
        <w:rPr>
          <w:rtl/>
        </w:rPr>
        <w:t>ס' אמת ליעקב (להרב יעקב ניניו) ע' שצג-ד</w:t>
      </w:r>
      <w:r w:rsidRPr="00FD2ECE">
        <w:rPr>
          <w:rFonts w:hint="cs"/>
          <w:rtl/>
        </w:rPr>
        <w:t xml:space="preserve"> (במהדורה החדשה)</w:t>
      </w:r>
      <w:r w:rsidRPr="00FD2ECE">
        <w:rPr>
          <w:rtl/>
        </w:rPr>
        <w:t xml:space="preserve">. </w:t>
      </w:r>
      <w:r w:rsidRPr="00FD2ECE">
        <w:rPr>
          <w:rFonts w:hint="cs"/>
          <w:rtl/>
        </w:rPr>
        <w:t>הובא באג"ק ח"ב ע' צט. סה"ש תשנ"ב ע' 272 הערה 40. תורת מנחם תשי"ז ח"א ע' 101, (ובהערה 43 שם, המראה מקום להס' נמוקי או"ח צריך תיקון ולציין להס' אמת ליעקב הנ"ל, כמובן למעיין שהלשון שנעתק בהשיחה שם הוא הלשון שבספר הנ"ל).</w:t>
      </w:r>
    </w:p>
  </w:footnote>
  <w:footnote w:id="19">
    <w:p w:rsidR="004C3605" w:rsidRPr="00FD2ECE" w:rsidRDefault="004C3605" w:rsidP="00FD2ECE">
      <w:pPr>
        <w:pStyle w:val="FootnoteText"/>
        <w:rPr>
          <w:rtl/>
        </w:rPr>
      </w:pPr>
      <w:r w:rsidRPr="00FD2ECE">
        <w:rPr>
          <w:rStyle w:val="FootnoteReference"/>
          <w:vertAlign w:val="baseline"/>
        </w:rPr>
        <w:footnoteRef/>
      </w:r>
      <w:r>
        <w:rPr>
          <w:rFonts w:hint="cs"/>
          <w:rtl/>
        </w:rPr>
        <w:t>)</w:t>
      </w:r>
      <w:r w:rsidRPr="00FD2ECE">
        <w:rPr>
          <w:rFonts w:hint="cs"/>
          <w:rtl/>
        </w:rPr>
        <w:t xml:space="preserve"> </w:t>
      </w:r>
      <w:r w:rsidRPr="00FD2ECE">
        <w:t xml:space="preserve"> </w:t>
      </w:r>
      <w:r w:rsidRPr="00FD2ECE">
        <w:rPr>
          <w:rFonts w:hint="cs"/>
          <w:rtl/>
        </w:rPr>
        <w:t>ראה לדוגמא לקו"ש חכ"ח סו"ע 38 ואילך. ובכ"מ.</w:t>
      </w:r>
    </w:p>
  </w:footnote>
  <w:footnote w:id="20">
    <w:p w:rsidR="004C3605" w:rsidRPr="00FD2ECE" w:rsidRDefault="004C3605" w:rsidP="00CE4E4A">
      <w:pPr>
        <w:pStyle w:val="FootnoteText"/>
        <w:rPr>
          <w:rtl/>
        </w:rPr>
      </w:pPr>
      <w:r w:rsidRPr="00FD2ECE">
        <w:rPr>
          <w:rStyle w:val="FootnoteReference"/>
          <w:vertAlign w:val="baseline"/>
        </w:rPr>
        <w:footnoteRef/>
      </w:r>
      <w:r>
        <w:rPr>
          <w:rFonts w:hint="cs"/>
          <w:rtl/>
        </w:rPr>
        <w:t>)</w:t>
      </w:r>
      <w:r w:rsidRPr="00FD2ECE">
        <w:rPr>
          <w:rFonts w:hint="cs"/>
          <w:rtl/>
        </w:rPr>
        <w:t xml:space="preserve"> הענין הזה הוזכר כבר בכמה מספרים קדמונים, והובא בדא"ח בכ"מ, ואציין רק כמה מקומות לדוגמא: ראה שיחו"ק תשל"ז ח"א ע' 139. שיחת ש"פ מקץ תשנ"ב ס"ח. </w:t>
      </w:r>
    </w:p>
  </w:footnote>
  <w:footnote w:id="21">
    <w:p w:rsidR="004C3605" w:rsidRPr="00FD2ECE" w:rsidRDefault="004C3605" w:rsidP="00CE4E4A">
      <w:pPr>
        <w:pStyle w:val="FootnoteText"/>
        <w:rPr>
          <w:rtl/>
        </w:rPr>
      </w:pPr>
      <w:r w:rsidRPr="00FD2ECE">
        <w:rPr>
          <w:rStyle w:val="FootnoteReference"/>
          <w:vertAlign w:val="baseline"/>
        </w:rPr>
        <w:footnoteRef/>
      </w:r>
      <w:r>
        <w:rPr>
          <w:rFonts w:hint="cs"/>
          <w:rtl/>
        </w:rPr>
        <w:t>)</w:t>
      </w:r>
      <w:r w:rsidRPr="00FD2ECE">
        <w:rPr>
          <w:rFonts w:hint="cs"/>
          <w:rtl/>
        </w:rPr>
        <w:t xml:space="preserve"> שע"ז מיוסד לכאו' הביאור בלקו"ש ח"ב ע' 360 ואילך. שיחת ש"פ דברים תשמ"ט ס"ג ואילך.</w:t>
      </w:r>
    </w:p>
  </w:footnote>
  <w:footnote w:id="22">
    <w:p w:rsidR="004C3605" w:rsidRPr="00FD2ECE" w:rsidRDefault="004C3605" w:rsidP="00CE4E4A">
      <w:pPr>
        <w:pStyle w:val="FootnoteText"/>
        <w:rPr>
          <w:rtl/>
        </w:rPr>
      </w:pPr>
      <w:r w:rsidRPr="00FD2ECE">
        <w:rPr>
          <w:rStyle w:val="FootnoteReference"/>
          <w:vertAlign w:val="baseline"/>
        </w:rPr>
        <w:footnoteRef/>
      </w:r>
      <w:r>
        <w:rPr>
          <w:rFonts w:hint="cs"/>
          <w:rtl/>
        </w:rPr>
        <w:t>)</w:t>
      </w:r>
      <w:r w:rsidRPr="00FD2ECE">
        <w:rPr>
          <w:rFonts w:hint="cs"/>
          <w:rtl/>
        </w:rPr>
        <w:t xml:space="preserve"> ראה תורת מנחם </w:t>
      </w:r>
      <w:r w:rsidRPr="00FD2ECE">
        <w:rPr>
          <w:rtl/>
        </w:rPr>
        <w:t>תשנ"א ח"ד ע' 169</w:t>
      </w:r>
      <w:r w:rsidRPr="00FD2ECE">
        <w:rPr>
          <w:rFonts w:hint="cs"/>
          <w:rtl/>
        </w:rPr>
        <w:t xml:space="preserve">, ספר השיחות תש"נ ח"ב ע' 510 הערה 61, ובכ"מ  </w:t>
      </w:r>
    </w:p>
  </w:footnote>
  <w:footnote w:id="23">
    <w:p w:rsidR="004C3605" w:rsidRPr="00FD2ECE" w:rsidRDefault="004C3605" w:rsidP="00FD2ECE">
      <w:pPr>
        <w:pStyle w:val="FootnoteText"/>
        <w:rPr>
          <w:rtl/>
        </w:rPr>
      </w:pPr>
      <w:r w:rsidRPr="00FD2ECE">
        <w:footnoteRef/>
      </w:r>
      <w:r>
        <w:rPr>
          <w:rFonts w:hint="cs"/>
          <w:rtl/>
        </w:rPr>
        <w:t>)</w:t>
      </w:r>
      <w:r w:rsidRPr="00FD2ECE">
        <w:rPr>
          <w:rFonts w:hint="cs"/>
          <w:rtl/>
        </w:rPr>
        <w:t xml:space="preserve"> </w:t>
      </w:r>
      <w:r w:rsidRPr="00FD2ECE">
        <w:t xml:space="preserve"> </w:t>
      </w:r>
      <w:r w:rsidRPr="00FD2ECE">
        <w:rPr>
          <w:rFonts w:hint="cs"/>
          <w:rtl/>
        </w:rPr>
        <w:t>להעיר מהמבואר בסה"ש תשנ"א ח"ב ע' 494, (ועד"ז בסה"ש תשמ"ח ח"ב ע' 540-1, ובכ"מ) שהחושך דעקבתא דמשיחא שרשו למעלה הוא אור בלתי מוגבל, עיי"ש.</w:t>
      </w:r>
    </w:p>
  </w:footnote>
  <w:footnote w:id="24">
    <w:p w:rsidR="004C3605" w:rsidRPr="00FD2ECE" w:rsidRDefault="004C3605" w:rsidP="00CE4E4A">
      <w:pPr>
        <w:pStyle w:val="FootnoteText"/>
      </w:pPr>
      <w:r w:rsidRPr="00FD2ECE">
        <w:footnoteRef/>
      </w:r>
      <w:r>
        <w:rPr>
          <w:rFonts w:hint="cs"/>
          <w:rtl/>
        </w:rPr>
        <w:t xml:space="preserve">) </w:t>
      </w:r>
      <w:r w:rsidRPr="00FD2ECE">
        <w:rPr>
          <w:highlight w:val="white"/>
          <w:rtl/>
        </w:rPr>
        <w:t xml:space="preserve">סוף </w:t>
      </w:r>
      <w:r w:rsidRPr="00FD2ECE">
        <w:rPr>
          <w:rtl/>
        </w:rPr>
        <w:t>מכתב ח'תרכב.</w:t>
      </w:r>
    </w:p>
  </w:footnote>
  <w:footnote w:id="25">
    <w:p w:rsidR="004C3605" w:rsidRPr="00FD2ECE" w:rsidRDefault="004C3605" w:rsidP="00FD2ECE">
      <w:pPr>
        <w:pStyle w:val="FootnoteText"/>
      </w:pPr>
      <w:r w:rsidRPr="00FD2ECE">
        <w:footnoteRef/>
      </w:r>
      <w:r>
        <w:rPr>
          <w:rFonts w:hint="cs"/>
          <w:rtl/>
        </w:rPr>
        <w:t>)</w:t>
      </w:r>
      <w:r w:rsidRPr="00FD2ECE">
        <w:rPr>
          <w:rtl/>
        </w:rPr>
        <w:t xml:space="preserve"> ועיין צל"ח שם ד"ה ננעלו, שלא נחלקו בזה אביי ורבא.</w:t>
      </w:r>
    </w:p>
  </w:footnote>
  <w:footnote w:id="26">
    <w:p w:rsidR="004C3605" w:rsidRPr="00FD2ECE" w:rsidRDefault="004C3605" w:rsidP="00FD2ECE">
      <w:pPr>
        <w:pStyle w:val="FootnoteText"/>
      </w:pPr>
      <w:r w:rsidRPr="00FD2ECE">
        <w:footnoteRef/>
      </w:r>
      <w:r>
        <w:rPr>
          <w:rFonts w:hint="cs"/>
          <w:rtl/>
        </w:rPr>
        <w:t>)</w:t>
      </w:r>
      <w:r w:rsidRPr="00FD2ECE">
        <w:rPr>
          <w:rtl/>
        </w:rPr>
        <w:t xml:space="preserve"> כן תיקן בחידושי רבינו משה מאימראן שם.</w:t>
      </w:r>
    </w:p>
  </w:footnote>
  <w:footnote w:id="27">
    <w:p w:rsidR="004C3605" w:rsidRPr="00FD2ECE" w:rsidRDefault="004C3605" w:rsidP="00FD2ECE">
      <w:pPr>
        <w:pStyle w:val="FootnoteText"/>
      </w:pPr>
      <w:r w:rsidRPr="00FD2ECE">
        <w:footnoteRef/>
      </w:r>
      <w:r>
        <w:rPr>
          <w:rFonts w:hint="cs"/>
          <w:rtl/>
        </w:rPr>
        <w:t>)</w:t>
      </w:r>
      <w:r w:rsidRPr="00FD2ECE">
        <w:t xml:space="preserve"> </w:t>
      </w:r>
      <w:r w:rsidRPr="00FD2ECE">
        <w:rPr>
          <w:rtl/>
        </w:rPr>
        <w:t xml:space="preserve">וכבר כתבו כן בגמרא שם בהלכות עולם [קאראסיק]. קרבן תודה [כ"ץ.] בארות מים [שטעגר].  </w:t>
      </w:r>
    </w:p>
  </w:footnote>
  <w:footnote w:id="28">
    <w:p w:rsidR="004C3605" w:rsidRPr="00E22432" w:rsidRDefault="004C3605" w:rsidP="00C93F24">
      <w:pPr>
        <w:pStyle w:val="FootnoteText"/>
      </w:pPr>
      <w:r w:rsidRPr="00E22432">
        <w:footnoteRef/>
      </w:r>
      <w:r>
        <w:rPr>
          <w:rFonts w:hint="cs"/>
          <w:rtl/>
        </w:rPr>
        <w:t>)</w:t>
      </w:r>
      <w:r w:rsidRPr="00E22432">
        <w:rPr>
          <w:rtl/>
        </w:rPr>
        <w:t xml:space="preserve"> ומיושב מ"ש הצל"ח שם. </w:t>
      </w:r>
    </w:p>
  </w:footnote>
  <w:footnote w:id="29">
    <w:p w:rsidR="004C3605" w:rsidRDefault="004C3605" w:rsidP="00C93F24">
      <w:pPr>
        <w:pStyle w:val="FootnoteText"/>
        <w:rPr>
          <w:rFonts w:ascii="David Libre" w:eastAsia="David Libre" w:hAnsi="David Libre" w:cs="David Libre"/>
        </w:rPr>
      </w:pPr>
      <w:r w:rsidRPr="00E22432">
        <w:footnoteRef/>
      </w:r>
      <w:r>
        <w:rPr>
          <w:rFonts w:hint="cs"/>
          <w:rtl/>
        </w:rPr>
        <w:t>)</w:t>
      </w:r>
      <w:r w:rsidRPr="00E22432">
        <w:rPr>
          <w:rtl/>
        </w:rPr>
        <w:t xml:space="preserve"> וכן הוא לפי מה שדייקנו בהשיחה ויש לעיין אם הדיוק נכון הוא. </w:t>
      </w:r>
    </w:p>
  </w:footnote>
  <w:footnote w:id="30">
    <w:p w:rsidR="004C3605" w:rsidRPr="00E22432" w:rsidRDefault="004C3605" w:rsidP="00E22432">
      <w:pPr>
        <w:pStyle w:val="FootnoteText"/>
      </w:pPr>
      <w:r w:rsidRPr="00E22432">
        <w:footnoteRef/>
      </w:r>
      <w:r>
        <w:rPr>
          <w:rFonts w:hint="cs"/>
          <w:rtl/>
        </w:rPr>
        <w:t>)</w:t>
      </w:r>
      <w:r w:rsidRPr="00E22432">
        <w:rPr>
          <w:rtl/>
        </w:rPr>
        <w:t xml:space="preserve">  שו"ע אדה"ז סימן סא סעיף ג'.</w:t>
      </w:r>
    </w:p>
  </w:footnote>
  <w:footnote w:id="31">
    <w:p w:rsidR="004C3605" w:rsidRPr="00BD272D" w:rsidRDefault="004C3605" w:rsidP="00BD272D">
      <w:pPr>
        <w:pStyle w:val="FootnoteText"/>
      </w:pPr>
      <w:r w:rsidRPr="00BD272D">
        <w:rPr>
          <w:rStyle w:val="FootnoteReference"/>
          <w:vertAlign w:val="baseline"/>
        </w:rPr>
        <w:footnoteRef/>
      </w:r>
      <w:r>
        <w:rPr>
          <w:rFonts w:hint="cs"/>
          <w:rtl/>
        </w:rPr>
        <w:t>)</w:t>
      </w:r>
      <w:r w:rsidRPr="00BD272D">
        <w:rPr>
          <w:rtl/>
        </w:rPr>
        <w:t xml:space="preserve"> </w:t>
      </w:r>
      <w:r w:rsidRPr="00BD272D">
        <w:rPr>
          <w:rFonts w:hint="cs"/>
          <w:rtl/>
        </w:rPr>
        <w:t>ההסבר הזה על פי הצעת הבעל אהלי שם בכלל יו"ד (שם יוסף ס"ק כ"א). וזה קצת מלשונו " ...ונראה קצת שמניחי השמות בלשון אשכנז כמו ריזל שינדל פיגא וכדומה בחרו להם לכתוב רק יו"ד אחת לציר"י (כמשפט לה"ק) כדי להשוות השמות לכל לשון הגט שהוא בלה"ק ובלשון ארמית. ומ"מ נראה דאינו מוכרח כ"כ דהא שם מימון דינו ביו"ד אחת ומ"מ כתב בס' ע"נ דאם כתבו מיימון בשני יודי"ן כשר ... ולפי זה נראה לפענ"ד ... אם אירע שכתבו בשני יודי"ן יש להכשיר בדיעבד ... עוד היה נראה לפע"ד דאם היא חותמת בשני יודי"ן גם לכתחילה יש לכתוב כן בגט בשני יודין דלא שייך בזה לומר שהיא טועה בחתימתה מאחר שכן הוא המנהג בכל ספרי אשכנז ובכתיביהם לכתוב ב' יודין לצירי " עכ"ל עיין שם באריכות שיש הרבה דיעות בדבר.</w:t>
      </w:r>
    </w:p>
  </w:footnote>
  <w:footnote w:id="32">
    <w:p w:rsidR="004C3605" w:rsidRPr="00BD272D" w:rsidRDefault="004C3605" w:rsidP="00BD272D">
      <w:pPr>
        <w:pStyle w:val="FootnoteText"/>
      </w:pPr>
      <w:r w:rsidRPr="00BD272D">
        <w:rPr>
          <w:rStyle w:val="FootnoteReference"/>
          <w:vertAlign w:val="baseline"/>
        </w:rPr>
        <w:footnoteRef/>
      </w:r>
      <w:r>
        <w:rPr>
          <w:rFonts w:hint="cs"/>
          <w:rtl/>
        </w:rPr>
        <w:t>)</w:t>
      </w:r>
      <w:r w:rsidRPr="00BD272D">
        <w:rPr>
          <w:rtl/>
        </w:rPr>
        <w:t xml:space="preserve"> </w:t>
      </w:r>
      <w:r w:rsidRPr="00BD272D">
        <w:rPr>
          <w:rFonts w:hint="cs"/>
          <w:rtl/>
        </w:rPr>
        <w:t>ראה לדוגמא הב"ש סי' קכ"ט ס"ק נ וז"ל " ... וכל זה איירי אם אין ידוע איך הי' חתום אבל אם שינה ולא כתב כאשר היה חתום שמו י"ל דהוי שינוי השם..." עיין שם.</w:t>
      </w:r>
    </w:p>
  </w:footnote>
  <w:footnote w:id="33">
    <w:p w:rsidR="004C3605" w:rsidRPr="00BD272D" w:rsidRDefault="004C3605" w:rsidP="00BD272D">
      <w:pPr>
        <w:pStyle w:val="FootnoteText"/>
      </w:pPr>
      <w:r w:rsidRPr="00BD272D">
        <w:rPr>
          <w:rStyle w:val="FootnoteReference"/>
          <w:vertAlign w:val="baseline"/>
        </w:rPr>
        <w:footnoteRef/>
      </w:r>
      <w:r>
        <w:rPr>
          <w:rFonts w:hint="cs"/>
          <w:rtl/>
        </w:rPr>
        <w:t>)</w:t>
      </w:r>
      <w:r w:rsidRPr="00BD272D">
        <w:rPr>
          <w:rtl/>
        </w:rPr>
        <w:t xml:space="preserve"> </w:t>
      </w:r>
      <w:r w:rsidRPr="00BD272D">
        <w:rPr>
          <w:rFonts w:hint="cs"/>
          <w:rtl/>
        </w:rPr>
        <w:t>בכלל בנוגע לגיטין יש ריבוי דינים ופרטים ואין ח"ו להסיק הלכה למעשה בחומרת אשת איש.</w:t>
      </w:r>
    </w:p>
  </w:footnote>
  <w:footnote w:id="34">
    <w:p w:rsidR="004C3605" w:rsidRDefault="004C3605" w:rsidP="00BD272D">
      <w:pPr>
        <w:pStyle w:val="FootnoteText"/>
      </w:pPr>
      <w:r w:rsidRPr="00BD272D">
        <w:rPr>
          <w:rStyle w:val="FootnoteReference"/>
          <w:vertAlign w:val="baseline"/>
        </w:rPr>
        <w:footnoteRef/>
      </w:r>
      <w:r>
        <w:rPr>
          <w:rFonts w:hint="cs"/>
          <w:rtl/>
        </w:rPr>
        <w:t>)</w:t>
      </w:r>
      <w:r w:rsidRPr="00BD272D">
        <w:rPr>
          <w:rtl/>
        </w:rPr>
        <w:t xml:space="preserve"> </w:t>
      </w:r>
      <w:r w:rsidRPr="00BD272D">
        <w:rPr>
          <w:rFonts w:hint="cs"/>
          <w:rtl/>
        </w:rPr>
        <w:t>ל</w:t>
      </w:r>
      <w:r w:rsidRPr="00E22432">
        <w:rPr>
          <w:rFonts w:hint="cs"/>
          <w:rtl/>
        </w:rPr>
        <w:t>שון המ"רבי בספר השיחות תשמ"ט עמ' 744.</w:t>
      </w:r>
    </w:p>
  </w:footnote>
  <w:footnote w:id="35">
    <w:p w:rsidR="004C3605" w:rsidRPr="00C43231" w:rsidRDefault="004C3605" w:rsidP="00C43231">
      <w:pPr>
        <w:pStyle w:val="FootnoteText"/>
        <w:rPr>
          <w:rtl/>
        </w:rPr>
      </w:pPr>
      <w:r w:rsidRPr="00C43231">
        <w:rPr>
          <w:rStyle w:val="FootnoteReference"/>
          <w:vertAlign w:val="baseline"/>
        </w:rPr>
        <w:footnoteRef/>
      </w:r>
      <w:r w:rsidRPr="00C43231">
        <w:t xml:space="preserve"> </w:t>
      </w:r>
      <w:r>
        <w:rPr>
          <w:rFonts w:hint="cs"/>
          <w:rtl/>
        </w:rPr>
        <w:t>)</w:t>
      </w:r>
      <w:r w:rsidRPr="00C43231">
        <w:rPr>
          <w:rtl/>
        </w:rPr>
        <w:t xml:space="preserve"> הוספת המעתיק.</w:t>
      </w:r>
    </w:p>
  </w:footnote>
  <w:footnote w:id="36">
    <w:p w:rsidR="004C3605" w:rsidRPr="00C43231" w:rsidRDefault="004C3605" w:rsidP="00C43231">
      <w:pPr>
        <w:pStyle w:val="FootnoteText"/>
        <w:rPr>
          <w:rtl/>
        </w:rPr>
      </w:pPr>
      <w:r w:rsidRPr="00C43231">
        <w:rPr>
          <w:rStyle w:val="FootnoteReference"/>
          <w:vertAlign w:val="baseline"/>
        </w:rPr>
        <w:footnoteRef/>
      </w:r>
      <w:r>
        <w:rPr>
          <w:rFonts w:hint="cs"/>
          <w:rtl/>
        </w:rPr>
        <w:t>)</w:t>
      </w:r>
      <w:r w:rsidRPr="00C43231">
        <w:rPr>
          <w:rtl/>
        </w:rPr>
        <w:t xml:space="preserve"> יש להעיר: הלכה זו לכוון בברכת המצה על הכריכה, מובאת גם במחבר, והבאר הגולה מציין כמקור לדבריו, לדברי ר' יחיאל ואינו מציין למנהיג.</w:t>
      </w:r>
    </w:p>
    <w:p w:rsidR="004C3605" w:rsidRPr="00C43231" w:rsidRDefault="004C3605" w:rsidP="00C43231">
      <w:pPr>
        <w:pStyle w:val="FootnoteText"/>
        <w:rPr>
          <w:rtl/>
        </w:rPr>
      </w:pPr>
      <w:r w:rsidRPr="00C43231">
        <w:rPr>
          <w:rtl/>
        </w:rPr>
        <w:t>והנה בספר הלכות ליל הפסח כתב לבאר את ציון הרבי לדברי הר' יחיאל (ולכאורה כך הבין גם הרשד"ל בביאורו על ההגדה ובספרו דברי שלום על שו"ע אדה"ז), כי דברי הטור "כתב אחי הר' יחיאל" נמשכים גם על דברי המנהיג, דהיינו שדברי המנהיג המובאים בטור, הם בעצם חלק מציטוט דברי הר' יחיאל, ועפ"ז, הציון לדברי הר' יחיאל, מכוון באמת לדברי המנהיג.</w:t>
      </w:r>
    </w:p>
    <w:p w:rsidR="004C3605" w:rsidRPr="00C43231" w:rsidRDefault="004C3605" w:rsidP="00C43231">
      <w:pPr>
        <w:pStyle w:val="FootnoteText"/>
        <w:rPr>
          <w:rtl/>
        </w:rPr>
      </w:pPr>
      <w:r w:rsidRPr="00C43231">
        <w:rPr>
          <w:rtl/>
        </w:rPr>
        <w:t>ברם לבד גודל המוזרות שבביאור זה, הרי ניחא שי"ל כן בציונו של הבאר הגולה, כי הוא הרי מציין בזה מקור גם להלכה שבדברי המחבר לפנ"כ שצריך להיסב בכורך – אשר בהלכה זו דן בה הר' יחיאל בפירוש, וממילא י"ל ולכאורה בפשטות, שסמך הבאר הגולה על המעיין שכבר יראה בדברי הר' יחיאל (שבטור) את דברי המנהיג.</w:t>
      </w:r>
    </w:p>
    <w:p w:rsidR="004C3605" w:rsidRPr="00C43231" w:rsidRDefault="004C3605" w:rsidP="00C43231">
      <w:pPr>
        <w:pStyle w:val="FootnoteText"/>
        <w:rPr>
          <w:rtl/>
        </w:rPr>
      </w:pPr>
      <w:r w:rsidRPr="00C43231">
        <w:rPr>
          <w:rtl/>
        </w:rPr>
        <w:t>ברם בדברי הרבי שמציין בפירוש לדברי המנהיג וגם לא דן כלל בהלכה דהסיבה, קשה מאוד לומר שציונו להר' יחיאל מכוון באמת לדברי המנהיג (ובפרט שידוע דרכו של הרבי בהגדה דוקא לצמצם בציונו מקורות כו').</w:t>
      </w:r>
    </w:p>
    <w:p w:rsidR="004C3605" w:rsidRPr="00C43231" w:rsidRDefault="004C3605" w:rsidP="00C43231">
      <w:pPr>
        <w:pStyle w:val="FootnoteText"/>
        <w:rPr>
          <w:rtl/>
        </w:rPr>
      </w:pPr>
      <w:r w:rsidRPr="00C43231">
        <w:rPr>
          <w:rtl/>
        </w:rPr>
        <w:t>ומובן גם, שעפכ"ז קשה לומר שציון הרבי להר' יחיאל הוא רק משום שהבאר הגולה ציין אליו.</w:t>
      </w:r>
    </w:p>
  </w:footnote>
  <w:footnote w:id="37">
    <w:p w:rsidR="004C3605" w:rsidRPr="00BD272D" w:rsidRDefault="004C3605" w:rsidP="00CE4E4A">
      <w:pPr>
        <w:pStyle w:val="FootnoteText"/>
        <w:rPr>
          <w:rtl/>
        </w:rPr>
      </w:pPr>
      <w:r w:rsidRPr="00BD272D">
        <w:rPr>
          <w:rStyle w:val="FootnoteReference"/>
          <w:vertAlign w:val="baseline"/>
        </w:rPr>
        <w:footnoteRef/>
      </w:r>
      <w:r>
        <w:rPr>
          <w:rFonts w:hint="cs"/>
          <w:rtl/>
        </w:rPr>
        <w:t>)</w:t>
      </w:r>
      <w:r w:rsidRPr="00BD272D">
        <w:t xml:space="preserve"> </w:t>
      </w:r>
      <w:r w:rsidRPr="00BD272D">
        <w:rPr>
          <w:rtl/>
        </w:rPr>
        <w:t>כי הרי כל חידושו של אדה"ז בזה הוא רק כדי לבאר ענינה של הלכה זו שאין להשיח בין ברכת המצה לכורך, וכמו שמסיים שם אחרי אריכות כל ביאורו בזה, ש"צריך ליזהר שלא להשיח . . משבירך על אכילת מצה עד שיאכל כריכה זו כדי שתעלה ברכה זו וברכת המרור גם לכריכה זו לפי דעת הלל, ואם עבר ושח אין צריך לחזור ולברך על כריכה זו שמא הלכה כחביריו".</w:t>
      </w:r>
    </w:p>
    <w:p w:rsidR="004C3605" w:rsidRPr="00BD272D" w:rsidRDefault="004C3605" w:rsidP="00BD272D">
      <w:pPr>
        <w:pStyle w:val="FootnoteText"/>
        <w:rPr>
          <w:rtl/>
        </w:rPr>
      </w:pPr>
      <w:r w:rsidRPr="00BD272D">
        <w:rPr>
          <w:rtl/>
        </w:rPr>
        <w:t>להעיר, בגיליון הנ"ל כתב שהוא חידוש הרבי (להלן בסימן דכורך במ"ש שהמצה דכורך הוא "מצה שני"). ואין הדברים מדויקים, כי דברי הרבי בזה הם רק חידוד והבהרה בדברי אדה"ז, כי מדברי אדה"ז מוכח היטב שהזהירות שלא להפסיק מברכת המצה לכורך היא מעיקר הדין כי המצה של כורך הוא מצוה. וכמדומה לי, שכך הם גם דבריו של הראפ"א שמציין אליו, וכמו שכתב הוא בבמה זו בגיליון דחגה"פ דשנה העברה.</w:t>
      </w:r>
    </w:p>
  </w:footnote>
  <w:footnote w:id="38">
    <w:p w:rsidR="004C3605" w:rsidRPr="00C43231" w:rsidRDefault="004C3605" w:rsidP="00BD272D">
      <w:pPr>
        <w:pStyle w:val="FootnoteText"/>
        <w:rPr>
          <w:rtl/>
        </w:rPr>
      </w:pPr>
      <w:r w:rsidRPr="00BD272D">
        <w:rPr>
          <w:rStyle w:val="FootnoteReference"/>
          <w:vertAlign w:val="baseline"/>
        </w:rPr>
        <w:footnoteRef/>
      </w:r>
      <w:r w:rsidRPr="00BD272D">
        <w:t xml:space="preserve"> </w:t>
      </w:r>
      <w:r>
        <w:rPr>
          <w:rFonts w:hint="cs"/>
          <w:rtl/>
        </w:rPr>
        <w:t xml:space="preserve">) </w:t>
      </w:r>
      <w:r w:rsidRPr="00BD272D">
        <w:rPr>
          <w:rtl/>
        </w:rPr>
        <w:t>וכ"כ כל הפוסקים. עי' שו"ע אדה"ז (שם סעי' י"ג).</w:t>
      </w:r>
    </w:p>
  </w:footnote>
  <w:footnote w:id="39">
    <w:p w:rsidR="004C3605" w:rsidRPr="00C43231" w:rsidRDefault="004C3605" w:rsidP="00CE4E4A">
      <w:pPr>
        <w:pStyle w:val="FootnoteText"/>
        <w:rPr>
          <w:rtl/>
        </w:rPr>
      </w:pPr>
      <w:r w:rsidRPr="00C43231">
        <w:rPr>
          <w:rStyle w:val="FootnoteReference"/>
          <w:vertAlign w:val="baseline"/>
        </w:rPr>
        <w:footnoteRef/>
      </w:r>
      <w:r>
        <w:rPr>
          <w:rFonts w:hint="cs"/>
          <w:rtl/>
        </w:rPr>
        <w:t>)</w:t>
      </w:r>
      <w:r w:rsidRPr="00C43231">
        <w:rPr>
          <w:rtl/>
        </w:rPr>
        <w:t xml:space="preserve"> דהיינו כשיטת התוס', עי' הע' שלעיל.</w:t>
      </w:r>
    </w:p>
  </w:footnote>
  <w:footnote w:id="40">
    <w:p w:rsidR="004C3605" w:rsidRPr="00C43231" w:rsidRDefault="004C3605" w:rsidP="00C43231">
      <w:pPr>
        <w:pStyle w:val="FootnoteText"/>
        <w:rPr>
          <w:rtl/>
        </w:rPr>
      </w:pPr>
      <w:r w:rsidRPr="00C43231">
        <w:rPr>
          <w:rStyle w:val="FootnoteReference"/>
          <w:vertAlign w:val="baseline"/>
        </w:rPr>
        <w:footnoteRef/>
      </w:r>
      <w:r>
        <w:rPr>
          <w:rFonts w:hint="cs"/>
          <w:rtl/>
        </w:rPr>
        <w:t>)</w:t>
      </w:r>
      <w:r w:rsidRPr="00C43231">
        <w:t xml:space="preserve"> </w:t>
      </w:r>
      <w:r w:rsidRPr="00C43231">
        <w:rPr>
          <w:rtl/>
        </w:rPr>
        <w:t>ועי"ש שמציין אל דבריו בהל' שופר סי' כ"ב.</w:t>
      </w:r>
    </w:p>
  </w:footnote>
  <w:footnote w:id="41">
    <w:p w:rsidR="004C3605" w:rsidRPr="00C43231" w:rsidRDefault="004C3605" w:rsidP="00CE4E4A">
      <w:pPr>
        <w:pStyle w:val="FootnoteText"/>
        <w:rPr>
          <w:rtl/>
        </w:rPr>
      </w:pPr>
      <w:r w:rsidRPr="00C43231">
        <w:rPr>
          <w:rStyle w:val="FootnoteReference"/>
          <w:vertAlign w:val="baseline"/>
        </w:rPr>
        <w:footnoteRef/>
      </w:r>
      <w:r>
        <w:rPr>
          <w:rFonts w:hint="cs"/>
          <w:rtl/>
        </w:rPr>
        <w:t>)</w:t>
      </w:r>
      <w:r w:rsidRPr="00C43231">
        <w:t xml:space="preserve"> </w:t>
      </w:r>
      <w:r w:rsidRPr="00C43231">
        <w:rPr>
          <w:rtl/>
        </w:rPr>
        <w:t xml:space="preserve">שהלשון חומרא הוא הוספה המנהיג על דברי הגמ'. והרי לפי שיטת אדה"ז יסוד החיוב לאכול כורך (בזמן המקדש) הוא משום ספק שמן התורה, וא"כ לכאורה אין החיוב רק משום חומרא אלא מעיקר הדין. </w:t>
      </w:r>
    </w:p>
  </w:footnote>
  <w:footnote w:id="42">
    <w:p w:rsidR="004C3605" w:rsidRPr="00C43231" w:rsidRDefault="004C3605" w:rsidP="00C43231">
      <w:pPr>
        <w:pStyle w:val="FootnoteText"/>
        <w:rPr>
          <w:rtl/>
        </w:rPr>
      </w:pPr>
      <w:r w:rsidRPr="00C43231">
        <w:rPr>
          <w:rStyle w:val="FootnoteReference"/>
          <w:vertAlign w:val="baseline"/>
        </w:rPr>
        <w:footnoteRef/>
      </w:r>
      <w:r w:rsidRPr="00C43231">
        <w:t xml:space="preserve"> </w:t>
      </w:r>
      <w:r>
        <w:rPr>
          <w:rFonts w:hint="cs"/>
          <w:rtl/>
        </w:rPr>
        <w:t>)</w:t>
      </w:r>
      <w:r w:rsidRPr="00C43231">
        <w:rPr>
          <w:rtl/>
        </w:rPr>
        <w:t xml:space="preserve"> שעפ"ז לכאורה צ"ל, שאף שמזה שהרא"ש לא כתב חיוב הסיבה בכורך – מובן שאין חיוב להיסב בכורך, </w:t>
      </w:r>
      <w:r w:rsidRPr="00C43231">
        <w:rPr>
          <w:rFonts w:hint="cs"/>
          <w:rtl/>
        </w:rPr>
        <w:t xml:space="preserve">הרי </w:t>
      </w:r>
      <w:r w:rsidRPr="00C43231">
        <w:rPr>
          <w:rtl/>
        </w:rPr>
        <w:t>למעשה נהג הרא"ש להיסב, ולכן העלה ר' יחיאל ספק בזה. כי אילו לא הי' הרא"ש מסיב, ודאי שלא הי' בנו מעלה ספק בזה.</w:t>
      </w:r>
    </w:p>
  </w:footnote>
  <w:footnote w:id="43">
    <w:p w:rsidR="004C3605" w:rsidRPr="0019325C" w:rsidRDefault="004C3605" w:rsidP="00C43231">
      <w:pPr>
        <w:pStyle w:val="FootnoteText"/>
        <w:rPr>
          <w:rtl/>
        </w:rPr>
      </w:pPr>
      <w:r w:rsidRPr="00C43231">
        <w:rPr>
          <w:rStyle w:val="FootnoteReference"/>
          <w:vertAlign w:val="baseline"/>
        </w:rPr>
        <w:footnoteRef/>
      </w:r>
      <w:r>
        <w:rPr>
          <w:rFonts w:hint="cs"/>
          <w:rtl/>
        </w:rPr>
        <w:t>)</w:t>
      </w:r>
      <w:r w:rsidRPr="00C43231">
        <w:rPr>
          <w:rtl/>
        </w:rPr>
        <w:t xml:space="preserve"> כלומר: אף שפשוט שהמצוה דמצה של כורך היא מצוה של מצה ולא של מרור (ושלכן מכוונים עלי' בברכה של אכילת מצה), היות אבל שכל מציאותה היא רק מכשיר למרור, לא חל עלי' גדרי החיוב של מרור.     </w:t>
      </w:r>
    </w:p>
  </w:footnote>
  <w:footnote w:id="44">
    <w:p w:rsidR="004C3605" w:rsidRPr="00267755" w:rsidRDefault="004C3605" w:rsidP="00267755">
      <w:pPr>
        <w:pStyle w:val="FootnoteText"/>
      </w:pPr>
      <w:r w:rsidRPr="00267755">
        <w:rPr>
          <w:rStyle w:val="FootnoteReference"/>
          <w:vertAlign w:val="baseline"/>
        </w:rPr>
        <w:footnoteRef/>
      </w:r>
      <w:r>
        <w:rPr>
          <w:rFonts w:hint="cs"/>
          <w:rtl/>
        </w:rPr>
        <w:t>)</w:t>
      </w:r>
      <w:r w:rsidRPr="00267755">
        <w:rPr>
          <w:rtl/>
        </w:rPr>
        <w:t xml:space="preserve"> ומה שלא הקשו בפשיטות גם לדעת שמואל הסובר דמעות בעלמא מתנה שגם כן אינו מובן מדוע צריך שיהא פרוטה באחד מהן – אפ"ל כתירוץ הריטב"א על שאלה זו לקמן בדף מז, כי מ"מ קשיא לרב הסובר דמעות חוזרין. ולפ"ז גם א"ש קושית הגמ' על אף שלשמואל אין זה מלוה ומה הקושיא והא מלוה היא. [ועוד נראה לומר דעדיין לא אתינן לדבר על מחלוקת זו ודוחק.]</w:t>
      </w:r>
    </w:p>
  </w:footnote>
  <w:footnote w:id="45">
    <w:p w:rsidR="004C3605" w:rsidRPr="00CE4E4A" w:rsidRDefault="004C3605" w:rsidP="00CE4E4A">
      <w:pPr>
        <w:pStyle w:val="FootnoteText"/>
      </w:pPr>
      <w:r w:rsidRPr="00CE4E4A">
        <w:rPr>
          <w:rStyle w:val="FootnoteReference"/>
          <w:vertAlign w:val="baseline"/>
        </w:rPr>
        <w:footnoteRef/>
      </w:r>
      <w:r>
        <w:rPr>
          <w:rFonts w:hint="cs"/>
          <w:rtl/>
        </w:rPr>
        <w:t>)</w:t>
      </w:r>
      <w:r w:rsidRPr="00CE4E4A">
        <w:rPr>
          <w:rtl/>
        </w:rPr>
        <w:t xml:space="preserve"> ולהעיר שאכן הרשב"א ביאר שרבי אמי חולק על רב ושמואל בזה שלדעתו אין לדמות בין כאן להתקדשי לאחר ל' יום, מאחר וכאן לא נגמר הדיבור משא"כ לרב ושמואל לא שנא. אמנם התוס' ביאור כן כבר בקושית הגמ' שלא יתכן לדמות הכא להתם כי פה לא נגמר הדיבור, ומשמע שחילוק זה הוא לכו"ע.</w:t>
      </w:r>
    </w:p>
  </w:footnote>
  <w:footnote w:id="46">
    <w:p w:rsidR="004C3605" w:rsidRPr="006A01B4" w:rsidRDefault="004C3605" w:rsidP="006A01B4">
      <w:pPr>
        <w:pStyle w:val="FootnoteText"/>
      </w:pPr>
      <w:r w:rsidRPr="006A01B4">
        <w:rPr>
          <w:rStyle w:val="FootnoteReference"/>
          <w:vertAlign w:val="baseline"/>
        </w:rPr>
        <w:footnoteRef/>
      </w:r>
      <w:r>
        <w:rPr>
          <w:rFonts w:hint="cs"/>
          <w:rtl/>
        </w:rPr>
        <w:t>)</w:t>
      </w:r>
      <w:r w:rsidRPr="006A01B4">
        <w:rPr>
          <w:rtl/>
        </w:rPr>
        <w:t xml:space="preserve"> ומתורץ בזה גם השאלה דלעיל הערה 1. וצ"ע מדוע לא תירץ כן להלן.</w:t>
      </w:r>
    </w:p>
  </w:footnote>
  <w:footnote w:id="47">
    <w:p w:rsidR="004C3605" w:rsidRDefault="004C3605" w:rsidP="006A01B4">
      <w:pPr>
        <w:pStyle w:val="FootnoteText"/>
      </w:pPr>
      <w:r w:rsidRPr="006A01B4">
        <w:rPr>
          <w:rStyle w:val="FootnoteReference"/>
          <w:vertAlign w:val="baseline"/>
        </w:rPr>
        <w:footnoteRef/>
      </w:r>
      <w:r>
        <w:rPr>
          <w:rFonts w:hint="cs"/>
          <w:rtl/>
        </w:rPr>
        <w:t>)</w:t>
      </w:r>
      <w:r w:rsidRPr="006A01B4">
        <w:rPr>
          <w:rFonts w:hint="cs"/>
          <w:rtl/>
        </w:rPr>
        <w:t xml:space="preserve"> </w:t>
      </w:r>
      <w:r w:rsidRPr="006A01B4">
        <w:rPr>
          <w:rtl/>
        </w:rPr>
        <w:t xml:space="preserve"> וכסברא זו מצינו שביארו באחרונים  (עיין באבני מילואים בארוכה ובנו"כ הטור ושו"ע ואכ"מ) בנוגע לדיעה שהאשה המתקדשת בפרוטה ומלוה דעתה על הפרוטה. ואפ"ל דע"פ סברת הריטב"א כאן - כן הוא גם מצד המקדש ולא רק מצד האשה.</w:t>
      </w:r>
    </w:p>
  </w:footnote>
  <w:footnote w:id="48">
    <w:p w:rsidR="004C3605" w:rsidRPr="003951FF" w:rsidRDefault="004C3605" w:rsidP="003951FF">
      <w:pPr>
        <w:pStyle w:val="FootnoteText"/>
      </w:pPr>
      <w:r w:rsidRPr="003951FF">
        <w:rPr>
          <w:rStyle w:val="FootnoteReference"/>
          <w:vertAlign w:val="baseline"/>
        </w:rPr>
        <w:footnoteRef/>
      </w:r>
      <w:r>
        <w:rPr>
          <w:rFonts w:hint="cs"/>
          <w:rtl/>
        </w:rPr>
        <w:t>)</w:t>
      </w:r>
      <w:r w:rsidRPr="003951FF">
        <w:rPr>
          <w:rtl/>
        </w:rPr>
        <w:t xml:space="preserve"> כפי שמובא ברשימת הכתבי יד שבסוף תורת חיים.</w:t>
      </w:r>
    </w:p>
  </w:footnote>
  <w:footnote w:id="49">
    <w:p w:rsidR="004C3605" w:rsidRPr="003951FF" w:rsidRDefault="004C3605" w:rsidP="003951FF">
      <w:pPr>
        <w:pStyle w:val="FootnoteText"/>
      </w:pPr>
      <w:r w:rsidRPr="003951FF">
        <w:rPr>
          <w:rStyle w:val="FootnoteReference"/>
          <w:vertAlign w:val="baseline"/>
        </w:rPr>
        <w:footnoteRef/>
      </w:r>
      <w:r>
        <w:rPr>
          <w:rFonts w:hint="cs"/>
          <w:rtl/>
        </w:rPr>
        <w:t>)</w:t>
      </w:r>
      <w:r w:rsidRPr="003951FF">
        <w:rPr>
          <w:rtl/>
        </w:rPr>
        <w:t xml:space="preserve"> המאמר הובא גם במאמרי אדה"ז תקע"א עמוד קמט.</w:t>
      </w:r>
    </w:p>
  </w:footnote>
  <w:footnote w:id="50">
    <w:p w:rsidR="004C3605" w:rsidRPr="003951FF" w:rsidRDefault="004C3605" w:rsidP="003951FF">
      <w:pPr>
        <w:pStyle w:val="FootnoteText"/>
        <w:rPr>
          <w:rtl/>
        </w:rPr>
      </w:pPr>
      <w:r w:rsidRPr="003951FF">
        <w:rPr>
          <w:rStyle w:val="FootnoteReference"/>
          <w:vertAlign w:val="baseline"/>
        </w:rPr>
        <w:footnoteRef/>
      </w:r>
      <w:r>
        <w:rPr>
          <w:rFonts w:hint="cs"/>
          <w:rtl/>
        </w:rPr>
        <w:t>)</w:t>
      </w:r>
      <w:r w:rsidRPr="003951FF">
        <w:rPr>
          <w:rtl/>
        </w:rPr>
        <w:t xml:space="preserve"> בהערות וציונים מכ"ק אדמו"ר שבסוף לקוטי תורה</w:t>
      </w:r>
      <w:r w:rsidRPr="003951FF">
        <w:rPr>
          <w:rFonts w:hint="cs"/>
          <w:rtl/>
        </w:rPr>
        <w:t xml:space="preserve"> (ויקרא טז, א)</w:t>
      </w:r>
      <w:r w:rsidRPr="003951FF">
        <w:rPr>
          <w:rtl/>
        </w:rPr>
        <w:t xml:space="preserve"> מובא שהכוונה לסידור האריז"ל, והיינו סידור הר"ש מראשקוב שנכתב על פי כוונות האריז"ל (וראה תורת מנחם – התוועדויות תשמ"ב ח"ב עמוד 910)</w:t>
      </w:r>
      <w:r w:rsidRPr="003951FF">
        <w:rPr>
          <w:rFonts w:hint="cs"/>
          <w:rtl/>
        </w:rPr>
        <w:t>.</w:t>
      </w:r>
    </w:p>
  </w:footnote>
  <w:footnote w:id="51">
    <w:p w:rsidR="004C3605" w:rsidRPr="003951FF" w:rsidRDefault="004C3605" w:rsidP="003951FF">
      <w:pPr>
        <w:pStyle w:val="FootnoteText"/>
      </w:pPr>
      <w:r w:rsidRPr="003951FF">
        <w:rPr>
          <w:rStyle w:val="FootnoteReference"/>
          <w:vertAlign w:val="baseline"/>
        </w:rPr>
        <w:footnoteRef/>
      </w:r>
      <w:r>
        <w:rPr>
          <w:rFonts w:hint="cs"/>
          <w:rtl/>
        </w:rPr>
        <w:t>)</w:t>
      </w:r>
      <w:r w:rsidRPr="003951FF">
        <w:rPr>
          <w:rtl/>
        </w:rPr>
        <w:t xml:space="preserve"> לשון 'הקדמת בני הגאון המחבר' לשולחן ערוך אדה"ז.</w:t>
      </w:r>
    </w:p>
  </w:footnote>
  <w:footnote w:id="52">
    <w:p w:rsidR="004C3605" w:rsidRPr="003951FF" w:rsidRDefault="004C3605" w:rsidP="003951FF">
      <w:pPr>
        <w:pStyle w:val="FootnoteText"/>
        <w:rPr>
          <w:rtl/>
        </w:rPr>
      </w:pPr>
      <w:r w:rsidRPr="003951FF">
        <w:rPr>
          <w:rStyle w:val="FootnoteReference"/>
          <w:vertAlign w:val="baseline"/>
        </w:rPr>
        <w:footnoteRef/>
      </w:r>
      <w:r>
        <w:rPr>
          <w:rFonts w:hint="cs"/>
          <w:rtl/>
        </w:rPr>
        <w:t>)</w:t>
      </w:r>
      <w:r w:rsidRPr="003951FF">
        <w:t xml:space="preserve"> </w:t>
      </w:r>
      <w:r w:rsidRPr="003951FF">
        <w:rPr>
          <w:rtl/>
        </w:rPr>
        <w:t xml:space="preserve">מאמר ד"ה 'להבין מפני מה יו"ט דפסח' שבו מקשה אדמו"ר הזקן על הביאור הראשון נאמר ביום א' דפסח תקע"א, ואילו מאמר ד"ה 'ביום ההוא יגלח' מופיע במאמרי אדמו"ר הזקן תקע"ב, ויש להקשות אם כן, איך יתכן שאדמו"ר הזקן </w:t>
      </w:r>
      <w:r w:rsidRPr="003951FF">
        <w:rPr>
          <w:rFonts w:hint="cs"/>
          <w:rtl/>
        </w:rPr>
        <w:t xml:space="preserve">בשנת תקע"א </w:t>
      </w:r>
      <w:r w:rsidRPr="003951FF">
        <w:rPr>
          <w:rtl/>
        </w:rPr>
        <w:t>יקשה על הביאור הראשון מכוח מה שיתבאר רק בשנת תקע"ב? אולם לאמיתו של דבר, קצת יותר משלושה חודשים לפני פסח תקע"א – בשבת חנוכה תקע"א, הזכיר אדמו"ר הזקן במאמר (ד"ה ת"ר מצוות נר חנוכה,</w:t>
      </w:r>
      <w:r w:rsidRPr="003951FF">
        <w:rPr>
          <w:rFonts w:hint="cs"/>
          <w:rtl/>
        </w:rPr>
        <w:t xml:space="preserve"> תורה אור לב, ד.</w:t>
      </w:r>
      <w:r w:rsidRPr="003951FF">
        <w:rPr>
          <w:rtl/>
        </w:rPr>
        <w:t xml:space="preserve"> מאמרי אדה"ז תקע"א עמ' ל"ב) את פחיתותה של קליפת אשור, ומכללות העניין שם מובן שקליפה זו טמאה וקשה יותר מכל שאר הקליפות עיי"ש, ובפרט לפי מה שמבואר שם שקליפת אשור היא "בחינת חכמה דקליפה לעומת ונגד החכמה דקדושה" שמזה מובן שזוהי הקליפה הקשה ביותר, כיון שהיא כנגד ספירת החכמה שהיא הספירה הראשונה והנעלית ביותר.</w:t>
      </w:r>
    </w:p>
  </w:footnote>
  <w:footnote w:id="53">
    <w:p w:rsidR="004C3605" w:rsidRPr="00642014" w:rsidRDefault="004C3605" w:rsidP="00642014">
      <w:pPr>
        <w:pStyle w:val="FootnoteText"/>
      </w:pPr>
      <w:r w:rsidRPr="003951FF">
        <w:rPr>
          <w:rStyle w:val="FootnoteReference"/>
          <w:vertAlign w:val="baseline"/>
        </w:rPr>
        <w:footnoteRef/>
      </w:r>
      <w:r>
        <w:rPr>
          <w:rFonts w:hint="cs"/>
          <w:rtl/>
        </w:rPr>
        <w:t>)</w:t>
      </w:r>
      <w:r w:rsidRPr="003951FF">
        <w:rPr>
          <w:rtl/>
        </w:rPr>
        <w:t xml:space="preserve"> בספר אור התורה למגיד ממ</w:t>
      </w:r>
      <w:r w:rsidRPr="003951FF">
        <w:rPr>
          <w:rFonts w:hint="cs"/>
          <w:rtl/>
        </w:rPr>
        <w:t>ע</w:t>
      </w:r>
      <w:r w:rsidRPr="003951FF">
        <w:rPr>
          <w:rtl/>
        </w:rPr>
        <w:t xml:space="preserve">זריטש, רבו של אדמו"ר הזקן, מופיע גם כן הביאור הנ"ל, וזה לשונו שם (שמות אות סט ד"ה והנה במצרים): "במצרים נתגלה אלוקותו יתברך כמו שהיה בחידוש העולם כנודע, כמו שכתוב 'אני ולא מלאך', כי הוכרח להיות על ידי עצמו יתברך, לפי שהיו מסובבים בטומאות </w:t>
      </w:r>
      <w:r w:rsidRPr="00642014">
        <w:rPr>
          <w:rtl/>
        </w:rPr>
        <w:t>ובכשפים שלא היה יכול להיות כי אם על ידי עצמו כביכול, ולא היה כוח בשום מלאך לעשות זה". ו</w:t>
      </w:r>
      <w:r w:rsidRPr="00642014">
        <w:rPr>
          <w:rFonts w:hint="cs"/>
          <w:rtl/>
        </w:rPr>
        <w:t>כיון ש</w:t>
      </w:r>
      <w:r w:rsidRPr="00642014">
        <w:rPr>
          <w:rtl/>
        </w:rPr>
        <w:t>אין זה רגיל שאדמו"ר הזקן יקשה ויחלוק כך על רבו המגיד</w:t>
      </w:r>
      <w:r w:rsidRPr="00642014">
        <w:rPr>
          <w:rFonts w:hint="cs"/>
          <w:rtl/>
        </w:rPr>
        <w:t>,</w:t>
      </w:r>
      <w:r w:rsidRPr="00642014">
        <w:rPr>
          <w:rtl/>
        </w:rPr>
        <w:t xml:space="preserve"> יש לעיין בכל הנ"ל.</w:t>
      </w:r>
    </w:p>
  </w:footnote>
  <w:footnote w:id="54">
    <w:p w:rsidR="004C3605" w:rsidRPr="00642014" w:rsidRDefault="004C3605" w:rsidP="00642014">
      <w:pPr>
        <w:pStyle w:val="FootnoteText"/>
        <w:rPr>
          <w:rtl/>
        </w:rPr>
      </w:pPr>
      <w:r w:rsidRPr="00642014">
        <w:rPr>
          <w:rStyle w:val="FootnoteReference"/>
          <w:vertAlign w:val="baseline"/>
        </w:rPr>
        <w:footnoteRef/>
      </w:r>
      <w:r>
        <w:rPr>
          <w:rFonts w:hint="cs"/>
          <w:rtl/>
        </w:rPr>
        <w:t>)</w:t>
      </w:r>
      <w:r w:rsidRPr="00642014">
        <w:t xml:space="preserve"> </w:t>
      </w:r>
      <w:r w:rsidRPr="00642014">
        <w:rPr>
          <w:rFonts w:hint="cs"/>
          <w:rtl/>
        </w:rPr>
        <w:t>ועיין מה שתרצו בזה בקובץ עיונים בתורת החסידות (מעייני ישראל) גליון א'.</w:t>
      </w:r>
    </w:p>
  </w:footnote>
  <w:footnote w:id="55">
    <w:p w:rsidR="004C3605" w:rsidRPr="00642014" w:rsidRDefault="004C3605" w:rsidP="00642014">
      <w:pPr>
        <w:pStyle w:val="FootnoteText"/>
        <w:rPr>
          <w:rtl/>
        </w:rPr>
      </w:pPr>
      <w:r w:rsidRPr="00642014">
        <w:rPr>
          <w:rStyle w:val="FootnoteReference"/>
          <w:vertAlign w:val="baseline"/>
        </w:rPr>
        <w:footnoteRef/>
      </w:r>
      <w:r>
        <w:rPr>
          <w:rFonts w:hint="cs"/>
          <w:rtl/>
        </w:rPr>
        <w:t>)</w:t>
      </w:r>
      <w:r w:rsidRPr="00642014">
        <w:t xml:space="preserve"> </w:t>
      </w:r>
      <w:r w:rsidRPr="00642014">
        <w:rPr>
          <w:rFonts w:hint="cs"/>
          <w:rtl/>
        </w:rPr>
        <w:t>וכן מפורש יוצא מסה"מ תרפ"ה (ע' שי"ג), דמסביר שם הגרעון בתאוות היתר, ואח"כ ממשיך "אמנם</w:t>
      </w:r>
      <w:r w:rsidRPr="00642014">
        <w:rPr>
          <w:rtl/>
        </w:rPr>
        <w:t xml:space="preserve"> </w:t>
      </w:r>
      <w:r w:rsidRPr="00642014">
        <w:rPr>
          <w:rFonts w:hint="cs"/>
          <w:rtl/>
        </w:rPr>
        <w:t>בענין</w:t>
      </w:r>
      <w:r w:rsidRPr="00642014">
        <w:rPr>
          <w:rtl/>
        </w:rPr>
        <w:t xml:space="preserve"> </w:t>
      </w:r>
      <w:r w:rsidRPr="00642014">
        <w:rPr>
          <w:rFonts w:hint="cs"/>
          <w:rtl/>
        </w:rPr>
        <w:t>ההסתה</w:t>
      </w:r>
      <w:r w:rsidRPr="00642014">
        <w:rPr>
          <w:rtl/>
        </w:rPr>
        <w:t xml:space="preserve"> </w:t>
      </w:r>
      <w:r w:rsidRPr="00642014">
        <w:rPr>
          <w:rFonts w:hint="cs"/>
          <w:rtl/>
        </w:rPr>
        <w:t>בדברים</w:t>
      </w:r>
      <w:r w:rsidRPr="00642014">
        <w:rPr>
          <w:rtl/>
        </w:rPr>
        <w:t xml:space="preserve"> </w:t>
      </w:r>
      <w:r w:rsidRPr="00642014">
        <w:rPr>
          <w:rFonts w:hint="cs"/>
          <w:rtl/>
        </w:rPr>
        <w:t>האסורים</w:t>
      </w:r>
      <w:r w:rsidRPr="00642014">
        <w:rPr>
          <w:rtl/>
        </w:rPr>
        <w:t xml:space="preserve"> </w:t>
      </w:r>
      <w:r w:rsidRPr="00642014">
        <w:rPr>
          <w:rFonts w:hint="cs"/>
          <w:rtl/>
        </w:rPr>
        <w:t>ר</w:t>
      </w:r>
      <w:r w:rsidRPr="00642014">
        <w:rPr>
          <w:rtl/>
        </w:rPr>
        <w:t>"</w:t>
      </w:r>
      <w:r w:rsidRPr="00642014">
        <w:rPr>
          <w:rFonts w:hint="cs"/>
          <w:rtl/>
        </w:rPr>
        <w:t>ל</w:t>
      </w:r>
      <w:r w:rsidRPr="00642014">
        <w:rPr>
          <w:rtl/>
        </w:rPr>
        <w:t xml:space="preserve"> </w:t>
      </w:r>
      <w:r w:rsidRPr="00642014">
        <w:rPr>
          <w:rFonts w:hint="cs"/>
          <w:rtl/>
        </w:rPr>
        <w:t>יש</w:t>
      </w:r>
      <w:r w:rsidRPr="00642014">
        <w:rPr>
          <w:rtl/>
        </w:rPr>
        <w:t xml:space="preserve"> </w:t>
      </w:r>
      <w:r w:rsidRPr="00642014">
        <w:rPr>
          <w:rFonts w:hint="cs"/>
          <w:rtl/>
        </w:rPr>
        <w:t>עוד</w:t>
      </w:r>
      <w:r w:rsidRPr="00642014">
        <w:rPr>
          <w:rtl/>
        </w:rPr>
        <w:t xml:space="preserve"> </w:t>
      </w:r>
      <w:r w:rsidRPr="00642014">
        <w:rPr>
          <w:rFonts w:hint="cs"/>
          <w:rtl/>
        </w:rPr>
        <w:t>דבר</w:t>
      </w:r>
      <w:r w:rsidRPr="00642014">
        <w:rPr>
          <w:rtl/>
        </w:rPr>
        <w:t xml:space="preserve"> </w:t>
      </w:r>
      <w:r w:rsidRPr="00642014">
        <w:rPr>
          <w:rFonts w:hint="cs"/>
          <w:rtl/>
        </w:rPr>
        <w:t>שמסיתו</w:t>
      </w:r>
      <w:r w:rsidRPr="00642014">
        <w:rPr>
          <w:rtl/>
        </w:rPr>
        <w:t xml:space="preserve"> </w:t>
      </w:r>
      <w:r w:rsidRPr="00642014">
        <w:rPr>
          <w:rFonts w:hint="cs"/>
          <w:rtl/>
        </w:rPr>
        <w:t>שגם</w:t>
      </w:r>
      <w:r w:rsidRPr="00642014">
        <w:rPr>
          <w:rtl/>
        </w:rPr>
        <w:t xml:space="preserve"> </w:t>
      </w:r>
      <w:r w:rsidRPr="00642014">
        <w:rPr>
          <w:rFonts w:hint="cs"/>
          <w:rtl/>
        </w:rPr>
        <w:t>אם</w:t>
      </w:r>
      <w:r w:rsidRPr="00642014">
        <w:rPr>
          <w:rtl/>
        </w:rPr>
        <w:t xml:space="preserve"> </w:t>
      </w:r>
      <w:r w:rsidRPr="00642014">
        <w:rPr>
          <w:rFonts w:hint="cs"/>
          <w:rtl/>
        </w:rPr>
        <w:t>יעשה</w:t>
      </w:r>
      <w:r w:rsidRPr="00642014">
        <w:rPr>
          <w:rtl/>
        </w:rPr>
        <w:t xml:space="preserve"> </w:t>
      </w:r>
      <w:r w:rsidRPr="00642014">
        <w:rPr>
          <w:rFonts w:hint="cs"/>
          <w:rtl/>
        </w:rPr>
        <w:t>הדבר</w:t>
      </w:r>
      <w:r w:rsidRPr="00642014">
        <w:rPr>
          <w:rtl/>
        </w:rPr>
        <w:t xml:space="preserve"> </w:t>
      </w:r>
      <w:r w:rsidRPr="00642014">
        <w:rPr>
          <w:rFonts w:hint="cs"/>
          <w:rtl/>
        </w:rPr>
        <w:t>הרע</w:t>
      </w:r>
      <w:r w:rsidRPr="00642014">
        <w:rPr>
          <w:rtl/>
        </w:rPr>
        <w:t xml:space="preserve"> </w:t>
      </w:r>
      <w:r w:rsidRPr="00642014">
        <w:rPr>
          <w:rFonts w:hint="cs"/>
          <w:rtl/>
        </w:rPr>
        <w:t>הזה</w:t>
      </w:r>
      <w:r w:rsidRPr="00642014">
        <w:rPr>
          <w:rtl/>
        </w:rPr>
        <w:t xml:space="preserve"> </w:t>
      </w:r>
      <w:r w:rsidRPr="00642014">
        <w:rPr>
          <w:rFonts w:hint="cs"/>
          <w:rtl/>
        </w:rPr>
        <w:t>עכ</w:t>
      </w:r>
      <w:r w:rsidRPr="00642014">
        <w:rPr>
          <w:rtl/>
        </w:rPr>
        <w:t>"</w:t>
      </w:r>
      <w:r w:rsidRPr="00642014">
        <w:rPr>
          <w:rFonts w:hint="cs"/>
          <w:rtl/>
        </w:rPr>
        <w:t>ז</w:t>
      </w:r>
      <w:r w:rsidRPr="00642014">
        <w:rPr>
          <w:rtl/>
        </w:rPr>
        <w:t xml:space="preserve"> </w:t>
      </w:r>
      <w:r w:rsidRPr="00642014">
        <w:rPr>
          <w:rFonts w:hint="cs"/>
          <w:rtl/>
        </w:rPr>
        <w:t>איננו</w:t>
      </w:r>
      <w:r w:rsidRPr="00642014">
        <w:rPr>
          <w:rtl/>
        </w:rPr>
        <w:t xml:space="preserve"> </w:t>
      </w:r>
      <w:r w:rsidRPr="00642014">
        <w:rPr>
          <w:rFonts w:hint="cs"/>
          <w:rtl/>
        </w:rPr>
        <w:t>נפרד</w:t>
      </w:r>
      <w:r w:rsidRPr="00642014">
        <w:rPr>
          <w:rtl/>
        </w:rPr>
        <w:t xml:space="preserve"> </w:t>
      </w:r>
      <w:r w:rsidRPr="00642014">
        <w:rPr>
          <w:rFonts w:hint="cs"/>
          <w:rtl/>
        </w:rPr>
        <w:t>כלל</w:t>
      </w:r>
      <w:r w:rsidRPr="00642014">
        <w:rPr>
          <w:rtl/>
        </w:rPr>
        <w:t xml:space="preserve"> </w:t>
      </w:r>
      <w:r w:rsidRPr="00642014">
        <w:rPr>
          <w:rFonts w:hint="cs"/>
          <w:rtl/>
        </w:rPr>
        <w:t>מאחדותו</w:t>
      </w:r>
      <w:r w:rsidRPr="00642014">
        <w:rPr>
          <w:rtl/>
        </w:rPr>
        <w:t xml:space="preserve"> </w:t>
      </w:r>
      <w:r w:rsidRPr="00642014">
        <w:rPr>
          <w:rFonts w:hint="cs"/>
          <w:rtl/>
        </w:rPr>
        <w:t>ית</w:t>
      </w:r>
      <w:r w:rsidRPr="00642014">
        <w:rPr>
          <w:rtl/>
        </w:rPr>
        <w:t>'</w:t>
      </w:r>
      <w:r w:rsidRPr="00642014">
        <w:rPr>
          <w:rFonts w:hint="cs"/>
          <w:rtl/>
        </w:rPr>
        <w:t xml:space="preserve"> [וממשיך להביא דברי התניא בפכ"ד]", ויוצא ברור דלתאוות היתר אין טעם זה. ועי' גם סה"מ תרנ"ח ע' רכח. </w:t>
      </w:r>
    </w:p>
    <w:p w:rsidR="004C3605" w:rsidRPr="00642014" w:rsidRDefault="004C3605" w:rsidP="00642014">
      <w:pPr>
        <w:pStyle w:val="FootnoteText"/>
        <w:rPr>
          <w:rtl/>
        </w:rPr>
      </w:pPr>
      <w:r w:rsidRPr="00642014">
        <w:rPr>
          <w:rFonts w:hint="cs"/>
          <w:rtl/>
        </w:rPr>
        <w:t xml:space="preserve">ואפשר דגם על ביטול מ"ע אין האדם נפרד מ"יחודו ואחדותו ית'" [דאין כאן חפצא דקליפה, שהאדם מרכבה אליו]. ולכן בפכ"ה ל"ועשה טוב" אינו מסביר הטעם לקיום מ"ע מצד שיהיה "נפרד", אלא מצד ענין הדביקות. עיי"ש. [אך להעיר מהכ"ש דפ"א, דביטול עשה חמור מאיסור דרבנן]. ונמצא דה"בינוני דאין בו ביטול תורה" וכמבואר בפרק י"ב ש"לזה מועיל הרשימו במוחין", זה דוקא באהוי"ר שכליים. </w:t>
      </w:r>
    </w:p>
    <w:p w:rsidR="004C3605" w:rsidRPr="00642014" w:rsidRDefault="004C3605" w:rsidP="00642014">
      <w:pPr>
        <w:pStyle w:val="FootnoteText"/>
        <w:rPr>
          <w:rtl/>
        </w:rPr>
      </w:pPr>
      <w:r w:rsidRPr="00642014">
        <w:rPr>
          <w:rFonts w:hint="cs"/>
          <w:rtl/>
        </w:rPr>
        <w:t>והא דכתב אדה"ז דכש"עוסק בדברים אחרים נפרד מהיחוד העליון למטה", הרי דייק לכתוב "למטה", אך למעלה הרי הוא עדיין כלול ובטל לו ית'.</w:t>
      </w:r>
    </w:p>
    <w:p w:rsidR="004C3605" w:rsidRPr="00642014" w:rsidRDefault="004C3605" w:rsidP="00642014">
      <w:pPr>
        <w:pStyle w:val="FootnoteText"/>
        <w:rPr>
          <w:rtl/>
        </w:rPr>
      </w:pPr>
      <w:r w:rsidRPr="00642014">
        <w:rPr>
          <w:rFonts w:hint="cs"/>
          <w:rtl/>
        </w:rPr>
        <w:t>(ועפ"ז יומתק הא דתיקנו קרבן וסלח לנו על ביטול מ"ע, והרי היתכן לומר שאין יהודי יכול לינצל מרוח שטות, ובסדר היום של יהודי רגיל יש מצב שיעשה "נפרד" מהקב"ה, וגם ב"שעת החטא" היה חוטא אפי' בלי ענין התשובה?! (ו"אבק לשון הרע" י"ל דהוי שוגג). והא דהביא דוגמאות דוקא מקיום מ"ע בזריזות וחיות, וגם כשזה היפך בריאות גופו, בא רק להודיעך כוחו דהאהבה מסותרת [אך עיין בחס"מ בפרק כ"ה בהערות ועיונים. וזה לשיטתם דהפירוד מהקב"ה ע"י חטא הוא מצד הרגש האדם שאינו חייב לשמוע להקב"ה וכו']).</w:t>
      </w:r>
    </w:p>
  </w:footnote>
  <w:footnote w:id="56">
    <w:p w:rsidR="004C3605" w:rsidRPr="00642014" w:rsidRDefault="004C3605" w:rsidP="00642014">
      <w:pPr>
        <w:pStyle w:val="FootnoteText"/>
        <w:rPr>
          <w:rtl/>
        </w:rPr>
      </w:pPr>
      <w:r w:rsidRPr="00642014">
        <w:rPr>
          <w:rStyle w:val="FootnoteReference"/>
          <w:vertAlign w:val="baseline"/>
        </w:rPr>
        <w:footnoteRef/>
      </w:r>
      <w:r>
        <w:rPr>
          <w:rFonts w:hint="cs"/>
          <w:rtl/>
        </w:rPr>
        <w:t>)</w:t>
      </w:r>
      <w:r w:rsidRPr="00642014">
        <w:t xml:space="preserve"> </w:t>
      </w:r>
      <w:r w:rsidRPr="00642014">
        <w:rPr>
          <w:rFonts w:hint="cs"/>
          <w:rtl/>
        </w:rPr>
        <w:t>ועפ"ז מתורץ ה"קלאץ קשיא" שבתחילת ההערה, דהרי "דעת תחתון" הוא אמיתי, ואם כן מהו הגריעותא, שאין האדם בטל באופן הביטול ד"דעת עליון", הרי מצד גדר הדברים כפי שהם מצד הנבראים והצמצום, הוא בטל ודבוק להקב"ה. (וע"ד מה שמקשים בדא"ח מהו הצורך להתעסק בעבודת יחודא עילאה- וכמדומה שלא מתרצים בזה, שע"י דעת תחתון לבד נפרדים מהקב"ה). וע"פ המבואר בפנים, אין הכוונה שהאדם ירגיש ויחיה הביטול דדעת עליון, אלא הכוונה שמצד "קמיה ית'" הוא יהיה בטל שם. והיינו שנוגע להנשמה עד מאד, שהוא יהיה חלק מהיחוד העליון מצד אמיתית הענינים "קמיה ית'".</w:t>
      </w:r>
    </w:p>
  </w:footnote>
  <w:footnote w:id="57">
    <w:p w:rsidR="004C3605" w:rsidRPr="00642014" w:rsidRDefault="004C3605" w:rsidP="00642014">
      <w:pPr>
        <w:pStyle w:val="FootnoteText"/>
        <w:rPr>
          <w:rtl/>
        </w:rPr>
      </w:pPr>
      <w:r w:rsidRPr="00642014">
        <w:rPr>
          <w:rStyle w:val="FootnoteReference"/>
          <w:vertAlign w:val="baseline"/>
        </w:rPr>
        <w:footnoteRef/>
      </w:r>
      <w:r>
        <w:rPr>
          <w:rFonts w:hint="cs"/>
          <w:rtl/>
        </w:rPr>
        <w:t>)</w:t>
      </w:r>
      <w:r w:rsidRPr="00642014">
        <w:t xml:space="preserve"> </w:t>
      </w:r>
      <w:r w:rsidRPr="00642014">
        <w:rPr>
          <w:rFonts w:hint="cs"/>
          <w:rtl/>
        </w:rPr>
        <w:t>והא דעבירות פועלים העלם על האור אלקי גם מצד הידיעה דמלמעלה למטה ("קמיה ית'") לכאורה מבואר בכ"מ, באגרת התשובה פרק ה' "</w:t>
      </w:r>
      <w:r w:rsidRPr="00642014">
        <w:rPr>
          <w:rtl/>
        </w:rPr>
        <w:t xml:space="preserve">אך באמת אין שום דבר גשמי ורוחני חוצץ לפניו יתברך, כי הלא "את השמים ואת הארץ אני מלא", </w:t>
      </w:r>
      <w:r w:rsidRPr="00642014">
        <w:rPr>
          <w:rFonts w:hint="cs"/>
          <w:rtl/>
        </w:rPr>
        <w:t>...</w:t>
      </w:r>
      <w:r w:rsidRPr="00642014">
        <w:rPr>
          <w:rtl/>
        </w:rPr>
        <w:t>אלא כמו שכתוב בישעיהו: "כי אם עוונותיכם היו מבדילים ביניכם לבין אלקיכם". והטעם, לפי שהם נגד רצון העליון ברוך הוא המחיה את הכל, כמו שכתוב: "כל אשר חפץ ה' עשה בשמים ובארץ</w:t>
      </w:r>
      <w:r w:rsidRPr="00642014">
        <w:rPr>
          <w:rFonts w:hint="cs"/>
          <w:rtl/>
        </w:rPr>
        <w:t>". והרי מדבר כאן מצד "הקב"ה", ולא מצד גדר התחתון וכו', ואעפ"כ כותב דעוונות באמת מבדילים. [ויל"ע בשיחות כ"ק אדמו"ר שם. ובסה"מ אעת"ר ע' עד].</w:t>
      </w:r>
    </w:p>
    <w:p w:rsidR="004C3605" w:rsidRPr="00642014" w:rsidRDefault="004C3605" w:rsidP="00642014">
      <w:pPr>
        <w:pStyle w:val="FootnoteText"/>
        <w:rPr>
          <w:rtl/>
        </w:rPr>
      </w:pPr>
      <w:r w:rsidRPr="00642014">
        <w:rPr>
          <w:rFonts w:hint="cs"/>
          <w:rtl/>
        </w:rPr>
        <w:t>וכן הוא בד"ה אני לדודי עת"ר (ע' תעז) וז"ל "</w:t>
      </w:r>
      <w:r w:rsidRPr="00642014">
        <w:rPr>
          <w:rtl/>
        </w:rPr>
        <w:t>...</w:t>
      </w:r>
      <w:r w:rsidRPr="00642014">
        <w:rPr>
          <w:rFonts w:hint="cs"/>
          <w:rtl/>
        </w:rPr>
        <w:t>לאחר</w:t>
      </w:r>
      <w:r w:rsidRPr="00642014">
        <w:rPr>
          <w:rtl/>
        </w:rPr>
        <w:t xml:space="preserve"> </w:t>
      </w:r>
      <w:r w:rsidRPr="00642014">
        <w:rPr>
          <w:rFonts w:hint="cs"/>
          <w:rtl/>
        </w:rPr>
        <w:t>שנתהוו</w:t>
      </w:r>
      <w:r w:rsidRPr="00642014">
        <w:rPr>
          <w:rtl/>
        </w:rPr>
        <w:t xml:space="preserve"> </w:t>
      </w:r>
      <w:r w:rsidRPr="00642014">
        <w:rPr>
          <w:rFonts w:hint="cs"/>
          <w:rtl/>
        </w:rPr>
        <w:t>העולמות</w:t>
      </w:r>
      <w:r w:rsidRPr="00642014">
        <w:rPr>
          <w:rtl/>
        </w:rPr>
        <w:t xml:space="preserve"> </w:t>
      </w:r>
      <w:r w:rsidRPr="00642014">
        <w:rPr>
          <w:rFonts w:hint="cs"/>
          <w:rtl/>
        </w:rPr>
        <w:t>מ</w:t>
      </w:r>
      <w:r w:rsidRPr="00642014">
        <w:rPr>
          <w:rtl/>
        </w:rPr>
        <w:t>"</w:t>
      </w:r>
      <w:r w:rsidRPr="00642014">
        <w:rPr>
          <w:rFonts w:hint="cs"/>
          <w:rtl/>
        </w:rPr>
        <w:t>מ</w:t>
      </w:r>
      <w:r w:rsidRPr="00642014">
        <w:rPr>
          <w:rtl/>
        </w:rPr>
        <w:t xml:space="preserve"> </w:t>
      </w:r>
      <w:r w:rsidRPr="00642014">
        <w:rPr>
          <w:rFonts w:hint="cs"/>
          <w:rtl/>
        </w:rPr>
        <w:t>הם</w:t>
      </w:r>
      <w:r w:rsidRPr="00642014">
        <w:rPr>
          <w:rtl/>
        </w:rPr>
        <w:t xml:space="preserve"> </w:t>
      </w:r>
      <w:r w:rsidRPr="00642014">
        <w:rPr>
          <w:rFonts w:hint="cs"/>
          <w:rtl/>
        </w:rPr>
        <w:t>בטלים</w:t>
      </w:r>
      <w:r w:rsidRPr="00642014">
        <w:rPr>
          <w:rtl/>
        </w:rPr>
        <w:t xml:space="preserve"> </w:t>
      </w:r>
      <w:r w:rsidRPr="00642014">
        <w:rPr>
          <w:rFonts w:hint="cs"/>
          <w:rtl/>
        </w:rPr>
        <w:t>במציאות</w:t>
      </w:r>
      <w:r w:rsidRPr="00642014">
        <w:rPr>
          <w:rtl/>
        </w:rPr>
        <w:t xml:space="preserve"> </w:t>
      </w:r>
      <w:r w:rsidRPr="00642014">
        <w:rPr>
          <w:rFonts w:hint="cs"/>
          <w:rtl/>
        </w:rPr>
        <w:t>כמו</w:t>
      </w:r>
      <w:r w:rsidRPr="00642014">
        <w:rPr>
          <w:rtl/>
        </w:rPr>
        <w:t xml:space="preserve"> </w:t>
      </w:r>
      <w:r w:rsidRPr="00642014">
        <w:rPr>
          <w:rFonts w:hint="cs"/>
          <w:rtl/>
        </w:rPr>
        <w:t>קודם</w:t>
      </w:r>
      <w:r w:rsidRPr="00642014">
        <w:rPr>
          <w:rtl/>
        </w:rPr>
        <w:t xml:space="preserve"> </w:t>
      </w:r>
      <w:r w:rsidRPr="00642014">
        <w:rPr>
          <w:rFonts w:hint="cs"/>
          <w:rtl/>
        </w:rPr>
        <w:t>שנתהוו</w:t>
      </w:r>
      <w:r w:rsidRPr="00642014">
        <w:rPr>
          <w:rtl/>
        </w:rPr>
        <w:t xml:space="preserve"> </w:t>
      </w:r>
      <w:r w:rsidRPr="00642014">
        <w:rPr>
          <w:rFonts w:hint="cs"/>
          <w:rtl/>
        </w:rPr>
        <w:t>וזהו</w:t>
      </w:r>
      <w:r w:rsidRPr="00642014">
        <w:rPr>
          <w:rtl/>
        </w:rPr>
        <w:t>"</w:t>
      </w:r>
      <w:r w:rsidRPr="00642014">
        <w:rPr>
          <w:rFonts w:hint="cs"/>
          <w:rtl/>
        </w:rPr>
        <w:t>ע</w:t>
      </w:r>
      <w:r w:rsidRPr="00642014">
        <w:rPr>
          <w:rtl/>
        </w:rPr>
        <w:t xml:space="preserve"> </w:t>
      </w:r>
      <w:r w:rsidRPr="00642014">
        <w:rPr>
          <w:rFonts w:hint="cs"/>
          <w:rtl/>
        </w:rPr>
        <w:t>הוי</w:t>
      </w:r>
      <w:r w:rsidRPr="00642014">
        <w:rPr>
          <w:rtl/>
        </w:rPr>
        <w:t xml:space="preserve">' </w:t>
      </w:r>
      <w:r w:rsidRPr="00642014">
        <w:rPr>
          <w:rFonts w:hint="cs"/>
          <w:rtl/>
        </w:rPr>
        <w:t>אלקים</w:t>
      </w:r>
      <w:r w:rsidRPr="00642014">
        <w:rPr>
          <w:rtl/>
        </w:rPr>
        <w:t xml:space="preserve"> </w:t>
      </w:r>
      <w:r w:rsidRPr="00642014">
        <w:rPr>
          <w:rFonts w:hint="cs"/>
          <w:rtl/>
        </w:rPr>
        <w:t>כולא</w:t>
      </w:r>
      <w:r w:rsidRPr="00642014">
        <w:rPr>
          <w:rtl/>
        </w:rPr>
        <w:t xml:space="preserve"> </w:t>
      </w:r>
      <w:r w:rsidRPr="00642014">
        <w:rPr>
          <w:rFonts w:hint="cs"/>
          <w:rtl/>
        </w:rPr>
        <w:t>חד...</w:t>
      </w:r>
      <w:r w:rsidRPr="00642014">
        <w:t xml:space="preserve"> </w:t>
      </w:r>
      <w:r w:rsidRPr="00642014">
        <w:rPr>
          <w:rtl/>
        </w:rPr>
        <w:t>...</w:t>
      </w:r>
      <w:r w:rsidRPr="00642014">
        <w:rPr>
          <w:rFonts w:hint="cs"/>
          <w:rtl/>
        </w:rPr>
        <w:t>מאחר</w:t>
      </w:r>
      <w:r w:rsidRPr="00642014">
        <w:rPr>
          <w:rtl/>
        </w:rPr>
        <w:t xml:space="preserve"> </w:t>
      </w:r>
      <w:r w:rsidRPr="00642014">
        <w:rPr>
          <w:rFonts w:hint="cs"/>
          <w:rtl/>
        </w:rPr>
        <w:t>שכח</w:t>
      </w:r>
      <w:r w:rsidRPr="00642014">
        <w:rPr>
          <w:rtl/>
        </w:rPr>
        <w:t xml:space="preserve"> </w:t>
      </w:r>
      <w:r w:rsidRPr="00642014">
        <w:rPr>
          <w:rFonts w:hint="cs"/>
          <w:rtl/>
        </w:rPr>
        <w:t>ההסתר</w:t>
      </w:r>
      <w:r w:rsidRPr="00642014">
        <w:rPr>
          <w:rtl/>
        </w:rPr>
        <w:t xml:space="preserve"> </w:t>
      </w:r>
      <w:r w:rsidRPr="00642014">
        <w:rPr>
          <w:rFonts w:hint="cs"/>
          <w:rtl/>
        </w:rPr>
        <w:t>הוא</w:t>
      </w:r>
      <w:r w:rsidRPr="00642014">
        <w:rPr>
          <w:rtl/>
        </w:rPr>
        <w:t xml:space="preserve"> </w:t>
      </w:r>
      <w:r w:rsidRPr="00642014">
        <w:rPr>
          <w:rFonts w:hint="cs"/>
          <w:rtl/>
        </w:rPr>
        <w:t>ג</w:t>
      </w:r>
      <w:r w:rsidRPr="00642014">
        <w:rPr>
          <w:rtl/>
        </w:rPr>
        <w:t>"</w:t>
      </w:r>
      <w:r w:rsidRPr="00642014">
        <w:rPr>
          <w:rFonts w:hint="cs"/>
          <w:rtl/>
        </w:rPr>
        <w:t>כ</w:t>
      </w:r>
      <w:r w:rsidRPr="00642014">
        <w:rPr>
          <w:rtl/>
        </w:rPr>
        <w:t xml:space="preserve"> </w:t>
      </w:r>
      <w:r w:rsidRPr="00642014">
        <w:rPr>
          <w:rFonts w:hint="cs"/>
          <w:rtl/>
        </w:rPr>
        <w:t>כח</w:t>
      </w:r>
      <w:r w:rsidRPr="00642014">
        <w:rPr>
          <w:rtl/>
        </w:rPr>
        <w:t xml:space="preserve"> </w:t>
      </w:r>
      <w:r w:rsidRPr="00642014">
        <w:rPr>
          <w:rFonts w:hint="cs"/>
          <w:rtl/>
        </w:rPr>
        <w:t>א</w:t>
      </w:r>
      <w:r w:rsidRPr="00642014">
        <w:rPr>
          <w:rtl/>
        </w:rPr>
        <w:t>"</w:t>
      </w:r>
      <w:r w:rsidRPr="00642014">
        <w:rPr>
          <w:rFonts w:hint="cs"/>
          <w:rtl/>
        </w:rPr>
        <w:t>ס</w:t>
      </w:r>
      <w:r w:rsidRPr="00642014">
        <w:rPr>
          <w:rtl/>
        </w:rPr>
        <w:t xml:space="preserve"> </w:t>
      </w:r>
      <w:r w:rsidRPr="00642014">
        <w:rPr>
          <w:rFonts w:hint="cs"/>
          <w:rtl/>
        </w:rPr>
        <w:t>לכן</w:t>
      </w:r>
      <w:r w:rsidRPr="00642014">
        <w:rPr>
          <w:rtl/>
        </w:rPr>
        <w:t xml:space="preserve"> </w:t>
      </w:r>
      <w:r w:rsidRPr="00642014">
        <w:rPr>
          <w:rFonts w:hint="cs"/>
          <w:rtl/>
        </w:rPr>
        <w:t>אינו</w:t>
      </w:r>
      <w:r w:rsidRPr="00642014">
        <w:rPr>
          <w:rtl/>
        </w:rPr>
        <w:t xml:space="preserve"> </w:t>
      </w:r>
      <w:r w:rsidRPr="00642014">
        <w:rPr>
          <w:rFonts w:hint="cs"/>
          <w:rtl/>
        </w:rPr>
        <w:t>מסתיר</w:t>
      </w:r>
      <w:r w:rsidRPr="00642014">
        <w:rPr>
          <w:rtl/>
        </w:rPr>
        <w:t xml:space="preserve"> </w:t>
      </w:r>
      <w:r w:rsidRPr="00642014">
        <w:rPr>
          <w:rFonts w:hint="cs"/>
          <w:rtl/>
        </w:rPr>
        <w:t>על</w:t>
      </w:r>
      <w:r w:rsidRPr="00642014">
        <w:rPr>
          <w:rtl/>
        </w:rPr>
        <w:t xml:space="preserve"> </w:t>
      </w:r>
      <w:r w:rsidRPr="00642014">
        <w:rPr>
          <w:rFonts w:hint="cs"/>
          <w:rtl/>
        </w:rPr>
        <w:t>עצמותו,</w:t>
      </w:r>
      <w:r w:rsidRPr="00642014">
        <w:rPr>
          <w:rtl/>
        </w:rPr>
        <w:t xml:space="preserve"> </w:t>
      </w:r>
      <w:r w:rsidRPr="00642014">
        <w:rPr>
          <w:rFonts w:hint="cs"/>
          <w:rtl/>
        </w:rPr>
        <w:t>דאפילו</w:t>
      </w:r>
      <w:r w:rsidRPr="00642014">
        <w:rPr>
          <w:rtl/>
        </w:rPr>
        <w:t xml:space="preserve"> </w:t>
      </w:r>
      <w:r w:rsidRPr="00642014">
        <w:rPr>
          <w:rFonts w:hint="cs"/>
          <w:rtl/>
        </w:rPr>
        <w:t>לאחר</w:t>
      </w:r>
      <w:r w:rsidRPr="00642014">
        <w:rPr>
          <w:rtl/>
        </w:rPr>
        <w:t xml:space="preserve"> </w:t>
      </w:r>
      <w:r w:rsidRPr="00642014">
        <w:rPr>
          <w:rFonts w:hint="cs"/>
          <w:rtl/>
        </w:rPr>
        <w:t>שנתהוו</w:t>
      </w:r>
      <w:r w:rsidRPr="00642014">
        <w:rPr>
          <w:rtl/>
        </w:rPr>
        <w:t xml:space="preserve"> </w:t>
      </w:r>
      <w:r w:rsidRPr="00642014">
        <w:rPr>
          <w:rFonts w:hint="cs"/>
          <w:rtl/>
        </w:rPr>
        <w:t>העולמות</w:t>
      </w:r>
      <w:r w:rsidRPr="00642014">
        <w:rPr>
          <w:rtl/>
        </w:rPr>
        <w:t xml:space="preserve"> </w:t>
      </w:r>
      <w:r w:rsidRPr="00642014">
        <w:rPr>
          <w:rFonts w:hint="cs"/>
          <w:rtl/>
        </w:rPr>
        <w:t>מאיר</w:t>
      </w:r>
      <w:r w:rsidRPr="00642014">
        <w:rPr>
          <w:rtl/>
        </w:rPr>
        <w:t xml:space="preserve"> </w:t>
      </w:r>
      <w:r w:rsidRPr="00642014">
        <w:rPr>
          <w:rFonts w:hint="cs"/>
          <w:rtl/>
        </w:rPr>
        <w:t>גילוי</w:t>
      </w:r>
      <w:r w:rsidRPr="00642014">
        <w:rPr>
          <w:rtl/>
        </w:rPr>
        <w:t xml:space="preserve"> </w:t>
      </w:r>
      <w:r w:rsidRPr="00642014">
        <w:rPr>
          <w:rFonts w:hint="cs"/>
          <w:rtl/>
        </w:rPr>
        <w:t>הא</w:t>
      </w:r>
      <w:r w:rsidRPr="00642014">
        <w:rPr>
          <w:rtl/>
        </w:rPr>
        <w:t>"</w:t>
      </w:r>
      <w:r w:rsidRPr="00642014">
        <w:rPr>
          <w:rFonts w:hint="cs"/>
          <w:rtl/>
        </w:rPr>
        <w:t>ס</w:t>
      </w:r>
      <w:r w:rsidRPr="00642014">
        <w:rPr>
          <w:rtl/>
        </w:rPr>
        <w:t xml:space="preserve"> </w:t>
      </w:r>
      <w:r w:rsidRPr="00642014">
        <w:rPr>
          <w:rFonts w:hint="cs"/>
          <w:rtl/>
        </w:rPr>
        <w:t>כמו</w:t>
      </w:r>
      <w:r w:rsidRPr="00642014">
        <w:rPr>
          <w:rtl/>
        </w:rPr>
        <w:t xml:space="preserve"> </w:t>
      </w:r>
      <w:r w:rsidRPr="00642014">
        <w:rPr>
          <w:rFonts w:hint="cs"/>
          <w:rtl/>
        </w:rPr>
        <w:t>קודם</w:t>
      </w:r>
      <w:r w:rsidRPr="00642014">
        <w:rPr>
          <w:rtl/>
        </w:rPr>
        <w:t xml:space="preserve"> </w:t>
      </w:r>
      <w:r w:rsidRPr="00642014">
        <w:rPr>
          <w:rFonts w:hint="cs"/>
          <w:rtl/>
        </w:rPr>
        <w:t>שנתהוו,...כ</w:t>
      </w:r>
      <w:r w:rsidRPr="00642014">
        <w:rPr>
          <w:rtl/>
        </w:rPr>
        <w:t>"</w:t>
      </w:r>
      <w:r w:rsidRPr="00642014">
        <w:rPr>
          <w:rFonts w:hint="cs"/>
          <w:rtl/>
        </w:rPr>
        <w:t>א</w:t>
      </w:r>
      <w:r w:rsidRPr="00642014">
        <w:rPr>
          <w:rtl/>
        </w:rPr>
        <w:t xml:space="preserve"> </w:t>
      </w:r>
      <w:r w:rsidRPr="00642014">
        <w:rPr>
          <w:rFonts w:hint="cs"/>
          <w:rtl/>
        </w:rPr>
        <w:t>רק</w:t>
      </w:r>
      <w:r w:rsidRPr="00642014">
        <w:rPr>
          <w:rtl/>
        </w:rPr>
        <w:t xml:space="preserve"> </w:t>
      </w:r>
      <w:r w:rsidRPr="00642014">
        <w:rPr>
          <w:rFonts w:hint="cs"/>
          <w:rtl/>
        </w:rPr>
        <w:t>עוונותיכם</w:t>
      </w:r>
      <w:r w:rsidRPr="00642014">
        <w:rPr>
          <w:rtl/>
        </w:rPr>
        <w:t xml:space="preserve"> </w:t>
      </w:r>
      <w:r w:rsidRPr="00642014">
        <w:rPr>
          <w:rFonts w:hint="cs"/>
          <w:rtl/>
        </w:rPr>
        <w:t>היו</w:t>
      </w:r>
      <w:r w:rsidRPr="00642014">
        <w:rPr>
          <w:rtl/>
        </w:rPr>
        <w:t xml:space="preserve"> </w:t>
      </w:r>
      <w:r w:rsidRPr="00642014">
        <w:rPr>
          <w:rFonts w:hint="cs"/>
          <w:rtl/>
        </w:rPr>
        <w:t>מבדילים</w:t>
      </w:r>
      <w:r w:rsidRPr="00642014">
        <w:rPr>
          <w:rtl/>
        </w:rPr>
        <w:t xml:space="preserve"> </w:t>
      </w:r>
      <w:r w:rsidRPr="00642014">
        <w:rPr>
          <w:rFonts w:hint="cs"/>
          <w:rtl/>
        </w:rPr>
        <w:t>לפי</w:t>
      </w:r>
      <w:r w:rsidRPr="00642014">
        <w:rPr>
          <w:rtl/>
        </w:rPr>
        <w:t xml:space="preserve"> </w:t>
      </w:r>
      <w:r w:rsidRPr="00642014">
        <w:rPr>
          <w:rFonts w:hint="cs"/>
          <w:rtl/>
        </w:rPr>
        <w:t>שהם</w:t>
      </w:r>
      <w:r w:rsidRPr="00642014">
        <w:rPr>
          <w:rtl/>
        </w:rPr>
        <w:t xml:space="preserve"> </w:t>
      </w:r>
      <w:r w:rsidRPr="00642014">
        <w:rPr>
          <w:rFonts w:hint="cs"/>
          <w:rtl/>
        </w:rPr>
        <w:t>נגד</w:t>
      </w:r>
      <w:r w:rsidRPr="00642014">
        <w:rPr>
          <w:rtl/>
        </w:rPr>
        <w:t xml:space="preserve"> </w:t>
      </w:r>
      <w:r w:rsidRPr="00642014">
        <w:rPr>
          <w:rFonts w:hint="cs"/>
          <w:rtl/>
        </w:rPr>
        <w:t>רצון</w:t>
      </w:r>
      <w:r w:rsidRPr="00642014">
        <w:rPr>
          <w:rtl/>
        </w:rPr>
        <w:t xml:space="preserve"> </w:t>
      </w:r>
      <w:r w:rsidRPr="00642014">
        <w:rPr>
          <w:rFonts w:hint="cs"/>
          <w:rtl/>
        </w:rPr>
        <w:t>הוי</w:t>
      </w:r>
      <w:r w:rsidRPr="00642014">
        <w:rPr>
          <w:rtl/>
        </w:rPr>
        <w:t xml:space="preserve">' </w:t>
      </w:r>
      <w:r w:rsidRPr="00642014">
        <w:rPr>
          <w:rFonts w:hint="cs"/>
          <w:rtl/>
        </w:rPr>
        <w:t>שעון</w:t>
      </w:r>
      <w:r w:rsidRPr="00642014">
        <w:rPr>
          <w:rtl/>
        </w:rPr>
        <w:t xml:space="preserve"> </w:t>
      </w:r>
      <w:r w:rsidRPr="00642014">
        <w:rPr>
          <w:rFonts w:hint="cs"/>
          <w:rtl/>
        </w:rPr>
        <w:t>ועיוות</w:t>
      </w:r>
      <w:r w:rsidRPr="00642014">
        <w:rPr>
          <w:rtl/>
        </w:rPr>
        <w:t xml:space="preserve"> </w:t>
      </w:r>
      <w:r w:rsidRPr="00642014">
        <w:rPr>
          <w:rFonts w:hint="cs"/>
          <w:rtl/>
        </w:rPr>
        <w:t>ועיקום</w:t>
      </w:r>
      <w:r w:rsidRPr="00642014">
        <w:rPr>
          <w:rtl/>
        </w:rPr>
        <w:t xml:space="preserve"> </w:t>
      </w:r>
      <w:r w:rsidRPr="00642014">
        <w:rPr>
          <w:rFonts w:hint="cs"/>
          <w:rtl/>
        </w:rPr>
        <w:t>שנא</w:t>
      </w:r>
      <w:r w:rsidRPr="00642014">
        <w:rPr>
          <w:rtl/>
        </w:rPr>
        <w:t xml:space="preserve"> </w:t>
      </w:r>
      <w:r w:rsidRPr="00642014">
        <w:rPr>
          <w:rFonts w:hint="cs"/>
          <w:rtl/>
        </w:rPr>
        <w:t>מאד</w:t>
      </w:r>
      <w:r w:rsidRPr="00642014">
        <w:rPr>
          <w:rtl/>
        </w:rPr>
        <w:t xml:space="preserve"> </w:t>
      </w:r>
      <w:r w:rsidRPr="00642014">
        <w:rPr>
          <w:rFonts w:hint="cs"/>
          <w:rtl/>
        </w:rPr>
        <w:t>למעלה</w:t>
      </w:r>
      <w:r w:rsidRPr="00642014">
        <w:rPr>
          <w:rtl/>
        </w:rPr>
        <w:t xml:space="preserve"> </w:t>
      </w:r>
      <w:r w:rsidRPr="00642014">
        <w:rPr>
          <w:rFonts w:hint="cs"/>
          <w:rtl/>
        </w:rPr>
        <w:t>לכן</w:t>
      </w:r>
      <w:r w:rsidRPr="00642014">
        <w:rPr>
          <w:rtl/>
        </w:rPr>
        <w:t xml:space="preserve"> </w:t>
      </w:r>
      <w:r w:rsidRPr="00642014">
        <w:rPr>
          <w:rFonts w:hint="cs"/>
          <w:rtl/>
        </w:rPr>
        <w:t>ה</w:t>
      </w:r>
      <w:r w:rsidRPr="00642014">
        <w:rPr>
          <w:rtl/>
        </w:rPr>
        <w:t>"</w:t>
      </w:r>
      <w:r w:rsidRPr="00642014">
        <w:rPr>
          <w:rFonts w:hint="cs"/>
          <w:rtl/>
        </w:rPr>
        <w:t>ה</w:t>
      </w:r>
      <w:r w:rsidRPr="00642014">
        <w:rPr>
          <w:rtl/>
        </w:rPr>
        <w:t xml:space="preserve"> </w:t>
      </w:r>
      <w:r w:rsidRPr="00642014">
        <w:rPr>
          <w:rFonts w:hint="cs"/>
          <w:rtl/>
        </w:rPr>
        <w:t>מסתיר"</w:t>
      </w:r>
    </w:p>
    <w:p w:rsidR="004C3605" w:rsidRPr="00642014" w:rsidRDefault="004C3605" w:rsidP="00642014">
      <w:pPr>
        <w:pStyle w:val="FootnoteText"/>
        <w:rPr>
          <w:rtl/>
        </w:rPr>
      </w:pPr>
      <w:r w:rsidRPr="00642014">
        <w:rPr>
          <w:rFonts w:hint="cs"/>
          <w:rtl/>
        </w:rPr>
        <w:t>וכן כותב בפרק כ"ג "כי אין שום דבר נפרד (-דאפי' הצמצומים אינם מסתירים "קמיה ית'"-) כי אם בהסתר פנים- דהיינו עוונות (- כפי' השני דכ"ק אדמו"ר במ"מ והערות קצרות)"</w:t>
      </w:r>
    </w:p>
  </w:footnote>
  <w:footnote w:id="58">
    <w:p w:rsidR="004C3605" w:rsidRPr="00642014" w:rsidRDefault="004C3605" w:rsidP="00642014">
      <w:pPr>
        <w:pStyle w:val="FootnoteText"/>
        <w:rPr>
          <w:rtl/>
        </w:rPr>
      </w:pPr>
      <w:r w:rsidRPr="00642014">
        <w:rPr>
          <w:rStyle w:val="FootnoteReference"/>
          <w:vertAlign w:val="baseline"/>
        </w:rPr>
        <w:footnoteRef/>
      </w:r>
      <w:r w:rsidRPr="00642014">
        <w:t xml:space="preserve"> </w:t>
      </w:r>
      <w:r>
        <w:rPr>
          <w:rFonts w:hint="cs"/>
          <w:rtl/>
        </w:rPr>
        <w:t xml:space="preserve">) </w:t>
      </w:r>
      <w:r w:rsidRPr="00642014">
        <w:rPr>
          <w:rFonts w:hint="cs"/>
          <w:rtl/>
        </w:rPr>
        <w:t>וכן מבואר בד"ה למען דעת הנ"ל "</w:t>
      </w:r>
      <w:r w:rsidRPr="00642014">
        <w:rPr>
          <w:rtl/>
        </w:rPr>
        <w:t>דדבר הנסיון הוא שהדבר עצמו אינו שום מציאות כלל רק הועמד להיות לנסיון (ואינו דומה לדבר שיש בזה גם כוונה אלקית, וכמו בכל הדברים הגשמיים המותרים שיכול להיות בהם כוונה אלקית וזהו התכלית שלהם כו', ה"ה בבחי' מציאות דבר כו', משא"כ הנסיון אינו שום מציאות בעצמו</w:t>
      </w:r>
      <w:r w:rsidRPr="00642014">
        <w:rPr>
          <w:rFonts w:hint="cs"/>
          <w:rtl/>
        </w:rPr>
        <w:t>)...</w:t>
      </w:r>
      <w:r w:rsidRPr="00642014">
        <w:rPr>
          <w:rtl/>
        </w:rPr>
        <w:t>ולכן אין לו עלי' כלל כו', דכל דבר נסיון באיזה אופן שיהי' הוא דבר האסור שאסור וקשור בידי החיצונים ואין לו עלי' כו' וכמ"ש בסש"ב</w:t>
      </w:r>
      <w:r w:rsidRPr="00642014">
        <w:rPr>
          <w:rFonts w:hint="cs"/>
          <w:rtl/>
        </w:rPr>
        <w:t>...</w:t>
      </w:r>
      <w:r w:rsidRPr="00642014">
        <w:rPr>
          <w:rtl/>
        </w:rPr>
        <w:t>ולא כמו דברים המותרים שבהם עצמן היא הכוונה האלקית ומשו"ז יש להם עלי' שמתעלים ע"י עבודה שז"ע מותר כו', משא"כ בדברים האסורים כו', והיינו מפני שלא בהם היא הכוונה האלקית</w:t>
      </w:r>
      <w:r w:rsidRPr="00642014">
        <w:rPr>
          <w:rFonts w:hint="cs"/>
          <w:rtl/>
        </w:rPr>
        <w:t>..."</w:t>
      </w:r>
    </w:p>
  </w:footnote>
  <w:footnote w:id="59">
    <w:p w:rsidR="004C3605" w:rsidRPr="00642014" w:rsidRDefault="004C3605" w:rsidP="00642014">
      <w:pPr>
        <w:pStyle w:val="FootnoteText"/>
        <w:rPr>
          <w:rtl/>
        </w:rPr>
      </w:pPr>
      <w:r w:rsidRPr="00642014">
        <w:rPr>
          <w:rStyle w:val="FootnoteReference"/>
          <w:vertAlign w:val="baseline"/>
        </w:rPr>
        <w:footnoteRef/>
      </w:r>
      <w:r>
        <w:rPr>
          <w:rFonts w:hint="cs"/>
          <w:rtl/>
        </w:rPr>
        <w:t xml:space="preserve">) </w:t>
      </w:r>
      <w:r w:rsidRPr="00642014">
        <w:rPr>
          <w:rFonts w:hint="cs"/>
          <w:rtl/>
        </w:rPr>
        <w:t xml:space="preserve">והא דמסביר אדה"ז בסוף הפרק ד"אין הקב"ה שורה אלא על דבר שבטל אצלו ית'", זהו הטעם דאין לפנימיות הרצון שום חפץ בהם, דכיון דאין להם שייכות לענין הביטול [דהאור פנימי נתצמצם עד כדי כך, שברא קליפות שאין להם שייכות לביטול] במילא להקב"ה שום רצון בהם. ועי' בקונטרס ומעין (מאמר ג' פרק ב') </w:t>
      </w:r>
      <w:r w:rsidRPr="00642014">
        <w:rPr>
          <w:rtl/>
        </w:rPr>
        <w:t>"</w:t>
      </w:r>
      <w:r w:rsidRPr="00642014">
        <w:rPr>
          <w:rFonts w:hint="cs"/>
          <w:rtl/>
        </w:rPr>
        <w:t>והיינו</w:t>
      </w:r>
      <w:r w:rsidRPr="00642014">
        <w:rPr>
          <w:rtl/>
        </w:rPr>
        <w:t xml:space="preserve"> </w:t>
      </w:r>
      <w:r w:rsidRPr="00642014">
        <w:rPr>
          <w:rFonts w:hint="cs"/>
          <w:rtl/>
        </w:rPr>
        <w:t>מצד</w:t>
      </w:r>
      <w:r w:rsidRPr="00642014">
        <w:rPr>
          <w:rtl/>
        </w:rPr>
        <w:t xml:space="preserve"> </w:t>
      </w:r>
      <w:r w:rsidRPr="00642014">
        <w:rPr>
          <w:rFonts w:hint="cs"/>
          <w:rtl/>
        </w:rPr>
        <w:t>עצם</w:t>
      </w:r>
      <w:r w:rsidRPr="00642014">
        <w:rPr>
          <w:rtl/>
        </w:rPr>
        <w:t xml:space="preserve"> </w:t>
      </w:r>
      <w:r w:rsidRPr="00642014">
        <w:rPr>
          <w:rFonts w:hint="cs"/>
          <w:rtl/>
        </w:rPr>
        <w:t>מקור</w:t>
      </w:r>
      <w:r w:rsidRPr="00642014">
        <w:rPr>
          <w:rtl/>
        </w:rPr>
        <w:t xml:space="preserve"> </w:t>
      </w:r>
      <w:r w:rsidRPr="00642014">
        <w:rPr>
          <w:rFonts w:hint="cs"/>
          <w:rtl/>
        </w:rPr>
        <w:t>ואופן</w:t>
      </w:r>
      <w:r w:rsidRPr="00642014">
        <w:rPr>
          <w:rtl/>
        </w:rPr>
        <w:t xml:space="preserve"> </w:t>
      </w:r>
      <w:r w:rsidRPr="00642014">
        <w:rPr>
          <w:rFonts w:hint="cs"/>
          <w:rtl/>
        </w:rPr>
        <w:t>התהוותם</w:t>
      </w:r>
      <w:r w:rsidRPr="00642014">
        <w:rPr>
          <w:rtl/>
        </w:rPr>
        <w:t xml:space="preserve"> </w:t>
      </w:r>
      <w:r w:rsidRPr="00642014">
        <w:rPr>
          <w:rFonts w:hint="cs"/>
          <w:rtl/>
        </w:rPr>
        <w:t>שאין</w:t>
      </w:r>
      <w:r w:rsidRPr="00642014">
        <w:rPr>
          <w:rtl/>
        </w:rPr>
        <w:t xml:space="preserve"> </w:t>
      </w:r>
      <w:r w:rsidRPr="00642014">
        <w:rPr>
          <w:rFonts w:hint="cs"/>
          <w:rtl/>
        </w:rPr>
        <w:t>בהם</w:t>
      </w:r>
      <w:r w:rsidRPr="00642014">
        <w:rPr>
          <w:rtl/>
        </w:rPr>
        <w:t xml:space="preserve"> </w:t>
      </w:r>
      <w:r w:rsidRPr="00642014">
        <w:rPr>
          <w:rFonts w:hint="cs"/>
          <w:rtl/>
        </w:rPr>
        <w:t>הביטול</w:t>
      </w:r>
      <w:r w:rsidRPr="00642014">
        <w:rPr>
          <w:rtl/>
        </w:rPr>
        <w:t xml:space="preserve"> </w:t>
      </w:r>
      <w:r w:rsidRPr="00642014">
        <w:rPr>
          <w:rFonts w:hint="cs"/>
          <w:rtl/>
        </w:rPr>
        <w:t>וההכנה</w:t>
      </w:r>
      <w:r w:rsidRPr="00642014">
        <w:rPr>
          <w:rtl/>
        </w:rPr>
        <w:t xml:space="preserve"> </w:t>
      </w:r>
      <w:r w:rsidRPr="00642014">
        <w:rPr>
          <w:rFonts w:hint="cs"/>
          <w:rtl/>
        </w:rPr>
        <w:t>לאור</w:t>
      </w:r>
      <w:r w:rsidRPr="00642014">
        <w:rPr>
          <w:rtl/>
        </w:rPr>
        <w:t xml:space="preserve"> </w:t>
      </w:r>
      <w:r w:rsidRPr="00642014">
        <w:rPr>
          <w:rFonts w:hint="cs"/>
          <w:rtl/>
        </w:rPr>
        <w:t>האלקי</w:t>
      </w:r>
      <w:r w:rsidRPr="00642014">
        <w:rPr>
          <w:rtl/>
        </w:rPr>
        <w:t>"</w:t>
      </w:r>
      <w:r w:rsidRPr="00642014">
        <w:rPr>
          <w:rFonts w:hint="cs"/>
          <w:rtl/>
        </w:rPr>
        <w:t xml:space="preserve">. </w:t>
      </w:r>
    </w:p>
    <w:p w:rsidR="004C3605" w:rsidRPr="00642014" w:rsidRDefault="004C3605" w:rsidP="00642014">
      <w:pPr>
        <w:pStyle w:val="FootnoteText"/>
        <w:rPr>
          <w:rtl/>
        </w:rPr>
      </w:pPr>
      <w:r w:rsidRPr="00642014">
        <w:rPr>
          <w:rFonts w:hint="cs"/>
          <w:rtl/>
        </w:rPr>
        <w:t>ועוד אפשר לומר דאדה"ז מדבר כאן על פירוד היהודי מהקב"ה. דפירוד הקליפות מהקב"ה הוא מצד הקב"ה, דהוא בראם מצד "העדר הרצון" והוא "הפרידן מאחדותו", וכתוצאה מזה הם מרגישים את עצמם כיש. אבל כשיהודי מכניס א"ע לתוך ישות כ"כ גדולה ("גס רוח", ועד"ז "הא דקרו לי אלקא דאלקיא"), הנה ישות זה מגיע מהקליפות, וכתוצאה מישותו הוא נכנס לרשות הקליפות (וכלשון אדה"ז "ובזה מפרידים א"ע מקדושתו של מקום"). ויומתק שבדיבור על הקליפות לא הזכיר ענין הביטול [דשם הפירוד הוא מצד ה"עליון"], ורק כשדיבר על הגס רוח, וקרו לי אלקא וכו' הזכיר ענין הביטול [דשם הפירוד מתחיל מה"תחתון"]. ויל"ע בזה.</w:t>
      </w:r>
    </w:p>
  </w:footnote>
  <w:footnote w:id="60">
    <w:p w:rsidR="004C3605" w:rsidRPr="00642014" w:rsidRDefault="004C3605" w:rsidP="00642014">
      <w:pPr>
        <w:pStyle w:val="FootnoteText"/>
        <w:rPr>
          <w:rtl/>
        </w:rPr>
      </w:pPr>
      <w:r w:rsidRPr="00642014">
        <w:rPr>
          <w:rStyle w:val="FootnoteReference"/>
          <w:vertAlign w:val="baseline"/>
        </w:rPr>
        <w:footnoteRef/>
      </w:r>
      <w:r w:rsidRPr="00642014">
        <w:t xml:space="preserve"> </w:t>
      </w:r>
      <w:r>
        <w:rPr>
          <w:rFonts w:hint="cs"/>
          <w:rtl/>
        </w:rPr>
        <w:t xml:space="preserve">) </w:t>
      </w:r>
      <w:r w:rsidRPr="00642014">
        <w:rPr>
          <w:rFonts w:hint="cs"/>
          <w:rtl/>
        </w:rPr>
        <w:t>ואדרבה י"ל דזהו כל החידוש דאדה"ז בפרקים אלו, שאפי' מי שאינו "בעל מדריגה" והוא "יש", יכול לקיים כל התומ"צ בתכלית השלימות, וכלשונו בפי"ד "אינני רוצה להיות נפרד...אני אינני רוצה להיות שוטה כמוהו". וכמבואר בסה"מ תקס"ו (ד"ה ויאמר המן בלבו) "</w:t>
      </w:r>
      <w:r w:rsidRPr="00642014">
        <w:rPr>
          <w:rtl/>
        </w:rPr>
        <w:t xml:space="preserve">זהו מדריגה נמוכה ואין זה עדיין בתכלית שלימות הביטול האמיתי כ"א הוא בחי' יש ודבר מה בפ"ע ויש לו רצון בפ"ע רק שהוא הנפרד ליש ודבר בפ"ע אינו רוצה להיפרד מיחודו ית' </w:t>
      </w:r>
      <w:r w:rsidRPr="00642014">
        <w:rPr>
          <w:rFonts w:hint="cs"/>
          <w:rtl/>
        </w:rPr>
        <w:t>...</w:t>
      </w:r>
      <w:r w:rsidRPr="00642014">
        <w:rPr>
          <w:rtl/>
        </w:rPr>
        <w:t>אבל באמת תכלית הביטול האמיתי בו ית' הוא כשאינו נחשב למהות דבר</w:t>
      </w:r>
      <w:r w:rsidRPr="00642014">
        <w:rPr>
          <w:rFonts w:hint="cs"/>
          <w:rtl/>
        </w:rPr>
        <w:t xml:space="preserve"> </w:t>
      </w:r>
      <w:r w:rsidRPr="00642014">
        <w:rPr>
          <w:rtl/>
        </w:rPr>
        <w:t xml:space="preserve">בפ"ע כלל כ"א מושקע בבחי' היחוד והביטול האמיתי </w:t>
      </w:r>
      <w:r w:rsidRPr="00642014">
        <w:rPr>
          <w:rFonts w:hint="cs"/>
          <w:rtl/>
        </w:rPr>
        <w:t>....</w:t>
      </w:r>
      <w:r w:rsidRPr="00642014">
        <w:rPr>
          <w:rtl/>
        </w:rPr>
        <w:t>אך</w:t>
      </w:r>
      <w:r w:rsidRPr="00642014">
        <w:rPr>
          <w:rFonts w:ascii="Cambria" w:hAnsi="Cambria" w:cs="Cambria" w:hint="cs"/>
          <w:rtl/>
        </w:rPr>
        <w:t> </w:t>
      </w:r>
      <w:r w:rsidRPr="00642014">
        <w:rPr>
          <w:rFonts w:hint="cs"/>
          <w:rtl/>
        </w:rPr>
        <w:t>באמת</w:t>
      </w:r>
      <w:r w:rsidRPr="00642014">
        <w:rPr>
          <w:rtl/>
        </w:rPr>
        <w:t xml:space="preserve"> </w:t>
      </w:r>
      <w:r w:rsidRPr="00642014">
        <w:rPr>
          <w:rFonts w:hint="cs"/>
          <w:rtl/>
        </w:rPr>
        <w:t>לא</w:t>
      </w:r>
      <w:r w:rsidRPr="00642014">
        <w:rPr>
          <w:rtl/>
        </w:rPr>
        <w:t xml:space="preserve"> </w:t>
      </w:r>
      <w:r w:rsidRPr="00642014">
        <w:rPr>
          <w:rFonts w:hint="cs"/>
          <w:rtl/>
        </w:rPr>
        <w:t>כל</w:t>
      </w:r>
      <w:r w:rsidRPr="00642014">
        <w:rPr>
          <w:rtl/>
        </w:rPr>
        <w:t xml:space="preserve"> </w:t>
      </w:r>
      <w:r w:rsidRPr="00642014">
        <w:rPr>
          <w:rFonts w:hint="cs"/>
          <w:rtl/>
        </w:rPr>
        <w:t>אדם</w:t>
      </w:r>
      <w:r w:rsidRPr="00642014">
        <w:rPr>
          <w:rtl/>
        </w:rPr>
        <w:t xml:space="preserve"> </w:t>
      </w:r>
      <w:r w:rsidRPr="00642014">
        <w:rPr>
          <w:rFonts w:hint="cs"/>
          <w:rtl/>
        </w:rPr>
        <w:t>זוכה</w:t>
      </w:r>
      <w:r w:rsidRPr="00642014">
        <w:rPr>
          <w:rtl/>
        </w:rPr>
        <w:t xml:space="preserve"> </w:t>
      </w:r>
      <w:r w:rsidRPr="00642014">
        <w:rPr>
          <w:rFonts w:hint="cs"/>
          <w:rtl/>
        </w:rPr>
        <w:t>למדריגות</w:t>
      </w:r>
      <w:r w:rsidRPr="00642014">
        <w:rPr>
          <w:rtl/>
        </w:rPr>
        <w:t xml:space="preserve"> </w:t>
      </w:r>
      <w:r w:rsidRPr="00642014">
        <w:rPr>
          <w:rFonts w:hint="cs"/>
          <w:rtl/>
        </w:rPr>
        <w:t>אברהם</w:t>
      </w:r>
      <w:r w:rsidRPr="00642014">
        <w:rPr>
          <w:rtl/>
        </w:rPr>
        <w:t xml:space="preserve"> </w:t>
      </w:r>
      <w:r w:rsidRPr="00642014">
        <w:rPr>
          <w:rFonts w:hint="cs"/>
          <w:rtl/>
        </w:rPr>
        <w:t>להיות</w:t>
      </w:r>
      <w:r w:rsidRPr="00642014">
        <w:rPr>
          <w:rtl/>
        </w:rPr>
        <w:t xml:space="preserve"> </w:t>
      </w:r>
      <w:r w:rsidRPr="00642014">
        <w:rPr>
          <w:rFonts w:hint="cs"/>
          <w:rtl/>
        </w:rPr>
        <w:t>עפר</w:t>
      </w:r>
      <w:r w:rsidRPr="00642014">
        <w:rPr>
          <w:rtl/>
        </w:rPr>
        <w:t xml:space="preserve"> </w:t>
      </w:r>
      <w:r w:rsidRPr="00642014">
        <w:rPr>
          <w:rFonts w:hint="cs"/>
          <w:rtl/>
        </w:rPr>
        <w:t>ואפר</w:t>
      </w:r>
      <w:r w:rsidRPr="00642014">
        <w:rPr>
          <w:rtl/>
        </w:rPr>
        <w:t xml:space="preserve"> </w:t>
      </w:r>
      <w:r w:rsidRPr="00642014">
        <w:rPr>
          <w:rFonts w:hint="cs"/>
          <w:rtl/>
        </w:rPr>
        <w:t>ולכך</w:t>
      </w:r>
      <w:r w:rsidRPr="00642014">
        <w:rPr>
          <w:rtl/>
        </w:rPr>
        <w:t xml:space="preserve"> </w:t>
      </w:r>
      <w:r w:rsidRPr="00642014">
        <w:rPr>
          <w:rFonts w:hint="cs"/>
          <w:rtl/>
        </w:rPr>
        <w:t>עולם</w:t>
      </w:r>
      <w:r w:rsidRPr="00642014">
        <w:rPr>
          <w:rtl/>
        </w:rPr>
        <w:t xml:space="preserve"> </w:t>
      </w:r>
      <w:r w:rsidRPr="00642014">
        <w:rPr>
          <w:rFonts w:hint="cs"/>
          <w:rtl/>
        </w:rPr>
        <w:t>כמנהגו</w:t>
      </w:r>
      <w:r w:rsidRPr="00642014">
        <w:rPr>
          <w:rtl/>
        </w:rPr>
        <w:t xml:space="preserve"> </w:t>
      </w:r>
      <w:r w:rsidRPr="00642014">
        <w:rPr>
          <w:rFonts w:hint="cs"/>
          <w:rtl/>
        </w:rPr>
        <w:t>נוהג</w:t>
      </w:r>
      <w:r w:rsidRPr="00642014">
        <w:rPr>
          <w:rtl/>
        </w:rPr>
        <w:t xml:space="preserve"> </w:t>
      </w:r>
      <w:r w:rsidRPr="00642014">
        <w:rPr>
          <w:rFonts w:hint="cs"/>
          <w:rtl/>
        </w:rPr>
        <w:t>להיות</w:t>
      </w:r>
      <w:r w:rsidRPr="00642014">
        <w:rPr>
          <w:rtl/>
        </w:rPr>
        <w:t xml:space="preserve"> </w:t>
      </w:r>
      <w:r w:rsidRPr="00642014">
        <w:rPr>
          <w:rFonts w:hint="cs"/>
          <w:rtl/>
        </w:rPr>
        <w:t>העבודה</w:t>
      </w:r>
      <w:r w:rsidRPr="00642014">
        <w:rPr>
          <w:rtl/>
        </w:rPr>
        <w:t xml:space="preserve"> </w:t>
      </w:r>
      <w:r w:rsidRPr="00642014">
        <w:rPr>
          <w:rFonts w:hint="cs"/>
          <w:rtl/>
        </w:rPr>
        <w:t>באופן</w:t>
      </w:r>
      <w:r w:rsidRPr="00642014">
        <w:rPr>
          <w:rtl/>
        </w:rPr>
        <w:t xml:space="preserve"> </w:t>
      </w:r>
      <w:r w:rsidRPr="00642014">
        <w:rPr>
          <w:rFonts w:hint="cs"/>
          <w:rtl/>
        </w:rPr>
        <w:t>זו</w:t>
      </w:r>
      <w:r w:rsidRPr="00642014">
        <w:rPr>
          <w:rtl/>
        </w:rPr>
        <w:t xml:space="preserve"> </w:t>
      </w:r>
      <w:r w:rsidRPr="00642014">
        <w:rPr>
          <w:rFonts w:hint="cs"/>
          <w:rtl/>
        </w:rPr>
        <w:t>עכ</w:t>
      </w:r>
      <w:r w:rsidRPr="00642014">
        <w:rPr>
          <w:rtl/>
        </w:rPr>
        <w:t>"</w:t>
      </w:r>
      <w:r w:rsidRPr="00642014">
        <w:rPr>
          <w:rFonts w:hint="cs"/>
          <w:rtl/>
        </w:rPr>
        <w:t>פ</w:t>
      </w:r>
      <w:r w:rsidRPr="00642014">
        <w:rPr>
          <w:rtl/>
        </w:rPr>
        <w:t xml:space="preserve"> </w:t>
      </w:r>
      <w:r w:rsidRPr="00642014">
        <w:rPr>
          <w:rFonts w:hint="cs"/>
          <w:rtl/>
        </w:rPr>
        <w:t>שלא</w:t>
      </w:r>
      <w:r w:rsidRPr="00642014">
        <w:rPr>
          <w:rtl/>
        </w:rPr>
        <w:t xml:space="preserve"> </w:t>
      </w:r>
      <w:r w:rsidRPr="00642014">
        <w:rPr>
          <w:rFonts w:hint="cs"/>
          <w:rtl/>
        </w:rPr>
        <w:t>לחפוץ</w:t>
      </w:r>
      <w:r w:rsidRPr="00642014">
        <w:rPr>
          <w:rtl/>
        </w:rPr>
        <w:t xml:space="preserve"> </w:t>
      </w:r>
      <w:r w:rsidRPr="00642014">
        <w:rPr>
          <w:rFonts w:hint="cs"/>
          <w:rtl/>
        </w:rPr>
        <w:t>להיות</w:t>
      </w:r>
      <w:r w:rsidRPr="00642014">
        <w:rPr>
          <w:rtl/>
        </w:rPr>
        <w:t xml:space="preserve"> </w:t>
      </w:r>
      <w:r w:rsidRPr="00642014">
        <w:rPr>
          <w:rFonts w:hint="cs"/>
          <w:rtl/>
        </w:rPr>
        <w:t>נפרד</w:t>
      </w:r>
      <w:r w:rsidRPr="00642014">
        <w:rPr>
          <w:rtl/>
        </w:rPr>
        <w:t xml:space="preserve"> </w:t>
      </w:r>
      <w:r w:rsidRPr="00642014">
        <w:rPr>
          <w:rFonts w:hint="cs"/>
          <w:rtl/>
        </w:rPr>
        <w:t>מיחודו</w:t>
      </w:r>
      <w:r w:rsidRPr="00642014">
        <w:rPr>
          <w:rtl/>
        </w:rPr>
        <w:t xml:space="preserve"> </w:t>
      </w:r>
      <w:r w:rsidRPr="00642014">
        <w:rPr>
          <w:rFonts w:hint="cs"/>
          <w:rtl/>
        </w:rPr>
        <w:t>ית</w:t>
      </w:r>
      <w:r w:rsidRPr="00642014">
        <w:rPr>
          <w:rtl/>
        </w:rPr>
        <w:t xml:space="preserve">' </w:t>
      </w:r>
      <w:r w:rsidRPr="00642014">
        <w:rPr>
          <w:rFonts w:hint="cs"/>
          <w:rtl/>
        </w:rPr>
        <w:t>שעי</w:t>
      </w:r>
      <w:r w:rsidRPr="00642014">
        <w:rPr>
          <w:rtl/>
        </w:rPr>
        <w:t>"</w:t>
      </w:r>
      <w:r w:rsidRPr="00642014">
        <w:rPr>
          <w:rFonts w:hint="cs"/>
          <w:rtl/>
        </w:rPr>
        <w:t>ז</w:t>
      </w:r>
      <w:r w:rsidRPr="00642014">
        <w:rPr>
          <w:rtl/>
        </w:rPr>
        <w:t xml:space="preserve"> </w:t>
      </w:r>
      <w:r w:rsidRPr="00642014">
        <w:rPr>
          <w:rFonts w:hint="cs"/>
          <w:rtl/>
        </w:rPr>
        <w:t>יהי</w:t>
      </w:r>
      <w:r w:rsidRPr="00642014">
        <w:rPr>
          <w:rtl/>
        </w:rPr>
        <w:t xml:space="preserve">' </w:t>
      </w:r>
      <w:r w:rsidRPr="00642014">
        <w:rPr>
          <w:rFonts w:hint="cs"/>
          <w:rtl/>
        </w:rPr>
        <w:t>שומר</w:t>
      </w:r>
      <w:r w:rsidRPr="00642014">
        <w:rPr>
          <w:rtl/>
        </w:rPr>
        <w:t xml:space="preserve"> </w:t>
      </w:r>
      <w:r w:rsidRPr="00642014">
        <w:rPr>
          <w:rFonts w:hint="cs"/>
          <w:rtl/>
        </w:rPr>
        <w:t>נפשו</w:t>
      </w:r>
      <w:r w:rsidRPr="00642014">
        <w:rPr>
          <w:rtl/>
        </w:rPr>
        <w:t xml:space="preserve"> </w:t>
      </w:r>
      <w:r w:rsidRPr="00642014">
        <w:rPr>
          <w:rFonts w:hint="cs"/>
          <w:rtl/>
        </w:rPr>
        <w:t>מכל</w:t>
      </w:r>
      <w:r w:rsidRPr="00642014">
        <w:rPr>
          <w:rtl/>
        </w:rPr>
        <w:t xml:space="preserve"> </w:t>
      </w:r>
      <w:r w:rsidRPr="00642014">
        <w:rPr>
          <w:rFonts w:hint="cs"/>
          <w:rtl/>
        </w:rPr>
        <w:t>איסור</w:t>
      </w:r>
      <w:r w:rsidRPr="00642014">
        <w:rPr>
          <w:rtl/>
        </w:rPr>
        <w:t xml:space="preserve"> </w:t>
      </w:r>
      <w:r w:rsidRPr="00642014">
        <w:rPr>
          <w:rFonts w:hint="cs"/>
          <w:rtl/>
        </w:rPr>
        <w:t>קל</w:t>
      </w:r>
      <w:r w:rsidRPr="00642014">
        <w:rPr>
          <w:rtl/>
        </w:rPr>
        <w:t xml:space="preserve"> </w:t>
      </w:r>
      <w:r w:rsidRPr="00642014">
        <w:rPr>
          <w:rFonts w:hint="cs"/>
          <w:rtl/>
        </w:rPr>
        <w:t>של</w:t>
      </w:r>
      <w:r w:rsidRPr="00642014">
        <w:rPr>
          <w:rtl/>
        </w:rPr>
        <w:t xml:space="preserve"> </w:t>
      </w:r>
      <w:r w:rsidRPr="00642014">
        <w:rPr>
          <w:rFonts w:hint="cs"/>
          <w:rtl/>
        </w:rPr>
        <w:t>ד</w:t>
      </w:r>
      <w:r w:rsidRPr="00642014">
        <w:rPr>
          <w:rtl/>
        </w:rPr>
        <w:t>"</w:t>
      </w:r>
      <w:r w:rsidRPr="00642014">
        <w:rPr>
          <w:rFonts w:hint="cs"/>
          <w:rtl/>
        </w:rPr>
        <w:t>ס</w:t>
      </w:r>
      <w:r w:rsidRPr="00642014">
        <w:rPr>
          <w:rtl/>
        </w:rPr>
        <w:t xml:space="preserve"> </w:t>
      </w:r>
      <w:r w:rsidRPr="00642014">
        <w:rPr>
          <w:rFonts w:hint="cs"/>
          <w:rtl/>
        </w:rPr>
        <w:t>בתכלית</w:t>
      </w:r>
      <w:r w:rsidRPr="00642014">
        <w:rPr>
          <w:rtl/>
        </w:rPr>
        <w:t xml:space="preserve"> </w:t>
      </w:r>
      <w:r w:rsidRPr="00642014">
        <w:rPr>
          <w:rFonts w:hint="cs"/>
          <w:rtl/>
        </w:rPr>
        <w:t>הזהירות</w:t>
      </w:r>
      <w:r w:rsidRPr="00642014">
        <w:rPr>
          <w:rtl/>
        </w:rPr>
        <w:t xml:space="preserve"> </w:t>
      </w:r>
      <w:r w:rsidRPr="00642014">
        <w:rPr>
          <w:rFonts w:hint="cs"/>
          <w:rtl/>
        </w:rPr>
        <w:t>ויקיים</w:t>
      </w:r>
      <w:r w:rsidRPr="00642014">
        <w:rPr>
          <w:rtl/>
        </w:rPr>
        <w:t xml:space="preserve"> </w:t>
      </w:r>
      <w:r w:rsidRPr="00642014">
        <w:rPr>
          <w:rFonts w:hint="cs"/>
          <w:rtl/>
        </w:rPr>
        <w:t>כל</w:t>
      </w:r>
      <w:r w:rsidRPr="00642014">
        <w:rPr>
          <w:rtl/>
        </w:rPr>
        <w:t xml:space="preserve"> </w:t>
      </w:r>
      <w:r w:rsidRPr="00642014">
        <w:rPr>
          <w:rFonts w:hint="cs"/>
          <w:rtl/>
        </w:rPr>
        <w:t>רמ</w:t>
      </w:r>
      <w:r w:rsidRPr="00642014">
        <w:rPr>
          <w:rtl/>
        </w:rPr>
        <w:t>"</w:t>
      </w:r>
      <w:r w:rsidRPr="00642014">
        <w:rPr>
          <w:rFonts w:hint="cs"/>
          <w:rtl/>
        </w:rPr>
        <w:t>ח</w:t>
      </w:r>
      <w:r w:rsidRPr="00642014">
        <w:rPr>
          <w:rtl/>
        </w:rPr>
        <w:t xml:space="preserve"> </w:t>
      </w:r>
      <w:r w:rsidRPr="00642014">
        <w:rPr>
          <w:rFonts w:hint="cs"/>
          <w:rtl/>
        </w:rPr>
        <w:t>פיקודין</w:t>
      </w:r>
      <w:r w:rsidRPr="00642014">
        <w:rPr>
          <w:rtl/>
        </w:rPr>
        <w:t xml:space="preserve"> </w:t>
      </w:r>
      <w:r w:rsidRPr="00642014">
        <w:rPr>
          <w:rFonts w:hint="cs"/>
          <w:rtl/>
        </w:rPr>
        <w:t>דעשה</w:t>
      </w:r>
      <w:r w:rsidRPr="00642014">
        <w:rPr>
          <w:rtl/>
        </w:rPr>
        <w:t xml:space="preserve"> </w:t>
      </w:r>
      <w:r w:rsidRPr="00642014">
        <w:rPr>
          <w:rFonts w:hint="cs"/>
          <w:rtl/>
        </w:rPr>
        <w:t>בכדי</w:t>
      </w:r>
      <w:r w:rsidRPr="00642014">
        <w:rPr>
          <w:rtl/>
        </w:rPr>
        <w:t xml:space="preserve"> </w:t>
      </w:r>
      <w:r w:rsidRPr="00642014">
        <w:rPr>
          <w:rFonts w:hint="cs"/>
          <w:rtl/>
        </w:rPr>
        <w:t>לדבקה</w:t>
      </w:r>
      <w:r w:rsidRPr="00642014">
        <w:rPr>
          <w:rtl/>
        </w:rPr>
        <w:t xml:space="preserve"> </w:t>
      </w:r>
      <w:r w:rsidRPr="00642014">
        <w:rPr>
          <w:rFonts w:hint="cs"/>
          <w:rtl/>
        </w:rPr>
        <w:t>בו</w:t>
      </w:r>
      <w:r w:rsidRPr="00642014">
        <w:rPr>
          <w:rtl/>
        </w:rPr>
        <w:t xml:space="preserve"> </w:t>
      </w:r>
      <w:r w:rsidRPr="00642014">
        <w:rPr>
          <w:rFonts w:hint="cs"/>
          <w:rtl/>
        </w:rPr>
        <w:t>וקרב</w:t>
      </w:r>
      <w:r w:rsidRPr="00642014">
        <w:rPr>
          <w:rtl/>
        </w:rPr>
        <w:t>ת</w:t>
      </w:r>
      <w:r w:rsidRPr="00642014">
        <w:rPr>
          <w:rFonts w:ascii="Cambria" w:hAnsi="Cambria" w:cs="Cambria"/>
        </w:rPr>
        <w:t> </w:t>
      </w:r>
      <w:r w:rsidRPr="00642014">
        <w:rPr>
          <w:rtl/>
        </w:rPr>
        <w:t>אלקים לי טוב</w:t>
      </w:r>
      <w:r w:rsidRPr="00642014">
        <w:rPr>
          <w:rFonts w:hint="cs"/>
          <w:rtl/>
        </w:rPr>
        <w:t>". אך באמת צ"ע אם הכוונה שם כמו בתניא כאן</w:t>
      </w:r>
    </w:p>
  </w:footnote>
  <w:footnote w:id="61">
    <w:p w:rsidR="004C3605" w:rsidRPr="00642014" w:rsidRDefault="004C3605" w:rsidP="00642014">
      <w:pPr>
        <w:pStyle w:val="FootnoteText"/>
        <w:rPr>
          <w:rtl/>
        </w:rPr>
      </w:pPr>
      <w:r w:rsidRPr="00642014">
        <w:rPr>
          <w:rStyle w:val="FootnoteReference"/>
          <w:vertAlign w:val="baseline"/>
        </w:rPr>
        <w:footnoteRef/>
      </w:r>
      <w:r>
        <w:rPr>
          <w:rFonts w:hint="cs"/>
          <w:rtl/>
        </w:rPr>
        <w:t>)</w:t>
      </w:r>
      <w:r w:rsidRPr="00642014">
        <w:t xml:space="preserve"> </w:t>
      </w:r>
      <w:r w:rsidRPr="00642014">
        <w:rPr>
          <w:rFonts w:hint="cs"/>
          <w:rtl/>
        </w:rPr>
        <w:t>והנה בכ"מ בלקו"ש (עי' בספר הערכים ח"ט ע' קכ"ב וע' ק"נ) מובא סוף פכ"ב תניא לביאור ענין "עבודה זרה בדקות", שכל מי שמחשיב איזה מציאות חוץ מאלקות זהו ענין ע"ז. והנה לפי המבואר בפנים צ"ל, דאי"ז עיקר ההדגשה דאדה"ז בפרקים אלו, דהאדם יגיע למצב שכל מציאות חוץ מאלקות אינו מציאות אצלו [וכמוכח גם מזה שנק' "ע"ז בדקות". והרי להביאור בתניא כל עבירה הוא כמו ע"ז כפשוטה]. דכוונת אדה"ז הוא שהאדם יהיה במצב ד"קמיה ית'" מצד "דעת עליון" הוא יהיה חלק מהיחוד העליון. והמבואר בלקו"ש הוא בעומק יותר (ואדה"ז מרמז גם לזה כאן, וגם בפכ"ט כשמבאר שהאדם גרוע מבע"ח מכיון שיכול לעבור על רצונו ית') שצריך דאמיתית הדברים יאירו במוחו ולבו של האדם. [אך אם אצל מישהו לא מאיר במוחו אמיתית דעת עליון, אין אצלו כל חומרת ע"ז המבואר בפרק כ"ב וכ"ד, ורק "ע"ז בדקות" וכו'.].</w:t>
      </w:r>
    </w:p>
    <w:p w:rsidR="004C3605" w:rsidRPr="00642014" w:rsidRDefault="004C3605" w:rsidP="00642014">
      <w:pPr>
        <w:pStyle w:val="FootnoteText"/>
        <w:rPr>
          <w:rtl/>
        </w:rPr>
      </w:pPr>
      <w:r w:rsidRPr="00642014">
        <w:rPr>
          <w:rFonts w:hint="cs"/>
          <w:rtl/>
        </w:rPr>
        <w:t>ואף שבתניא הביא הענין דגס רוח, "</w:t>
      </w:r>
      <w:r w:rsidRPr="00642014">
        <w:rPr>
          <w:rtl/>
        </w:rPr>
        <w:t>שגם הם מחשיבים עצמם ליש ודבר בפני עצמו, ובזה מפרידים את עצמם מקדושתו של מקום ברוך הוא, מאחר שאין בטלים לו יתברך; כי אין קדושה עליונה שורה אלא על מה שבטל לו יתברך</w:t>
      </w:r>
      <w:r w:rsidRPr="00642014">
        <w:rPr>
          <w:rFonts w:hint="cs"/>
          <w:rtl/>
        </w:rPr>
        <w:t>", אפשר לומר: א. גס רוח, אינו יש סתם, אלא מי שבאמת הצליח להכנס לישות כ"כ [וכופר ביחודו ית'], עד שהכניס א"ע לרשות הקליפות וכו'. [אך על ישות סתם לא נאמר זה]. ב. כוונתו לישות סתם. אך מביא זה כראי' דמהא דהגמ' אמר ד"ישות" שקולה כע"ז [והיינו דיש בו צד השוה, אף שוודאי רחוק ערכם וכו'], הנה מזה ראי' לאמיתית הענינים, דענין ע"ז, הוא דבר שהוא ישות בפני עצמו מהקב"ה וכו'.</w:t>
      </w:r>
    </w:p>
  </w:footnote>
  <w:footnote w:id="62">
    <w:p w:rsidR="004C3605" w:rsidRPr="00642014" w:rsidRDefault="004C3605" w:rsidP="00642014">
      <w:pPr>
        <w:pStyle w:val="FootnoteText"/>
        <w:rPr>
          <w:rtl/>
        </w:rPr>
      </w:pPr>
      <w:r w:rsidRPr="00642014">
        <w:rPr>
          <w:rStyle w:val="FootnoteReference"/>
          <w:vertAlign w:val="baseline"/>
        </w:rPr>
        <w:footnoteRef/>
      </w:r>
      <w:r w:rsidRPr="00642014">
        <w:t xml:space="preserve"> </w:t>
      </w:r>
      <w:r>
        <w:rPr>
          <w:rFonts w:hint="cs"/>
          <w:rtl/>
        </w:rPr>
        <w:t xml:space="preserve">) </w:t>
      </w:r>
      <w:r w:rsidRPr="00642014">
        <w:rPr>
          <w:rFonts w:hint="cs"/>
          <w:rtl/>
        </w:rPr>
        <w:t>עי' בלקו"ש ח"ה ע' 67 הערה 79 ביאור הכוונה ד"לאבד את הרשעים" היינו שגילוי אחדותו ית' בהם הוא ע"י ביטולם ושלא מתחשבים עמהם</w:t>
      </w:r>
    </w:p>
  </w:footnote>
  <w:footnote w:id="63">
    <w:p w:rsidR="004C3605" w:rsidRPr="00642014" w:rsidRDefault="004C3605" w:rsidP="00642014">
      <w:pPr>
        <w:pStyle w:val="FootnoteText"/>
        <w:rPr>
          <w:rtl/>
        </w:rPr>
      </w:pPr>
      <w:r w:rsidRPr="00642014">
        <w:rPr>
          <w:rStyle w:val="FootnoteReference"/>
          <w:vertAlign w:val="baseline"/>
        </w:rPr>
        <w:footnoteRef/>
      </w:r>
      <w:r>
        <w:rPr>
          <w:rFonts w:hint="cs"/>
          <w:rtl/>
        </w:rPr>
        <w:t>)</w:t>
      </w:r>
      <w:r w:rsidRPr="00642014">
        <w:t xml:space="preserve"> </w:t>
      </w:r>
      <w:r w:rsidRPr="00642014">
        <w:rPr>
          <w:rFonts w:hint="cs"/>
          <w:rtl/>
        </w:rPr>
        <w:t>דבאמת פרטים אלו הם ההוספה, דפרק כ"ב על פרק ו'. דכבר בפ"ו הגענו למסקנא שקליפות מקבלים מריבוי צמצומים "עד שיכול להתלבש בבחי' גלות תוך אותו דבר הנפרד", ושם לא ביארנו כל הפרטים דפנימיות הרצון ואחוריים דרצון. ולמה כאן בשביל להגיע למסקנא שוה, בעינן כל פרטים אלו.     ואולי הביאור דשם עדיין לא נתבאר ה"ידיעה דקמיה ית'", ושם הכל היה מצד ממכ"ע, ובפרק ו' באנו לומר שמצד אור הממכ"ע הקליפות הם בבחי' מות וכו' דאינו שורה תוך הקליפות. אך כאן הכוונה להוכיח שסוכ"ע אינו שורה בתוך הקליפות. [והלא סובב אינו צריך כלי וכו' וכו']. וע"כ מביא מושגים חדשים, כדי לבאר ענין זה.</w:t>
      </w:r>
    </w:p>
  </w:footnote>
  <w:footnote w:id="64">
    <w:p w:rsidR="004C3605" w:rsidRPr="00642014" w:rsidRDefault="004C3605" w:rsidP="00642014">
      <w:pPr>
        <w:pStyle w:val="FootnoteText"/>
        <w:rPr>
          <w:rtl/>
        </w:rPr>
      </w:pPr>
      <w:r w:rsidRPr="00642014">
        <w:rPr>
          <w:rStyle w:val="FootnoteReference"/>
          <w:vertAlign w:val="baseline"/>
        </w:rPr>
        <w:footnoteRef/>
      </w:r>
      <w:r>
        <w:rPr>
          <w:rFonts w:hint="cs"/>
          <w:rtl/>
        </w:rPr>
        <w:t xml:space="preserve">) </w:t>
      </w:r>
      <w:r w:rsidRPr="00642014">
        <w:rPr>
          <w:rFonts w:hint="cs"/>
          <w:rtl/>
        </w:rPr>
        <w:t>וכן י"ל להיפך דעל (דבר ה' ד)הברואים דפכ"ב לא שייך לומר ענין ה"גילוי" שבדיבור, דח"ו לומר דהקליפות הם "יציאת האור והחיות ממנו ית' מהעלם אל הגילוי". ולהעיר מהמבואר בדא"ח שהקליפות שרשם בההסתר והצמצום ולא בהאור וההארה.</w:t>
      </w:r>
    </w:p>
  </w:footnote>
  <w:footnote w:id="65">
    <w:p w:rsidR="004C3605" w:rsidRPr="00642014" w:rsidRDefault="004C3605" w:rsidP="00642014">
      <w:pPr>
        <w:pStyle w:val="FootnoteText"/>
        <w:rPr>
          <w:rtl/>
        </w:rPr>
      </w:pPr>
      <w:r w:rsidRPr="00642014">
        <w:rPr>
          <w:rStyle w:val="FootnoteReference"/>
          <w:vertAlign w:val="baseline"/>
        </w:rPr>
        <w:footnoteRef/>
      </w:r>
      <w:r w:rsidRPr="00642014">
        <w:t xml:space="preserve"> </w:t>
      </w:r>
      <w:r>
        <w:rPr>
          <w:rFonts w:hint="cs"/>
          <w:rtl/>
        </w:rPr>
        <w:t xml:space="preserve">) </w:t>
      </w:r>
      <w:r w:rsidRPr="00642014">
        <w:rPr>
          <w:rFonts w:hint="cs"/>
          <w:rtl/>
        </w:rPr>
        <w:t>ובסגנון אחר: בפרק כ' וכ"א דיבר על הנבראים דיש להם נתינת מקום מצד סובב כל עלמין ("קמיה ית'") ורק שהרגש הפירוד שבהם מגיע מצד הצמצום, ובפכ"ב מדבר על הנבראים שלא רק שהצמצום פועל שיהיה להם הרגש המציאות, אלא שהמציאות פועל עצם בריאותם. [דמצד סובב כל עלמין לא היו נבראים הקליפות כלל. עיין במאמר ראשית גויים תשכ"ג בתחילתו. אוה"ת מג"א ע' פ"ט וצ"א].</w:t>
      </w:r>
    </w:p>
  </w:footnote>
  <w:footnote w:id="66">
    <w:p w:rsidR="004C3605" w:rsidRPr="006A01B4" w:rsidRDefault="004C3605" w:rsidP="006A01B4">
      <w:pPr>
        <w:pStyle w:val="FootnoteText"/>
        <w:rPr>
          <w:rtl/>
        </w:rPr>
      </w:pPr>
      <w:r w:rsidRPr="006A01B4">
        <w:rPr>
          <w:rStyle w:val="FootnoteReference"/>
          <w:vertAlign w:val="baseline"/>
        </w:rPr>
        <w:footnoteRef/>
      </w:r>
      <w:r>
        <w:rPr>
          <w:rFonts w:hint="cs"/>
          <w:rtl/>
        </w:rPr>
        <w:t xml:space="preserve">) </w:t>
      </w:r>
      <w:r w:rsidRPr="006A01B4">
        <w:rPr>
          <w:rFonts w:hint="cs"/>
          <w:rtl/>
        </w:rPr>
        <w:t>ושמעתי לפרש עפ"ז הכוונה ה"תורה דיברה בלשון בני אדם", דזה שיש חשיבות אמיתי לעניני העולם, הוא מצד דיני התורה שכל ענינם הוא עם חפצי העולם. [וכמבואר בההדרן דתשל"ה דדיני התורה מחייבים שיהיה "מצוי ראשון" וכו']. ועיין גם בזה בספר הערכים בח"ט ע' קעא הערה 39</w:t>
      </w:r>
      <w:r>
        <w:rPr>
          <w:rFonts w:hint="cs"/>
          <w:rtl/>
        </w:rPr>
        <w:t>.</w:t>
      </w:r>
    </w:p>
  </w:footnote>
  <w:footnote w:id="67">
    <w:p w:rsidR="004C3605" w:rsidRPr="006A01B4" w:rsidRDefault="004C3605" w:rsidP="006A01B4">
      <w:pPr>
        <w:pStyle w:val="FootnoteText"/>
        <w:rPr>
          <w:rtl/>
        </w:rPr>
      </w:pPr>
      <w:r w:rsidRPr="006A01B4">
        <w:rPr>
          <w:rStyle w:val="FootnoteReference"/>
          <w:vertAlign w:val="baseline"/>
        </w:rPr>
        <w:footnoteRef/>
      </w:r>
      <w:r>
        <w:rPr>
          <w:rFonts w:hint="cs"/>
          <w:rtl/>
        </w:rPr>
        <w:t xml:space="preserve">) </w:t>
      </w:r>
      <w:r w:rsidRPr="006A01B4">
        <w:rPr>
          <w:rFonts w:hint="cs"/>
          <w:rtl/>
        </w:rPr>
        <w:t>ולכאורה לומר שכל הביאור בהשם דיבור הוא מצד שגם דע"ת אמיתי, הוא דחוק, דלפי"ז אדה"ז סתם דבריו, ורק רמזו במילה אחת "באמת" [ולא כמו בשהיחוה"א ספ"ד וה' שהביא ענין הכלים וכו']. אלא וודאי שפירשם נכון שאדה"ז מרמז גם לענין זה [והטעם דהרי בעי טעם למה הדבר הוי' דקדושה ודק"נ נקרא בשם דיבור, אף שבאמת אינם נפרדים]. אך לכאורה בהמשך פכ"ב מחדש שיש מושג אמיתי של פירוד, ואעפ"כ אי"ז סתירה לאחדות ה'</w:t>
      </w:r>
      <w:r>
        <w:rPr>
          <w:rFonts w:hint="cs"/>
          <w:rtl/>
        </w:rPr>
        <w:t>.</w:t>
      </w:r>
    </w:p>
  </w:footnote>
  <w:footnote w:id="68">
    <w:p w:rsidR="004C3605" w:rsidRPr="00642014" w:rsidRDefault="004C3605" w:rsidP="006A01B4">
      <w:pPr>
        <w:pStyle w:val="FootnoteText"/>
        <w:ind w:firstLine="0"/>
        <w:rPr>
          <w:rtl/>
        </w:rPr>
      </w:pPr>
    </w:p>
  </w:footnote>
  <w:footnote w:id="69">
    <w:p w:rsidR="004C3605" w:rsidRPr="00642014" w:rsidRDefault="004C3605" w:rsidP="00642014">
      <w:pPr>
        <w:pStyle w:val="FootnoteText"/>
        <w:rPr>
          <w:rtl/>
        </w:rPr>
      </w:pPr>
      <w:r w:rsidRPr="00642014">
        <w:rPr>
          <w:rStyle w:val="FootnoteReference"/>
          <w:vertAlign w:val="baseline"/>
        </w:rPr>
        <w:footnoteRef/>
      </w:r>
      <w:r>
        <w:rPr>
          <w:rFonts w:hint="cs"/>
          <w:rtl/>
        </w:rPr>
        <w:t xml:space="preserve">) </w:t>
      </w:r>
      <w:r w:rsidRPr="00642014">
        <w:t xml:space="preserve"> </w:t>
      </w:r>
      <w:r w:rsidRPr="00642014">
        <w:rPr>
          <w:rFonts w:hint="cs"/>
          <w:rtl/>
        </w:rPr>
        <w:t>ולכאורה צ"ע למה צריכים לדבר על הביטול ד"קמיה ית'" בשביל לשלול העבירה, והלא גם מצד אור ה' אחרי הצמצום, אין שום חיות אלוקי בתוך העבירה, וגם מצד היחוד ד"דעת תחתון" העושה העבירה הוא נפרד לגמרי? ואולי, דאם כל הפירוד של היהודי הוא מצד "דעת תחתון" הלא יכול לומר "עודנו ביהדותו" דמצד "קמיה ית'" ומצד "אור ה' שבנשמתו" הוא עדיין דבוק. וע"כ מבאר בתניא שהפירוד הוא אמיתי גם מצד "קמיה ית'". ועוד, שמצד האור האלקי המתלבש בעולמות (וחלק הנשמה המושרש שם) לא מושלל ענין החטא לגמרי, ודוקא מצד "קמיה ית'" והאור האלקי שלמעלה מהתלבשות (והחלק הנשמה שמאיר בו "אור הוי'" זה) מושלל ענין החטא לגמרי. [ולהעיר מהמבואר בדא"ח (וגם זהו נקודת פרק זה) דמצד דע"ת יכול להשתשל בריבוי השתלשלות קליפות ופירוד. ודוקא ד"ע שולל כל מציאות הקליפות].</w:t>
      </w:r>
    </w:p>
  </w:footnote>
  <w:footnote w:id="70">
    <w:p w:rsidR="004C3605" w:rsidRPr="00642014" w:rsidRDefault="004C3605" w:rsidP="00642014">
      <w:pPr>
        <w:pStyle w:val="FootnoteText"/>
        <w:rPr>
          <w:rtl/>
        </w:rPr>
      </w:pPr>
      <w:r w:rsidRPr="00642014">
        <w:rPr>
          <w:rStyle w:val="FootnoteReference"/>
          <w:vertAlign w:val="baseline"/>
        </w:rPr>
        <w:footnoteRef/>
      </w:r>
      <w:r>
        <w:rPr>
          <w:rFonts w:hint="cs"/>
          <w:rtl/>
        </w:rPr>
        <w:t xml:space="preserve">) </w:t>
      </w:r>
      <w:r w:rsidRPr="00642014">
        <w:rPr>
          <w:rFonts w:hint="cs"/>
          <w:rtl/>
        </w:rPr>
        <w:t>ויש להעיר על קושייתם, דהפי' הפשוט בגמ' דאלקא דאלקיא הוא, שנותנים כוחות של "אלקא" להכוכבים ומזלות, שהם משפיעים שפע להעולם וכו'. ולא הא דמחשיבים הכו"מ למציאות. ומובן דעפ"ז מי שעובר על חטא אין מעשיו מבטאים שום שליטה "אלקית" על העולם, וכאלו שהוא משפיע להעולם. ואין זה ע"ז כלל. ורק שאדה"ז חידש לן (מיוסד על חידושו הכללי, דהפירוד מהקב"ה הוא כל דבר שהוא מציאות נפרד) ד"אלקא דאלקיא" היינו אפי' נתינת חשיבות לענין חוץ מהקב"ה. ובמילא כל ענין שהוא מציאות הוא בעצם ע"ד אלקא דאלקיא. [וכן הבין כמדומה בספר הערכים ע' תלט הערה 102].</w:t>
      </w:r>
    </w:p>
  </w:footnote>
  <w:footnote w:id="71">
    <w:p w:rsidR="004C3605" w:rsidRPr="00642014" w:rsidRDefault="004C3605" w:rsidP="00642014">
      <w:pPr>
        <w:pStyle w:val="FootnoteText"/>
        <w:rPr>
          <w:rtl/>
        </w:rPr>
      </w:pPr>
      <w:r w:rsidRPr="00642014">
        <w:rPr>
          <w:rStyle w:val="FootnoteReference"/>
          <w:vertAlign w:val="baseline"/>
        </w:rPr>
        <w:footnoteRef/>
      </w:r>
      <w:r>
        <w:rPr>
          <w:rFonts w:hint="cs"/>
          <w:rtl/>
        </w:rPr>
        <w:t>)</w:t>
      </w:r>
      <w:r w:rsidRPr="00642014">
        <w:t xml:space="preserve"> </w:t>
      </w:r>
      <w:r w:rsidRPr="00642014">
        <w:rPr>
          <w:rFonts w:hint="cs"/>
          <w:rtl/>
        </w:rPr>
        <w:t>ובלאו אי הכי, לא קשה קושייתו. דכמבואר לעיל ההרגש של יהודי שהוא "מציאות" הוא באמת "דמיון" דהרי האמת הוא שהוא מוכן למסור  נפשו ובטל להקב"ה במציאות. וע"כ ההרגש אינו מפרידו מהקב"ה. ודוקא מעשה החטא שהוא חפצא השייך לקליפת ע"ז והוא מרכבה אליו מפרידו מהקב"ה. וק"ל.</w:t>
      </w:r>
    </w:p>
  </w:footnote>
  <w:footnote w:id="72">
    <w:p w:rsidR="004C3605" w:rsidRPr="00642014" w:rsidRDefault="004C3605" w:rsidP="00642014">
      <w:pPr>
        <w:pStyle w:val="FootnoteText"/>
        <w:rPr>
          <w:rtl/>
        </w:rPr>
      </w:pPr>
      <w:r w:rsidRPr="00642014">
        <w:rPr>
          <w:rStyle w:val="FootnoteReference"/>
          <w:vertAlign w:val="baseline"/>
        </w:rPr>
        <w:footnoteRef/>
      </w:r>
      <w:r>
        <w:rPr>
          <w:rFonts w:hint="cs"/>
          <w:rtl/>
        </w:rPr>
        <w:t xml:space="preserve">) </w:t>
      </w:r>
      <w:r w:rsidRPr="00642014">
        <w:t xml:space="preserve"> </w:t>
      </w:r>
      <w:r w:rsidRPr="00642014">
        <w:rPr>
          <w:rFonts w:hint="cs"/>
          <w:rtl/>
        </w:rPr>
        <w:t>שאלה זו הוא דוקא על ענין היראה המבואר בפכ"ה [היראה לעשות עבירה ולהפרד ממנו ית']. משא"כ ענין היראה דפי"ט "שלא יוכלו ליגעו אפי' בלבושיו שהם מחדו"מ...בלי אמונה בלב כלל" וכביאור כ"ק אדמו"ר בזה (לקו"ש חכ"א פורים בהערה) דאין בזה חטא עבודה זרה [ולפי"ז לכאורה לא נעשה עי"ז נפרד], מובן למה דוקא היראה הגדולה "מנגוע בקצה טומאת ע"ז" מונע אותו ממנו (משא"כ האהבה לא מחייב זה).</w:t>
      </w:r>
    </w:p>
  </w:footnote>
  <w:footnote w:id="73">
    <w:p w:rsidR="004C3605" w:rsidRPr="007908E0" w:rsidRDefault="004C3605" w:rsidP="00642014">
      <w:pPr>
        <w:pStyle w:val="FootnoteText"/>
        <w:rPr>
          <w:rtl/>
        </w:rPr>
      </w:pPr>
      <w:r w:rsidRPr="00642014">
        <w:rPr>
          <w:rStyle w:val="FootnoteReference"/>
          <w:vertAlign w:val="baseline"/>
        </w:rPr>
        <w:footnoteRef/>
      </w:r>
      <w:r>
        <w:rPr>
          <w:rFonts w:hint="cs"/>
          <w:rtl/>
        </w:rPr>
        <w:t xml:space="preserve">) </w:t>
      </w:r>
      <w:r w:rsidRPr="00642014">
        <w:rPr>
          <w:rFonts w:hint="cs"/>
          <w:rtl/>
        </w:rPr>
        <w:t>ועפ"ז אפשר להמתיק הסתירה בין פי"ט לכ"ה, דפי"ט מבואר דמס"נ שלא להשתחוות לע"ז (כשמאמין בה בלבו) מגיע מצד אהבה, ובפכ"ה מבואר דמס"נ שלא להשתחוות לע"ז מגיע מצד יראה. ואולי דכשמאמין בע"ז בלבו, הרי הוא מרגיש הפירוד בקרבו, ולכן האהבה מצ"ע מחייב שלא להשתחוות. משא"כ בפכ"ה י"ל דמדבר כשמשתחווה בלי אמונה בלב, ואז הפירוד לא נרגש בו [דהרי בלבו הוא עדיין רוצה ודבוק בו ית']. והפירוד הוא רק מצד ה"חטא" שבזה כיון דזה נגד רצון העליון, ולכן בעי יראה</w:t>
      </w:r>
      <w:r>
        <w:rPr>
          <w:rFonts w:hint="cs"/>
          <w:rtl/>
        </w:rPr>
        <w:t>.</w:t>
      </w:r>
    </w:p>
  </w:footnote>
  <w:footnote w:id="74">
    <w:p w:rsidR="004C3605" w:rsidRPr="004C1858" w:rsidRDefault="004C3605" w:rsidP="004C1858">
      <w:pPr>
        <w:pStyle w:val="FootnoteText"/>
        <w:rPr>
          <w:rFonts w:ascii="Times New Roman" w:hAnsi="Times New Roman"/>
        </w:rPr>
      </w:pPr>
      <w:r w:rsidRPr="004C1858">
        <w:footnoteRef/>
      </w:r>
      <w:r>
        <w:rPr>
          <w:rFonts w:hint="cs"/>
          <w:rtl/>
        </w:rPr>
        <w:t>)</w:t>
      </w:r>
      <w:r w:rsidRPr="004C1858">
        <w:rPr>
          <w:rtl/>
        </w:rPr>
        <w:t xml:space="preserve"> </w:t>
      </w:r>
      <w:r w:rsidRPr="004C1858">
        <w:rPr>
          <w:rFonts w:hint="cs"/>
          <w:rtl/>
        </w:rPr>
        <w:t>מע"כ הביא דכן הוא גם דעת האשכול והיא באשכול (ח"א הל' ברכות סי' כט במהדו' אויערבך עמ' 68): "מ</w:t>
      </w:r>
      <w:r w:rsidRPr="004C1858">
        <w:rPr>
          <w:rStyle w:val="FootnoteTextChar"/>
          <w:rFonts w:hint="cs"/>
          <w:rtl/>
        </w:rPr>
        <w:t>אן דנפיק ביומו ניסן וחזי אילנא דמלבלבי פי' שהוציאו פרחים אומר ברוך שלא חסר דבר בעולמו וברא בריות טובות ואילנות טובות להנות בהם בני אדם. ולאו דוקא ביומו ניסן אלא בזמן שרואה הפרח פעם ראשון  בשנה, ואם לא ראה הפרח אלא אחר שנפל ראה התחלת גדול הפרי אינו מברך". אבל קטע זה חסר במהדורת אלבק, ורק ב</w:t>
      </w:r>
      <w:r w:rsidRPr="004C1858">
        <w:rPr>
          <w:rStyle w:val="FootnoteTextChar"/>
          <w:rFonts w:hint="eastAsia"/>
          <w:rtl/>
        </w:rPr>
        <w:t>הלכות</w:t>
      </w:r>
      <w:r w:rsidRPr="004C1858">
        <w:rPr>
          <w:rStyle w:val="FootnoteTextChar"/>
          <w:rtl/>
        </w:rPr>
        <w:t xml:space="preserve"> </w:t>
      </w:r>
      <w:r w:rsidRPr="004C1858">
        <w:rPr>
          <w:rStyle w:val="FootnoteTextChar"/>
          <w:rFonts w:hint="eastAsia"/>
          <w:rtl/>
        </w:rPr>
        <w:t>ערלה</w:t>
      </w:r>
      <w:r w:rsidRPr="004C1858">
        <w:rPr>
          <w:rStyle w:val="FootnoteTextChar"/>
          <w:rtl/>
        </w:rPr>
        <w:t xml:space="preserve"> </w:t>
      </w:r>
      <w:r w:rsidRPr="004C1858">
        <w:rPr>
          <w:rStyle w:val="FootnoteTextChar"/>
          <w:rFonts w:hint="eastAsia"/>
          <w:rtl/>
        </w:rPr>
        <w:t>ופדיון</w:t>
      </w:r>
      <w:r w:rsidRPr="004C1858">
        <w:rPr>
          <w:rStyle w:val="FootnoteTextChar"/>
          <w:rtl/>
        </w:rPr>
        <w:t xml:space="preserve"> </w:t>
      </w:r>
      <w:r w:rsidRPr="004C1858">
        <w:rPr>
          <w:rStyle w:val="FootnoteTextChar"/>
          <w:rFonts w:hint="eastAsia"/>
          <w:rtl/>
        </w:rPr>
        <w:t>כרם</w:t>
      </w:r>
      <w:r w:rsidRPr="004C1858">
        <w:rPr>
          <w:rStyle w:val="FootnoteTextChar"/>
          <w:rtl/>
        </w:rPr>
        <w:t xml:space="preserve"> </w:t>
      </w:r>
      <w:r w:rsidRPr="004C1858">
        <w:rPr>
          <w:rStyle w:val="FootnoteTextChar"/>
          <w:rFonts w:hint="eastAsia"/>
          <w:rtl/>
        </w:rPr>
        <w:t>רבעי</w:t>
      </w:r>
      <w:r w:rsidRPr="004C1858">
        <w:rPr>
          <w:rStyle w:val="FootnoteTextChar"/>
          <w:rtl/>
        </w:rPr>
        <w:t xml:space="preserve"> </w:t>
      </w:r>
      <w:r w:rsidRPr="004C1858">
        <w:rPr>
          <w:rStyle w:val="FootnoteTextChar"/>
          <w:rFonts w:hint="cs"/>
          <w:rtl/>
        </w:rPr>
        <w:t>(</w:t>
      </w:r>
      <w:r w:rsidRPr="004C1858">
        <w:rPr>
          <w:rStyle w:val="FootnoteTextChar"/>
          <w:rFonts w:hint="eastAsia"/>
          <w:rtl/>
        </w:rPr>
        <w:t>דף</w:t>
      </w:r>
      <w:r w:rsidRPr="004C1858">
        <w:rPr>
          <w:rStyle w:val="FootnoteTextChar"/>
          <w:rtl/>
        </w:rPr>
        <w:t xml:space="preserve"> </w:t>
      </w:r>
      <w:r w:rsidRPr="004C1858">
        <w:rPr>
          <w:rStyle w:val="FootnoteTextChar"/>
          <w:rFonts w:hint="eastAsia"/>
          <w:rtl/>
        </w:rPr>
        <w:t>קיב</w:t>
      </w:r>
      <w:r w:rsidRPr="004C1858">
        <w:rPr>
          <w:rStyle w:val="FootnoteTextChar"/>
          <w:rtl/>
        </w:rPr>
        <w:t xml:space="preserve"> </w:t>
      </w:r>
      <w:r w:rsidRPr="004C1858">
        <w:rPr>
          <w:rStyle w:val="FootnoteTextChar"/>
          <w:rFonts w:hint="eastAsia"/>
          <w:rtl/>
        </w:rPr>
        <w:t>עמוד</w:t>
      </w:r>
      <w:r w:rsidRPr="004C1858">
        <w:rPr>
          <w:rStyle w:val="FootnoteTextChar"/>
          <w:rtl/>
        </w:rPr>
        <w:t xml:space="preserve"> </w:t>
      </w:r>
      <w:r w:rsidRPr="004C1858">
        <w:rPr>
          <w:rStyle w:val="FootnoteTextChar"/>
          <w:rFonts w:hint="eastAsia"/>
          <w:rtl/>
        </w:rPr>
        <w:t>ב</w:t>
      </w:r>
      <w:r w:rsidRPr="004C1858">
        <w:rPr>
          <w:rStyle w:val="FootnoteTextChar"/>
          <w:rFonts w:hint="cs"/>
          <w:rtl/>
        </w:rPr>
        <w:t>) הוא מזכיר גמ' זו בנוגע דיני ערלה "</w:t>
      </w:r>
      <w:r w:rsidRPr="004C1858">
        <w:rPr>
          <w:rStyle w:val="FootnoteTextChar"/>
          <w:rFonts w:hint="eastAsia"/>
          <w:rtl/>
        </w:rPr>
        <w:t>ובאדר</w:t>
      </w:r>
      <w:r w:rsidRPr="004C1858">
        <w:rPr>
          <w:rStyle w:val="FootnoteTextChar"/>
          <w:rtl/>
        </w:rPr>
        <w:t xml:space="preserve"> </w:t>
      </w:r>
      <w:r w:rsidRPr="004C1858">
        <w:rPr>
          <w:rStyle w:val="FootnoteTextChar"/>
          <w:rFonts w:hint="eastAsia"/>
          <w:rtl/>
        </w:rPr>
        <w:t>מתחילין</w:t>
      </w:r>
      <w:r w:rsidRPr="004C1858">
        <w:rPr>
          <w:rStyle w:val="FootnoteTextChar"/>
          <w:rtl/>
        </w:rPr>
        <w:t xml:space="preserve"> </w:t>
      </w:r>
      <w:r w:rsidRPr="004C1858">
        <w:rPr>
          <w:rStyle w:val="FootnoteTextChar"/>
          <w:rFonts w:hint="eastAsia"/>
          <w:rtl/>
        </w:rPr>
        <w:t>ללבלב</w:t>
      </w:r>
      <w:r w:rsidRPr="004C1858">
        <w:rPr>
          <w:rStyle w:val="FootnoteTextChar"/>
          <w:rtl/>
        </w:rPr>
        <w:t xml:space="preserve"> </w:t>
      </w:r>
      <w:r w:rsidRPr="004C1858">
        <w:rPr>
          <w:rStyle w:val="FootnoteTextChar"/>
          <w:rFonts w:hint="eastAsia"/>
          <w:rtl/>
        </w:rPr>
        <w:t>ובניסן</w:t>
      </w:r>
      <w:r w:rsidRPr="004C1858">
        <w:rPr>
          <w:rStyle w:val="FootnoteTextChar"/>
          <w:rtl/>
        </w:rPr>
        <w:t xml:space="preserve"> </w:t>
      </w:r>
      <w:r w:rsidRPr="004C1858">
        <w:rPr>
          <w:rStyle w:val="FootnoteTextChar"/>
          <w:rFonts w:hint="eastAsia"/>
          <w:rtl/>
        </w:rPr>
        <w:t>נגמר</w:t>
      </w:r>
      <w:r w:rsidRPr="004C1858">
        <w:rPr>
          <w:rStyle w:val="FootnoteTextChar"/>
          <w:rtl/>
        </w:rPr>
        <w:t xml:space="preserve">, </w:t>
      </w:r>
      <w:r w:rsidRPr="004C1858">
        <w:rPr>
          <w:rStyle w:val="FootnoteTextChar"/>
          <w:rFonts w:hint="eastAsia"/>
          <w:rtl/>
        </w:rPr>
        <w:t>כדאמרי</w:t>
      </w:r>
      <w:r w:rsidRPr="004C1858">
        <w:rPr>
          <w:rStyle w:val="FootnoteTextChar"/>
          <w:rtl/>
        </w:rPr>
        <w:t xml:space="preserve">' </w:t>
      </w:r>
      <w:r w:rsidRPr="004C1858">
        <w:rPr>
          <w:rStyle w:val="FootnoteTextChar"/>
          <w:rFonts w:hint="eastAsia"/>
          <w:rtl/>
        </w:rPr>
        <w:t>אמר</w:t>
      </w:r>
      <w:r w:rsidRPr="004C1858">
        <w:rPr>
          <w:rStyle w:val="FootnoteTextChar"/>
          <w:rtl/>
        </w:rPr>
        <w:t xml:space="preserve"> </w:t>
      </w:r>
      <w:r w:rsidRPr="004C1858">
        <w:rPr>
          <w:rStyle w:val="FootnoteTextChar"/>
          <w:rFonts w:hint="eastAsia"/>
          <w:rtl/>
        </w:rPr>
        <w:t>רב</w:t>
      </w:r>
      <w:r w:rsidRPr="004C1858">
        <w:rPr>
          <w:rStyle w:val="FootnoteTextChar"/>
          <w:rtl/>
        </w:rPr>
        <w:t xml:space="preserve"> </w:t>
      </w:r>
      <w:r w:rsidRPr="004C1858">
        <w:rPr>
          <w:rStyle w:val="FootnoteTextChar"/>
          <w:rFonts w:hint="eastAsia"/>
          <w:rtl/>
        </w:rPr>
        <w:t>יהודה</w:t>
      </w:r>
      <w:r w:rsidRPr="004C1858">
        <w:rPr>
          <w:rStyle w:val="FootnoteTextChar"/>
          <w:rtl/>
        </w:rPr>
        <w:t xml:space="preserve"> </w:t>
      </w:r>
      <w:r w:rsidRPr="004C1858">
        <w:rPr>
          <w:rStyle w:val="FootnoteTextChar"/>
          <w:rFonts w:hint="eastAsia"/>
          <w:rtl/>
        </w:rPr>
        <w:t>האי</w:t>
      </w:r>
      <w:r w:rsidRPr="004C1858">
        <w:rPr>
          <w:rStyle w:val="FootnoteTextChar"/>
          <w:rtl/>
        </w:rPr>
        <w:t xml:space="preserve"> [</w:t>
      </w:r>
      <w:r w:rsidRPr="004C1858">
        <w:rPr>
          <w:rStyle w:val="FootnoteTextChar"/>
          <w:rFonts w:hint="eastAsia"/>
          <w:rtl/>
        </w:rPr>
        <w:t>מאן</w:t>
      </w:r>
      <w:r w:rsidRPr="004C1858">
        <w:rPr>
          <w:rStyle w:val="FootnoteTextChar"/>
          <w:rtl/>
        </w:rPr>
        <w:t xml:space="preserve">] </w:t>
      </w:r>
      <w:r w:rsidRPr="004C1858">
        <w:rPr>
          <w:rStyle w:val="FootnoteTextChar"/>
          <w:rFonts w:hint="eastAsia"/>
          <w:rtl/>
        </w:rPr>
        <w:t>דנפיק</w:t>
      </w:r>
      <w:r w:rsidRPr="004C1858">
        <w:rPr>
          <w:rStyle w:val="FootnoteTextChar"/>
          <w:rtl/>
        </w:rPr>
        <w:t xml:space="preserve"> </w:t>
      </w:r>
      <w:r w:rsidRPr="004C1858">
        <w:rPr>
          <w:rStyle w:val="FootnoteTextChar"/>
          <w:rFonts w:hint="eastAsia"/>
          <w:rtl/>
        </w:rPr>
        <w:t>בצפרני</w:t>
      </w:r>
      <w:r w:rsidRPr="004C1858">
        <w:rPr>
          <w:rStyle w:val="FootnoteTextChar"/>
          <w:rtl/>
        </w:rPr>
        <w:t xml:space="preserve"> </w:t>
      </w:r>
      <w:r w:rsidRPr="004C1858">
        <w:rPr>
          <w:rStyle w:val="FootnoteTextChar"/>
          <w:rFonts w:hint="eastAsia"/>
          <w:rtl/>
        </w:rPr>
        <w:t>ניסן</w:t>
      </w:r>
      <w:r w:rsidRPr="004C1858">
        <w:rPr>
          <w:rStyle w:val="FootnoteTextChar"/>
          <w:rtl/>
        </w:rPr>
        <w:t xml:space="preserve"> </w:t>
      </w:r>
      <w:r w:rsidRPr="004C1858">
        <w:rPr>
          <w:rStyle w:val="FootnoteTextChar"/>
          <w:rFonts w:hint="eastAsia"/>
          <w:rtl/>
        </w:rPr>
        <w:t>וחזי</w:t>
      </w:r>
      <w:r w:rsidRPr="004C1858">
        <w:rPr>
          <w:rStyle w:val="FootnoteTextChar"/>
          <w:rtl/>
        </w:rPr>
        <w:t xml:space="preserve"> </w:t>
      </w:r>
      <w:r w:rsidRPr="004C1858">
        <w:rPr>
          <w:rStyle w:val="FootnoteTextChar"/>
          <w:rFonts w:hint="eastAsia"/>
          <w:rtl/>
        </w:rPr>
        <w:t>אילנות</w:t>
      </w:r>
      <w:r w:rsidRPr="004C1858">
        <w:rPr>
          <w:rStyle w:val="FootnoteTextChar"/>
          <w:rtl/>
        </w:rPr>
        <w:t xml:space="preserve"> </w:t>
      </w:r>
      <w:r w:rsidRPr="004C1858">
        <w:rPr>
          <w:rStyle w:val="FootnoteTextChar"/>
          <w:rFonts w:hint="eastAsia"/>
          <w:rtl/>
        </w:rPr>
        <w:t>דקא</w:t>
      </w:r>
      <w:r w:rsidRPr="004C1858">
        <w:rPr>
          <w:rStyle w:val="FootnoteTextChar"/>
          <w:rtl/>
        </w:rPr>
        <w:t xml:space="preserve"> </w:t>
      </w:r>
      <w:r w:rsidRPr="004C1858">
        <w:rPr>
          <w:rStyle w:val="FootnoteTextChar"/>
          <w:rFonts w:hint="eastAsia"/>
          <w:rtl/>
        </w:rPr>
        <w:t>מלבלבו</w:t>
      </w:r>
      <w:r w:rsidRPr="004C1858">
        <w:rPr>
          <w:rStyle w:val="FootnoteTextChar"/>
          <w:rtl/>
        </w:rPr>
        <w:t xml:space="preserve"> </w:t>
      </w:r>
      <w:r w:rsidRPr="004C1858">
        <w:rPr>
          <w:rStyle w:val="FootnoteTextChar"/>
          <w:rFonts w:hint="eastAsia"/>
          <w:rtl/>
        </w:rPr>
        <w:t>וכו</w:t>
      </w:r>
      <w:r w:rsidRPr="004C1858">
        <w:rPr>
          <w:rStyle w:val="FootnoteTextChar"/>
          <w:rtl/>
        </w:rPr>
        <w:t>'</w:t>
      </w:r>
      <w:r w:rsidRPr="004C1858">
        <w:rPr>
          <w:rStyle w:val="FootnoteTextChar"/>
          <w:rFonts w:hint="cs"/>
          <w:rtl/>
        </w:rPr>
        <w:t>", ואינו מזכיר כלל שניסן לאו דוקא,</w:t>
      </w:r>
      <w:r w:rsidRPr="004C1858">
        <w:rPr>
          <w:rStyle w:val="FootnoteTextChar"/>
          <w:rtl/>
        </w:rPr>
        <w:t xml:space="preserve"> </w:t>
      </w:r>
      <w:r w:rsidRPr="004C1858">
        <w:rPr>
          <w:rStyle w:val="FootnoteTextChar"/>
          <w:rFonts w:hint="cs"/>
          <w:rtl/>
        </w:rPr>
        <w:t>וידוע שהוספות אלו של מהדורת אויערבך אינן של האשכול עצמו אלא הוספות מאוחרות.</w:t>
      </w:r>
      <w:r w:rsidRPr="004C1858">
        <w:rPr>
          <w:rFonts w:hint="cs"/>
          <w:rtl/>
        </w:rPr>
        <w:t xml:space="preserve"> </w:t>
      </w:r>
    </w:p>
  </w:footnote>
  <w:footnote w:id="75">
    <w:p w:rsidR="004C3605" w:rsidRPr="001C6EFC" w:rsidRDefault="004C3605" w:rsidP="001C6EFC">
      <w:pPr>
        <w:pStyle w:val="a3"/>
        <w:rPr>
          <w:rStyle w:val="FootnoteTextChar"/>
          <w:rtl/>
        </w:rPr>
      </w:pPr>
      <w:r w:rsidRPr="001C6EFC">
        <w:rPr>
          <w:rStyle w:val="FootnoteTextChar"/>
        </w:rPr>
        <w:footnoteRef/>
      </w:r>
      <w:r>
        <w:rPr>
          <w:rFonts w:hint="cs"/>
          <w:rtl/>
        </w:rPr>
        <w:t>)</w:t>
      </w:r>
      <w:r>
        <w:rPr>
          <w:rtl/>
        </w:rPr>
        <w:t xml:space="preserve"> </w:t>
      </w:r>
      <w:r w:rsidRPr="001C6EFC">
        <w:rPr>
          <w:rStyle w:val="FootnoteTextChar"/>
          <w:rFonts w:hint="cs"/>
          <w:b/>
          <w:bCs/>
          <w:rtl/>
        </w:rPr>
        <w:t>הבהרה</w:t>
      </w:r>
      <w:r w:rsidRPr="001C6EFC">
        <w:rPr>
          <w:rStyle w:val="FootnoteTextChar"/>
          <w:rFonts w:hint="cs"/>
          <w:rtl/>
        </w:rPr>
        <w:t>: כל הנכתב להלן נועד להעיר ולעורר את לב המעיינים שי', בכל הנוגע למעשה יש לשאול רב מורה הוראה.</w:t>
      </w:r>
    </w:p>
    <w:p w:rsidR="004C3605" w:rsidRDefault="004C3605">
      <w:pPr>
        <w:pStyle w:val="FootnoteText"/>
      </w:pPr>
    </w:p>
  </w:footnote>
  <w:footnote w:id="76">
    <w:p w:rsidR="004C3605" w:rsidRPr="001C6EFC" w:rsidRDefault="004C3605" w:rsidP="001C6EFC">
      <w:pPr>
        <w:pStyle w:val="FootnoteText"/>
        <w:rPr>
          <w:rtl/>
        </w:rPr>
      </w:pPr>
      <w:r w:rsidRPr="001C6EFC">
        <w:rPr>
          <w:rStyle w:val="FootnoteReference"/>
          <w:vertAlign w:val="baseline"/>
        </w:rPr>
        <w:footnoteRef/>
      </w:r>
      <w:r w:rsidRPr="001C6EFC">
        <w:rPr>
          <w:rtl/>
        </w:rPr>
        <w:t>) ובסגנון אחר קצת: בספק שקול, פסקינן לקולא. בספק ספיקא – לחומרא. אך כאן הרי אי"ז ספק שקול, אך גם לא ספק ספיקא (גמור). דבנדו"ד, שיש ג' ספיקות, יש שמונה אופנים להכריע, ומהם חמשה אופנים דנמצא שמברך.</w:t>
      </w:r>
    </w:p>
    <w:p w:rsidR="004C3605" w:rsidRPr="001C6EFC" w:rsidRDefault="004C3605" w:rsidP="001C6EFC">
      <w:pPr>
        <w:pStyle w:val="FootnoteText"/>
        <w:rPr>
          <w:rtl/>
        </w:rPr>
      </w:pPr>
      <w:r w:rsidRPr="001C6EFC">
        <w:rPr>
          <w:rtl/>
        </w:rPr>
        <w:t>כיצד:</w:t>
      </w:r>
    </w:p>
    <w:p w:rsidR="004C3605" w:rsidRPr="001C6EFC" w:rsidRDefault="004C3605" w:rsidP="001C6EFC">
      <w:pPr>
        <w:pStyle w:val="FootnoteText"/>
        <w:rPr>
          <w:rtl/>
        </w:rPr>
      </w:pPr>
      <w:r w:rsidRPr="001C6EFC">
        <w:rPr>
          <w:rtl/>
        </w:rPr>
        <w:t>אי אמרינן דבין השמשות לילה הוא, הרי למ"ד דכל לילה מצוה בפ"ע היא, הרי בין להי"א דספירה ביום מועלת ה"ה מברך, ובין להי"א דאינה מועלת ג"כ מברך. משא"כ למ"ד דתלויות זו בזו, הרי בין להי"א דספירה ביום אינה מועלת אינו מברך, ובין להי"א דמועלת ג"כ אינו מברך. והר"ז ספק שקול, דבשנים מהארבע אופנים יוצא שמברך, ובשנים – דאינו מברך.</w:t>
      </w:r>
    </w:p>
    <w:p w:rsidR="004C3605" w:rsidRPr="001C6EFC" w:rsidRDefault="004C3605" w:rsidP="001C6EFC">
      <w:pPr>
        <w:pStyle w:val="FootnoteText"/>
        <w:rPr>
          <w:rtl/>
        </w:rPr>
      </w:pPr>
      <w:r w:rsidRPr="001C6EFC">
        <w:rPr>
          <w:rtl/>
        </w:rPr>
        <w:t>וכ"ז הוא רק אי אמרינן דב</w:t>
      </w:r>
      <w:r w:rsidRPr="00186C14">
        <w:rPr>
          <w:rtl/>
        </w:rPr>
        <w:t xml:space="preserve">ין השמשות לילה הוא, אבל אם בין השמשות יום הוא, הרי למ"ד דכל לילה מצוה בפ"ע היא, הרי בין להי"א דספירה ביום מועלת ה"ה מברך, ובין להי"א דאינה מועלת ג"כ מברך. משא"כ למ"ד דתלויות זו בזו, הרי להי"א דספירה ביום אינה מועלת אכן אינו מברך, אבל להי"א </w:t>
      </w:r>
      <w:r w:rsidRPr="001C6EFC">
        <w:rPr>
          <w:rtl/>
        </w:rPr>
        <w:t>דמועלת, ה"ה מברך. וזהו הספק ספיקא דעלמא של מי ששכח בלילה וסופר ביום דממשיך בברכה, שהרי בשלשה מהארבע אופנים יכול הוא להמשיך בברכה, (ורק באחד מהארבע הכרעות יוצא דאינו יכול לברך).</w:t>
      </w:r>
    </w:p>
    <w:p w:rsidR="004C3605" w:rsidRPr="001C6EFC" w:rsidRDefault="004C3605" w:rsidP="001C6EFC">
      <w:pPr>
        <w:pStyle w:val="FootnoteText"/>
      </w:pPr>
      <w:r w:rsidRPr="001C6EFC">
        <w:rPr>
          <w:rtl/>
        </w:rPr>
        <w:t>אך בצירוף שני הצדדים (של בין השמשות) יחד, נמצא, שיש חמשה אופנים בה ממשיך לברך, ושלשה אופנים שאינו יכול.</w:t>
      </w:r>
    </w:p>
  </w:footnote>
  <w:footnote w:id="77">
    <w:p w:rsidR="004C3605" w:rsidRPr="001C6EFC" w:rsidRDefault="004C3605" w:rsidP="001C6EFC">
      <w:pPr>
        <w:pStyle w:val="FootnoteText"/>
      </w:pPr>
      <w:r w:rsidRPr="001C6EFC">
        <w:rPr>
          <w:rStyle w:val="FootnoteReference"/>
          <w:vertAlign w:val="baseline"/>
        </w:rPr>
        <w:footnoteRef/>
      </w:r>
      <w:r w:rsidRPr="001C6EFC">
        <w:rPr>
          <w:rtl/>
        </w:rPr>
        <w:t>) בית דוד (סי' רס"ח, והוא הראשון שראיתי שדן בזה). והוא משום דספק ספיקא הוא רק לחומרא כשהוא ספק ספיקא גמור. ובשלמי צבור (דף רצ"ח) וכן בזכור לאברהם (סעיף ע) הביאו דבריו ופסקו כמותו. והנהר שלום (ווינטורה, סי' תפ"ט ס"ב) ס"ל מסברא דנפשי' דאינו מברך.</w:t>
      </w:r>
    </w:p>
  </w:footnote>
  <w:footnote w:id="78">
    <w:p w:rsidR="004C3605" w:rsidRPr="001C6EFC" w:rsidRDefault="004C3605" w:rsidP="001C6EFC">
      <w:pPr>
        <w:pStyle w:val="FootnoteText"/>
      </w:pPr>
      <w:r w:rsidRPr="001C6EFC">
        <w:rPr>
          <w:rStyle w:val="FootnoteReference"/>
          <w:vertAlign w:val="baseline"/>
        </w:rPr>
        <w:footnoteRef/>
      </w:r>
      <w:r w:rsidRPr="001C6EFC">
        <w:rPr>
          <w:rtl/>
        </w:rPr>
        <w:t>) החיד"א (בברכי יוסף ס"ק יג) הביא דברי הבית דוד וגמגם בה</w:t>
      </w:r>
      <w:r w:rsidRPr="001C6EFC">
        <w:rPr>
          <w:rFonts w:hint="cs"/>
          <w:rtl/>
        </w:rPr>
        <w:t>ם</w:t>
      </w:r>
      <w:r w:rsidRPr="001C6EFC">
        <w:rPr>
          <w:rtl/>
        </w:rPr>
        <w:t xml:space="preserve"> (ובשערי תשובה ס"ק ד הביא דבריו), אך לא פסק. ובשו"ת שואל ומשיב (מהדורה ד' ח"ג סו"ס קכ"ז), וכן בשו"ת בית שלמה (דרימר) ח"מ סי' ק"ב, פסקו שיברך. (וראה שם (בית שלמה) שהאריך הרבה בהגדר של ספק ספיקא (ראה לעיל הע' 1)). ובפסק"ת הביא ג"כ שו"ת מנחת יצחק ח"ט סי' נ"ז (ושם הביא דברי הבית שלמה) עם האומרים שיברך.</w:t>
      </w:r>
    </w:p>
  </w:footnote>
  <w:footnote w:id="79">
    <w:p w:rsidR="004C3605" w:rsidRPr="001C6EFC" w:rsidRDefault="004C3605" w:rsidP="001C6EFC">
      <w:pPr>
        <w:pStyle w:val="FootnoteText"/>
      </w:pPr>
      <w:r w:rsidRPr="001C6EFC">
        <w:rPr>
          <w:rStyle w:val="FootnoteReference"/>
          <w:vertAlign w:val="baseline"/>
        </w:rPr>
        <w:footnoteRef/>
      </w:r>
      <w:r w:rsidRPr="001C6EFC">
        <w:rPr>
          <w:rtl/>
        </w:rPr>
        <w:t>) ר' חיים הלל ראסקין, מרא דאתרא בפתח תקוה, בגליון תקי"ב ד'למען ישמעו' דש"פ אחרי (דחו"ל) תשע"ט.</w:t>
      </w:r>
    </w:p>
  </w:footnote>
  <w:footnote w:id="80">
    <w:p w:rsidR="004C3605" w:rsidRPr="001C6EFC" w:rsidRDefault="004C3605" w:rsidP="001C6EFC">
      <w:pPr>
        <w:pStyle w:val="FootnoteText"/>
      </w:pPr>
      <w:r w:rsidRPr="001C6EFC">
        <w:rPr>
          <w:rStyle w:val="FootnoteReference"/>
          <w:vertAlign w:val="baseline"/>
        </w:rPr>
        <w:footnoteRef/>
      </w:r>
      <w:r w:rsidRPr="001C6EFC">
        <w:rPr>
          <w:rtl/>
        </w:rPr>
        <w:t xml:space="preserve">) </w:t>
      </w:r>
      <w:r w:rsidRPr="001C6EFC">
        <w:rPr>
          <w:rFonts w:hint="cs"/>
          <w:rtl/>
        </w:rPr>
        <w:t>"</w:t>
      </w:r>
      <w:r w:rsidRPr="001C6EFC">
        <w:rPr>
          <w:rtl/>
        </w:rPr>
        <w:t>אע"פ שאין מערבין עירוב תבשילין ביו"ט עצמו אלא צריך להניחו מערב יו"ט מכל מקום מותר לערב בבין השמשות של ליל יו"ט אע"פ שהוא ספק לילה לפי שספק דברי סופרים להקל ואנו תולין לומר עדיין יום הוא</w:t>
      </w:r>
      <w:r w:rsidRPr="001C6EFC">
        <w:rPr>
          <w:rFonts w:hint="cs"/>
          <w:rtl/>
        </w:rPr>
        <w:t>".</w:t>
      </w:r>
    </w:p>
  </w:footnote>
  <w:footnote w:id="81">
    <w:p w:rsidR="004C3605" w:rsidRPr="00186C14" w:rsidRDefault="004C3605" w:rsidP="001C6EFC">
      <w:pPr>
        <w:pStyle w:val="FootnoteText"/>
        <w:rPr>
          <w:rFonts w:eastAsia="SimSun"/>
          <w:lang w:eastAsia="zh-CN"/>
        </w:rPr>
      </w:pPr>
      <w:r w:rsidRPr="001C6EFC">
        <w:rPr>
          <w:rStyle w:val="FootnoteReference"/>
          <w:vertAlign w:val="baseline"/>
        </w:rPr>
        <w:footnoteRef/>
      </w:r>
      <w:r w:rsidRPr="001C6EFC">
        <w:rPr>
          <w:rtl/>
        </w:rPr>
        <w:t xml:space="preserve">) </w:t>
      </w:r>
      <w:r w:rsidRPr="001C6EFC">
        <w:rPr>
          <w:rFonts w:hint="cs"/>
          <w:rtl/>
        </w:rPr>
        <w:t>"</w:t>
      </w:r>
      <w:r w:rsidRPr="001C6EFC">
        <w:rPr>
          <w:rtl/>
        </w:rPr>
        <w:t>...ובחורף שהימים קצרים ורבתה המכשלה מאד בנשים להדליק נר שבת אחר השקיעה וגם באנשים עמי הארץ וקלי הדעת במלאכות אחרות צריך להודיעם שהוא איסור גמור של תורה ולהוכיחם בדברים רכים וקשים אולי ישמעו לו... ובקיץ השיעור משתנה לפי החדשים מנטיית המדינה לצפון העולם... ויש אומרים שספק של תורה דינו כודאי איסור של תורה לענין זה... אבל לענין תפלת המנחה שהיא מדברי סופרים אין למחות ביד המקילין בין בחול בין בשבת</w:t>
      </w:r>
      <w:r w:rsidRPr="001C6EFC">
        <w:rPr>
          <w:rFonts w:hint="cs"/>
          <w:rtl/>
        </w:rPr>
        <w:t xml:space="preserve"> </w:t>
      </w:r>
      <w:r w:rsidRPr="001C6EFC">
        <w:rPr>
          <w:rtl/>
        </w:rPr>
        <w:t>ובפרט בשעת הדחק בימות החורף</w:t>
      </w:r>
      <w:r w:rsidRPr="00186C14">
        <w:rPr>
          <w:rFonts w:eastAsia="SimSun"/>
          <w:rtl/>
          <w:lang w:eastAsia="zh-CN"/>
        </w:rPr>
        <w:t xml:space="preserve"> שהיום קצר וכמו שמצינו </w:t>
      </w:r>
      <w:r w:rsidRPr="00186C14">
        <w:rPr>
          <w:rFonts w:eastAsia="SimSun"/>
          <w:b/>
          <w:bCs/>
          <w:rtl/>
          <w:lang w:eastAsia="zh-CN"/>
        </w:rPr>
        <w:t>שהתירו חכמים איסור שבות מדברי סופרים בבין השמשות</w:t>
      </w:r>
      <w:r w:rsidRPr="00186C14">
        <w:rPr>
          <w:rFonts w:eastAsia="SimSun"/>
          <w:rtl/>
          <w:lang w:eastAsia="zh-CN"/>
        </w:rPr>
        <w:t xml:space="preserve"> בשעת הדחק ולצורך מצוה עוברת</w:t>
      </w:r>
      <w:r w:rsidRPr="00186C14">
        <w:rPr>
          <w:rFonts w:eastAsia="SimSun" w:hint="cs"/>
          <w:rtl/>
          <w:lang w:eastAsia="zh-CN"/>
        </w:rPr>
        <w:t>".</w:t>
      </w:r>
    </w:p>
  </w:footnote>
  <w:footnote w:id="82">
    <w:p w:rsidR="004C3605" w:rsidRPr="001C6EFC" w:rsidRDefault="004C3605" w:rsidP="001C6EFC">
      <w:pPr>
        <w:pStyle w:val="FootnoteText"/>
        <w:rPr>
          <w:rtl/>
        </w:rPr>
      </w:pPr>
      <w:r w:rsidRPr="001C6EFC">
        <w:rPr>
          <w:rStyle w:val="FootnoteReference"/>
          <w:vertAlign w:val="baseline"/>
        </w:rPr>
        <w:footnoteRef/>
      </w:r>
      <w:r>
        <w:rPr>
          <w:rFonts w:hint="cs"/>
          <w:rtl/>
        </w:rPr>
        <w:t xml:space="preserve">) </w:t>
      </w:r>
      <w:r w:rsidRPr="001C6EFC">
        <w:rPr>
          <w:rFonts w:hint="cs"/>
          <w:rtl/>
        </w:rPr>
        <w:t>לכבוד השלושי</w:t>
      </w:r>
      <w:r w:rsidRPr="001C6EFC">
        <w:rPr>
          <w:rFonts w:hint="eastAsia"/>
          <w:rtl/>
        </w:rPr>
        <w:t>ם</w:t>
      </w:r>
      <w:r w:rsidRPr="001C6EFC">
        <w:rPr>
          <w:rFonts w:hint="cs"/>
          <w:rtl/>
        </w:rPr>
        <w:t xml:space="preserve"> י"ב אייר ולעילוי נשמת מו"ח ר' בנציון בן ר' שמריהו ע"ה האקנער</w:t>
      </w:r>
    </w:p>
  </w:footnote>
  <w:footnote w:id="83">
    <w:p w:rsidR="004C3605" w:rsidRPr="005D1881" w:rsidRDefault="004C3605" w:rsidP="005D1881">
      <w:pPr>
        <w:pStyle w:val="FootnoteText"/>
        <w:rPr>
          <w:rtl/>
        </w:rPr>
      </w:pPr>
      <w:r w:rsidRPr="005D1881">
        <w:rPr>
          <w:rStyle w:val="FootnoteReference"/>
          <w:vertAlign w:val="baseline"/>
        </w:rPr>
        <w:footnoteRef/>
      </w:r>
      <w:r>
        <w:rPr>
          <w:rFonts w:hint="cs"/>
          <w:rtl/>
        </w:rPr>
        <w:t>)</w:t>
      </w:r>
      <w:r w:rsidRPr="005D1881">
        <w:rPr>
          <w:rFonts w:hint="cs"/>
          <w:rtl/>
        </w:rPr>
        <w:t xml:space="preserve"> ולחביבותא דמילתא מצורף בזה צילום מאגרת שקיבל זקני הרה"ח ר' אורי בן שחר ע"ה לחתונתו (בשנת תשי"ב), שבה מציין הן להזהר והן להלקו"ת:</w:t>
      </w:r>
      <w:r w:rsidRPr="005D1881">
        <w:rPr>
          <w:rtl/>
        </w:rPr>
        <w:t xml:space="preserve"> </w:t>
      </w:r>
    </w:p>
    <w:p w:rsidR="004C3605" w:rsidRDefault="004C3605" w:rsidP="005D1881">
      <w:pPr>
        <w:pStyle w:val="FootnoteText"/>
        <w:rPr>
          <w:rtl/>
        </w:rPr>
      </w:pPr>
      <w:r w:rsidRPr="00E339FE">
        <w:rPr>
          <w:noProof/>
        </w:rPr>
        <w:drawing>
          <wp:inline distT="0" distB="0" distL="0" distR="0">
            <wp:extent cx="4240206" cy="1238250"/>
            <wp:effectExtent l="0" t="0" r="825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pic:cNvPicPr>
                      <a:picLocks noChangeAspect="1" noChangeArrowheads="1"/>
                    </pic:cNvPicPr>
                  </pic:nvPicPr>
                  <pic:blipFill>
                    <a:blip r:embed="rId1">
                      <a:extLst>
                        <a:ext uri="{28A0092B-C50C-407E-A947-70E740481C1C}">
                          <a14:useLocalDpi xmlns:a14="http://schemas.microsoft.com/office/drawing/2010/main" val="0"/>
                        </a:ext>
                      </a:extLst>
                    </a:blip>
                    <a:srcRect b="31575"/>
                    <a:stretch>
                      <a:fillRect/>
                    </a:stretch>
                  </pic:blipFill>
                  <pic:spPr bwMode="auto">
                    <a:xfrm>
                      <a:off x="0" y="0"/>
                      <a:ext cx="4365899" cy="1274956"/>
                    </a:xfrm>
                    <a:prstGeom prst="rect">
                      <a:avLst/>
                    </a:prstGeom>
                    <a:noFill/>
                    <a:ln>
                      <a:noFill/>
                    </a:ln>
                  </pic:spPr>
                </pic:pic>
              </a:graphicData>
            </a:graphic>
          </wp:inline>
        </w:drawing>
      </w:r>
    </w:p>
  </w:footnote>
  <w:footnote w:id="84">
    <w:p w:rsidR="004C3605" w:rsidRPr="009B6E90" w:rsidRDefault="004C3605" w:rsidP="002F0CA3">
      <w:pPr>
        <w:pStyle w:val="FootnoteText"/>
      </w:pPr>
      <w:r w:rsidRPr="00FA5CCA">
        <w:footnoteRef/>
      </w:r>
      <w:r w:rsidRPr="00FA5CCA">
        <w:rPr>
          <w:rFonts w:hint="cs"/>
          <w:rtl/>
        </w:rPr>
        <w:t xml:space="preserve">) </w:t>
      </w:r>
      <w:r w:rsidRPr="00FA5CCA">
        <w:rPr>
          <w:rtl/>
        </w:rPr>
        <w:t>ב</w:t>
      </w:r>
      <w:r w:rsidRPr="00FA5CCA">
        <w:rPr>
          <w:rFonts w:hint="cs"/>
          <w:rtl/>
        </w:rPr>
        <w:t xml:space="preserve">קובץ </w:t>
      </w:r>
      <w:r w:rsidRPr="00FA5CCA">
        <w:rPr>
          <w:rtl/>
        </w:rPr>
        <w:t>'ישורון' טו מביאים הרבנים ר' אייזיק בלוי ור' נחום זאב רוזנשטיין גוף כתי"ק של רבנו החיד"</w:t>
      </w:r>
      <w:r w:rsidRPr="00A97493">
        <w:rPr>
          <w:rtl/>
        </w:rPr>
        <w:t>א [שטרם נדפס] שמרן הבית יוסף רצה לבטל את המחולות בקברו של רשב"י: "בימי מרן הסכימו שלא יעשו ישראל . . מחול בל"ג לעומר על ציון רשב"י . . ונראה למרן ובית דינו שחס ושלום זלזול שאוכלים ומרקדים, ונכתבה הסכמה ולא נחתמה. בלילה חלם מרן עם הרשב"י, ואמר לו, שתבוא מגיפה גדולה בעבור זה ההסכמה, כי רצונו שישמחו בהילולא, ולמחר קרע ההסכמה" עכל"ק</w:t>
      </w:r>
      <w:r w:rsidRPr="00A97493">
        <w:t>.</w:t>
      </w:r>
    </w:p>
    <w:p w:rsidR="004C3605" w:rsidRPr="00A97493" w:rsidRDefault="004C3605" w:rsidP="002F0CA3">
      <w:pPr>
        <w:pStyle w:val="FootnoteText"/>
        <w:rPr>
          <w:rtl/>
        </w:rPr>
      </w:pPr>
    </w:p>
  </w:footnote>
  <w:footnote w:id="85">
    <w:p w:rsidR="004C3605" w:rsidRPr="002F0CA3" w:rsidRDefault="004C3605" w:rsidP="00E533D1">
      <w:pPr>
        <w:pStyle w:val="FootnoteText"/>
      </w:pPr>
      <w:r w:rsidRPr="002F0CA3">
        <w:footnoteRef/>
      </w:r>
      <w:r>
        <w:rPr>
          <w:rFonts w:hint="cs"/>
          <w:rtl/>
        </w:rPr>
        <w:t>)</w:t>
      </w:r>
      <w:r w:rsidRPr="002F0CA3">
        <w:rPr>
          <w:rtl/>
        </w:rPr>
        <w:t xml:space="preserve"> ומובא גם ב</w:t>
      </w:r>
      <w:r w:rsidRPr="002F0CA3">
        <w:rPr>
          <w:highlight w:val="white"/>
          <w:rtl/>
        </w:rPr>
        <w:t>המשך תערב ח"א עמוד רנה ומאמרי אדה"ז תקס"ד עמוד קכ .</w:t>
      </w:r>
    </w:p>
  </w:footnote>
  <w:footnote w:id="86">
    <w:p w:rsidR="004C3605" w:rsidRPr="002F0CA3" w:rsidRDefault="004C3605" w:rsidP="002F0CA3">
      <w:pPr>
        <w:pStyle w:val="FootnoteText"/>
      </w:pPr>
      <w:r w:rsidRPr="002F0CA3">
        <w:footnoteRef/>
      </w:r>
      <w:r>
        <w:rPr>
          <w:rFonts w:hint="cs"/>
          <w:rtl/>
        </w:rPr>
        <w:t>)</w:t>
      </w:r>
      <w:r w:rsidRPr="002F0CA3">
        <w:rPr>
          <w:rtl/>
        </w:rPr>
        <w:t xml:space="preserve"> ושם "דתפוח היינו אתרוג וריח אפך כתפוחים מתרגמינן כריחא דאתרוגא". ובגליון הש"ס שם מציין לתענית כט ע"ב תוד"ה של תפוחים. "י"מ תפוחים כריח אתרוגים".</w:t>
      </w:r>
    </w:p>
  </w:footnote>
  <w:footnote w:id="87">
    <w:p w:rsidR="004C3605" w:rsidRPr="002F0CA3" w:rsidRDefault="004C3605" w:rsidP="002F0CA3">
      <w:pPr>
        <w:pStyle w:val="FootnoteText"/>
      </w:pPr>
      <w:r w:rsidRPr="002F0CA3">
        <w:footnoteRef/>
      </w:r>
      <w:r w:rsidRPr="002F0CA3">
        <w:t xml:space="preserve"> </w:t>
      </w:r>
      <w:r>
        <w:rPr>
          <w:rFonts w:hint="cs"/>
          <w:rtl/>
        </w:rPr>
        <w:t xml:space="preserve">) </w:t>
      </w:r>
      <w:r w:rsidRPr="002F0CA3">
        <w:rPr>
          <w:rtl/>
        </w:rPr>
        <w:t xml:space="preserve">ונכלל בו גם למ"ד עץ הדעת אתרוג הי' (ב"ר פט"ו,ג.) </w:t>
      </w:r>
    </w:p>
  </w:footnote>
  <w:footnote w:id="88">
    <w:p w:rsidR="004C3605" w:rsidRPr="002F0CA3" w:rsidRDefault="004C3605" w:rsidP="002F0CA3">
      <w:pPr>
        <w:pStyle w:val="FootnoteText"/>
      </w:pPr>
      <w:r w:rsidRPr="002F0CA3">
        <w:footnoteRef/>
      </w:r>
      <w:r>
        <w:rPr>
          <w:rFonts w:hint="cs"/>
          <w:rtl/>
        </w:rPr>
        <w:t>)</w:t>
      </w:r>
      <w:r w:rsidRPr="002F0CA3">
        <w:rPr>
          <w:rtl/>
        </w:rPr>
        <w:t xml:space="preserve"> ונכלל בו גם מ"ש הרא"ש שבת פרק ב' סימן א' "איכא מ"ד עץ הדעת פשתן הי'". </w:t>
      </w:r>
    </w:p>
  </w:footnote>
  <w:footnote w:id="89">
    <w:p w:rsidR="004C3605" w:rsidRPr="002F0CA3" w:rsidRDefault="004C3605" w:rsidP="002F0CA3">
      <w:pPr>
        <w:pStyle w:val="FootnoteText"/>
      </w:pPr>
      <w:r w:rsidRPr="002F0CA3">
        <w:footnoteRef/>
      </w:r>
      <w:r>
        <w:rPr>
          <w:rFonts w:hint="cs"/>
          <w:rtl/>
        </w:rPr>
        <w:t>)</w:t>
      </w:r>
      <w:r w:rsidRPr="002F0CA3">
        <w:rPr>
          <w:rtl/>
        </w:rPr>
        <w:t xml:space="preserve"> ועי' בן יהוידע ברכות מ' ע"א "רמז הכתוב שלש רגלים תחג לי בשנה תח"ג ר"ת תאנה חטה גפן שהם שלשה הנז' שחטא בהם אדה"ר". </w:t>
      </w:r>
    </w:p>
  </w:footnote>
  <w:footnote w:id="90">
    <w:p w:rsidR="004C3605" w:rsidRPr="002F0CA3" w:rsidRDefault="004C3605" w:rsidP="002F0CA3">
      <w:pPr>
        <w:pStyle w:val="FootnoteText"/>
      </w:pPr>
      <w:r w:rsidRPr="002F0CA3">
        <w:footnoteRef/>
      </w:r>
      <w:r>
        <w:rPr>
          <w:rFonts w:hint="cs"/>
          <w:rtl/>
        </w:rPr>
        <w:t>)</w:t>
      </w:r>
      <w:r w:rsidRPr="002F0CA3">
        <w:rPr>
          <w:rtl/>
        </w:rPr>
        <w:t xml:space="preserve"> ועיין גם תיקוני זהר תיקון כד דף סט ע"א בן יהוידע שם בן איש חי שנה שניה פרשת בראשית מגדים חדשים ברכות שם.</w:t>
      </w:r>
    </w:p>
  </w:footnote>
  <w:footnote w:id="91">
    <w:p w:rsidR="004C3605" w:rsidRPr="002F0CA3" w:rsidRDefault="004C3605" w:rsidP="002F0CA3">
      <w:pPr>
        <w:pStyle w:val="FootnoteText"/>
      </w:pPr>
      <w:r w:rsidRPr="002F0CA3">
        <w:rPr>
          <w:rStyle w:val="FootnoteReference"/>
          <w:vertAlign w:val="baseline"/>
        </w:rPr>
        <w:footnoteRef/>
      </w:r>
      <w:r>
        <w:rPr>
          <w:rFonts w:hint="cs"/>
          <w:rtl/>
        </w:rPr>
        <w:t>)</w:t>
      </w:r>
      <w:r w:rsidRPr="002F0CA3">
        <w:rPr>
          <w:rtl/>
        </w:rPr>
        <w:t xml:space="preserve"> </w:t>
      </w:r>
      <w:r w:rsidRPr="002F0CA3">
        <w:rPr>
          <w:rFonts w:hint="cs"/>
          <w:rtl/>
        </w:rPr>
        <w:t xml:space="preserve">חיים ליברמן, אהל רח"ל, א, עמ' 53. ויש עוד אזכורים לסיפור זה ב'תורת מנחם </w:t>
      </w:r>
      <w:r w:rsidRPr="002F0CA3">
        <w:rPr>
          <w:rtl/>
        </w:rPr>
        <w:t>–</w:t>
      </w:r>
      <w:r w:rsidRPr="002F0CA3">
        <w:rPr>
          <w:rFonts w:hint="cs"/>
          <w:rtl/>
        </w:rPr>
        <w:t xml:space="preserve"> התוועדויות', ובציונים הבאים גם נזכר שביקורו הראשון היה בליאזנא: תורת מנחם, ז, עמ' 277; שם, יט, עמ' 300; שם, מ, עמ' 71.</w:t>
      </w:r>
    </w:p>
  </w:footnote>
  <w:footnote w:id="92">
    <w:p w:rsidR="004C3605" w:rsidRPr="002F0CA3" w:rsidRDefault="004C3605" w:rsidP="002F0CA3">
      <w:pPr>
        <w:pStyle w:val="FootnoteText"/>
        <w:rPr>
          <w:rtl/>
        </w:rPr>
      </w:pPr>
      <w:r w:rsidRPr="002F0CA3">
        <w:rPr>
          <w:rStyle w:val="FootnoteReference"/>
          <w:vertAlign w:val="baseline"/>
        </w:rPr>
        <w:footnoteRef/>
      </w:r>
      <w:r>
        <w:rPr>
          <w:rFonts w:hint="cs"/>
          <w:rtl/>
        </w:rPr>
        <w:t>)</w:t>
      </w:r>
      <w:r w:rsidRPr="002F0CA3">
        <w:rPr>
          <w:rtl/>
        </w:rPr>
        <w:t xml:space="preserve"> </w:t>
      </w:r>
      <w:r w:rsidRPr="002F0CA3">
        <w:rPr>
          <w:rFonts w:hint="cs"/>
          <w:rtl/>
        </w:rPr>
        <w:t>יהושע מונדשיין, המאסר הראשון, עמ' 73, הערה 40.</w:t>
      </w:r>
    </w:p>
  </w:footnote>
  <w:footnote w:id="93">
    <w:p w:rsidR="004C3605" w:rsidRPr="002F0CA3" w:rsidRDefault="004C3605" w:rsidP="002F0CA3">
      <w:pPr>
        <w:pStyle w:val="FootnoteText"/>
      </w:pPr>
      <w:r w:rsidRPr="002F0CA3">
        <w:rPr>
          <w:rStyle w:val="FootnoteReference"/>
          <w:vertAlign w:val="baseline"/>
        </w:rPr>
        <w:footnoteRef/>
      </w:r>
      <w:r>
        <w:rPr>
          <w:rFonts w:hint="cs"/>
          <w:rtl/>
        </w:rPr>
        <w:t>)</w:t>
      </w:r>
      <w:r w:rsidRPr="002F0CA3">
        <w:rPr>
          <w:rtl/>
        </w:rPr>
        <w:t xml:space="preserve"> </w:t>
      </w:r>
      <w:r w:rsidRPr="002F0CA3">
        <w:rPr>
          <w:rFonts w:hint="cs"/>
          <w:rtl/>
        </w:rPr>
        <w:t>לקוטי דיבורים, א, עמ' קע, א-קעא, א; ספר השיחות תרצ"ו-ת"ש, עמ' 6. בלקוטי דיבורים שם אוזכר "ר' שלמה רפאל'ס מווילנא", אך הדבר אינו מתיישב עם הידוע אודותו, ראו: יהושע מונדשיין, המאסר הראשון, עמ' 40, הערה 41; עמ' 115. שלום דובער לוין, תולדות חב"ד בפולין, ליטא ולטביא, ניו יורק תשע"א, עמ' א-ב.</w:t>
      </w:r>
    </w:p>
  </w:footnote>
  <w:footnote w:id="94">
    <w:p w:rsidR="004C3605" w:rsidRPr="002F0CA3" w:rsidRDefault="004C3605" w:rsidP="002F0CA3">
      <w:pPr>
        <w:pStyle w:val="FootnoteText"/>
        <w:rPr>
          <w:rtl/>
        </w:rPr>
      </w:pPr>
      <w:r w:rsidRPr="002F0CA3">
        <w:rPr>
          <w:rStyle w:val="FootnoteReference"/>
          <w:vertAlign w:val="baseline"/>
        </w:rPr>
        <w:footnoteRef/>
      </w:r>
      <w:r>
        <w:rPr>
          <w:rFonts w:hint="cs"/>
          <w:rtl/>
        </w:rPr>
        <w:t>)</w:t>
      </w:r>
      <w:r w:rsidRPr="002F0CA3">
        <w:rPr>
          <w:rtl/>
        </w:rPr>
        <w:t xml:space="preserve"> </w:t>
      </w:r>
      <w:r w:rsidRPr="002F0CA3">
        <w:rPr>
          <w:rFonts w:hint="cs"/>
          <w:rtl/>
        </w:rPr>
        <w:t>לקוטי דבורים, חלק ב, עמ' רנו, א.</w:t>
      </w:r>
    </w:p>
  </w:footnote>
  <w:footnote w:id="95">
    <w:p w:rsidR="004C3605" w:rsidRPr="002F0CA3" w:rsidRDefault="004C3605" w:rsidP="002F0CA3">
      <w:pPr>
        <w:pStyle w:val="FootnoteText"/>
      </w:pPr>
      <w:r w:rsidRPr="002F0CA3">
        <w:rPr>
          <w:rStyle w:val="FootnoteReference"/>
          <w:vertAlign w:val="baseline"/>
        </w:rPr>
        <w:footnoteRef/>
      </w:r>
      <w:r>
        <w:rPr>
          <w:rFonts w:hint="cs"/>
          <w:rtl/>
        </w:rPr>
        <w:t>)</w:t>
      </w:r>
      <w:r w:rsidRPr="002F0CA3">
        <w:rPr>
          <w:rtl/>
        </w:rPr>
        <w:t xml:space="preserve"> </w:t>
      </w:r>
      <w:r w:rsidRPr="002F0CA3">
        <w:rPr>
          <w:rFonts w:hint="cs"/>
          <w:rtl/>
        </w:rPr>
        <w:t>אגרות קודש, ח, עמ' רפג-רפה.</w:t>
      </w:r>
    </w:p>
  </w:footnote>
  <w:footnote w:id="96">
    <w:p w:rsidR="004C3605" w:rsidRDefault="004C3605" w:rsidP="002F0CA3">
      <w:pPr>
        <w:pStyle w:val="FootnoteText"/>
        <w:rPr>
          <w:rtl/>
        </w:rPr>
      </w:pPr>
      <w:r w:rsidRPr="002F0CA3">
        <w:rPr>
          <w:rStyle w:val="FootnoteReference"/>
          <w:vertAlign w:val="baseline"/>
        </w:rPr>
        <w:footnoteRef/>
      </w:r>
      <w:r>
        <w:rPr>
          <w:rFonts w:hint="cs"/>
          <w:rtl/>
        </w:rPr>
        <w:t>)</w:t>
      </w:r>
      <w:r w:rsidRPr="002F0CA3">
        <w:rPr>
          <w:rtl/>
        </w:rPr>
        <w:t xml:space="preserve"> </w:t>
      </w:r>
      <w:r w:rsidRPr="002F0CA3">
        <w:rPr>
          <w:rFonts w:hint="cs"/>
          <w:rtl/>
        </w:rPr>
        <w:t>תשורה ווילשאנסקי-רוזנבלט, י"ב תמוז תש"ע, עמ' 74, מסיפורי ר' בצלאל ווילשאנסקי בשם ר' מאיר שמחה חן. חסידים הראשונים, א, עמ' 73, מסיפורי ר' משה יהודה הכהן רייכמן בשם הרב דוד צבי חן (סיפור זה נרשם גם ע"י נפתלי פרלשטיין, 'ליינערס שרייבן', דער אידישער שטראל, י"א אייר תשל"ד, עמ' טז. אך לא נמסר בעל השמועה, ואפשר שמקורם אחד הוא).</w:t>
      </w:r>
    </w:p>
  </w:footnote>
  <w:footnote w:id="97">
    <w:p w:rsidR="004C3605" w:rsidRPr="002F0CA3" w:rsidRDefault="004C3605" w:rsidP="002F0CA3">
      <w:pPr>
        <w:pStyle w:val="FootnoteText"/>
        <w:rPr>
          <w:rtl/>
        </w:rPr>
      </w:pPr>
      <w:r w:rsidRPr="002F0CA3">
        <w:rPr>
          <w:rStyle w:val="FootnoteReference"/>
          <w:vertAlign w:val="baseline"/>
        </w:rPr>
        <w:footnoteRef/>
      </w:r>
      <w:r>
        <w:rPr>
          <w:rFonts w:hint="cs"/>
          <w:rtl/>
        </w:rPr>
        <w:t>)</w:t>
      </w:r>
      <w:r w:rsidRPr="002F0CA3">
        <w:rPr>
          <w:rtl/>
        </w:rPr>
        <w:t xml:space="preserve"> </w:t>
      </w:r>
      <w:r w:rsidRPr="002F0CA3">
        <w:rPr>
          <w:rFonts w:hint="cs"/>
          <w:rtl/>
        </w:rPr>
        <w:t>באגרת זו יש לשונות אשר קטונתי מלהבינן על בוריין, וכמו למשל, (א) "והתרחקו ממנו כאשר תאוה נפשכם". ואין מובן, אם יש להתרחק ממנו, מדוע זה באופן "כאשר תאוה נפשכם". (ב) "</w:t>
      </w:r>
      <w:r w:rsidRPr="002F0CA3">
        <w:rPr>
          <w:rtl/>
        </w:rPr>
        <w:t>ועלי לכתוב עליו לרבותינו שבא"י כאשר יתן ה' בב"ב</w:t>
      </w:r>
      <w:r w:rsidRPr="002F0CA3">
        <w:rPr>
          <w:rFonts w:hint="cs"/>
          <w:rtl/>
        </w:rPr>
        <w:t>", לא ברור פירוש ראשי התיבות 'בב"ב', וכמו כן מהו שכותב "כאשר יתן ה' וכו'" ולא "בלי נדר" או לשונות כיו"ב.</w:t>
      </w:r>
    </w:p>
    <w:p w:rsidR="004C3605" w:rsidRPr="002F0CA3" w:rsidRDefault="004C3605" w:rsidP="002F0CA3">
      <w:pPr>
        <w:pStyle w:val="FootnoteText"/>
      </w:pPr>
      <w:r w:rsidRPr="002F0CA3">
        <w:rPr>
          <w:rFonts w:hint="cs"/>
          <w:rtl/>
        </w:rPr>
        <w:t>לעניין הספקולציות בעניין סופה של האגרת, נראים יותר דברי חיים אליעזר אשכנזי, אף שייתכן גם שמדובר בעניין פרטי, ולאו דווקא ביחס למעות א"י, או ההתנגדות לחסידות וכיו"ב. ולכן לא נהירים כל הדברים המבוארים באגרת.</w:t>
      </w:r>
    </w:p>
  </w:footnote>
  <w:footnote w:id="98">
    <w:p w:rsidR="004C3605" w:rsidRPr="002F0CA3" w:rsidRDefault="004C3605" w:rsidP="002F0CA3">
      <w:pPr>
        <w:pStyle w:val="FootnoteText"/>
        <w:rPr>
          <w:rtl/>
        </w:rPr>
      </w:pPr>
      <w:r w:rsidRPr="002F0CA3">
        <w:rPr>
          <w:rStyle w:val="FootnoteReference"/>
          <w:vertAlign w:val="baseline"/>
        </w:rPr>
        <w:footnoteRef/>
      </w:r>
      <w:r>
        <w:rPr>
          <w:rFonts w:hint="cs"/>
          <w:rtl/>
        </w:rPr>
        <w:t>)</w:t>
      </w:r>
      <w:r w:rsidRPr="002F0CA3">
        <w:rPr>
          <w:rtl/>
        </w:rPr>
        <w:t xml:space="preserve"> </w:t>
      </w:r>
      <w:r w:rsidRPr="002F0CA3">
        <w:rPr>
          <w:rFonts w:hint="cs"/>
          <w:rtl/>
        </w:rPr>
        <w:t>היכל הבעש"ט, לח (קיץ תשע"ט), עמ' רמז-רנג.</w:t>
      </w:r>
    </w:p>
  </w:footnote>
  <w:footnote w:id="99">
    <w:p w:rsidR="004C3605" w:rsidRPr="002F0CA3" w:rsidRDefault="004C3605" w:rsidP="002F0CA3">
      <w:pPr>
        <w:pStyle w:val="FootnoteText"/>
      </w:pPr>
      <w:r w:rsidRPr="002F0CA3">
        <w:rPr>
          <w:rStyle w:val="FootnoteReference"/>
          <w:vertAlign w:val="baseline"/>
        </w:rPr>
        <w:footnoteRef/>
      </w:r>
      <w:r>
        <w:rPr>
          <w:rFonts w:hint="cs"/>
          <w:rtl/>
        </w:rPr>
        <w:t>)</w:t>
      </w:r>
      <w:r w:rsidRPr="002F0CA3">
        <w:rPr>
          <w:rtl/>
        </w:rPr>
        <w:t xml:space="preserve"> </w:t>
      </w:r>
      <w:r w:rsidRPr="002F0CA3">
        <w:rPr>
          <w:rFonts w:hint="cs"/>
          <w:rtl/>
        </w:rPr>
        <w:t xml:space="preserve">קובץ בית אהרן וישראל, קלז (סיון-תמוז תשס"ח), </w:t>
      </w:r>
      <w:r w:rsidRPr="002F0CA3">
        <w:rPr>
          <w:rtl/>
        </w:rPr>
        <w:t>עמ</w:t>
      </w:r>
      <w:r w:rsidRPr="002F0CA3">
        <w:rPr>
          <w:rFonts w:hint="cs"/>
          <w:rtl/>
        </w:rPr>
        <w:t>'</w:t>
      </w:r>
      <w:r w:rsidRPr="002F0CA3">
        <w:rPr>
          <w:rtl/>
        </w:rPr>
        <w:t xml:space="preserve"> קסח הערה 59</w:t>
      </w:r>
      <w:r w:rsidRPr="002F0CA3">
        <w:rPr>
          <w:rFonts w:hint="cs"/>
          <w:rtl/>
        </w:rPr>
        <w:t>.</w:t>
      </w:r>
    </w:p>
  </w:footnote>
  <w:footnote w:id="100">
    <w:p w:rsidR="004C3605" w:rsidRPr="002F0CA3" w:rsidRDefault="004C3605" w:rsidP="002F0CA3">
      <w:pPr>
        <w:pStyle w:val="FootnoteText"/>
      </w:pPr>
      <w:r w:rsidRPr="002F0CA3">
        <w:rPr>
          <w:rStyle w:val="FootnoteReference"/>
          <w:vertAlign w:val="baseline"/>
        </w:rPr>
        <w:footnoteRef/>
      </w:r>
      <w:r>
        <w:rPr>
          <w:rFonts w:hint="cs"/>
          <w:rtl/>
        </w:rPr>
        <w:t>)</w:t>
      </w:r>
      <w:r w:rsidRPr="002F0CA3">
        <w:rPr>
          <w:rtl/>
        </w:rPr>
        <w:t xml:space="preserve"> </w:t>
      </w:r>
      <w:r w:rsidRPr="002F0CA3">
        <w:rPr>
          <w:rFonts w:hint="cs"/>
          <w:rtl/>
        </w:rPr>
        <w:t>ישורון, כב (אלול תש"ע), עמ' תתצט-תתק.</w:t>
      </w:r>
    </w:p>
  </w:footnote>
  <w:footnote w:id="101">
    <w:p w:rsidR="004C3605" w:rsidRPr="002F0CA3" w:rsidRDefault="004C3605" w:rsidP="002F0CA3">
      <w:pPr>
        <w:pStyle w:val="FootnoteText"/>
      </w:pPr>
      <w:r w:rsidRPr="002F0CA3">
        <w:rPr>
          <w:rStyle w:val="FootnoteReference"/>
          <w:vertAlign w:val="baseline"/>
        </w:rPr>
        <w:footnoteRef/>
      </w:r>
      <w:r>
        <w:rPr>
          <w:rFonts w:hint="cs"/>
          <w:rtl/>
        </w:rPr>
        <w:t>)</w:t>
      </w:r>
      <w:r w:rsidRPr="002F0CA3">
        <w:rPr>
          <w:rtl/>
        </w:rPr>
        <w:t xml:space="preserve"> </w:t>
      </w:r>
      <w:r w:rsidRPr="002F0CA3">
        <w:rPr>
          <w:rFonts w:hint="cs"/>
          <w:rtl/>
        </w:rPr>
        <w:t>המאסר הראשון, תשע"ב, עמ' 101.</w:t>
      </w:r>
    </w:p>
  </w:footnote>
  <w:footnote w:id="102">
    <w:p w:rsidR="004C3605" w:rsidRPr="002F0CA3" w:rsidRDefault="004C3605" w:rsidP="002F0CA3">
      <w:pPr>
        <w:pStyle w:val="FootnoteText"/>
      </w:pPr>
      <w:r w:rsidRPr="002F0CA3">
        <w:rPr>
          <w:rStyle w:val="FootnoteReference"/>
          <w:vertAlign w:val="baseline"/>
        </w:rPr>
        <w:footnoteRef/>
      </w:r>
      <w:r>
        <w:rPr>
          <w:rFonts w:hint="cs"/>
          <w:rtl/>
        </w:rPr>
        <w:t>)</w:t>
      </w:r>
      <w:r w:rsidRPr="002F0CA3">
        <w:rPr>
          <w:rtl/>
        </w:rPr>
        <w:t xml:space="preserve"> </w:t>
      </w:r>
      <w:r w:rsidRPr="002F0CA3">
        <w:rPr>
          <w:rFonts w:hint="cs"/>
          <w:rtl/>
        </w:rPr>
        <w:t>המאסר הראשון, עמ' 81. אגרות קודש, אדמו"ר הזקן, ניו יורק תשע"ב, עמ' רכט.</w:t>
      </w:r>
    </w:p>
  </w:footnote>
  <w:footnote w:id="103">
    <w:p w:rsidR="004C3605" w:rsidRPr="002F0CA3" w:rsidRDefault="004C3605" w:rsidP="002F0CA3">
      <w:pPr>
        <w:pStyle w:val="FootnoteText"/>
        <w:rPr>
          <w:rtl/>
        </w:rPr>
      </w:pPr>
      <w:r w:rsidRPr="002F0CA3">
        <w:rPr>
          <w:rStyle w:val="FootnoteReference"/>
          <w:vertAlign w:val="baseline"/>
        </w:rPr>
        <w:footnoteRef/>
      </w:r>
      <w:r>
        <w:rPr>
          <w:rFonts w:hint="cs"/>
          <w:rtl/>
        </w:rPr>
        <w:t>)</w:t>
      </w:r>
      <w:r w:rsidRPr="002F0CA3">
        <w:rPr>
          <w:rtl/>
        </w:rPr>
        <w:t xml:space="preserve"> </w:t>
      </w:r>
      <w:r w:rsidRPr="002F0CA3">
        <w:rPr>
          <w:rFonts w:hint="cs"/>
          <w:rtl/>
        </w:rPr>
        <w:t>ואולי יש ללמוד מהסיפורים אודות הרב ברוך מרדכי מבוברויסק שפגש ברב הנ"ל בעת היותו נע ונד בארץ (ראו הנקבץ ב'המאסר הראשון', עמ' 586-587), כי נפטר מאוחר יותר, בשנות ה'תק"ס, שכן הרב ברוך מרדכי היה יליד תקל"ב-תקל"ג לערך (הביוגרפיה של הרב"מ זקוקה לעיון מחודש, שכן מעבר לסתירות המצויות מכבר (כמו למשל, אם ביקורו הראשון אצל אדמו"ר הזקן היה בשנת תקנ"ג (תולדות ברוך מרדכי, כפר חב"ד תשס"ח, עמ' 69) איך קיבל סמיכה ממנו בשנת תק"נ (שם, עמ' 103). וכהנה רבות), הרי שעדותו המובאת ב'המאסר הראשון' (עמ' 143) מצריכה תיקונים משמעותיים, ואכהמ"ל), וא"כ מתאים יותר לתקופת שנים אלו. אך אין הדבר מוכרח, ועדיין אפשר שלא היה זה עם בניו ממש, אלא עם קרובי משפחה סתם.</w:t>
      </w:r>
    </w:p>
  </w:footnote>
  <w:footnote w:id="104">
    <w:p w:rsidR="004C3605" w:rsidRPr="002F0CA3" w:rsidRDefault="004C3605" w:rsidP="002F0CA3">
      <w:pPr>
        <w:pStyle w:val="FootnoteText"/>
        <w:rPr>
          <w:rtl/>
        </w:rPr>
      </w:pPr>
      <w:r w:rsidRPr="002F0CA3">
        <w:rPr>
          <w:rStyle w:val="FootnoteReference"/>
          <w:vertAlign w:val="baseline"/>
        </w:rPr>
        <w:footnoteRef/>
      </w:r>
      <w:r>
        <w:rPr>
          <w:rFonts w:hint="cs"/>
          <w:rtl/>
        </w:rPr>
        <w:t>)</w:t>
      </w:r>
      <w:r w:rsidRPr="002F0CA3">
        <w:rPr>
          <w:rtl/>
        </w:rPr>
        <w:t xml:space="preserve"> </w:t>
      </w:r>
      <w:r w:rsidRPr="002F0CA3">
        <w:rPr>
          <w:rFonts w:hint="cs"/>
          <w:rtl/>
        </w:rPr>
        <w:t>אברהם חן, למנחמי, תל אביב תרצ"א, עמ' 21. ייתכן שזהו גלגול של המסופר בתורת שלום (ראו המאסר הראשון, עמ' 578).</w:t>
      </w:r>
    </w:p>
  </w:footnote>
  <w:footnote w:id="105">
    <w:p w:rsidR="004C3605" w:rsidRPr="002F0CA3" w:rsidRDefault="004C3605" w:rsidP="002F0CA3">
      <w:pPr>
        <w:pStyle w:val="FootnoteText"/>
        <w:rPr>
          <w:rtl/>
        </w:rPr>
      </w:pPr>
      <w:r w:rsidRPr="002F0CA3">
        <w:rPr>
          <w:rStyle w:val="FootnoteReference"/>
          <w:vertAlign w:val="baseline"/>
        </w:rPr>
        <w:footnoteRef/>
      </w:r>
      <w:r>
        <w:rPr>
          <w:rFonts w:hint="cs"/>
          <w:rtl/>
        </w:rPr>
        <w:t>)</w:t>
      </w:r>
      <w:r w:rsidRPr="002F0CA3">
        <w:rPr>
          <w:rtl/>
        </w:rPr>
        <w:t xml:space="preserve"> </w:t>
      </w:r>
      <w:r w:rsidRPr="002F0CA3">
        <w:rPr>
          <w:rFonts w:hint="cs"/>
          <w:rtl/>
        </w:rPr>
        <w:t>אליעזר שטיינמן בספרו 'באר החסידות' (משנת חב"ד, ב, עמ' 339) הוסיף לרשום "</w:t>
      </w:r>
      <w:r w:rsidRPr="002F0CA3">
        <w:rPr>
          <w:rtl/>
        </w:rPr>
        <w:t>לבסוף נעשה הרב מוואלפע שטוף בשכרות והיה נע ונד ושכח הרבה ממשנתו</w:t>
      </w:r>
      <w:r w:rsidRPr="002F0CA3">
        <w:rPr>
          <w:rFonts w:hint="cs"/>
          <w:rtl/>
        </w:rPr>
        <w:t>". אך גם ר' יהושע מונדשיין מודה כי אין ללמוד זאת מהמקורות החב"דיים (המאסר הראשון, עמ' 616).</w:t>
      </w:r>
    </w:p>
  </w:footnote>
  <w:footnote w:id="106">
    <w:p w:rsidR="004C3605" w:rsidRPr="002F0CA3" w:rsidRDefault="004C3605" w:rsidP="002F0CA3">
      <w:pPr>
        <w:pStyle w:val="FootnoteText"/>
      </w:pPr>
      <w:r w:rsidRPr="002F0CA3">
        <w:rPr>
          <w:rStyle w:val="FootnoteReference"/>
          <w:vertAlign w:val="baseline"/>
        </w:rPr>
        <w:footnoteRef/>
      </w:r>
      <w:r>
        <w:rPr>
          <w:rFonts w:hint="cs"/>
          <w:rtl/>
        </w:rPr>
        <w:t>)</w:t>
      </w:r>
      <w:r w:rsidRPr="002F0CA3">
        <w:rPr>
          <w:rtl/>
        </w:rPr>
        <w:t xml:space="preserve"> </w:t>
      </w:r>
      <w:r w:rsidRPr="002F0CA3">
        <w:rPr>
          <w:rFonts w:hint="cs"/>
          <w:rtl/>
        </w:rPr>
        <w:t>המאסר הראשון, עמ' 587-588.</w:t>
      </w:r>
    </w:p>
  </w:footnote>
  <w:footnote w:id="107">
    <w:p w:rsidR="004C3605" w:rsidRDefault="004C3605" w:rsidP="002F0CA3">
      <w:pPr>
        <w:pStyle w:val="FootnoteText"/>
      </w:pPr>
      <w:r w:rsidRPr="002F0CA3">
        <w:rPr>
          <w:rStyle w:val="FootnoteReference"/>
          <w:vertAlign w:val="baseline"/>
        </w:rPr>
        <w:footnoteRef/>
      </w:r>
      <w:r>
        <w:rPr>
          <w:rFonts w:hint="cs"/>
          <w:rtl/>
        </w:rPr>
        <w:t>)</w:t>
      </w:r>
      <w:r w:rsidRPr="002F0CA3">
        <w:rPr>
          <w:rtl/>
        </w:rPr>
        <w:t xml:space="preserve"> </w:t>
      </w:r>
      <w:r w:rsidRPr="002F0CA3">
        <w:rPr>
          <w:rFonts w:hint="cs"/>
          <w:rtl/>
        </w:rPr>
        <w:t>כמו כן, נראה כי יש לעדן את המושג "חמדת הממון" החוזר ונשנה במאמריהם של ר' יהושע מונדשיין ור' אברהם אביש שור. באגרת הצמח צדק לבנו הרה"ק הריי"צ מאוורוץ' (אגרת סז) כתב: "ושמעתי ממנו שהרב דוואלפע . . שאמר שנצרך לו ששים ק"כ לשבוע על איזה דבר מהתנהגות ביתו על כן חיפש לו מקום . . כל שכן אתה שאתה נצרך ארבעים רו"כ מדי שבוע, ודי בזה". ומובן א"כ, אשר "חמדת הממון" כאן היא עניין דק ביותר, ולא כפי רוח הדברים העולה ממאמריהם. וד"ל.</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4C3605" w:rsidRPr="00425748" w:rsidTr="00E22432">
      <w:trPr>
        <w:trHeight w:val="80"/>
      </w:trPr>
      <w:tc>
        <w:tcPr>
          <w:tcW w:w="1008" w:type="dxa"/>
          <w:vAlign w:val="center"/>
        </w:tcPr>
        <w:p w:rsidR="004C3605" w:rsidRPr="002F63A9" w:rsidRDefault="004C3605" w:rsidP="00E22432">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Pr>
              <w:rFonts w:ascii="Calibri Light" w:hAnsi="Calibri Light" w:cs="AAd_LivornaB4"/>
              <w:noProof/>
              <w:szCs w:val="28"/>
              <w:rtl/>
            </w:rPr>
            <w:t>96</w:t>
          </w:r>
          <w:r w:rsidRPr="002F63A9">
            <w:rPr>
              <w:rFonts w:ascii="Calibri Light" w:hAnsi="Calibri Light" w:cs="AAd_LivornaB4"/>
              <w:noProof/>
              <w:szCs w:val="28"/>
            </w:rPr>
            <w:fldChar w:fldCharType="end"/>
          </w:r>
        </w:p>
      </w:tc>
      <w:tc>
        <w:tcPr>
          <w:tcW w:w="4176" w:type="dxa"/>
          <w:vAlign w:val="center"/>
        </w:tcPr>
        <w:p w:rsidR="004C3605" w:rsidRPr="00D25874" w:rsidRDefault="004C3605" w:rsidP="00E22432">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rsidR="004C3605" w:rsidRPr="00425748" w:rsidRDefault="004C3605" w:rsidP="00E22432">
          <w:pPr>
            <w:tabs>
              <w:tab w:val="center" w:pos="4680"/>
              <w:tab w:val="right" w:pos="9360"/>
            </w:tabs>
            <w:spacing w:after="0" w:line="240" w:lineRule="auto"/>
            <w:jc w:val="right"/>
            <w:rPr>
              <w:rFonts w:ascii="FbSfaradi Medium" w:hAnsi="FbSfaradi Medium" w:cs="FbSfaradi Medium"/>
              <w:sz w:val="36"/>
              <w:szCs w:val="32"/>
              <w:rtl/>
            </w:rPr>
          </w:pPr>
        </w:p>
      </w:tc>
    </w:tr>
  </w:tbl>
  <w:p w:rsidR="004C3605" w:rsidRDefault="004C3605"/>
  <w:p w:rsidR="004C3605" w:rsidRDefault="004C3605"/>
  <w:p w:rsidR="004C3605" w:rsidRDefault="004C3605"/>
  <w:p w:rsidR="004C3605" w:rsidRDefault="004C3605"/>
  <w:p w:rsidR="004C3605" w:rsidRDefault="004C3605"/>
  <w:p w:rsidR="004C3605" w:rsidRDefault="004C3605"/>
  <w:p w:rsidR="004C3605" w:rsidRDefault="004C360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4C3605" w:rsidRPr="00425748" w:rsidTr="00E22432">
      <w:trPr>
        <w:trHeight w:val="80"/>
      </w:trPr>
      <w:tc>
        <w:tcPr>
          <w:tcW w:w="1008" w:type="dxa"/>
        </w:tcPr>
        <w:p w:rsidR="004C3605" w:rsidRPr="00425748" w:rsidRDefault="004C3605" w:rsidP="00E22432">
          <w:pPr>
            <w:tabs>
              <w:tab w:val="center" w:pos="4680"/>
              <w:tab w:val="right" w:pos="9360"/>
            </w:tabs>
            <w:rPr>
              <w:rFonts w:ascii="FbSfaradi Medium" w:hAnsi="FbSfaradi Medium" w:cs="FbSfaradi Medium"/>
              <w:sz w:val="36"/>
              <w:szCs w:val="32"/>
              <w:rtl/>
            </w:rPr>
          </w:pPr>
        </w:p>
      </w:tc>
      <w:tc>
        <w:tcPr>
          <w:tcW w:w="4176" w:type="dxa"/>
        </w:tcPr>
        <w:p w:rsidR="004C3605" w:rsidRPr="00D25874" w:rsidRDefault="004C3605" w:rsidP="00CF324F">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lang w:bidi="he-IL"/>
            </w:rPr>
            <w:t>ש"פ אמור ה'תש"פ</w:t>
          </w:r>
        </w:p>
      </w:tc>
      <w:tc>
        <w:tcPr>
          <w:tcW w:w="1008" w:type="dxa"/>
          <w:vAlign w:val="bottom"/>
        </w:tcPr>
        <w:p w:rsidR="004C3605" w:rsidRPr="00425748" w:rsidRDefault="004C3605" w:rsidP="00E22432">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C64F44" w:rsidRPr="00C64F44">
            <w:rPr>
              <w:rFonts w:ascii="FbSfaradi Medium" w:hAnsi="FbSfaradi Medium" w:cs="AAd_LivornaB4"/>
              <w:noProof/>
              <w:szCs w:val="28"/>
              <w:rtl/>
            </w:rPr>
            <w:t>143</w:t>
          </w:r>
          <w:r w:rsidRPr="00425748">
            <w:rPr>
              <w:rFonts w:ascii="FbSfaradi Medium" w:hAnsi="FbSfaradi Medium" w:cs="AAd_LivornaB4"/>
              <w:szCs w:val="28"/>
            </w:rPr>
            <w:fldChar w:fldCharType="end"/>
          </w:r>
        </w:p>
      </w:tc>
    </w:tr>
  </w:tbl>
  <w:p w:rsidR="004C3605" w:rsidRDefault="004C3605" w:rsidP="00E22432">
    <w:pPr>
      <w:tabs>
        <w:tab w:val="left" w:pos="1327"/>
      </w:tabs>
    </w:pPr>
  </w:p>
  <w:p w:rsidR="004C3605" w:rsidRDefault="004C3605"/>
  <w:p w:rsidR="004C3605" w:rsidRDefault="004C3605"/>
  <w:p w:rsidR="004C3605" w:rsidRDefault="004C3605"/>
  <w:p w:rsidR="004C3605" w:rsidRDefault="004C3605"/>
  <w:p w:rsidR="004C3605" w:rsidRDefault="004C3605"/>
  <w:p w:rsidR="004C3605" w:rsidRDefault="004C360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04E42172"/>
    <w:lvl w:ilvl="0">
      <w:start w:val="1"/>
      <w:numFmt w:val="decimal"/>
      <w:lvlText w:val="%1."/>
      <w:lvlJc w:val="left"/>
      <w:pPr>
        <w:tabs>
          <w:tab w:val="num" w:pos="1800"/>
        </w:tabs>
        <w:ind w:left="1800" w:right="1800" w:hanging="360"/>
      </w:pPr>
    </w:lvl>
  </w:abstractNum>
  <w:abstractNum w:abstractNumId="1" w15:restartNumberingAfterBreak="0">
    <w:nsid w:val="FFFFFF7D"/>
    <w:multiLevelType w:val="singleLevel"/>
    <w:tmpl w:val="0828445C"/>
    <w:lvl w:ilvl="0">
      <w:start w:val="1"/>
      <w:numFmt w:val="decimal"/>
      <w:lvlText w:val="%1."/>
      <w:lvlJc w:val="left"/>
      <w:pPr>
        <w:tabs>
          <w:tab w:val="num" w:pos="1440"/>
        </w:tabs>
        <w:ind w:left="1440" w:right="1440" w:hanging="360"/>
      </w:pPr>
    </w:lvl>
  </w:abstractNum>
  <w:abstractNum w:abstractNumId="2" w15:restartNumberingAfterBreak="0">
    <w:nsid w:val="FFFFFF7E"/>
    <w:multiLevelType w:val="singleLevel"/>
    <w:tmpl w:val="56A46AA8"/>
    <w:lvl w:ilvl="0">
      <w:start w:val="1"/>
      <w:numFmt w:val="decimal"/>
      <w:lvlText w:val="%1."/>
      <w:lvlJc w:val="left"/>
      <w:pPr>
        <w:tabs>
          <w:tab w:val="num" w:pos="1080"/>
        </w:tabs>
        <w:ind w:left="1080" w:right="1080" w:hanging="360"/>
      </w:pPr>
    </w:lvl>
  </w:abstractNum>
  <w:abstractNum w:abstractNumId="3" w15:restartNumberingAfterBreak="0">
    <w:nsid w:val="FFFFFF7F"/>
    <w:multiLevelType w:val="singleLevel"/>
    <w:tmpl w:val="D6669444"/>
    <w:lvl w:ilvl="0">
      <w:start w:val="1"/>
      <w:numFmt w:val="decimal"/>
      <w:lvlText w:val="%1."/>
      <w:lvlJc w:val="left"/>
      <w:pPr>
        <w:tabs>
          <w:tab w:val="num" w:pos="720"/>
        </w:tabs>
        <w:ind w:left="720" w:right="720" w:hanging="360"/>
      </w:pPr>
    </w:lvl>
  </w:abstractNum>
  <w:abstractNum w:abstractNumId="4" w15:restartNumberingAfterBreak="0">
    <w:nsid w:val="FFFFFF80"/>
    <w:multiLevelType w:val="singleLevel"/>
    <w:tmpl w:val="8E1AE16A"/>
    <w:lvl w:ilvl="0">
      <w:start w:val="1"/>
      <w:numFmt w:val="bullet"/>
      <w:lvlText w:val=""/>
      <w:lvlJc w:val="left"/>
      <w:pPr>
        <w:tabs>
          <w:tab w:val="num" w:pos="1800"/>
        </w:tabs>
        <w:ind w:left="1800" w:right="1800" w:hanging="360"/>
      </w:pPr>
      <w:rPr>
        <w:rFonts w:ascii="Symbol" w:hAnsi="Symbol" w:hint="default"/>
      </w:rPr>
    </w:lvl>
  </w:abstractNum>
  <w:abstractNum w:abstractNumId="5" w15:restartNumberingAfterBreak="0">
    <w:nsid w:val="FFFFFF81"/>
    <w:multiLevelType w:val="singleLevel"/>
    <w:tmpl w:val="98A67FBE"/>
    <w:lvl w:ilvl="0">
      <w:start w:val="1"/>
      <w:numFmt w:val="bullet"/>
      <w:lvlText w:val=""/>
      <w:lvlJc w:val="left"/>
      <w:pPr>
        <w:tabs>
          <w:tab w:val="num" w:pos="1440"/>
        </w:tabs>
        <w:ind w:left="1440" w:right="1440" w:hanging="360"/>
      </w:pPr>
      <w:rPr>
        <w:rFonts w:ascii="Symbol" w:hAnsi="Symbol" w:hint="default"/>
      </w:rPr>
    </w:lvl>
  </w:abstractNum>
  <w:abstractNum w:abstractNumId="6" w15:restartNumberingAfterBreak="0">
    <w:nsid w:val="FFFFFF82"/>
    <w:multiLevelType w:val="singleLevel"/>
    <w:tmpl w:val="1C0A1680"/>
    <w:lvl w:ilvl="0">
      <w:start w:val="1"/>
      <w:numFmt w:val="bullet"/>
      <w:lvlText w:val=""/>
      <w:lvlJc w:val="left"/>
      <w:pPr>
        <w:tabs>
          <w:tab w:val="num" w:pos="1080"/>
        </w:tabs>
        <w:ind w:left="1080" w:right="1080" w:hanging="360"/>
      </w:pPr>
      <w:rPr>
        <w:rFonts w:ascii="Symbol" w:hAnsi="Symbol" w:hint="default"/>
      </w:rPr>
    </w:lvl>
  </w:abstractNum>
  <w:abstractNum w:abstractNumId="7" w15:restartNumberingAfterBreak="0">
    <w:nsid w:val="FFFFFF83"/>
    <w:multiLevelType w:val="singleLevel"/>
    <w:tmpl w:val="9868556A"/>
    <w:lvl w:ilvl="0">
      <w:start w:val="1"/>
      <w:numFmt w:val="bullet"/>
      <w:lvlText w:val=""/>
      <w:lvlJc w:val="left"/>
      <w:pPr>
        <w:tabs>
          <w:tab w:val="num" w:pos="720"/>
        </w:tabs>
        <w:ind w:left="720" w:right="720" w:hanging="360"/>
      </w:pPr>
      <w:rPr>
        <w:rFonts w:ascii="Symbol" w:hAnsi="Symbol" w:hint="default"/>
      </w:rPr>
    </w:lvl>
  </w:abstractNum>
  <w:abstractNum w:abstractNumId="8" w15:restartNumberingAfterBreak="0">
    <w:nsid w:val="FFFFFF88"/>
    <w:multiLevelType w:val="singleLevel"/>
    <w:tmpl w:val="CBE0F148"/>
    <w:lvl w:ilvl="0">
      <w:start w:val="1"/>
      <w:numFmt w:val="decimal"/>
      <w:lvlText w:val="%1."/>
      <w:lvlJc w:val="left"/>
      <w:pPr>
        <w:tabs>
          <w:tab w:val="num" w:pos="360"/>
        </w:tabs>
        <w:ind w:left="360" w:right="360" w:hanging="360"/>
      </w:pPr>
    </w:lvl>
  </w:abstractNum>
  <w:abstractNum w:abstractNumId="9" w15:restartNumberingAfterBreak="0">
    <w:nsid w:val="FFFFFF89"/>
    <w:multiLevelType w:val="singleLevel"/>
    <w:tmpl w:val="0B4CAB50"/>
    <w:lvl w:ilvl="0">
      <w:start w:val="1"/>
      <w:numFmt w:val="bullet"/>
      <w:lvlText w:val=""/>
      <w:lvlJc w:val="left"/>
      <w:pPr>
        <w:tabs>
          <w:tab w:val="num" w:pos="360"/>
        </w:tabs>
        <w:ind w:left="360" w:right="360" w:hanging="360"/>
      </w:pPr>
      <w:rPr>
        <w:rFonts w:ascii="Symbol" w:hAnsi="Symbol" w:hint="default"/>
      </w:rPr>
    </w:lvl>
  </w:abstractNum>
  <w:abstractNum w:abstractNumId="10" w15:restartNumberingAfterBreak="0">
    <w:nsid w:val="FFFFFFFB"/>
    <w:multiLevelType w:val="multilevel"/>
    <w:tmpl w:val="FFFFFFFF"/>
    <w:lvl w:ilvl="0">
      <w:start w:val="4"/>
      <w:numFmt w:val="upperLetter"/>
      <w:lvlText w:val="%1."/>
      <w:legacy w:legacy="1" w:legacySpace="0" w:legacyIndent="708"/>
      <w:lvlJc w:val="center"/>
      <w:pPr>
        <w:ind w:left="708" w:right="708" w:hanging="708"/>
      </w:pPr>
    </w:lvl>
    <w:lvl w:ilvl="1">
      <w:start w:val="1"/>
      <w:numFmt w:val="ordinal"/>
      <w:lvlText w:val="%2."/>
      <w:legacy w:legacy="1" w:legacySpace="0" w:legacyIndent="708"/>
      <w:lvlJc w:val="center"/>
      <w:pPr>
        <w:ind w:left="1416" w:right="1416" w:hanging="708"/>
      </w:pPr>
    </w:lvl>
    <w:lvl w:ilvl="2">
      <w:start w:val="1"/>
      <w:numFmt w:val="decimal"/>
      <w:lvlText w:val="%3."/>
      <w:legacy w:legacy="1" w:legacySpace="0" w:legacyIndent="708"/>
      <w:lvlJc w:val="center"/>
      <w:pPr>
        <w:ind w:left="2124" w:right="2124" w:hanging="708"/>
      </w:pPr>
    </w:lvl>
    <w:lvl w:ilvl="3">
      <w:start w:val="1"/>
      <w:numFmt w:val="cardinalText"/>
      <w:lvlText w:val="%4)"/>
      <w:legacy w:legacy="1" w:legacySpace="0" w:legacyIndent="708"/>
      <w:lvlJc w:val="center"/>
      <w:pPr>
        <w:ind w:left="2832" w:right="2832" w:hanging="708"/>
      </w:pPr>
    </w:lvl>
    <w:lvl w:ilvl="4">
      <w:start w:val="1"/>
      <w:numFmt w:val="decimal"/>
      <w:lvlText w:val="(%5)"/>
      <w:legacy w:legacy="1" w:legacySpace="0" w:legacyIndent="708"/>
      <w:lvlJc w:val="center"/>
      <w:pPr>
        <w:ind w:left="3540" w:right="3540" w:hanging="708"/>
      </w:pPr>
    </w:lvl>
    <w:lvl w:ilvl="5">
      <w:start w:val="1"/>
      <w:numFmt w:val="cardinalText"/>
      <w:lvlText w:val="(%6)"/>
      <w:legacy w:legacy="1" w:legacySpace="0" w:legacyIndent="708"/>
      <w:lvlJc w:val="center"/>
      <w:pPr>
        <w:ind w:left="4248" w:right="4248" w:hanging="708"/>
      </w:pPr>
    </w:lvl>
    <w:lvl w:ilvl="6">
      <w:start w:val="1"/>
      <w:numFmt w:val="lowerLetter"/>
      <w:lvlText w:val="(%7)"/>
      <w:legacy w:legacy="1" w:legacySpace="0" w:legacyIndent="708"/>
      <w:lvlJc w:val="center"/>
      <w:pPr>
        <w:ind w:left="4956" w:right="4956" w:hanging="708"/>
      </w:pPr>
    </w:lvl>
    <w:lvl w:ilvl="7">
      <w:start w:val="1"/>
      <w:numFmt w:val="cardinalText"/>
      <w:lvlText w:val="(%8)"/>
      <w:legacy w:legacy="1" w:legacySpace="0" w:legacyIndent="708"/>
      <w:lvlJc w:val="center"/>
      <w:pPr>
        <w:ind w:left="5664" w:right="5664" w:hanging="708"/>
      </w:pPr>
    </w:lvl>
    <w:lvl w:ilvl="8">
      <w:start w:val="1"/>
      <w:numFmt w:val="lowerLetter"/>
      <w:lvlText w:val="(%9)"/>
      <w:legacy w:legacy="1" w:legacySpace="0" w:legacyIndent="708"/>
      <w:lvlJc w:val="center"/>
      <w:pPr>
        <w:ind w:left="6372" w:right="6372" w:hanging="708"/>
      </w:pPr>
    </w:lvl>
  </w:abstractNum>
  <w:abstractNum w:abstractNumId="11" w15:restartNumberingAfterBreak="0">
    <w:nsid w:val="020233B8"/>
    <w:multiLevelType w:val="hybridMultilevel"/>
    <w:tmpl w:val="B82E6DC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44B644A"/>
    <w:multiLevelType w:val="multilevel"/>
    <w:tmpl w:val="8EBEB6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47876F7"/>
    <w:multiLevelType w:val="hybridMultilevel"/>
    <w:tmpl w:val="DA64F1C6"/>
    <w:lvl w:ilvl="0" w:tplc="44BC5AD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99652B3"/>
    <w:multiLevelType w:val="hybridMultilevel"/>
    <w:tmpl w:val="608C6FAC"/>
    <w:lvl w:ilvl="0" w:tplc="B0B22DD4">
      <w:start w:val="1"/>
      <w:numFmt w:val="hebrew1"/>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CBA4DA9"/>
    <w:multiLevelType w:val="hybridMultilevel"/>
    <w:tmpl w:val="F5626142"/>
    <w:lvl w:ilvl="0" w:tplc="6E6EFFB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D253B8F"/>
    <w:multiLevelType w:val="hybridMultilevel"/>
    <w:tmpl w:val="157699F2"/>
    <w:styleLink w:val="ImportedStyle3"/>
    <w:lvl w:ilvl="0" w:tplc="7020F950">
      <w:start w:val="1"/>
      <w:numFmt w:val="hebrew2"/>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8708C46">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BEC6F26">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D0C734C">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9A24CEE">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43A81BE">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5B08EA2">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7EA1AC6">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8A85C8C">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2601204B"/>
    <w:multiLevelType w:val="multilevel"/>
    <w:tmpl w:val="1F5C58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80505BA"/>
    <w:multiLevelType w:val="multilevel"/>
    <w:tmpl w:val="C16A6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A5114F5"/>
    <w:multiLevelType w:val="hybridMultilevel"/>
    <w:tmpl w:val="4522A320"/>
    <w:lvl w:ilvl="0" w:tplc="38600FA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DD1554F"/>
    <w:multiLevelType w:val="multilevel"/>
    <w:tmpl w:val="21E49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F9A632A"/>
    <w:multiLevelType w:val="multilevel"/>
    <w:tmpl w:val="12A0D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32B29D0"/>
    <w:multiLevelType w:val="hybridMultilevel"/>
    <w:tmpl w:val="CB0034F4"/>
    <w:lvl w:ilvl="0" w:tplc="733E865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4DC1A9A"/>
    <w:multiLevelType w:val="hybridMultilevel"/>
    <w:tmpl w:val="3E7204CC"/>
    <w:lvl w:ilvl="0" w:tplc="3168B4F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A9D45F8"/>
    <w:multiLevelType w:val="multilevel"/>
    <w:tmpl w:val="15247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7DF70C5"/>
    <w:multiLevelType w:val="hybridMultilevel"/>
    <w:tmpl w:val="C9CE7706"/>
    <w:lvl w:ilvl="0" w:tplc="E87EB956">
      <w:start w:val="1"/>
      <w:numFmt w:val="hebrew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8535FAC"/>
    <w:multiLevelType w:val="hybridMultilevel"/>
    <w:tmpl w:val="083E6D48"/>
    <w:lvl w:ilvl="0" w:tplc="52560FE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0F028CF"/>
    <w:multiLevelType w:val="hybridMultilevel"/>
    <w:tmpl w:val="84AE797C"/>
    <w:styleLink w:val="ImportedStyle1"/>
    <w:lvl w:ilvl="0" w:tplc="30440E68">
      <w:start w:val="1"/>
      <w:numFmt w:val="hebrew2"/>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692888E">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4B6603E">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DDA42AC">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6707FBA">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B726684">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D5E60D0">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B90851E">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250C1F8">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8" w15:restartNumberingAfterBreak="0">
    <w:nsid w:val="648C1608"/>
    <w:multiLevelType w:val="hybridMultilevel"/>
    <w:tmpl w:val="19F8B742"/>
    <w:lvl w:ilvl="0" w:tplc="FFFFFFFF">
      <w:start w:val="1"/>
      <w:numFmt w:val="hebrew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51F23D6"/>
    <w:multiLevelType w:val="hybridMultilevel"/>
    <w:tmpl w:val="19F8B742"/>
    <w:lvl w:ilvl="0" w:tplc="FFFFFFFF">
      <w:start w:val="1"/>
      <w:numFmt w:val="hebrew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91355B7"/>
    <w:multiLevelType w:val="hybridMultilevel"/>
    <w:tmpl w:val="84BCB3F2"/>
    <w:lvl w:ilvl="0" w:tplc="6E6EFFB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AA51247"/>
    <w:multiLevelType w:val="hybridMultilevel"/>
    <w:tmpl w:val="7A4667A2"/>
    <w:lvl w:ilvl="0" w:tplc="9AE4CDA2">
      <w:start w:val="1"/>
      <w:numFmt w:val="hebrew1"/>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DDD09A0"/>
    <w:multiLevelType w:val="hybridMultilevel"/>
    <w:tmpl w:val="A768EC6A"/>
    <w:lvl w:ilvl="0" w:tplc="4FF8459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3AC4F1F"/>
    <w:multiLevelType w:val="hybridMultilevel"/>
    <w:tmpl w:val="1A1AB988"/>
    <w:styleLink w:val="ImportedStyle2"/>
    <w:lvl w:ilvl="0" w:tplc="1C4E65FC">
      <w:start w:val="1"/>
      <w:numFmt w:val="hebrew2"/>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32360A">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5D8656A">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CF89A68">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DF6FB0E">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D18BAAE">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CD66DFE">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7EC54FE">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BE01640">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7ED047ED"/>
    <w:multiLevelType w:val="hybridMultilevel"/>
    <w:tmpl w:val="CA6E9D26"/>
    <w:lvl w:ilvl="0" w:tplc="6E6EFFB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7"/>
  </w:num>
  <w:num w:numId="2">
    <w:abstractNumId w:val="33"/>
  </w:num>
  <w:num w:numId="3">
    <w:abstractNumId w:val="16"/>
  </w:num>
  <w:num w:numId="4">
    <w:abstractNumId w:val="26"/>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32"/>
  </w:num>
  <w:num w:numId="17">
    <w:abstractNumId w:val="24"/>
  </w:num>
  <w:num w:numId="18">
    <w:abstractNumId w:val="17"/>
  </w:num>
  <w:num w:numId="19">
    <w:abstractNumId w:val="21"/>
  </w:num>
  <w:num w:numId="20">
    <w:abstractNumId w:val="11"/>
  </w:num>
  <w:num w:numId="21">
    <w:abstractNumId w:val="25"/>
  </w:num>
  <w:num w:numId="22">
    <w:abstractNumId w:val="31"/>
  </w:num>
  <w:num w:numId="23">
    <w:abstractNumId w:val="29"/>
  </w:num>
  <w:num w:numId="24">
    <w:abstractNumId w:val="28"/>
  </w:num>
  <w:num w:numId="25">
    <w:abstractNumId w:val="22"/>
  </w:num>
  <w:num w:numId="26">
    <w:abstractNumId w:val="34"/>
  </w:num>
  <w:num w:numId="27">
    <w:abstractNumId w:val="30"/>
  </w:num>
  <w:num w:numId="28">
    <w:abstractNumId w:val="19"/>
  </w:num>
  <w:num w:numId="29">
    <w:abstractNumId w:val="15"/>
  </w:num>
  <w:num w:numId="30">
    <w:abstractNumId w:val="14"/>
  </w:num>
  <w:num w:numId="31">
    <w:abstractNumId w:val="13"/>
  </w:num>
  <w:num w:numId="32">
    <w:abstractNumId w:val="12"/>
  </w:num>
  <w:num w:numId="33">
    <w:abstractNumId w:val="20"/>
  </w:num>
  <w:num w:numId="34">
    <w:abstractNumId w:val="18"/>
  </w:num>
  <w:num w:numId="3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hideSpellingErrors/>
  <w:defaultTabStop w:val="720"/>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0DB7"/>
    <w:rsid w:val="00107E74"/>
    <w:rsid w:val="00196667"/>
    <w:rsid w:val="001C53DC"/>
    <w:rsid w:val="001C6EFC"/>
    <w:rsid w:val="001F3DBE"/>
    <w:rsid w:val="00233D5E"/>
    <w:rsid w:val="00267755"/>
    <w:rsid w:val="002F0CA3"/>
    <w:rsid w:val="00310C18"/>
    <w:rsid w:val="00352A69"/>
    <w:rsid w:val="003951FF"/>
    <w:rsid w:val="00470ABF"/>
    <w:rsid w:val="004903F8"/>
    <w:rsid w:val="004B0C42"/>
    <w:rsid w:val="004B6FC4"/>
    <w:rsid w:val="004C1858"/>
    <w:rsid w:val="004C3605"/>
    <w:rsid w:val="005D1881"/>
    <w:rsid w:val="006049DD"/>
    <w:rsid w:val="00642014"/>
    <w:rsid w:val="006660A0"/>
    <w:rsid w:val="00675F69"/>
    <w:rsid w:val="006A01B4"/>
    <w:rsid w:val="006C232A"/>
    <w:rsid w:val="006C4F09"/>
    <w:rsid w:val="006E28C6"/>
    <w:rsid w:val="006E31A6"/>
    <w:rsid w:val="00760DB7"/>
    <w:rsid w:val="00825FC6"/>
    <w:rsid w:val="008411D2"/>
    <w:rsid w:val="008C4804"/>
    <w:rsid w:val="0092759E"/>
    <w:rsid w:val="009631B7"/>
    <w:rsid w:val="00965EE2"/>
    <w:rsid w:val="00AC425E"/>
    <w:rsid w:val="00AD0970"/>
    <w:rsid w:val="00AD2A5D"/>
    <w:rsid w:val="00B30141"/>
    <w:rsid w:val="00BD272D"/>
    <w:rsid w:val="00BF0497"/>
    <w:rsid w:val="00C25DC9"/>
    <w:rsid w:val="00C43231"/>
    <w:rsid w:val="00C64F44"/>
    <w:rsid w:val="00C74526"/>
    <w:rsid w:val="00C93F24"/>
    <w:rsid w:val="00CE4E4A"/>
    <w:rsid w:val="00CF324F"/>
    <w:rsid w:val="00D970AA"/>
    <w:rsid w:val="00DD7B49"/>
    <w:rsid w:val="00DF0F6D"/>
    <w:rsid w:val="00E22432"/>
    <w:rsid w:val="00E2713A"/>
    <w:rsid w:val="00E533D1"/>
    <w:rsid w:val="00FA5CCA"/>
    <w:rsid w:val="00FD2EC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712A94D-94D8-4A02-86DA-FCD8FB63F3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760DB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nhideWhenUsed/>
    <w:qFormat/>
    <w:rsid w:val="00760DB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qFormat/>
    <w:rsid w:val="00B3014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qFormat/>
    <w:rsid w:val="00760DB7"/>
    <w:pPr>
      <w:keepNext/>
      <w:keepLines/>
      <w:spacing w:before="160" w:after="0" w:line="276" w:lineRule="auto"/>
      <w:outlineLvl w:val="3"/>
    </w:pPr>
    <w:rPr>
      <w:rFonts w:ascii="Trebuchet MS" w:eastAsia="Times New Roman" w:hAnsi="Trebuchet MS" w:cs="Trebuchet MS"/>
      <w:color w:val="666666"/>
      <w:u w:val="single"/>
    </w:rPr>
  </w:style>
  <w:style w:type="paragraph" w:styleId="Heading5">
    <w:name w:val="heading 5"/>
    <w:basedOn w:val="Normal"/>
    <w:next w:val="Normal"/>
    <w:link w:val="Heading5Char"/>
    <w:qFormat/>
    <w:rsid w:val="00760DB7"/>
    <w:pPr>
      <w:keepNext/>
      <w:keepLines/>
      <w:spacing w:before="160" w:after="0" w:line="276" w:lineRule="auto"/>
      <w:outlineLvl w:val="4"/>
    </w:pPr>
    <w:rPr>
      <w:rFonts w:ascii="Trebuchet MS" w:eastAsia="Times New Roman" w:hAnsi="Trebuchet MS" w:cs="Trebuchet MS"/>
      <w:color w:val="666666"/>
    </w:rPr>
  </w:style>
  <w:style w:type="paragraph" w:styleId="Heading6">
    <w:name w:val="heading 6"/>
    <w:basedOn w:val="Normal"/>
    <w:next w:val="Normal"/>
    <w:link w:val="Heading6Char"/>
    <w:qFormat/>
    <w:rsid w:val="00760DB7"/>
    <w:pPr>
      <w:keepNext/>
      <w:keepLines/>
      <w:spacing w:before="160" w:after="0" w:line="276" w:lineRule="auto"/>
      <w:outlineLvl w:val="5"/>
    </w:pPr>
    <w:rPr>
      <w:rFonts w:ascii="Trebuchet MS" w:eastAsia="Times New Roman" w:hAnsi="Trebuchet MS" w:cs="Trebuchet MS"/>
      <w:i/>
      <w:iCs/>
      <w:color w:val="666666"/>
    </w:rPr>
  </w:style>
  <w:style w:type="paragraph" w:styleId="Heading7">
    <w:name w:val="heading 7"/>
    <w:basedOn w:val="Normal"/>
    <w:next w:val="Normal"/>
    <w:link w:val="Heading7Char"/>
    <w:qFormat/>
    <w:rsid w:val="00760DB7"/>
    <w:pPr>
      <w:bidi/>
      <w:spacing w:before="240" w:after="60" w:line="240" w:lineRule="auto"/>
      <w:ind w:left="4956" w:hanging="708"/>
      <w:outlineLvl w:val="6"/>
    </w:pPr>
    <w:rPr>
      <w:rFonts w:ascii="Arial" w:eastAsia="Times New Roman" w:hAnsi="Arial" w:cs="Miriam"/>
      <w:spacing w:val="6"/>
      <w:position w:val="4"/>
      <w:sz w:val="20"/>
      <w:szCs w:val="26"/>
    </w:rPr>
  </w:style>
  <w:style w:type="paragraph" w:styleId="Heading8">
    <w:name w:val="heading 8"/>
    <w:basedOn w:val="Normal"/>
    <w:next w:val="Normal"/>
    <w:link w:val="Heading8Char"/>
    <w:qFormat/>
    <w:rsid w:val="00760DB7"/>
    <w:pPr>
      <w:bidi/>
      <w:spacing w:before="240" w:after="60" w:line="240" w:lineRule="auto"/>
      <w:ind w:left="5664" w:hanging="708"/>
      <w:outlineLvl w:val="7"/>
    </w:pPr>
    <w:rPr>
      <w:rFonts w:ascii="Arial" w:eastAsia="Times New Roman" w:hAnsi="Arial" w:cs="Miriam"/>
      <w:i/>
      <w:iCs/>
      <w:spacing w:val="6"/>
      <w:position w:val="4"/>
      <w:sz w:val="20"/>
      <w:szCs w:val="26"/>
    </w:rPr>
  </w:style>
  <w:style w:type="paragraph" w:styleId="Heading9">
    <w:name w:val="heading 9"/>
    <w:basedOn w:val="Normal"/>
    <w:next w:val="Normal"/>
    <w:link w:val="Heading9Char"/>
    <w:qFormat/>
    <w:rsid w:val="00760DB7"/>
    <w:pPr>
      <w:bidi/>
      <w:spacing w:before="240" w:after="60" w:line="240" w:lineRule="auto"/>
      <w:ind w:left="6372" w:hanging="708"/>
      <w:outlineLvl w:val="8"/>
    </w:pPr>
    <w:rPr>
      <w:rFonts w:ascii="Arial" w:eastAsia="Times New Roman" w:hAnsi="Arial" w:cs="Miriam"/>
      <w:i/>
      <w:iCs/>
      <w:spacing w:val="6"/>
      <w:position w:val="4"/>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
    <w:name w:val="כותרת משנה 2"/>
    <w:basedOn w:val="Normal"/>
    <w:next w:val="Normal"/>
    <w:qFormat/>
    <w:rsid w:val="00D970AA"/>
    <w:pPr>
      <w:keepNext/>
      <w:bidi/>
      <w:spacing w:before="120" w:after="0" w:line="240" w:lineRule="auto"/>
      <w:jc w:val="center"/>
      <w:outlineLvl w:val="1"/>
    </w:pPr>
    <w:rPr>
      <w:rFonts w:ascii="FbFrankReal" w:eastAsia="Times New Roman" w:hAnsi="FbFrankReal" w:cs="FbFrankReal"/>
      <w:b/>
      <w:bCs/>
      <w:sz w:val="24"/>
      <w:szCs w:val="24"/>
      <w:lang w:val="en-GB"/>
    </w:rPr>
  </w:style>
  <w:style w:type="paragraph" w:customStyle="1" w:styleId="a">
    <w:name w:val="שם"/>
    <w:basedOn w:val="Heading3"/>
    <w:next w:val="Normal"/>
    <w:link w:val="Char"/>
    <w:autoRedefine/>
    <w:qFormat/>
    <w:rsid w:val="00C93F24"/>
    <w:pPr>
      <w:tabs>
        <w:tab w:val="left" w:pos="1895"/>
        <w:tab w:val="center" w:pos="3096"/>
        <w:tab w:val="left" w:pos="4086"/>
        <w:tab w:val="right" w:pos="6192"/>
      </w:tabs>
      <w:spacing w:before="0"/>
    </w:pPr>
    <w:rPr>
      <w:rFonts w:asciiTheme="majorBidi" w:eastAsia="David" w:hAnsiTheme="majorBidi" w:cs="AAd_Livorna"/>
      <w:b/>
      <w:bCs/>
      <w:color w:val="000000" w:themeColor="text1"/>
      <w:sz w:val="27"/>
      <w:szCs w:val="27"/>
      <w:lang w:val="en-GB"/>
    </w:rPr>
  </w:style>
  <w:style w:type="character" w:customStyle="1" w:styleId="Char">
    <w:name w:val="שם Char"/>
    <w:basedOn w:val="DefaultParagraphFont"/>
    <w:link w:val="a"/>
    <w:rsid w:val="00C93F24"/>
    <w:rPr>
      <w:rFonts w:asciiTheme="majorBidi" w:eastAsia="David" w:hAnsiTheme="majorBidi" w:cs="AAd_Livorna"/>
      <w:b/>
      <w:bCs/>
      <w:color w:val="000000" w:themeColor="text1"/>
      <w:sz w:val="27"/>
      <w:szCs w:val="27"/>
      <w:lang w:val="en-GB"/>
    </w:rPr>
  </w:style>
  <w:style w:type="character" w:customStyle="1" w:styleId="Heading3Char">
    <w:name w:val="Heading 3 Char"/>
    <w:basedOn w:val="DefaultParagraphFont"/>
    <w:link w:val="Heading3"/>
    <w:rsid w:val="00B30141"/>
    <w:rPr>
      <w:rFonts w:asciiTheme="majorHAnsi" w:eastAsiaTheme="majorEastAsia" w:hAnsiTheme="majorHAnsi" w:cstheme="majorBidi"/>
      <w:color w:val="1F4D78" w:themeColor="accent1" w:themeShade="7F"/>
      <w:sz w:val="24"/>
      <w:szCs w:val="24"/>
    </w:rPr>
  </w:style>
  <w:style w:type="character" w:customStyle="1" w:styleId="Heading1Char">
    <w:name w:val="Heading 1 Char"/>
    <w:basedOn w:val="DefaultParagraphFont"/>
    <w:link w:val="Heading1"/>
    <w:rsid w:val="00760DB7"/>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rsid w:val="00760DB7"/>
    <w:rPr>
      <w:rFonts w:asciiTheme="majorHAnsi" w:eastAsiaTheme="majorEastAsia" w:hAnsiTheme="majorHAnsi" w:cstheme="majorBidi"/>
      <w:color w:val="2E74B5" w:themeColor="accent1" w:themeShade="BF"/>
      <w:sz w:val="26"/>
      <w:szCs w:val="26"/>
    </w:rPr>
  </w:style>
  <w:style w:type="character" w:customStyle="1" w:styleId="Heading4Char">
    <w:name w:val="Heading 4 Char"/>
    <w:basedOn w:val="DefaultParagraphFont"/>
    <w:link w:val="Heading4"/>
    <w:rsid w:val="00760DB7"/>
    <w:rPr>
      <w:rFonts w:ascii="Trebuchet MS" w:eastAsia="Times New Roman" w:hAnsi="Trebuchet MS" w:cs="Trebuchet MS"/>
      <w:color w:val="666666"/>
      <w:u w:val="single"/>
    </w:rPr>
  </w:style>
  <w:style w:type="character" w:customStyle="1" w:styleId="Heading5Char">
    <w:name w:val="Heading 5 Char"/>
    <w:basedOn w:val="DefaultParagraphFont"/>
    <w:link w:val="Heading5"/>
    <w:rsid w:val="00760DB7"/>
    <w:rPr>
      <w:rFonts w:ascii="Trebuchet MS" w:eastAsia="Times New Roman" w:hAnsi="Trebuchet MS" w:cs="Trebuchet MS"/>
      <w:color w:val="666666"/>
    </w:rPr>
  </w:style>
  <w:style w:type="character" w:customStyle="1" w:styleId="Heading6Char">
    <w:name w:val="Heading 6 Char"/>
    <w:basedOn w:val="DefaultParagraphFont"/>
    <w:link w:val="Heading6"/>
    <w:rsid w:val="00760DB7"/>
    <w:rPr>
      <w:rFonts w:ascii="Trebuchet MS" w:eastAsia="Times New Roman" w:hAnsi="Trebuchet MS" w:cs="Trebuchet MS"/>
      <w:i/>
      <w:iCs/>
      <w:color w:val="666666"/>
    </w:rPr>
  </w:style>
  <w:style w:type="character" w:customStyle="1" w:styleId="Heading7Char">
    <w:name w:val="Heading 7 Char"/>
    <w:basedOn w:val="DefaultParagraphFont"/>
    <w:link w:val="Heading7"/>
    <w:rsid w:val="00760DB7"/>
    <w:rPr>
      <w:rFonts w:ascii="Arial" w:eastAsia="Times New Roman" w:hAnsi="Arial" w:cs="Miriam"/>
      <w:spacing w:val="6"/>
      <w:position w:val="4"/>
      <w:sz w:val="20"/>
      <w:szCs w:val="26"/>
    </w:rPr>
  </w:style>
  <w:style w:type="character" w:customStyle="1" w:styleId="Heading8Char">
    <w:name w:val="Heading 8 Char"/>
    <w:basedOn w:val="DefaultParagraphFont"/>
    <w:link w:val="Heading8"/>
    <w:rsid w:val="00760DB7"/>
    <w:rPr>
      <w:rFonts w:ascii="Arial" w:eastAsia="Times New Roman" w:hAnsi="Arial" w:cs="Miriam"/>
      <w:i/>
      <w:iCs/>
      <w:spacing w:val="6"/>
      <w:position w:val="4"/>
      <w:sz w:val="20"/>
      <w:szCs w:val="26"/>
    </w:rPr>
  </w:style>
  <w:style w:type="character" w:customStyle="1" w:styleId="Heading9Char">
    <w:name w:val="Heading 9 Char"/>
    <w:basedOn w:val="DefaultParagraphFont"/>
    <w:link w:val="Heading9"/>
    <w:rsid w:val="00760DB7"/>
    <w:rPr>
      <w:rFonts w:ascii="Arial" w:eastAsia="Times New Roman" w:hAnsi="Arial" w:cs="Miriam"/>
      <w:i/>
      <w:iCs/>
      <w:spacing w:val="6"/>
      <w:position w:val="4"/>
      <w:sz w:val="18"/>
      <w:szCs w:val="18"/>
    </w:rPr>
  </w:style>
  <w:style w:type="numbering" w:customStyle="1" w:styleId="NoList1">
    <w:name w:val="No List1"/>
    <w:next w:val="NoList"/>
    <w:uiPriority w:val="99"/>
    <w:semiHidden/>
    <w:unhideWhenUsed/>
    <w:rsid w:val="00760DB7"/>
  </w:style>
  <w:style w:type="paragraph" w:customStyle="1" w:styleId="a0">
    <w:name w:val="טייטול"/>
    <w:basedOn w:val="Heading2"/>
    <w:next w:val="a"/>
    <w:link w:val="Char0"/>
    <w:qFormat/>
    <w:rsid w:val="00760DB7"/>
    <w:pPr>
      <w:keepLines w:val="0"/>
      <w:bidi/>
      <w:spacing w:before="120" w:after="120" w:line="240" w:lineRule="auto"/>
      <w:jc w:val="center"/>
    </w:pPr>
    <w:rPr>
      <w:rFonts w:ascii="FbFRealBelet Bold" w:eastAsia="Times New Roman" w:hAnsi="FbFRealBelet Bold" w:cs="FbFRealBelet Bold"/>
      <w:bCs/>
      <w:color w:val="auto"/>
      <w:sz w:val="39"/>
      <w:szCs w:val="39"/>
      <w:lang w:val="en-GB"/>
    </w:rPr>
  </w:style>
  <w:style w:type="character" w:customStyle="1" w:styleId="Char0">
    <w:name w:val="טייטול Char"/>
    <w:basedOn w:val="DefaultParagraphFont"/>
    <w:link w:val="a0"/>
    <w:rsid w:val="00760DB7"/>
    <w:rPr>
      <w:rFonts w:ascii="FbFRealBelet Bold" w:eastAsia="Times New Roman" w:hAnsi="FbFRealBelet Bold" w:cs="FbFRealBelet Bold"/>
      <w:bCs/>
      <w:sz w:val="39"/>
      <w:szCs w:val="39"/>
      <w:lang w:val="en-GB"/>
    </w:rPr>
  </w:style>
  <w:style w:type="paragraph" w:customStyle="1" w:styleId="a1">
    <w:name w:val="תיאור"/>
    <w:basedOn w:val="a2"/>
    <w:next w:val="a3"/>
    <w:link w:val="Char1"/>
    <w:qFormat/>
    <w:rsid w:val="00760DB7"/>
    <w:pPr>
      <w:bidi w:val="0"/>
    </w:pPr>
    <w:rPr>
      <w:rFonts w:ascii="AAd_Livorna4" w:eastAsia="Calibri" w:hAnsi="AAd_Livorna4" w:cs="AAd_Livorna4"/>
      <w:b w:val="0"/>
      <w:bCs w:val="0"/>
      <w:sz w:val="23"/>
      <w:szCs w:val="23"/>
    </w:rPr>
  </w:style>
  <w:style w:type="character" w:customStyle="1" w:styleId="Char1">
    <w:name w:val="תיאור Char"/>
    <w:basedOn w:val="DefaultParagraphFont"/>
    <w:link w:val="a1"/>
    <w:rsid w:val="00760DB7"/>
    <w:rPr>
      <w:rFonts w:ascii="AAd_Livorna4" w:eastAsia="Calibri" w:hAnsi="AAd_Livorna4" w:cs="AAd_Livorna4"/>
      <w:sz w:val="23"/>
      <w:szCs w:val="23"/>
    </w:rPr>
  </w:style>
  <w:style w:type="paragraph" w:customStyle="1" w:styleId="a3">
    <w:name w:val="גוף"/>
    <w:link w:val="Char2"/>
    <w:autoRedefine/>
    <w:qFormat/>
    <w:rsid w:val="00E533D1"/>
    <w:pPr>
      <w:widowControl w:val="0"/>
      <w:bidi/>
      <w:spacing w:after="120" w:line="276" w:lineRule="auto"/>
      <w:ind w:firstLine="288"/>
      <w:jc w:val="both"/>
    </w:pPr>
    <w:rPr>
      <w:rFonts w:ascii="FbFrankReal" w:eastAsia="Calibri" w:hAnsi="FbFrankReal" w:cs="FbFrankReal"/>
      <w:color w:val="000000" w:themeColor="text1"/>
      <w:bdr w:val="nil"/>
      <w:lang w:val="bg-BG"/>
    </w:rPr>
  </w:style>
  <w:style w:type="character" w:customStyle="1" w:styleId="Char2">
    <w:name w:val="גוף Char"/>
    <w:basedOn w:val="DefaultParagraphFont"/>
    <w:link w:val="a3"/>
    <w:rsid w:val="00E533D1"/>
    <w:rPr>
      <w:rFonts w:ascii="FbFrankReal" w:eastAsia="Calibri" w:hAnsi="FbFrankReal" w:cs="FbFrankReal"/>
      <w:color w:val="000000" w:themeColor="text1"/>
      <w:bdr w:val="nil"/>
      <w:lang w:val="bg-BG"/>
    </w:rPr>
  </w:style>
  <w:style w:type="paragraph" w:styleId="FootnoteText">
    <w:name w:val="footnote text"/>
    <w:aliases w:val="הערות,הערות שוליים,Footnote Text Char1,Footnote Text Char Char,Footnote TexFootnote Text note Text Char Char Char Char Char,Footnote Text Char Char2 Char Char,Footnote Text Char2 Char Char Char Char,הערת שוליים,Char5,Char, Char5,הערות המול"/>
    <w:basedOn w:val="Normal"/>
    <w:link w:val="FootnoteTextChar"/>
    <w:uiPriority w:val="99"/>
    <w:unhideWhenUsed/>
    <w:qFormat/>
    <w:rsid w:val="00760DB7"/>
    <w:pPr>
      <w:bidi/>
      <w:spacing w:after="60" w:line="260" w:lineRule="atLeast"/>
      <w:ind w:firstLine="144"/>
      <w:jc w:val="both"/>
    </w:pPr>
    <w:rPr>
      <w:rFonts w:ascii="FbFrankReal" w:hAnsi="FbFrankReal" w:cs="FbFrankReal"/>
      <w:sz w:val="20"/>
      <w:szCs w:val="20"/>
    </w:rPr>
  </w:style>
  <w:style w:type="character" w:customStyle="1" w:styleId="FootnoteTextChar">
    <w:name w:val="Footnote Text Char"/>
    <w:aliases w:val="הערות Char,הערות שוליים Char,Footnote Text Char1 Char,Footnote Text Char Char Char,Footnote TexFootnote Text note Text Char Char Char Char Char Char,Footnote Text Char Char2 Char Char Char,Footnote Text Char2 Char Char Char Char Char"/>
    <w:basedOn w:val="DefaultParagraphFont"/>
    <w:link w:val="FootnoteText"/>
    <w:uiPriority w:val="99"/>
    <w:rsid w:val="00760DB7"/>
    <w:rPr>
      <w:rFonts w:ascii="FbFrankReal" w:hAnsi="FbFrankReal" w:cs="FbFrankReal"/>
      <w:sz w:val="20"/>
      <w:szCs w:val="20"/>
    </w:rPr>
  </w:style>
  <w:style w:type="character" w:styleId="FootnoteReference">
    <w:name w:val="footnote reference"/>
    <w:aliases w:val="annotation reference,הפניה להערה,אות הערה"/>
    <w:basedOn w:val="DefaultParagraphFont"/>
    <w:uiPriority w:val="99"/>
    <w:unhideWhenUsed/>
    <w:qFormat/>
    <w:rsid w:val="00760DB7"/>
    <w:rPr>
      <w:vertAlign w:val="superscript"/>
    </w:rPr>
  </w:style>
  <w:style w:type="paragraph" w:styleId="NormalWeb">
    <w:name w:val="Normal (Web)"/>
    <w:basedOn w:val="Normal"/>
    <w:uiPriority w:val="99"/>
    <w:rsid w:val="00760DB7"/>
    <w:pPr>
      <w:spacing w:before="100" w:beforeAutospacing="1" w:after="100" w:afterAutospacing="1" w:line="240" w:lineRule="auto"/>
      <w:jc w:val="both"/>
    </w:pPr>
    <w:rPr>
      <w:rFonts w:ascii="Times New Roman" w:eastAsia="Times New Roman" w:hAnsi="Times New Roman" w:cs="David"/>
      <w:sz w:val="26"/>
      <w:szCs w:val="26"/>
    </w:rPr>
  </w:style>
  <w:style w:type="paragraph" w:styleId="TOCHeading">
    <w:name w:val="TOC Heading"/>
    <w:basedOn w:val="Heading1"/>
    <w:next w:val="Normal"/>
    <w:uiPriority w:val="39"/>
    <w:unhideWhenUsed/>
    <w:rsid w:val="00760DB7"/>
    <w:pPr>
      <w:outlineLvl w:val="9"/>
    </w:pPr>
    <w:rPr>
      <w:lang w:bidi="ar-SA"/>
    </w:rPr>
  </w:style>
  <w:style w:type="paragraph" w:styleId="TOC2">
    <w:name w:val="toc 2"/>
    <w:basedOn w:val="Normal"/>
    <w:next w:val="Normal"/>
    <w:autoRedefine/>
    <w:uiPriority w:val="39"/>
    <w:unhideWhenUsed/>
    <w:rsid w:val="00760DB7"/>
    <w:pPr>
      <w:tabs>
        <w:tab w:val="right" w:leader="dot" w:pos="6182"/>
      </w:tabs>
      <w:bidi/>
      <w:spacing w:after="100"/>
      <w:ind w:left="220"/>
    </w:pPr>
    <w:rPr>
      <w:rFonts w:ascii="FbSfaradi Medium" w:hAnsi="FbSfaradi Medium" w:cs="FbSfaradi Medium"/>
      <w:noProof/>
    </w:rPr>
  </w:style>
  <w:style w:type="paragraph" w:styleId="TOC3">
    <w:name w:val="toc 3"/>
    <w:basedOn w:val="Normal"/>
    <w:next w:val="Normal"/>
    <w:autoRedefine/>
    <w:uiPriority w:val="39"/>
    <w:unhideWhenUsed/>
    <w:rsid w:val="00760DB7"/>
    <w:pPr>
      <w:tabs>
        <w:tab w:val="right" w:leader="dot" w:pos="6182"/>
      </w:tabs>
      <w:bidi/>
      <w:spacing w:after="100"/>
      <w:ind w:left="220"/>
    </w:pPr>
    <w:rPr>
      <w:rFonts w:ascii="FbSfaradi" w:hAnsi="FbSfaradi" w:cs="FbSfaradi"/>
      <w:noProof/>
      <w:sz w:val="20"/>
      <w:szCs w:val="20"/>
      <w:lang w:val="en-GB"/>
    </w:rPr>
  </w:style>
  <w:style w:type="character" w:styleId="Hyperlink">
    <w:name w:val="Hyperlink"/>
    <w:basedOn w:val="DefaultParagraphFont"/>
    <w:uiPriority w:val="99"/>
    <w:unhideWhenUsed/>
    <w:rsid w:val="00760DB7"/>
    <w:rPr>
      <w:color w:val="0563C1" w:themeColor="hyperlink"/>
      <w:u w:val="single"/>
    </w:rPr>
  </w:style>
  <w:style w:type="paragraph" w:customStyle="1" w:styleId="a4">
    <w:name w:val="מדור"/>
    <w:basedOn w:val="Heading1"/>
    <w:next w:val="a0"/>
    <w:link w:val="Char3"/>
    <w:rsid w:val="00760DB7"/>
    <w:pPr>
      <w:keepLines w:val="0"/>
      <w:bidi/>
      <w:spacing w:before="120" w:line="240" w:lineRule="auto"/>
      <w:jc w:val="center"/>
    </w:pPr>
    <w:rPr>
      <w:rFonts w:ascii="FbTehilaMedium" w:eastAsia="Times New Roman" w:hAnsi="FbTehilaMedium" w:cs="FbTehilaMedium"/>
      <w:color w:val="auto"/>
      <w:sz w:val="70"/>
      <w:szCs w:val="70"/>
      <w:lang w:val="en-GB"/>
    </w:rPr>
  </w:style>
  <w:style w:type="character" w:customStyle="1" w:styleId="Char3">
    <w:name w:val="מדור Char"/>
    <w:basedOn w:val="DefaultParagraphFont"/>
    <w:link w:val="a4"/>
    <w:rsid w:val="00760DB7"/>
    <w:rPr>
      <w:rFonts w:ascii="FbTehilaMedium" w:eastAsia="Times New Roman" w:hAnsi="FbTehilaMedium" w:cs="FbTehilaMedium"/>
      <w:sz w:val="70"/>
      <w:szCs w:val="70"/>
      <w:lang w:val="en-GB"/>
    </w:rPr>
  </w:style>
  <w:style w:type="paragraph" w:customStyle="1" w:styleId="a5">
    <w:name w:val="שמיטשיק"/>
    <w:basedOn w:val="Normal"/>
    <w:link w:val="Char4"/>
    <w:autoRedefine/>
    <w:rsid w:val="00760DB7"/>
    <w:pPr>
      <w:tabs>
        <w:tab w:val="left" w:pos="2171"/>
        <w:tab w:val="center" w:pos="3096"/>
      </w:tabs>
      <w:bidi/>
      <w:spacing w:after="0" w:line="240" w:lineRule="auto"/>
      <w:jc w:val="center"/>
    </w:pPr>
    <w:rPr>
      <w:rFonts w:ascii="Nymphette" w:eastAsia="Times New Roman" w:hAnsi="Nymphette" w:cs="Nymphette"/>
      <w:sz w:val="56"/>
      <w:szCs w:val="56"/>
    </w:rPr>
  </w:style>
  <w:style w:type="character" w:customStyle="1" w:styleId="Char4">
    <w:name w:val="שמיטשיק Char"/>
    <w:basedOn w:val="DefaultParagraphFont"/>
    <w:link w:val="a5"/>
    <w:rsid w:val="00760DB7"/>
    <w:rPr>
      <w:rFonts w:ascii="Nymphette" w:eastAsia="Times New Roman" w:hAnsi="Nymphette" w:cs="Nymphette"/>
      <w:sz w:val="56"/>
      <w:szCs w:val="56"/>
    </w:rPr>
  </w:style>
  <w:style w:type="paragraph" w:styleId="TOC1">
    <w:name w:val="toc 1"/>
    <w:basedOn w:val="Normal"/>
    <w:next w:val="Normal"/>
    <w:autoRedefine/>
    <w:uiPriority w:val="39"/>
    <w:unhideWhenUsed/>
    <w:rsid w:val="00760DB7"/>
    <w:pPr>
      <w:tabs>
        <w:tab w:val="right" w:leader="dot" w:pos="9350"/>
      </w:tabs>
      <w:bidi/>
      <w:spacing w:after="100"/>
    </w:pPr>
    <w:rPr>
      <w:rFonts w:ascii="FbSfaradi Medium" w:hAnsi="FbSfaradi Medium" w:cs="FbSfaradi Medium"/>
      <w:noProof/>
      <w:sz w:val="36"/>
      <w:szCs w:val="36"/>
    </w:rPr>
  </w:style>
  <w:style w:type="paragraph" w:styleId="NoSpacing">
    <w:name w:val="No Spacing"/>
    <w:aliases w:val="Refrance"/>
    <w:link w:val="NoSpacingChar"/>
    <w:uiPriority w:val="1"/>
    <w:qFormat/>
    <w:rsid w:val="00760DB7"/>
    <w:pPr>
      <w:spacing w:after="0" w:line="240" w:lineRule="auto"/>
    </w:pPr>
    <w:rPr>
      <w:lang w:val="en-GB"/>
    </w:rPr>
  </w:style>
  <w:style w:type="paragraph" w:customStyle="1" w:styleId="a2">
    <w:name w:val="ישיבה"/>
    <w:basedOn w:val="Normal"/>
    <w:link w:val="Char5"/>
    <w:rsid w:val="00760DB7"/>
    <w:pPr>
      <w:bidi/>
      <w:spacing w:after="120" w:line="240" w:lineRule="auto"/>
    </w:pPr>
    <w:rPr>
      <w:rFonts w:ascii="Times New Roman" w:eastAsia="Times New Roman" w:hAnsi="Times New Roman" w:cs="David"/>
      <w:b/>
      <w:bCs/>
    </w:rPr>
  </w:style>
  <w:style w:type="character" w:customStyle="1" w:styleId="Char5">
    <w:name w:val="ישיבה Char"/>
    <w:link w:val="a2"/>
    <w:locked/>
    <w:rsid w:val="00760DB7"/>
    <w:rPr>
      <w:rFonts w:ascii="Times New Roman" w:eastAsia="Times New Roman" w:hAnsi="Times New Roman" w:cs="David"/>
      <w:b/>
      <w:bCs/>
    </w:rPr>
  </w:style>
  <w:style w:type="paragraph" w:customStyle="1" w:styleId="bodytext">
    <w:name w:val="bodytext"/>
    <w:basedOn w:val="Normal"/>
    <w:rsid w:val="00760DB7"/>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760DB7"/>
    <w:pPr>
      <w:ind w:left="720"/>
      <w:contextualSpacing/>
    </w:pPr>
  </w:style>
  <w:style w:type="character" w:customStyle="1" w:styleId="apple-converted-space">
    <w:name w:val="apple-converted-space"/>
    <w:basedOn w:val="DefaultParagraphFont"/>
    <w:rsid w:val="00760DB7"/>
  </w:style>
  <w:style w:type="paragraph" w:customStyle="1" w:styleId="a6">
    <w:name w:val="גוף ב'"/>
    <w:basedOn w:val="a3"/>
    <w:link w:val="Char6"/>
    <w:rsid w:val="00760DB7"/>
    <w:pPr>
      <w:keepNext/>
      <w:keepLines/>
      <w:spacing w:before="40" w:line="240" w:lineRule="auto"/>
      <w:ind w:left="288"/>
      <w:outlineLvl w:val="2"/>
    </w:pPr>
    <w:rPr>
      <w:rFonts w:eastAsia="Times New Roman"/>
      <w:bCs/>
    </w:rPr>
  </w:style>
  <w:style w:type="character" w:customStyle="1" w:styleId="Char6">
    <w:name w:val="גוף ב' Char"/>
    <w:basedOn w:val="Char2"/>
    <w:link w:val="a6"/>
    <w:rsid w:val="00760DB7"/>
    <w:rPr>
      <w:rFonts w:ascii="FbFrankReal" w:eastAsia="Times New Roman" w:hAnsi="FbFrankReal" w:cs="FbFrankReal"/>
      <w:bCs/>
      <w:color w:val="000000" w:themeColor="text1"/>
      <w:bdr w:val="nil"/>
      <w:lang w:val="bg-BG"/>
    </w:rPr>
  </w:style>
  <w:style w:type="paragraph" w:styleId="TOC4">
    <w:name w:val="toc 4"/>
    <w:basedOn w:val="Normal"/>
    <w:next w:val="Normal"/>
    <w:autoRedefine/>
    <w:uiPriority w:val="39"/>
    <w:unhideWhenUsed/>
    <w:rsid w:val="00760DB7"/>
    <w:pPr>
      <w:spacing w:after="100"/>
      <w:ind w:left="660"/>
    </w:pPr>
  </w:style>
  <w:style w:type="paragraph" w:styleId="TOC9">
    <w:name w:val="toc 9"/>
    <w:basedOn w:val="Normal"/>
    <w:next w:val="Normal"/>
    <w:autoRedefine/>
    <w:uiPriority w:val="39"/>
    <w:unhideWhenUsed/>
    <w:rsid w:val="00760DB7"/>
    <w:pPr>
      <w:spacing w:after="100"/>
      <w:ind w:left="1760"/>
    </w:pPr>
  </w:style>
  <w:style w:type="paragraph" w:styleId="Header">
    <w:name w:val="header"/>
    <w:basedOn w:val="Normal"/>
    <w:link w:val="HeaderChar"/>
    <w:uiPriority w:val="99"/>
    <w:unhideWhenUsed/>
    <w:rsid w:val="00760D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0DB7"/>
  </w:style>
  <w:style w:type="paragraph" w:styleId="Footer">
    <w:name w:val="footer"/>
    <w:basedOn w:val="Normal"/>
    <w:link w:val="FooterChar"/>
    <w:uiPriority w:val="99"/>
    <w:unhideWhenUsed/>
    <w:rsid w:val="00760D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0DB7"/>
  </w:style>
  <w:style w:type="table" w:styleId="TableGrid">
    <w:name w:val="Table Grid"/>
    <w:basedOn w:val="TableNormal"/>
    <w:uiPriority w:val="59"/>
    <w:rsid w:val="00760D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נורמל"/>
    <w:basedOn w:val="Normal"/>
    <w:link w:val="Char10"/>
    <w:rsid w:val="00760DB7"/>
    <w:pPr>
      <w:bidi/>
      <w:spacing w:before="150" w:after="150" w:line="300" w:lineRule="exact"/>
      <w:ind w:firstLine="270"/>
      <w:jc w:val="both"/>
    </w:pPr>
    <w:rPr>
      <w:rFonts w:ascii="FrankRuehl" w:eastAsia="Times New Roman" w:hAnsi="FrankRuehl" w:cs="FrankRuehl"/>
      <w:kern w:val="28"/>
      <w:sz w:val="27"/>
      <w:szCs w:val="27"/>
    </w:rPr>
  </w:style>
  <w:style w:type="character" w:customStyle="1" w:styleId="Char10">
    <w:name w:val="נורמל Char1"/>
    <w:basedOn w:val="DefaultParagraphFont"/>
    <w:link w:val="a7"/>
    <w:rsid w:val="00760DB7"/>
    <w:rPr>
      <w:rFonts w:ascii="FrankRuehl" w:eastAsia="Times New Roman" w:hAnsi="FrankRuehl" w:cs="FrankRuehl"/>
      <w:kern w:val="28"/>
      <w:sz w:val="27"/>
      <w:szCs w:val="27"/>
    </w:rPr>
  </w:style>
  <w:style w:type="paragraph" w:customStyle="1" w:styleId="Style1">
    <w:name w:val="Style1"/>
    <w:basedOn w:val="Normal"/>
    <w:rsid w:val="00760DB7"/>
    <w:pPr>
      <w:bidi/>
      <w:spacing w:before="180" w:after="120" w:line="240" w:lineRule="auto"/>
      <w:ind w:firstLine="720"/>
      <w:jc w:val="center"/>
    </w:pPr>
    <w:rPr>
      <w:rFonts w:ascii="Arial" w:eastAsia="Times New Roman" w:hAnsi="Arial" w:cs="Narkisim"/>
      <w:b/>
      <w:bCs/>
      <w:color w:val="222222"/>
      <w:sz w:val="46"/>
      <w:szCs w:val="46"/>
    </w:rPr>
  </w:style>
  <w:style w:type="paragraph" w:customStyle="1" w:styleId="Style2">
    <w:name w:val="Style2"/>
    <w:basedOn w:val="Normal"/>
    <w:uiPriority w:val="99"/>
    <w:rsid w:val="00760DB7"/>
    <w:pPr>
      <w:bidi/>
      <w:spacing w:before="180" w:after="120" w:line="240" w:lineRule="auto"/>
      <w:ind w:firstLine="720"/>
      <w:jc w:val="center"/>
    </w:pPr>
    <w:rPr>
      <w:rFonts w:ascii="Arial" w:eastAsia="Times New Roman" w:hAnsi="Arial" w:cs="Narkisim"/>
      <w:b/>
      <w:bCs/>
      <w:color w:val="222222"/>
      <w:sz w:val="36"/>
      <w:szCs w:val="36"/>
    </w:rPr>
  </w:style>
  <w:style w:type="paragraph" w:customStyle="1" w:styleId="NormalComplexNarkisim">
    <w:name w:val="Normal + (Complex) Narkisim"/>
    <w:aliases w:val="13 pt,Centered,Line spacing:  At least 1."/>
    <w:basedOn w:val="Normal"/>
    <w:uiPriority w:val="99"/>
    <w:rsid w:val="00760DB7"/>
    <w:pPr>
      <w:bidi/>
      <w:spacing w:after="0" w:line="22" w:lineRule="atLeast"/>
      <w:jc w:val="center"/>
    </w:pPr>
    <w:rPr>
      <w:rFonts w:ascii="Narkisim" w:eastAsia="Times New Roman" w:hAnsi="Narkisim" w:cs="Narkisim"/>
      <w:sz w:val="24"/>
      <w:szCs w:val="24"/>
    </w:rPr>
  </w:style>
  <w:style w:type="character" w:customStyle="1" w:styleId="TitleChar">
    <w:name w:val="Title Char"/>
    <w:basedOn w:val="DefaultParagraphFont"/>
    <w:link w:val="Title"/>
    <w:uiPriority w:val="10"/>
    <w:rsid w:val="00760DB7"/>
    <w:rPr>
      <w:rFonts w:ascii="Trebuchet MS" w:eastAsia="Times New Roman" w:hAnsi="Trebuchet MS" w:cs="Trebuchet MS"/>
      <w:color w:val="000000"/>
      <w:sz w:val="42"/>
      <w:szCs w:val="42"/>
    </w:rPr>
  </w:style>
  <w:style w:type="paragraph" w:styleId="Title">
    <w:name w:val="Title"/>
    <w:basedOn w:val="Normal"/>
    <w:link w:val="TitleChar"/>
    <w:uiPriority w:val="10"/>
    <w:qFormat/>
    <w:rsid w:val="00760DB7"/>
    <w:pPr>
      <w:keepNext/>
      <w:keepLines/>
      <w:spacing w:after="0" w:line="276" w:lineRule="auto"/>
    </w:pPr>
    <w:rPr>
      <w:rFonts w:ascii="Trebuchet MS" w:eastAsia="Times New Roman" w:hAnsi="Trebuchet MS" w:cs="Trebuchet MS"/>
      <w:color w:val="000000"/>
      <w:sz w:val="42"/>
      <w:szCs w:val="42"/>
    </w:rPr>
  </w:style>
  <w:style w:type="character" w:customStyle="1" w:styleId="TitleChar1">
    <w:name w:val="Title Char1"/>
    <w:basedOn w:val="DefaultParagraphFont"/>
    <w:uiPriority w:val="10"/>
    <w:rsid w:val="00760DB7"/>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rsid w:val="00760DB7"/>
    <w:rPr>
      <w:rFonts w:ascii="Trebuchet MS" w:eastAsia="Times New Roman" w:hAnsi="Trebuchet MS" w:cs="Trebuchet MS"/>
      <w:i/>
      <w:iCs/>
      <w:color w:val="666666"/>
      <w:sz w:val="26"/>
      <w:szCs w:val="26"/>
    </w:rPr>
  </w:style>
  <w:style w:type="paragraph" w:styleId="Subtitle">
    <w:name w:val="Subtitle"/>
    <w:basedOn w:val="Normal"/>
    <w:link w:val="SubtitleChar"/>
    <w:qFormat/>
    <w:rsid w:val="00760DB7"/>
    <w:pPr>
      <w:keepNext/>
      <w:keepLines/>
      <w:spacing w:after="200" w:line="276" w:lineRule="auto"/>
    </w:pPr>
    <w:rPr>
      <w:rFonts w:ascii="Trebuchet MS" w:eastAsia="Times New Roman" w:hAnsi="Trebuchet MS" w:cs="Trebuchet MS"/>
      <w:i/>
      <w:iCs/>
      <w:color w:val="666666"/>
      <w:sz w:val="26"/>
      <w:szCs w:val="26"/>
    </w:rPr>
  </w:style>
  <w:style w:type="character" w:customStyle="1" w:styleId="SubtitleChar1">
    <w:name w:val="Subtitle Char1"/>
    <w:basedOn w:val="DefaultParagraphFont"/>
    <w:uiPriority w:val="11"/>
    <w:rsid w:val="00760DB7"/>
    <w:rPr>
      <w:rFonts w:eastAsiaTheme="minorEastAsia"/>
      <w:color w:val="5A5A5A" w:themeColor="text1" w:themeTint="A5"/>
      <w:spacing w:val="15"/>
    </w:rPr>
  </w:style>
  <w:style w:type="paragraph" w:customStyle="1" w:styleId="HaoroDivider">
    <w:name w:val="Haoro Divider"/>
    <w:basedOn w:val="Normal"/>
    <w:rsid w:val="00760DB7"/>
    <w:pPr>
      <w:bidi/>
      <w:spacing w:before="100" w:after="230" w:line="270" w:lineRule="exact"/>
      <w:jc w:val="center"/>
    </w:pPr>
    <w:rPr>
      <w:rFonts w:ascii="Times New Roman" w:eastAsia="Times New Roman" w:hAnsi="Times New Roman" w:cs="Times New Roman"/>
      <w:kern w:val="28"/>
      <w:sz w:val="24"/>
      <w:szCs w:val="24"/>
    </w:rPr>
  </w:style>
  <w:style w:type="paragraph" w:styleId="BalloonText">
    <w:name w:val="Balloon Text"/>
    <w:basedOn w:val="Normal"/>
    <w:link w:val="BalloonTextChar"/>
    <w:uiPriority w:val="99"/>
    <w:unhideWhenUsed/>
    <w:rsid w:val="00760DB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760DB7"/>
    <w:rPr>
      <w:rFonts w:ascii="Segoe UI" w:hAnsi="Segoe UI" w:cs="Segoe UI"/>
      <w:sz w:val="18"/>
      <w:szCs w:val="18"/>
    </w:rPr>
  </w:style>
  <w:style w:type="paragraph" w:customStyle="1" w:styleId="a8">
    <w:name w:val="כותרת"/>
    <w:basedOn w:val="a9"/>
    <w:link w:val="Char7"/>
    <w:qFormat/>
    <w:rsid w:val="00760DB7"/>
    <w:pPr>
      <w:ind w:firstLine="0"/>
      <w:jc w:val="center"/>
    </w:pPr>
    <w:rPr>
      <w:bCs/>
      <w:sz w:val="35"/>
      <w:szCs w:val="33"/>
    </w:rPr>
  </w:style>
  <w:style w:type="paragraph" w:customStyle="1" w:styleId="a9">
    <w:name w:val="טעקסט"/>
    <w:rsid w:val="00760DB7"/>
    <w:pPr>
      <w:bidi/>
      <w:spacing w:after="120" w:line="240" w:lineRule="auto"/>
      <w:ind w:firstLine="288"/>
      <w:jc w:val="both"/>
    </w:pPr>
    <w:rPr>
      <w:rFonts w:ascii="Times New Roman" w:eastAsia="Times New Roman" w:hAnsi="Times New Roman" w:cs="David"/>
      <w:b/>
      <w:sz w:val="27"/>
      <w:szCs w:val="27"/>
    </w:rPr>
  </w:style>
  <w:style w:type="paragraph" w:customStyle="1" w:styleId="NoParagraphStyle">
    <w:name w:val="[No Paragraph Style]"/>
    <w:rsid w:val="00760DB7"/>
    <w:pPr>
      <w:autoSpaceDE w:val="0"/>
      <w:autoSpaceDN w:val="0"/>
      <w:bidi/>
      <w:adjustRightInd w:val="0"/>
      <w:spacing w:after="0" w:line="288" w:lineRule="auto"/>
      <w:textAlignment w:val="center"/>
    </w:pPr>
    <w:rPr>
      <w:rFonts w:ascii="WinSoft Pro" w:hAnsi="WinSoft Pro" w:cs="WinSoft Pro"/>
      <w:color w:val="000000"/>
      <w:sz w:val="24"/>
      <w:szCs w:val="24"/>
    </w:rPr>
  </w:style>
  <w:style w:type="character" w:customStyle="1" w:styleId="1">
    <w:name w:val="סגנון תו 1"/>
    <w:uiPriority w:val="99"/>
    <w:rsid w:val="00760DB7"/>
    <w:rPr>
      <w:rFonts w:ascii="Ashkenazy" w:cs="Ashkenazy"/>
      <w:color w:val="000000"/>
      <w:sz w:val="164"/>
      <w:szCs w:val="164"/>
      <w:lang w:bidi="he-IL"/>
    </w:rPr>
  </w:style>
  <w:style w:type="character" w:customStyle="1" w:styleId="20">
    <w:name w:val="סגנון תו 2"/>
    <w:basedOn w:val="1"/>
    <w:uiPriority w:val="99"/>
    <w:rsid w:val="00760DB7"/>
    <w:rPr>
      <w:rFonts w:ascii="Ashkenazy" w:cs="Ashkenazy"/>
      <w:color w:val="000000"/>
      <w:spacing w:val="-9"/>
      <w:w w:val="92"/>
      <w:sz w:val="46"/>
      <w:szCs w:val="46"/>
      <w:lang w:bidi="he-IL"/>
    </w:rPr>
  </w:style>
  <w:style w:type="character" w:customStyle="1" w:styleId="3">
    <w:name w:val="סגנון תו 3"/>
    <w:uiPriority w:val="99"/>
    <w:rsid w:val="00760DB7"/>
    <w:rPr>
      <w:rFonts w:ascii="VTvilnacopy01" w:cs="VTvilnacopy01"/>
      <w:b/>
      <w:bCs/>
      <w:w w:val="98"/>
      <w:sz w:val="32"/>
      <w:szCs w:val="32"/>
      <w:lang w:bidi="he-IL"/>
    </w:rPr>
  </w:style>
  <w:style w:type="paragraph" w:styleId="TOC5">
    <w:name w:val="toc 5"/>
    <w:basedOn w:val="Normal"/>
    <w:next w:val="Normal"/>
    <w:autoRedefine/>
    <w:uiPriority w:val="39"/>
    <w:unhideWhenUsed/>
    <w:rsid w:val="00760DB7"/>
    <w:pPr>
      <w:spacing w:after="100"/>
      <w:ind w:left="880"/>
    </w:pPr>
    <w:rPr>
      <w:rFonts w:eastAsiaTheme="minorEastAsia"/>
    </w:rPr>
  </w:style>
  <w:style w:type="paragraph" w:styleId="TOC6">
    <w:name w:val="toc 6"/>
    <w:basedOn w:val="Normal"/>
    <w:next w:val="Normal"/>
    <w:autoRedefine/>
    <w:uiPriority w:val="39"/>
    <w:unhideWhenUsed/>
    <w:rsid w:val="00760DB7"/>
    <w:pPr>
      <w:spacing w:after="100"/>
      <w:ind w:left="1100"/>
    </w:pPr>
    <w:rPr>
      <w:rFonts w:eastAsiaTheme="minorEastAsia"/>
    </w:rPr>
  </w:style>
  <w:style w:type="paragraph" w:styleId="TOC7">
    <w:name w:val="toc 7"/>
    <w:basedOn w:val="Normal"/>
    <w:next w:val="Normal"/>
    <w:autoRedefine/>
    <w:uiPriority w:val="39"/>
    <w:unhideWhenUsed/>
    <w:rsid w:val="00760DB7"/>
    <w:pPr>
      <w:spacing w:after="100"/>
      <w:ind w:left="1320"/>
    </w:pPr>
    <w:rPr>
      <w:rFonts w:eastAsiaTheme="minorEastAsia"/>
    </w:rPr>
  </w:style>
  <w:style w:type="paragraph" w:styleId="TOC8">
    <w:name w:val="toc 8"/>
    <w:basedOn w:val="Normal"/>
    <w:next w:val="Normal"/>
    <w:autoRedefine/>
    <w:uiPriority w:val="39"/>
    <w:unhideWhenUsed/>
    <w:rsid w:val="00760DB7"/>
    <w:pPr>
      <w:spacing w:after="100"/>
      <w:ind w:left="1540"/>
    </w:pPr>
    <w:rPr>
      <w:rFonts w:eastAsiaTheme="minorEastAsia"/>
    </w:rPr>
  </w:style>
  <w:style w:type="paragraph" w:customStyle="1" w:styleId="divider">
    <w:name w:val="הקדשה divider"/>
    <w:basedOn w:val="Normal"/>
    <w:link w:val="dividerChar"/>
    <w:rsid w:val="00760DB7"/>
    <w:pPr>
      <w:bidi/>
      <w:spacing w:before="120" w:after="120" w:line="288" w:lineRule="auto"/>
      <w:jc w:val="center"/>
    </w:pPr>
    <w:rPr>
      <w:rFonts w:ascii="Narkisim" w:eastAsia="Times New Roman" w:hAnsi="Narkisim" w:cs="Narkisim"/>
      <w:sz w:val="27"/>
      <w:szCs w:val="27"/>
    </w:rPr>
  </w:style>
  <w:style w:type="character" w:customStyle="1" w:styleId="dividerChar">
    <w:name w:val="הקדשה divider Char"/>
    <w:basedOn w:val="DefaultParagraphFont"/>
    <w:link w:val="divider"/>
    <w:rsid w:val="00760DB7"/>
    <w:rPr>
      <w:rFonts w:ascii="Narkisim" w:eastAsia="Times New Roman" w:hAnsi="Narkisim" w:cs="Narkisim"/>
      <w:sz w:val="27"/>
      <w:szCs w:val="27"/>
    </w:rPr>
  </w:style>
  <w:style w:type="character" w:styleId="SubtleEmphasis">
    <w:name w:val="Subtle Emphasis"/>
    <w:basedOn w:val="DefaultParagraphFont"/>
    <w:uiPriority w:val="19"/>
    <w:rsid w:val="00760DB7"/>
    <w:rPr>
      <w:i/>
      <w:iCs/>
      <w:color w:val="404040" w:themeColor="text1" w:themeTint="BF"/>
    </w:rPr>
  </w:style>
  <w:style w:type="character" w:styleId="Emphasis">
    <w:name w:val="Emphasis"/>
    <w:uiPriority w:val="20"/>
    <w:qFormat/>
    <w:rsid w:val="00760DB7"/>
    <w:rPr>
      <w:i/>
      <w:iCs/>
    </w:rPr>
  </w:style>
  <w:style w:type="paragraph" w:customStyle="1" w:styleId="aa">
    <w:name w:val="הערה"/>
    <w:basedOn w:val="FootnoteText"/>
    <w:autoRedefine/>
    <w:rsid w:val="00760DB7"/>
    <w:pPr>
      <w:spacing w:after="100"/>
      <w:ind w:firstLine="230"/>
    </w:pPr>
    <w:rPr>
      <w:rFonts w:ascii="Times New Roman" w:eastAsia="Times New Roman" w:hAnsi="Times New Roman" w:cs="David"/>
    </w:rPr>
  </w:style>
  <w:style w:type="character" w:customStyle="1" w:styleId="five">
    <w:name w:val="five"/>
    <w:basedOn w:val="DefaultParagraphFont"/>
    <w:rsid w:val="00760DB7"/>
  </w:style>
  <w:style w:type="paragraph" w:customStyle="1" w:styleId="ab">
    <w:name w:val="כותרת משנה"/>
    <w:basedOn w:val="Normal"/>
    <w:qFormat/>
    <w:rsid w:val="00760DB7"/>
    <w:pPr>
      <w:bidi/>
      <w:spacing w:before="180" w:after="120" w:line="240" w:lineRule="auto"/>
      <w:ind w:firstLine="720"/>
      <w:jc w:val="center"/>
    </w:pPr>
    <w:rPr>
      <w:rFonts w:asciiTheme="majorBidi" w:hAnsiTheme="majorBidi" w:cstheme="majorBidi"/>
      <w:b/>
      <w:bCs/>
      <w:sz w:val="40"/>
      <w:szCs w:val="40"/>
    </w:rPr>
  </w:style>
  <w:style w:type="paragraph" w:customStyle="1" w:styleId="ac">
    <w:name w:val="מזל"/>
    <w:basedOn w:val="a7"/>
    <w:rsid w:val="00760DB7"/>
    <w:pPr>
      <w:spacing w:before="0" w:after="120" w:line="240" w:lineRule="auto"/>
      <w:ind w:firstLine="0"/>
      <w:jc w:val="center"/>
    </w:pPr>
    <w:rPr>
      <w:rFonts w:ascii="Times New Roman" w:hAnsi="Times New Roman"/>
      <w:noProof/>
      <w:kern w:val="0"/>
    </w:rPr>
  </w:style>
  <w:style w:type="paragraph" w:styleId="DocumentMap">
    <w:name w:val="Document Map"/>
    <w:basedOn w:val="Normal"/>
    <w:link w:val="DocumentMapChar"/>
    <w:semiHidden/>
    <w:unhideWhenUsed/>
    <w:rsid w:val="00760DB7"/>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semiHidden/>
    <w:rsid w:val="00760DB7"/>
    <w:rPr>
      <w:rFonts w:ascii="Segoe UI" w:hAnsi="Segoe UI" w:cs="Segoe UI"/>
      <w:sz w:val="16"/>
      <w:szCs w:val="16"/>
    </w:rPr>
  </w:style>
  <w:style w:type="numbering" w:customStyle="1" w:styleId="NoList11">
    <w:name w:val="No List11"/>
    <w:next w:val="NoList"/>
    <w:uiPriority w:val="99"/>
    <w:semiHidden/>
    <w:unhideWhenUsed/>
    <w:rsid w:val="00760DB7"/>
  </w:style>
  <w:style w:type="paragraph" w:styleId="PlainText">
    <w:name w:val="Plain Text"/>
    <w:basedOn w:val="Normal"/>
    <w:link w:val="PlainTextChar"/>
    <w:uiPriority w:val="99"/>
    <w:unhideWhenUsed/>
    <w:rsid w:val="00760DB7"/>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rsid w:val="00760DB7"/>
    <w:rPr>
      <w:rFonts w:ascii="Consolas" w:hAnsi="Consolas" w:cs="Consolas"/>
      <w:sz w:val="21"/>
      <w:szCs w:val="21"/>
    </w:rPr>
  </w:style>
  <w:style w:type="character" w:styleId="PageNumber">
    <w:name w:val="page number"/>
    <w:basedOn w:val="DefaultParagraphFont"/>
    <w:rsid w:val="00760DB7"/>
  </w:style>
  <w:style w:type="character" w:styleId="FollowedHyperlink">
    <w:name w:val="FollowedHyperlink"/>
    <w:basedOn w:val="DefaultParagraphFont"/>
    <w:semiHidden/>
    <w:rsid w:val="00760DB7"/>
    <w:rPr>
      <w:color w:val="800080"/>
      <w:u w:val="single"/>
    </w:rPr>
  </w:style>
  <w:style w:type="character" w:customStyle="1" w:styleId="StyleFootnoteReference">
    <w:name w:val="Style Footnote Reference"/>
    <w:basedOn w:val="FootnoteReference"/>
    <w:rsid w:val="00760DB7"/>
    <w:rPr>
      <w:rFonts w:cs="FrankRuehl"/>
      <w:spacing w:val="0"/>
      <w:position w:val="0"/>
      <w:sz w:val="18"/>
      <w:szCs w:val="18"/>
      <w:vertAlign w:val="superscript"/>
    </w:rPr>
  </w:style>
  <w:style w:type="paragraph" w:styleId="EndnoteText">
    <w:name w:val="endnote text"/>
    <w:basedOn w:val="Normal"/>
    <w:link w:val="EndnoteTextChar"/>
    <w:uiPriority w:val="99"/>
    <w:semiHidden/>
    <w:rsid w:val="00760DB7"/>
    <w:pPr>
      <w:bidi/>
      <w:spacing w:after="120" w:line="240" w:lineRule="auto"/>
      <w:ind w:firstLine="288"/>
    </w:pPr>
    <w:rPr>
      <w:rFonts w:ascii="Times New Roman" w:eastAsia="Times New Roman" w:hAnsi="Times New Roman" w:cs="Dor"/>
      <w:spacing w:val="6"/>
      <w:position w:val="4"/>
      <w:sz w:val="20"/>
      <w:szCs w:val="20"/>
    </w:rPr>
  </w:style>
  <w:style w:type="character" w:customStyle="1" w:styleId="EndnoteTextChar">
    <w:name w:val="Endnote Text Char"/>
    <w:basedOn w:val="DefaultParagraphFont"/>
    <w:link w:val="EndnoteText"/>
    <w:uiPriority w:val="99"/>
    <w:semiHidden/>
    <w:rsid w:val="00760DB7"/>
    <w:rPr>
      <w:rFonts w:ascii="Times New Roman" w:eastAsia="Times New Roman" w:hAnsi="Times New Roman" w:cs="Dor"/>
      <w:spacing w:val="6"/>
      <w:position w:val="4"/>
      <w:sz w:val="20"/>
      <w:szCs w:val="20"/>
    </w:rPr>
  </w:style>
  <w:style w:type="character" w:styleId="EndnoteReference">
    <w:name w:val="endnote reference"/>
    <w:basedOn w:val="DefaultParagraphFont"/>
    <w:uiPriority w:val="99"/>
    <w:semiHidden/>
    <w:rsid w:val="00760DB7"/>
    <w:rPr>
      <w:vertAlign w:val="superscript"/>
    </w:rPr>
  </w:style>
  <w:style w:type="paragraph" w:customStyle="1" w:styleId="ad">
    <w:name w:val="ע&quot;כ"/>
    <w:basedOn w:val="a9"/>
    <w:rsid w:val="00760DB7"/>
    <w:rPr>
      <w:bCs/>
      <w:sz w:val="31"/>
      <w:szCs w:val="29"/>
    </w:rPr>
  </w:style>
  <w:style w:type="paragraph" w:customStyle="1" w:styleId="ae">
    <w:name w:val="כוכבים"/>
    <w:basedOn w:val="FootnoteText"/>
    <w:rsid w:val="00760DB7"/>
    <w:pPr>
      <w:spacing w:before="120" w:after="40" w:line="220" w:lineRule="exact"/>
      <w:ind w:left="144" w:hanging="144"/>
      <w:jc w:val="center"/>
    </w:pPr>
    <w:rPr>
      <w:rFonts w:ascii="Times New Roman" w:eastAsia="Calibri" w:hAnsi="Times New Roman" w:cs="David"/>
      <w:spacing w:val="4"/>
      <w:szCs w:val="22"/>
    </w:rPr>
  </w:style>
  <w:style w:type="character" w:customStyle="1" w:styleId="FrankRuehl15">
    <w:name w:val="סגנון (לטיני) FrankRuehl ‏15 נק'"/>
    <w:basedOn w:val="DefaultParagraphFont"/>
    <w:rsid w:val="00760DB7"/>
    <w:rPr>
      <w:rFonts w:ascii="FrankRuehl" w:hAnsi="FrankRuehl"/>
      <w:sz w:val="30"/>
    </w:rPr>
  </w:style>
  <w:style w:type="paragraph" w:styleId="Signature">
    <w:name w:val="Signature"/>
    <w:basedOn w:val="Normal"/>
    <w:link w:val="SignatureChar"/>
    <w:rsid w:val="00760DB7"/>
    <w:pPr>
      <w:bidi/>
      <w:spacing w:before="120" w:after="0" w:line="240" w:lineRule="auto"/>
      <w:ind w:left="4252"/>
      <w:jc w:val="both"/>
    </w:pPr>
    <w:rPr>
      <w:rFonts w:ascii="Times New Roman" w:eastAsia="Times New Roman" w:hAnsi="Times New Roman" w:cs="David"/>
      <w:sz w:val="24"/>
      <w:szCs w:val="24"/>
    </w:rPr>
  </w:style>
  <w:style w:type="character" w:customStyle="1" w:styleId="SignatureChar">
    <w:name w:val="Signature Char"/>
    <w:basedOn w:val="DefaultParagraphFont"/>
    <w:link w:val="Signature"/>
    <w:rsid w:val="00760DB7"/>
    <w:rPr>
      <w:rFonts w:ascii="Times New Roman" w:eastAsia="Times New Roman" w:hAnsi="Times New Roman" w:cs="David"/>
      <w:sz w:val="24"/>
      <w:szCs w:val="24"/>
    </w:rPr>
  </w:style>
  <w:style w:type="character" w:customStyle="1" w:styleId="af">
    <w:name w:val="נורמל תו"/>
    <w:basedOn w:val="DefaultParagraphFont"/>
    <w:locked/>
    <w:rsid w:val="00760DB7"/>
    <w:rPr>
      <w:rFonts w:ascii="Times New Roman" w:eastAsia="Times New Roman" w:hAnsi="Times New Roman" w:cs="FrankRuehl"/>
      <w:kern w:val="28"/>
      <w:sz w:val="27"/>
      <w:szCs w:val="27"/>
    </w:rPr>
  </w:style>
  <w:style w:type="paragraph" w:customStyle="1" w:styleId="Footnotes">
    <w:name w:val="Footnotes"/>
    <w:basedOn w:val="Normal"/>
    <w:rsid w:val="00760DB7"/>
    <w:pPr>
      <w:bidi/>
      <w:spacing w:after="0" w:line="260" w:lineRule="exact"/>
      <w:ind w:firstLine="432"/>
      <w:jc w:val="both"/>
    </w:pPr>
    <w:rPr>
      <w:rFonts w:ascii="David" w:eastAsia="David" w:hAnsi="David" w:cs="David"/>
      <w:sz w:val="20"/>
      <w:szCs w:val="20"/>
    </w:rPr>
  </w:style>
  <w:style w:type="character" w:customStyle="1" w:styleId="it">
    <w:name w:val="it"/>
    <w:uiPriority w:val="1"/>
    <w:rsid w:val="00760DB7"/>
    <w:rPr>
      <w:rFonts w:ascii="Levenim MT" w:eastAsia="Levenim MT" w:hAnsi="Levenim MT" w:cs="Levenim MT"/>
      <w:sz w:val="16"/>
      <w:szCs w:val="16"/>
    </w:rPr>
  </w:style>
  <w:style w:type="character" w:customStyle="1" w:styleId="hit">
    <w:name w:val="hit"/>
    <w:basedOn w:val="DefaultParagraphFont"/>
    <w:rsid w:val="00760DB7"/>
  </w:style>
  <w:style w:type="paragraph" w:customStyle="1" w:styleId="af0">
    <w:name w:val="דוד"/>
    <w:basedOn w:val="Normal"/>
    <w:rsid w:val="00760DB7"/>
    <w:pPr>
      <w:bidi/>
      <w:spacing w:after="0" w:line="280" w:lineRule="exact"/>
      <w:jc w:val="center"/>
    </w:pPr>
    <w:rPr>
      <w:rFonts w:ascii="Times New Roman" w:eastAsia="Times New Roman" w:hAnsi="Times New Roman" w:cs="David"/>
      <w:lang w:eastAsia="he-IL"/>
    </w:rPr>
  </w:style>
  <w:style w:type="paragraph" w:customStyle="1" w:styleId="10">
    <w:name w:val="כותרת משנה1"/>
    <w:basedOn w:val="Normal"/>
    <w:rsid w:val="00760DB7"/>
    <w:pPr>
      <w:bidi/>
      <w:spacing w:before="120" w:after="120" w:line="240" w:lineRule="auto"/>
      <w:ind w:firstLine="720"/>
      <w:jc w:val="center"/>
    </w:pPr>
    <w:rPr>
      <w:rFonts w:ascii="Times New Roman" w:eastAsia="Times New Roman" w:hAnsi="Times New Roman" w:cs="Narkisim"/>
      <w:b/>
      <w:bCs/>
      <w:sz w:val="40"/>
      <w:szCs w:val="40"/>
    </w:rPr>
  </w:style>
  <w:style w:type="character" w:styleId="CommentReference">
    <w:name w:val="annotation reference"/>
    <w:uiPriority w:val="99"/>
    <w:rsid w:val="00760DB7"/>
    <w:rPr>
      <w:sz w:val="16"/>
      <w:szCs w:val="16"/>
    </w:rPr>
  </w:style>
  <w:style w:type="paragraph" w:styleId="CommentText">
    <w:name w:val="annotation text"/>
    <w:basedOn w:val="Normal"/>
    <w:link w:val="CommentTextChar"/>
    <w:uiPriority w:val="99"/>
    <w:rsid w:val="00760DB7"/>
    <w:pPr>
      <w:spacing w:after="0" w:line="276" w:lineRule="auto"/>
    </w:pPr>
    <w:rPr>
      <w:rFonts w:ascii="Arial" w:eastAsia="Times New Roman" w:hAnsi="Arial" w:cs="Arial"/>
      <w:color w:val="000000"/>
      <w:sz w:val="20"/>
      <w:szCs w:val="20"/>
    </w:rPr>
  </w:style>
  <w:style w:type="character" w:customStyle="1" w:styleId="CommentTextChar">
    <w:name w:val="Comment Text Char"/>
    <w:basedOn w:val="DefaultParagraphFont"/>
    <w:link w:val="CommentText"/>
    <w:uiPriority w:val="99"/>
    <w:rsid w:val="00760DB7"/>
    <w:rPr>
      <w:rFonts w:ascii="Arial" w:eastAsia="Times New Roman" w:hAnsi="Arial" w:cs="Arial"/>
      <w:color w:val="000000"/>
      <w:sz w:val="20"/>
      <w:szCs w:val="20"/>
    </w:rPr>
  </w:style>
  <w:style w:type="paragraph" w:styleId="CommentSubject">
    <w:name w:val="annotation subject"/>
    <w:basedOn w:val="CommentText"/>
    <w:next w:val="CommentText"/>
    <w:link w:val="CommentSubjectChar"/>
    <w:uiPriority w:val="99"/>
    <w:rsid w:val="00760DB7"/>
    <w:rPr>
      <w:b/>
      <w:bCs/>
    </w:rPr>
  </w:style>
  <w:style w:type="character" w:customStyle="1" w:styleId="CommentSubjectChar">
    <w:name w:val="Comment Subject Char"/>
    <w:basedOn w:val="CommentTextChar"/>
    <w:link w:val="CommentSubject"/>
    <w:uiPriority w:val="99"/>
    <w:rsid w:val="00760DB7"/>
    <w:rPr>
      <w:rFonts w:ascii="Arial" w:eastAsia="Times New Roman" w:hAnsi="Arial" w:cs="Arial"/>
      <w:b/>
      <w:bCs/>
      <w:color w:val="000000"/>
      <w:sz w:val="20"/>
      <w:szCs w:val="20"/>
    </w:rPr>
  </w:style>
  <w:style w:type="paragraph" w:customStyle="1" w:styleId="af1">
    <w:name w:val="הקדמה להערה"/>
    <w:basedOn w:val="a3"/>
    <w:next w:val="a3"/>
    <w:link w:val="Char8"/>
    <w:autoRedefine/>
    <w:rsid w:val="00760DB7"/>
    <w:pPr>
      <w:spacing w:after="0" w:line="320" w:lineRule="exact"/>
      <w:ind w:firstLine="0"/>
    </w:pPr>
    <w:rPr>
      <w:rFonts w:ascii="FbFrankReal Light" w:eastAsia="Times New Roman" w:hAnsi="FbFrankReal Light" w:cs="FbFrankReal Light"/>
      <w:noProof/>
      <w:w w:val="93"/>
    </w:rPr>
  </w:style>
  <w:style w:type="character" w:customStyle="1" w:styleId="Char8">
    <w:name w:val="הקדמה להערה Char"/>
    <w:basedOn w:val="DefaultParagraphFont"/>
    <w:link w:val="af1"/>
    <w:rsid w:val="00760DB7"/>
    <w:rPr>
      <w:rFonts w:ascii="FbFrankReal Light" w:eastAsia="Times New Roman" w:hAnsi="FbFrankReal Light" w:cs="FbFrankReal Light"/>
      <w:noProof/>
      <w:color w:val="000000" w:themeColor="text1"/>
      <w:w w:val="93"/>
      <w:bdr w:val="nil"/>
      <w:lang w:val="bg-BG"/>
    </w:rPr>
  </w:style>
  <w:style w:type="paragraph" w:styleId="Revision">
    <w:name w:val="Revision"/>
    <w:hidden/>
    <w:uiPriority w:val="99"/>
    <w:semiHidden/>
    <w:rsid w:val="00760DB7"/>
    <w:pPr>
      <w:spacing w:after="0" w:line="240" w:lineRule="auto"/>
    </w:pPr>
  </w:style>
  <w:style w:type="table" w:customStyle="1" w:styleId="GridTable1Light1">
    <w:name w:val="Grid Table 1 Light1"/>
    <w:basedOn w:val="TableNormal"/>
    <w:uiPriority w:val="46"/>
    <w:rsid w:val="00760DB7"/>
    <w:pPr>
      <w:spacing w:after="0" w:line="240" w:lineRule="auto"/>
    </w:pPr>
    <w:rPr>
      <w:lang w:bidi="ar-SA"/>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Footer">
    <w:name w:val="Header &amp; Footer"/>
    <w:rsid w:val="00760DB7"/>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rPr>
  </w:style>
  <w:style w:type="paragraph" w:customStyle="1" w:styleId="Body">
    <w:name w:val="Body"/>
    <w:rsid w:val="00760DB7"/>
    <w:pPr>
      <w:pBdr>
        <w:top w:val="nil"/>
        <w:left w:val="nil"/>
        <w:bottom w:val="nil"/>
        <w:right w:val="nil"/>
        <w:between w:val="nil"/>
        <w:bar w:val="nil"/>
      </w:pBdr>
      <w:bidi/>
      <w:spacing w:line="360" w:lineRule="exact"/>
      <w:jc w:val="both"/>
    </w:pPr>
    <w:rPr>
      <w:rFonts w:ascii="Arial Unicode MS" w:eastAsia="Arial Unicode MS" w:hAnsi="Arial Unicode MS" w:cs="FbHadasaNew" w:hint="cs"/>
      <w:color w:val="000000"/>
      <w:sz w:val="24"/>
      <w:szCs w:val="24"/>
      <w:u w:color="000000"/>
      <w:bdr w:val="nil"/>
      <w:lang w:val="he-IL"/>
    </w:rPr>
  </w:style>
  <w:style w:type="paragraph" w:customStyle="1" w:styleId="Default">
    <w:name w:val="Default"/>
    <w:rsid w:val="00760DB7"/>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rPr>
  </w:style>
  <w:style w:type="paragraph" w:customStyle="1" w:styleId="Heading">
    <w:name w:val="Heading"/>
    <w:next w:val="Body"/>
    <w:rsid w:val="00760DB7"/>
    <w:pPr>
      <w:keepNext/>
      <w:pBdr>
        <w:top w:val="nil"/>
        <w:left w:val="nil"/>
        <w:bottom w:val="nil"/>
        <w:right w:val="nil"/>
        <w:between w:val="nil"/>
        <w:bar w:val="nil"/>
      </w:pBdr>
      <w:bidi/>
      <w:spacing w:line="360" w:lineRule="exact"/>
      <w:jc w:val="center"/>
      <w:outlineLvl w:val="0"/>
    </w:pPr>
    <w:rPr>
      <w:rFonts w:ascii="Arial Unicode MS" w:eastAsia="Arial Unicode MS" w:hAnsi="Arial Unicode MS" w:cs="FbHadasaNew" w:hint="cs"/>
      <w:color w:val="000000"/>
      <w:sz w:val="40"/>
      <w:szCs w:val="40"/>
      <w:u w:color="000000"/>
      <w:bdr w:val="nil"/>
      <w:lang w:val="he-IL"/>
    </w:rPr>
  </w:style>
  <w:style w:type="numbering" w:customStyle="1" w:styleId="ImportedStyle1">
    <w:name w:val="Imported Style 1"/>
    <w:rsid w:val="00760DB7"/>
    <w:pPr>
      <w:numPr>
        <w:numId w:val="1"/>
      </w:numPr>
    </w:pPr>
  </w:style>
  <w:style w:type="numbering" w:customStyle="1" w:styleId="ImportedStyle2">
    <w:name w:val="Imported Style 2"/>
    <w:rsid w:val="00760DB7"/>
    <w:pPr>
      <w:numPr>
        <w:numId w:val="2"/>
      </w:numPr>
    </w:pPr>
  </w:style>
  <w:style w:type="numbering" w:customStyle="1" w:styleId="ImportedStyle3">
    <w:name w:val="Imported Style 3"/>
    <w:rsid w:val="00760DB7"/>
    <w:pPr>
      <w:numPr>
        <w:numId w:val="3"/>
      </w:numPr>
    </w:pPr>
  </w:style>
  <w:style w:type="paragraph" w:customStyle="1" w:styleId="11">
    <w:name w:val="כותרת משנה 1"/>
    <w:basedOn w:val="a3"/>
    <w:link w:val="1Char"/>
    <w:qFormat/>
    <w:rsid w:val="00760DB7"/>
    <w:pPr>
      <w:bidi w:val="0"/>
      <w:ind w:firstLine="144"/>
      <w:jc w:val="center"/>
    </w:pPr>
    <w:rPr>
      <w:rFonts w:ascii="FbFRealBelet Bold" w:hAnsi="FbFRealBelet Bold" w:cs="FbFRealBelet Bold"/>
      <w:b/>
      <w:bCs/>
      <w:sz w:val="20"/>
      <w:szCs w:val="20"/>
    </w:rPr>
  </w:style>
  <w:style w:type="character" w:customStyle="1" w:styleId="1Char">
    <w:name w:val="כותרת משנה 1 Char"/>
    <w:basedOn w:val="FootnoteTextChar"/>
    <w:link w:val="11"/>
    <w:rsid w:val="00760DB7"/>
    <w:rPr>
      <w:rFonts w:ascii="FbFRealBelet Bold" w:eastAsia="Calibri" w:hAnsi="FbFRealBelet Bold" w:cs="FbFRealBelet Bold"/>
      <w:b/>
      <w:bCs/>
      <w:color w:val="000000" w:themeColor="text1"/>
      <w:sz w:val="20"/>
      <w:szCs w:val="20"/>
      <w:bdr w:val="nil"/>
      <w:lang w:val="bg-BG"/>
    </w:rPr>
  </w:style>
  <w:style w:type="paragraph" w:customStyle="1" w:styleId="Standard">
    <w:name w:val="Standard"/>
    <w:rsid w:val="00760DB7"/>
    <w:pPr>
      <w:suppressAutoHyphens/>
      <w:autoSpaceDN w:val="0"/>
      <w:spacing w:after="0" w:line="240" w:lineRule="auto"/>
      <w:textAlignment w:val="baseline"/>
    </w:pPr>
    <w:rPr>
      <w:rFonts w:ascii="Times New Roman" w:eastAsia="Times New Roman" w:hAnsi="Times New Roman" w:cs="Times New Roman"/>
      <w:kern w:val="3"/>
      <w:sz w:val="24"/>
      <w:szCs w:val="24"/>
    </w:rPr>
  </w:style>
  <w:style w:type="paragraph" w:customStyle="1" w:styleId="Textbody">
    <w:name w:val="Text body"/>
    <w:basedOn w:val="Standard"/>
    <w:rsid w:val="00760DB7"/>
    <w:pPr>
      <w:spacing w:after="120"/>
    </w:pPr>
  </w:style>
  <w:style w:type="paragraph" w:styleId="List">
    <w:name w:val="List"/>
    <w:basedOn w:val="Textbody"/>
    <w:rsid w:val="00760DB7"/>
    <w:rPr>
      <w:rFonts w:cs="Tahoma"/>
    </w:rPr>
  </w:style>
  <w:style w:type="paragraph" w:styleId="Caption">
    <w:name w:val="caption"/>
    <w:basedOn w:val="Standard"/>
    <w:rsid w:val="00760DB7"/>
    <w:pPr>
      <w:suppressLineNumbers/>
      <w:spacing w:before="120" w:after="120"/>
    </w:pPr>
    <w:rPr>
      <w:rFonts w:cs="Tahoma"/>
      <w:i/>
      <w:iCs/>
    </w:rPr>
  </w:style>
  <w:style w:type="paragraph" w:customStyle="1" w:styleId="Index">
    <w:name w:val="Index"/>
    <w:basedOn w:val="Standard"/>
    <w:rsid w:val="00760DB7"/>
    <w:pPr>
      <w:suppressLineNumbers/>
    </w:pPr>
    <w:rPr>
      <w:rFonts w:cs="Tahoma"/>
    </w:rPr>
  </w:style>
  <w:style w:type="paragraph" w:customStyle="1" w:styleId="Footnote">
    <w:name w:val="Footnote"/>
    <w:basedOn w:val="Standard"/>
    <w:rsid w:val="00760DB7"/>
    <w:pPr>
      <w:suppressLineNumbers/>
      <w:ind w:left="283" w:hanging="283"/>
    </w:pPr>
    <w:rPr>
      <w:sz w:val="20"/>
      <w:szCs w:val="20"/>
    </w:rPr>
  </w:style>
  <w:style w:type="character" w:customStyle="1" w:styleId="FootnoteSymbol">
    <w:name w:val="Footnote Symbol"/>
    <w:rsid w:val="00760DB7"/>
  </w:style>
  <w:style w:type="character" w:customStyle="1" w:styleId="Footnoteanchor">
    <w:name w:val="Footnote anchor"/>
    <w:rsid w:val="00760DB7"/>
    <w:rPr>
      <w:position w:val="0"/>
      <w:vertAlign w:val="superscript"/>
    </w:rPr>
  </w:style>
  <w:style w:type="character" w:customStyle="1" w:styleId="Char9">
    <w:name w:val="הקדשות Char"/>
    <w:basedOn w:val="DefaultParagraphFont"/>
    <w:link w:val="af2"/>
    <w:locked/>
    <w:rsid w:val="00760DB7"/>
    <w:rPr>
      <w:rFonts w:ascii="Narkisim" w:eastAsia="Times New Roman" w:hAnsi="Narkisim" w:cs="Narkisim"/>
      <w:sz w:val="27"/>
      <w:szCs w:val="27"/>
    </w:rPr>
  </w:style>
  <w:style w:type="paragraph" w:customStyle="1" w:styleId="af2">
    <w:name w:val="הקדשות"/>
    <w:basedOn w:val="Normal"/>
    <w:link w:val="Char9"/>
    <w:rsid w:val="00760DB7"/>
    <w:pPr>
      <w:bidi/>
      <w:spacing w:after="0" w:line="288" w:lineRule="auto"/>
      <w:jc w:val="center"/>
    </w:pPr>
    <w:rPr>
      <w:rFonts w:ascii="Narkisim" w:eastAsia="Times New Roman" w:hAnsi="Narkisim" w:cs="Narkisim"/>
      <w:sz w:val="27"/>
      <w:szCs w:val="27"/>
    </w:rPr>
  </w:style>
  <w:style w:type="paragraph" w:styleId="IntenseQuote">
    <w:name w:val="Intense Quote"/>
    <w:basedOn w:val="Normal"/>
    <w:next w:val="Normal"/>
    <w:link w:val="IntenseQuoteChar"/>
    <w:uiPriority w:val="30"/>
    <w:rsid w:val="00760DB7"/>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760DB7"/>
    <w:rPr>
      <w:i/>
      <w:iCs/>
      <w:color w:val="5B9BD5" w:themeColor="accent1"/>
    </w:rPr>
  </w:style>
  <w:style w:type="paragraph" w:customStyle="1" w:styleId="af3">
    <w:name w:val="הקדשה"/>
    <w:basedOn w:val="Normal"/>
    <w:link w:val="Chara"/>
    <w:qFormat/>
    <w:rsid w:val="00760DB7"/>
    <w:pPr>
      <w:bidi/>
      <w:spacing w:line="240" w:lineRule="auto"/>
      <w:jc w:val="center"/>
    </w:pPr>
    <w:rPr>
      <w:rFonts w:cs="1ShefaClassic"/>
      <w:sz w:val="28"/>
      <w:szCs w:val="28"/>
    </w:rPr>
  </w:style>
  <w:style w:type="table" w:customStyle="1" w:styleId="TableGridLight1">
    <w:name w:val="Table Grid Light1"/>
    <w:basedOn w:val="TableNormal"/>
    <w:uiPriority w:val="40"/>
    <w:rsid w:val="00760DB7"/>
    <w:pPr>
      <w:spacing w:after="0" w:line="240" w:lineRule="auto"/>
    </w:pPr>
    <w:rPr>
      <w:lang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hara">
    <w:name w:val="הקדשה Char"/>
    <w:basedOn w:val="DefaultParagraphFont"/>
    <w:link w:val="af3"/>
    <w:rsid w:val="00760DB7"/>
    <w:rPr>
      <w:rFonts w:cs="1ShefaClassic"/>
      <w:sz w:val="28"/>
      <w:szCs w:val="28"/>
    </w:rPr>
  </w:style>
  <w:style w:type="character" w:customStyle="1" w:styleId="Char7">
    <w:name w:val="כותרת Char"/>
    <w:basedOn w:val="DefaultParagraphFont"/>
    <w:link w:val="a8"/>
    <w:rsid w:val="00760DB7"/>
    <w:rPr>
      <w:rFonts w:ascii="Times New Roman" w:eastAsia="Times New Roman" w:hAnsi="Times New Roman" w:cs="David"/>
      <w:b/>
      <w:bCs/>
      <w:sz w:val="35"/>
      <w:szCs w:val="33"/>
    </w:rPr>
  </w:style>
  <w:style w:type="paragraph" w:customStyle="1" w:styleId="about">
    <w:name w:val="about"/>
    <w:basedOn w:val="Normal"/>
    <w:rsid w:val="00760DB7"/>
    <w:pPr>
      <w:spacing w:before="100" w:beforeAutospacing="1" w:after="100" w:afterAutospacing="1" w:line="240" w:lineRule="auto"/>
      <w:ind w:left="54" w:right="54"/>
      <w:jc w:val="both"/>
    </w:pPr>
    <w:rPr>
      <w:rFonts w:ascii="Arial" w:eastAsia="Arial Unicode MS" w:hAnsi="Arial" w:cs="Arial"/>
      <w:color w:val="000000"/>
      <w:sz w:val="15"/>
      <w:szCs w:val="15"/>
      <w:lang w:eastAsia="he-IL"/>
    </w:rPr>
  </w:style>
  <w:style w:type="paragraph" w:customStyle="1" w:styleId="af4">
    <w:name w:val="גוף ההערה"/>
    <w:basedOn w:val="Normal"/>
    <w:rsid w:val="00760DB7"/>
    <w:pPr>
      <w:bidi/>
      <w:spacing w:after="120" w:line="360" w:lineRule="auto"/>
      <w:ind w:firstLine="397"/>
      <w:jc w:val="both"/>
    </w:pPr>
    <w:rPr>
      <w:rFonts w:ascii="Times New Roman" w:eastAsia="Times New Roman" w:hAnsi="Times New Roman" w:cs="Times New Roman"/>
      <w:sz w:val="24"/>
      <w:szCs w:val="24"/>
    </w:rPr>
  </w:style>
  <w:style w:type="paragraph" w:customStyle="1" w:styleId="HaarosName">
    <w:name w:val="Haaros Name"/>
    <w:basedOn w:val="Normal"/>
    <w:link w:val="HaarosNameChar"/>
    <w:rsid w:val="00760DB7"/>
    <w:pPr>
      <w:spacing w:after="200" w:line="276" w:lineRule="auto"/>
      <w:jc w:val="right"/>
    </w:pPr>
    <w:rPr>
      <w:rFonts w:ascii="David" w:hAnsi="David" w:cs="David"/>
      <w:b/>
      <w:bCs/>
    </w:rPr>
  </w:style>
  <w:style w:type="character" w:customStyle="1" w:styleId="HaarosNameChar">
    <w:name w:val="Haaros Name Char"/>
    <w:basedOn w:val="DefaultParagraphFont"/>
    <w:link w:val="HaarosName"/>
    <w:rsid w:val="00760DB7"/>
    <w:rPr>
      <w:rFonts w:ascii="David" w:hAnsi="David" w:cs="David"/>
      <w:b/>
      <w:bCs/>
    </w:rPr>
  </w:style>
  <w:style w:type="character" w:customStyle="1" w:styleId="Heading10">
    <w:name w:val="Heading #1_"/>
    <w:basedOn w:val="DefaultParagraphFont"/>
    <w:link w:val="Heading11"/>
    <w:rsid w:val="00760DB7"/>
    <w:rPr>
      <w:rFonts w:ascii="FrankRuehl" w:eastAsia="FrankRuehl" w:hAnsi="FrankRuehl" w:cs="FrankRuehl"/>
      <w:sz w:val="36"/>
      <w:szCs w:val="36"/>
      <w:shd w:val="clear" w:color="auto" w:fill="FFFFFF"/>
    </w:rPr>
  </w:style>
  <w:style w:type="character" w:customStyle="1" w:styleId="Bodytext0">
    <w:name w:val="Body text_"/>
    <w:basedOn w:val="DefaultParagraphFont"/>
    <w:link w:val="BodyText1"/>
    <w:rsid w:val="00760DB7"/>
    <w:rPr>
      <w:rFonts w:ascii="FrankRuehl" w:eastAsia="FrankRuehl" w:hAnsi="FrankRuehl" w:cs="FrankRuehl"/>
      <w:sz w:val="29"/>
      <w:szCs w:val="29"/>
      <w:shd w:val="clear" w:color="auto" w:fill="FFFFFF"/>
    </w:rPr>
  </w:style>
  <w:style w:type="paragraph" w:customStyle="1" w:styleId="Heading11">
    <w:name w:val="Heading #1"/>
    <w:basedOn w:val="Normal"/>
    <w:link w:val="Heading10"/>
    <w:rsid w:val="00760DB7"/>
    <w:pPr>
      <w:shd w:val="clear" w:color="auto" w:fill="FFFFFF"/>
      <w:bidi/>
      <w:spacing w:after="300" w:line="0" w:lineRule="atLeast"/>
      <w:jc w:val="both"/>
      <w:outlineLvl w:val="0"/>
    </w:pPr>
    <w:rPr>
      <w:rFonts w:ascii="FrankRuehl" w:eastAsia="FrankRuehl" w:hAnsi="FrankRuehl" w:cs="FrankRuehl"/>
      <w:sz w:val="36"/>
      <w:szCs w:val="36"/>
    </w:rPr>
  </w:style>
  <w:style w:type="paragraph" w:customStyle="1" w:styleId="BodyText1">
    <w:name w:val="Body Text1"/>
    <w:basedOn w:val="Normal"/>
    <w:link w:val="Bodytext0"/>
    <w:rsid w:val="00760DB7"/>
    <w:pPr>
      <w:shd w:val="clear" w:color="auto" w:fill="FFFFFF"/>
      <w:bidi/>
      <w:spacing w:before="300" w:after="0" w:line="347" w:lineRule="exact"/>
      <w:jc w:val="both"/>
    </w:pPr>
    <w:rPr>
      <w:rFonts w:ascii="FrankRuehl" w:eastAsia="FrankRuehl" w:hAnsi="FrankRuehl" w:cs="FrankRuehl"/>
      <w:sz w:val="29"/>
      <w:szCs w:val="29"/>
    </w:rPr>
  </w:style>
  <w:style w:type="character" w:customStyle="1" w:styleId="FootnoteTextChar2">
    <w:name w:val="Footnote Text Char2"/>
    <w:aliases w:val="הערות שוליים Char1,Footnote Text Char1 Char1,Footnote Text Char Char Char1,Footnote TexFootnote Text note Text Char Char Char Char Char Char1,Footnote Text Char Char2 Char Char Char1,Footnote Text Char2 Char Char Char Char Char1"/>
    <w:uiPriority w:val="99"/>
    <w:rsid w:val="00760DB7"/>
    <w:rPr>
      <w:rFonts w:cs="FrankRuehl"/>
      <w:color w:val="000000"/>
      <w:kern w:val="28"/>
      <w:lang w:val="en-US" w:eastAsia="en-US" w:bidi="he-IL"/>
    </w:rPr>
  </w:style>
  <w:style w:type="paragraph" w:customStyle="1" w:styleId="af5">
    <w:name w:val="פנים"/>
    <w:rsid w:val="00760DB7"/>
    <w:pPr>
      <w:pBdr>
        <w:top w:val="nil"/>
        <w:left w:val="nil"/>
        <w:bottom w:val="nil"/>
        <w:right w:val="nil"/>
        <w:between w:val="nil"/>
        <w:bar w:val="nil"/>
      </w:pBdr>
      <w:bidi/>
      <w:spacing w:after="120" w:line="288" w:lineRule="auto"/>
      <w:ind w:firstLine="284"/>
      <w:jc w:val="both"/>
    </w:pPr>
    <w:rPr>
      <w:rFonts w:ascii="Arial Unicode MS" w:eastAsia="Arial Unicode MS" w:hAnsi="Arial Unicode MS" w:cs="FbHadasaNew" w:hint="cs"/>
      <w:color w:val="000000"/>
      <w:sz w:val="28"/>
      <w:szCs w:val="28"/>
      <w:u w:color="000000"/>
      <w:bdr w:val="nil"/>
      <w:lang w:val="he-IL"/>
    </w:rPr>
  </w:style>
  <w:style w:type="character" w:styleId="SubtleReference">
    <w:name w:val="Subtle Reference"/>
    <w:basedOn w:val="DefaultParagraphFont"/>
    <w:uiPriority w:val="31"/>
    <w:rsid w:val="00760DB7"/>
    <w:rPr>
      <w:smallCaps/>
      <w:color w:val="5A5A5A" w:themeColor="text1" w:themeTint="A5"/>
    </w:rPr>
  </w:style>
  <w:style w:type="paragraph" w:customStyle="1" w:styleId="headingchapters">
    <w:name w:val="heading chapters"/>
    <w:basedOn w:val="Heading1"/>
    <w:rsid w:val="00760DB7"/>
    <w:pPr>
      <w:keepNext w:val="0"/>
      <w:keepLines w:val="0"/>
      <w:bidi/>
      <w:spacing w:before="400" w:after="60" w:line="240" w:lineRule="auto"/>
      <w:contextualSpacing/>
      <w:jc w:val="center"/>
    </w:pPr>
    <w:rPr>
      <w:rFonts w:ascii="Cambria" w:eastAsia="Times New Roman" w:hAnsi="Cambria" w:cs="Times New Roman"/>
      <w:smallCaps/>
      <w:color w:val="0F243E"/>
      <w:spacing w:val="20"/>
      <w:sz w:val="72"/>
      <w:szCs w:val="72"/>
    </w:rPr>
  </w:style>
  <w:style w:type="paragraph" w:customStyle="1" w:styleId="af6">
    <w:name w:val="טקסט"/>
    <w:basedOn w:val="Normal"/>
    <w:rsid w:val="00760DB7"/>
    <w:pPr>
      <w:shd w:val="clear" w:color="auto" w:fill="FFFFFF"/>
      <w:bidi/>
      <w:spacing w:line="300" w:lineRule="exact"/>
      <w:ind w:firstLine="300"/>
      <w:jc w:val="both"/>
    </w:pPr>
    <w:rPr>
      <w:rFonts w:ascii="Calibri" w:eastAsia="Times New Roman" w:hAnsi="Calibri" w:cs="Arial"/>
      <w:color w:val="000000"/>
      <w:sz w:val="24"/>
      <w:szCs w:val="24"/>
    </w:rPr>
  </w:style>
  <w:style w:type="paragraph" w:customStyle="1" w:styleId="af7">
    <w:name w:val="ספר"/>
    <w:basedOn w:val="Heading1"/>
    <w:next w:val="Normal"/>
    <w:rsid w:val="00760DB7"/>
    <w:pPr>
      <w:keepNext w:val="0"/>
      <w:keepLines w:val="0"/>
      <w:overflowPunct w:val="0"/>
      <w:autoSpaceDE w:val="0"/>
      <w:autoSpaceDN w:val="0"/>
      <w:bidi/>
      <w:adjustRightInd w:val="0"/>
      <w:spacing w:before="120" w:after="120" w:line="240" w:lineRule="auto"/>
      <w:contextualSpacing/>
      <w:jc w:val="center"/>
      <w:textAlignment w:val="baseline"/>
      <w:outlineLvl w:val="9"/>
    </w:pPr>
    <w:rPr>
      <w:rFonts w:ascii="Cambria" w:eastAsia="Times New Roman" w:hAnsi="Cambria" w:cs="FrankRuehl"/>
      <w:smallCaps/>
      <w:color w:val="0F243E"/>
      <w:spacing w:val="20"/>
      <w:sz w:val="69"/>
      <w:szCs w:val="69"/>
    </w:rPr>
  </w:style>
  <w:style w:type="numbering" w:customStyle="1" w:styleId="NoList2">
    <w:name w:val="No List2"/>
    <w:next w:val="NoList"/>
    <w:uiPriority w:val="99"/>
    <w:semiHidden/>
    <w:unhideWhenUsed/>
    <w:rsid w:val="00760DB7"/>
  </w:style>
  <w:style w:type="character" w:styleId="Strong">
    <w:name w:val="Strong"/>
    <w:rsid w:val="00760DB7"/>
    <w:rPr>
      <w:b/>
      <w:bCs/>
    </w:rPr>
  </w:style>
  <w:style w:type="paragraph" w:customStyle="1" w:styleId="af8">
    <w:name w:val="תוכן ותמצית"/>
    <w:rsid w:val="00760DB7"/>
    <w:pPr>
      <w:pBdr>
        <w:top w:val="nil"/>
        <w:left w:val="nil"/>
        <w:bottom w:val="nil"/>
        <w:right w:val="nil"/>
        <w:between w:val="nil"/>
        <w:bar w:val="nil"/>
      </w:pBdr>
      <w:spacing w:after="400" w:line="336" w:lineRule="auto"/>
      <w:ind w:left="1417" w:right="1417"/>
      <w:jc w:val="center"/>
    </w:pPr>
    <w:rPr>
      <w:rFonts w:ascii="Arial Unicode MS" w:eastAsia="Arial Unicode MS" w:hAnsi="Arial Unicode MS" w:cs="FbLivornaRegular" w:hint="cs"/>
      <w:color w:val="000000"/>
      <w:sz w:val="28"/>
      <w:szCs w:val="28"/>
      <w:bdr w:val="nil"/>
      <w:lang w:val="he-IL"/>
    </w:rPr>
  </w:style>
  <w:style w:type="paragraph" w:customStyle="1" w:styleId="12">
    <w:name w:val="מדור1"/>
    <w:basedOn w:val="a4"/>
    <w:link w:val="1Char0"/>
    <w:qFormat/>
    <w:rsid w:val="00760DB7"/>
    <w:pPr>
      <w:spacing w:before="0" w:after="100"/>
    </w:pPr>
    <w:rPr>
      <w:rFonts w:ascii="FbSfaradi Medium" w:hAnsi="FbSfaradi Medium" w:cs="FbSfaradi Medium"/>
    </w:rPr>
  </w:style>
  <w:style w:type="character" w:customStyle="1" w:styleId="1Char0">
    <w:name w:val="מדור1 Char"/>
    <w:basedOn w:val="Char3"/>
    <w:link w:val="12"/>
    <w:rsid w:val="00760DB7"/>
    <w:rPr>
      <w:rFonts w:ascii="FbSfaradi Medium" w:eastAsia="Times New Roman" w:hAnsi="FbSfaradi Medium" w:cs="FbSfaradi Medium"/>
      <w:sz w:val="70"/>
      <w:szCs w:val="70"/>
      <w:lang w:val="en-GB"/>
    </w:rPr>
  </w:style>
  <w:style w:type="paragraph" w:customStyle="1" w:styleId="af9">
    <w:name w:val="מענה"/>
    <w:basedOn w:val="Normal"/>
    <w:link w:val="Charb"/>
    <w:qFormat/>
    <w:rsid w:val="00760DB7"/>
    <w:pPr>
      <w:bidi/>
      <w:spacing w:line="360" w:lineRule="auto"/>
      <w:jc w:val="center"/>
    </w:pPr>
    <w:rPr>
      <w:rFonts w:ascii="FbSfaradi" w:hAnsi="FbSfaradi" w:cs="FbSfaradi"/>
      <w:sz w:val="26"/>
      <w:szCs w:val="26"/>
    </w:rPr>
  </w:style>
  <w:style w:type="character" w:customStyle="1" w:styleId="Charb">
    <w:name w:val="מענה Char"/>
    <w:basedOn w:val="DefaultParagraphFont"/>
    <w:link w:val="af9"/>
    <w:rsid w:val="00760DB7"/>
    <w:rPr>
      <w:rFonts w:ascii="FbSfaradi" w:hAnsi="FbSfaradi" w:cs="FbSfaradi"/>
      <w:sz w:val="26"/>
      <w:szCs w:val="26"/>
    </w:rPr>
  </w:style>
  <w:style w:type="table" w:styleId="GridTable1Light">
    <w:name w:val="Grid Table 1 Light"/>
    <w:basedOn w:val="TableNormal"/>
    <w:uiPriority w:val="46"/>
    <w:rsid w:val="00760DB7"/>
    <w:pPr>
      <w:spacing w:after="0" w:line="240" w:lineRule="auto"/>
    </w:pPr>
    <w:rPr>
      <w:lang w:bidi="ar-SA"/>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eGridLight">
    <w:name w:val="Grid Table Light"/>
    <w:basedOn w:val="TableNormal"/>
    <w:uiPriority w:val="40"/>
    <w:rsid w:val="00760DB7"/>
    <w:pPr>
      <w:spacing w:after="0" w:line="240" w:lineRule="auto"/>
    </w:pPr>
    <w:rPr>
      <w:lang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word">
    <w:name w:val="word"/>
    <w:rsid w:val="00760DB7"/>
    <w:rPr>
      <w:rFonts w:ascii="Times New Roman" w:hAnsi="Times New Roman" w:cs="Times New Roman"/>
    </w:rPr>
  </w:style>
  <w:style w:type="paragraph" w:customStyle="1" w:styleId="HaarosBody">
    <w:name w:val="Haaros Body"/>
    <w:basedOn w:val="Normal"/>
    <w:link w:val="HaarosBodyChar"/>
    <w:qFormat/>
    <w:rsid w:val="00760DB7"/>
    <w:pPr>
      <w:bidi/>
      <w:spacing w:after="200" w:line="276" w:lineRule="auto"/>
      <w:jc w:val="both"/>
    </w:pPr>
    <w:rPr>
      <w:rFonts w:ascii="Narkisim" w:hAnsi="Narkisim" w:cs="Narkisim"/>
      <w:szCs w:val="24"/>
    </w:rPr>
  </w:style>
  <w:style w:type="character" w:customStyle="1" w:styleId="HaarosBodyChar">
    <w:name w:val="Haaros Body Char"/>
    <w:basedOn w:val="DefaultParagraphFont"/>
    <w:link w:val="HaarosBody"/>
    <w:rsid w:val="00760DB7"/>
    <w:rPr>
      <w:rFonts w:ascii="Narkisim" w:hAnsi="Narkisim" w:cs="Narkisim"/>
      <w:szCs w:val="24"/>
    </w:rPr>
  </w:style>
  <w:style w:type="paragraph" w:customStyle="1" w:styleId="HaarosTitle">
    <w:name w:val="Haaros Title"/>
    <w:basedOn w:val="HaarosName"/>
    <w:link w:val="HaarosTitleChar"/>
    <w:rsid w:val="00760DB7"/>
    <w:pPr>
      <w:jc w:val="both"/>
    </w:pPr>
    <w:rPr>
      <w:sz w:val="38"/>
      <w:szCs w:val="38"/>
    </w:rPr>
  </w:style>
  <w:style w:type="character" w:customStyle="1" w:styleId="HaarosTitleChar">
    <w:name w:val="Haaros Title Char"/>
    <w:basedOn w:val="HaarosNameChar"/>
    <w:link w:val="HaarosTitle"/>
    <w:rsid w:val="00760DB7"/>
    <w:rPr>
      <w:rFonts w:ascii="David" w:hAnsi="David" w:cs="David"/>
      <w:b/>
      <w:bCs/>
      <w:sz w:val="38"/>
      <w:szCs w:val="38"/>
    </w:rPr>
  </w:style>
  <w:style w:type="paragraph" w:styleId="BodyText2">
    <w:name w:val="Body Text 2"/>
    <w:basedOn w:val="Normal"/>
    <w:link w:val="BodyText2Char"/>
    <w:semiHidden/>
    <w:rsid w:val="00760DB7"/>
    <w:pPr>
      <w:tabs>
        <w:tab w:val="left" w:pos="720"/>
        <w:tab w:val="left" w:pos="4320"/>
        <w:tab w:val="left" w:pos="4608"/>
        <w:tab w:val="left" w:pos="5760"/>
        <w:tab w:val="left" w:pos="6912"/>
        <w:tab w:val="left" w:pos="8063"/>
        <w:tab w:val="left" w:pos="9216"/>
      </w:tabs>
      <w:bidi/>
      <w:spacing w:after="0" w:line="240" w:lineRule="atLeast"/>
      <w:jc w:val="both"/>
    </w:pPr>
    <w:rPr>
      <w:rFonts w:ascii="Times New Roman" w:eastAsia="Times New Roman" w:hAnsi="Times New Roman" w:cs="Miriam"/>
      <w:sz w:val="24"/>
      <w:szCs w:val="28"/>
    </w:rPr>
  </w:style>
  <w:style w:type="character" w:customStyle="1" w:styleId="BodyText2Char">
    <w:name w:val="Body Text 2 Char"/>
    <w:basedOn w:val="DefaultParagraphFont"/>
    <w:link w:val="BodyText2"/>
    <w:semiHidden/>
    <w:rsid w:val="00760DB7"/>
    <w:rPr>
      <w:rFonts w:ascii="Times New Roman" w:eastAsia="Times New Roman" w:hAnsi="Times New Roman" w:cs="Miriam"/>
      <w:sz w:val="24"/>
      <w:szCs w:val="28"/>
    </w:rPr>
  </w:style>
  <w:style w:type="character" w:customStyle="1" w:styleId="Charc">
    <w:name w:val="נורמל Char"/>
    <w:rsid w:val="00760DB7"/>
    <w:rPr>
      <w:rFonts w:ascii="Times New Roman" w:eastAsia="Times New Roman" w:hAnsi="Times New Roman" w:cs="FrankRuehl"/>
      <w:sz w:val="27"/>
      <w:szCs w:val="27"/>
    </w:rPr>
  </w:style>
  <w:style w:type="paragraph" w:styleId="BodyTextIndent">
    <w:name w:val="Body Text Indent"/>
    <w:basedOn w:val="Normal"/>
    <w:link w:val="BodyTextIndentChar"/>
    <w:uiPriority w:val="99"/>
    <w:semiHidden/>
    <w:unhideWhenUsed/>
    <w:rsid w:val="00760DB7"/>
    <w:pPr>
      <w:spacing w:after="120"/>
      <w:ind w:left="360"/>
    </w:pPr>
  </w:style>
  <w:style w:type="character" w:customStyle="1" w:styleId="BodyTextIndentChar">
    <w:name w:val="Body Text Indent Char"/>
    <w:basedOn w:val="DefaultParagraphFont"/>
    <w:link w:val="BodyTextIndent"/>
    <w:uiPriority w:val="99"/>
    <w:semiHidden/>
    <w:rsid w:val="00760DB7"/>
  </w:style>
  <w:style w:type="paragraph" w:styleId="BodyTextIndent2">
    <w:name w:val="Body Text Indent 2"/>
    <w:basedOn w:val="Normal"/>
    <w:link w:val="BodyTextIndent2Char"/>
    <w:uiPriority w:val="99"/>
    <w:semiHidden/>
    <w:unhideWhenUsed/>
    <w:rsid w:val="00760DB7"/>
    <w:pPr>
      <w:spacing w:after="120" w:line="480" w:lineRule="auto"/>
      <w:ind w:left="360"/>
    </w:pPr>
  </w:style>
  <w:style w:type="character" w:customStyle="1" w:styleId="BodyTextIndent2Char">
    <w:name w:val="Body Text Indent 2 Char"/>
    <w:basedOn w:val="DefaultParagraphFont"/>
    <w:link w:val="BodyTextIndent2"/>
    <w:uiPriority w:val="99"/>
    <w:semiHidden/>
    <w:rsid w:val="00760DB7"/>
  </w:style>
  <w:style w:type="paragraph" w:customStyle="1" w:styleId="afa">
    <w:name w:val="שם הרב"/>
    <w:basedOn w:val="Normal"/>
    <w:rsid w:val="00760DB7"/>
    <w:pPr>
      <w:bidi/>
      <w:spacing w:after="0" w:line="240" w:lineRule="auto"/>
      <w:jc w:val="right"/>
    </w:pPr>
    <w:rPr>
      <w:rFonts w:ascii="Times New Roman" w:eastAsia="Times New Roman" w:hAnsi="Times New Roman" w:cs="MNarkisim"/>
      <w:szCs w:val="28"/>
    </w:rPr>
  </w:style>
  <w:style w:type="character" w:customStyle="1" w:styleId="mareimakom">
    <w:name w:val="mareimakom"/>
    <w:basedOn w:val="DefaultParagraphFont"/>
    <w:rsid w:val="00760DB7"/>
  </w:style>
  <w:style w:type="paragraph" w:styleId="BodyText3">
    <w:name w:val="Body Text"/>
    <w:basedOn w:val="Normal"/>
    <w:link w:val="BodyTextChar"/>
    <w:uiPriority w:val="99"/>
    <w:semiHidden/>
    <w:unhideWhenUsed/>
    <w:rsid w:val="00760DB7"/>
    <w:pPr>
      <w:spacing w:after="120"/>
    </w:pPr>
  </w:style>
  <w:style w:type="character" w:customStyle="1" w:styleId="BodyTextChar">
    <w:name w:val="Body Text Char"/>
    <w:basedOn w:val="DefaultParagraphFont"/>
    <w:link w:val="BodyText3"/>
    <w:uiPriority w:val="99"/>
    <w:semiHidden/>
    <w:rsid w:val="00760DB7"/>
  </w:style>
  <w:style w:type="paragraph" w:customStyle="1" w:styleId="afb">
    <w:name w:val="דברי רשי"/>
    <w:basedOn w:val="Normal"/>
    <w:link w:val="afc"/>
    <w:qFormat/>
    <w:rsid w:val="00760DB7"/>
    <w:pPr>
      <w:bidi/>
      <w:spacing w:after="0" w:line="240" w:lineRule="auto"/>
    </w:pPr>
    <w:rPr>
      <w:rFonts w:ascii="Times New Roman" w:eastAsia="Times New Roman" w:hAnsi="Times New Roman" w:cs="Guttman Rashi"/>
      <w:b/>
      <w:bCs/>
      <w:i/>
      <w:iCs/>
      <w:sz w:val="28"/>
      <w:szCs w:val="28"/>
    </w:rPr>
  </w:style>
  <w:style w:type="character" w:customStyle="1" w:styleId="afc">
    <w:name w:val="דברי רשי תו"/>
    <w:link w:val="afb"/>
    <w:rsid w:val="00760DB7"/>
    <w:rPr>
      <w:rFonts w:ascii="Times New Roman" w:eastAsia="Times New Roman" w:hAnsi="Times New Roman" w:cs="Guttman Rashi"/>
      <w:b/>
      <w:bCs/>
      <w:i/>
      <w:iCs/>
      <w:sz w:val="28"/>
      <w:szCs w:val="28"/>
    </w:rPr>
  </w:style>
  <w:style w:type="paragraph" w:customStyle="1" w:styleId="afd">
    <w:name w:val="נושא"/>
    <w:basedOn w:val="Normal"/>
    <w:next w:val="Normal"/>
    <w:rsid w:val="00760DB7"/>
    <w:pPr>
      <w:keepNext/>
      <w:bidi/>
      <w:spacing w:before="380" w:after="0" w:line="520" w:lineRule="exact"/>
      <w:jc w:val="center"/>
      <w:outlineLvl w:val="0"/>
    </w:pPr>
    <w:rPr>
      <w:rFonts w:ascii="Times New Roman" w:eastAsia="Times New Roman" w:hAnsi="Times New Roman" w:cs="TopType Mantova-Decor"/>
      <w:kern w:val="28"/>
      <w:sz w:val="52"/>
      <w:szCs w:val="52"/>
    </w:rPr>
  </w:style>
  <w:style w:type="table" w:customStyle="1" w:styleId="TableGridLight2">
    <w:name w:val="Table Grid Light2"/>
    <w:basedOn w:val="TableNormal"/>
    <w:next w:val="TableGridLight"/>
    <w:uiPriority w:val="40"/>
    <w:rsid w:val="00760DB7"/>
    <w:pPr>
      <w:spacing w:after="0" w:line="240" w:lineRule="auto"/>
    </w:pPr>
    <w:rPr>
      <w:lang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fe">
    <w:name w:val="שיעור"/>
    <w:basedOn w:val="Normal"/>
    <w:rsid w:val="00760DB7"/>
    <w:pPr>
      <w:bidi/>
      <w:spacing w:after="0" w:line="240" w:lineRule="auto"/>
      <w:jc w:val="both"/>
    </w:pPr>
    <w:rPr>
      <w:rFonts w:ascii="Times New Roman" w:eastAsia="Times New Roman" w:hAnsi="Times New Roman" w:cs="Times New Roman"/>
      <w:sz w:val="28"/>
      <w:szCs w:val="24"/>
      <w:lang w:eastAsia="he-IL"/>
    </w:rPr>
  </w:style>
  <w:style w:type="character" w:customStyle="1" w:styleId="NoSpacingChar">
    <w:name w:val="No Spacing Char"/>
    <w:aliases w:val="Refrance Char"/>
    <w:basedOn w:val="DefaultParagraphFont"/>
    <w:link w:val="NoSpacing"/>
    <w:uiPriority w:val="1"/>
    <w:rsid w:val="00760DB7"/>
    <w:rPr>
      <w:lang w:val="en-GB"/>
    </w:rPr>
  </w:style>
  <w:style w:type="character" w:customStyle="1" w:styleId="gd">
    <w:name w:val="gd"/>
    <w:basedOn w:val="DefaultParagraphFont"/>
    <w:rsid w:val="00760DB7"/>
  </w:style>
  <w:style w:type="character" w:customStyle="1" w:styleId="go">
    <w:name w:val="go"/>
    <w:basedOn w:val="DefaultParagraphFont"/>
    <w:rsid w:val="00760DB7"/>
  </w:style>
  <w:style w:type="paragraph" w:customStyle="1" w:styleId="he">
    <w:name w:val="he"/>
    <w:basedOn w:val="Normal"/>
    <w:rsid w:val="00760DB7"/>
    <w:pPr>
      <w:bidi/>
      <w:spacing w:before="100" w:beforeAutospacing="1" w:after="100" w:afterAutospacing="1" w:line="240" w:lineRule="auto"/>
      <w:jc w:val="both"/>
    </w:pPr>
    <w:rPr>
      <w:rFonts w:ascii="Times New Roman" w:eastAsia="Times New Roman" w:hAnsi="Times New Roman" w:cs="Times New Roman"/>
      <w:sz w:val="24"/>
      <w:szCs w:val="24"/>
    </w:rPr>
  </w:style>
  <w:style w:type="character" w:styleId="BookTitle">
    <w:name w:val="Book Title"/>
    <w:basedOn w:val="DefaultParagraphFont"/>
    <w:uiPriority w:val="33"/>
    <w:qFormat/>
    <w:rsid w:val="00760DB7"/>
    <w:rPr>
      <w:b/>
      <w:bCs/>
      <w:i/>
      <w:iCs/>
      <w:spacing w:val="5"/>
    </w:rPr>
  </w:style>
  <w:style w:type="character" w:customStyle="1" w:styleId="gi">
    <w:name w:val="gi"/>
    <w:basedOn w:val="DefaultParagraphFont"/>
    <w:rsid w:val="00760DB7"/>
  </w:style>
  <w:style w:type="character" w:customStyle="1" w:styleId="qu">
    <w:name w:val="qu"/>
    <w:basedOn w:val="DefaultParagraphFont"/>
    <w:rsid w:val="00760DB7"/>
  </w:style>
  <w:style w:type="character" w:customStyle="1" w:styleId="Chard">
    <w:name w:val="הערה Char"/>
    <w:aliases w:val="Footnote Text1 תו תו תו תו תו Char,Footnote Text1 תו תו תו תו Char,Footnote Text1 תו תו תו תו תו תו תו תו תו תו תו תו תו תו תו תו Char,Footnote Text1 Char,Footnote Text1 תו תו תו תו תו תו תו תו תו Char, תו Char"/>
    <w:uiPriority w:val="99"/>
    <w:rsid w:val="00760DB7"/>
    <w:rPr>
      <w:rFonts w:ascii="Times New Roman" w:eastAsia="Times New Roman" w:hAnsi="Times New Roman" w:cs="Times New Roman"/>
      <w:sz w:val="20"/>
      <w:szCs w:val="20"/>
      <w:lang w:bidi="he-IL"/>
    </w:rPr>
  </w:style>
  <w:style w:type="paragraph" w:customStyle="1" w:styleId="aff">
    <w:name w:val="פתח דבר"/>
    <w:basedOn w:val="Normal"/>
    <w:rsid w:val="00760DB7"/>
    <w:pPr>
      <w:bidi/>
      <w:spacing w:after="120" w:line="312" w:lineRule="auto"/>
      <w:ind w:firstLine="274"/>
      <w:jc w:val="both"/>
    </w:pPr>
    <w:rPr>
      <w:rFonts w:ascii="FrankRuehl" w:eastAsia="Times New Roman" w:hAnsi="FrankRuehl" w:cs="Hadassa Light"/>
      <w:kern w:val="28"/>
      <w:sz w:val="27"/>
      <w:szCs w:val="27"/>
    </w:rPr>
  </w:style>
  <w:style w:type="character" w:customStyle="1" w:styleId="apple-style-span">
    <w:name w:val="apple-style-span"/>
    <w:rsid w:val="00760DB7"/>
  </w:style>
  <w:style w:type="paragraph" w:customStyle="1" w:styleId="aff0">
    <w:name w:val="פתח דבר חתימה"/>
    <w:qFormat/>
    <w:rsid w:val="00760DB7"/>
    <w:pPr>
      <w:spacing w:after="0" w:line="240" w:lineRule="auto"/>
    </w:pPr>
    <w:rPr>
      <w:rFonts w:ascii="FrankRuehl" w:eastAsia="Times New Roman" w:hAnsi="FrankRuehl" w:cs="Hadassa Bold"/>
      <w:kern w:val="28"/>
      <w:sz w:val="27"/>
      <w:szCs w:val="27"/>
    </w:rPr>
  </w:style>
  <w:style w:type="character" w:customStyle="1" w:styleId="gmail-hebrewchar">
    <w:name w:val="gmail-hebrewchar"/>
    <w:basedOn w:val="DefaultParagraphFont"/>
    <w:rsid w:val="004C1858"/>
  </w:style>
  <w:style w:type="paragraph" w:customStyle="1" w:styleId="aff1">
    <w:name w:val="מונוטייפ כותרת ראשית"/>
    <w:basedOn w:val="Normal"/>
    <w:link w:val="aff2"/>
    <w:qFormat/>
    <w:rsid w:val="002F0CA3"/>
    <w:pPr>
      <w:shd w:val="clear" w:color="auto" w:fill="FCFCFC"/>
      <w:bidi/>
      <w:spacing w:before="40" w:after="100" w:line="240" w:lineRule="auto"/>
      <w:ind w:firstLine="170"/>
      <w:jc w:val="both"/>
    </w:pPr>
    <w:rPr>
      <w:rFonts w:ascii="Monotype Hadassah" w:hAnsi="Monotype Hadassah" w:cs="Monotype Hadassah"/>
      <w:b/>
      <w:bCs/>
      <w:sz w:val="38"/>
      <w:szCs w:val="38"/>
    </w:rPr>
  </w:style>
  <w:style w:type="character" w:customStyle="1" w:styleId="aff2">
    <w:name w:val="מונוטייפ כותרת ראשית תו"/>
    <w:link w:val="aff1"/>
    <w:locked/>
    <w:rsid w:val="002F0CA3"/>
    <w:rPr>
      <w:rFonts w:ascii="Monotype Hadassah" w:hAnsi="Monotype Hadassah" w:cs="Monotype Hadassah"/>
      <w:b/>
      <w:bCs/>
      <w:sz w:val="38"/>
      <w:szCs w:val="38"/>
      <w:shd w:val="clear" w:color="auto" w:fill="FCFCFC"/>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0515294">
      <w:bodyDiv w:val="1"/>
      <w:marLeft w:val="0"/>
      <w:marRight w:val="0"/>
      <w:marTop w:val="0"/>
      <w:marBottom w:val="0"/>
      <w:divBdr>
        <w:top w:val="none" w:sz="0" w:space="0" w:color="auto"/>
        <w:left w:val="none" w:sz="0" w:space="0" w:color="auto"/>
        <w:bottom w:val="none" w:sz="0" w:space="0" w:color="auto"/>
        <w:right w:val="none" w:sz="0" w:space="0" w:color="auto"/>
      </w:divBdr>
      <w:divsChild>
        <w:div w:id="9987708">
          <w:marLeft w:val="0"/>
          <w:marRight w:val="0"/>
          <w:marTop w:val="0"/>
          <w:marBottom w:val="0"/>
          <w:divBdr>
            <w:top w:val="none" w:sz="0" w:space="0" w:color="auto"/>
            <w:left w:val="none" w:sz="0" w:space="0" w:color="auto"/>
            <w:bottom w:val="none" w:sz="0" w:space="0" w:color="auto"/>
            <w:right w:val="none" w:sz="0" w:space="0" w:color="auto"/>
          </w:divBdr>
        </w:div>
      </w:divsChild>
    </w:div>
    <w:div w:id="1558202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aoros@haoros.com"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haoros@haoros.com"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5C0E4B-19B5-45D8-8AAF-CB34CF79FF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TotalTime>
  <Pages>145</Pages>
  <Words>41132</Words>
  <Characters>234458</Characters>
  <Application>Microsoft Office Word</Application>
  <DocSecurity>0</DocSecurity>
  <Lines>1953</Lines>
  <Paragraphs>550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275040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HEORES</dc:creator>
  <cp:keywords/>
  <dc:description/>
  <cp:lastModifiedBy>HEORES</cp:lastModifiedBy>
  <cp:revision>18</cp:revision>
  <dcterms:created xsi:type="dcterms:W3CDTF">2020-05-08T04:05:00Z</dcterms:created>
  <dcterms:modified xsi:type="dcterms:W3CDTF">2020-05-08T12:14:00Z</dcterms:modified>
</cp:coreProperties>
</file>